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14ADFB" w14:textId="77777777" w:rsidR="00564799" w:rsidRPr="00170B7C" w:rsidRDefault="00564799"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НАО «Казахский национальный медицинский университет</w:t>
      </w:r>
    </w:p>
    <w:p w14:paraId="05631D86" w14:textId="77777777" w:rsidR="00C700B8" w:rsidRPr="00170B7C" w:rsidRDefault="00564799"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им. С.Д. Асфендиярова»</w:t>
      </w:r>
    </w:p>
    <w:p w14:paraId="46705F0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5FFA054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15A9530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spacing w:before="320" w:after="320"/>
        <w:rPr>
          <w:rFonts w:eastAsia="Calibri"/>
          <w:color w:val="000000"/>
          <w:sz w:val="28"/>
          <w:szCs w:val="28"/>
        </w:rPr>
      </w:pPr>
      <w:r w:rsidRPr="00170B7C">
        <w:rPr>
          <w:color w:val="000000"/>
          <w:sz w:val="28"/>
          <w:szCs w:val="28"/>
        </w:rPr>
        <w:t xml:space="preserve">УДК: </w:t>
      </w:r>
      <w:r w:rsidRPr="00170B7C">
        <w:rPr>
          <w:color w:val="222222"/>
          <w:sz w:val="28"/>
          <w:szCs w:val="28"/>
        </w:rPr>
        <w:t>616.36-089.843</w:t>
      </w:r>
      <w:r w:rsidRPr="00170B7C">
        <w:rPr>
          <w:color w:val="FF0000"/>
          <w:sz w:val="28"/>
          <w:szCs w:val="28"/>
        </w:rPr>
        <w:t>   </w:t>
      </w:r>
      <w:r w:rsidRPr="00170B7C">
        <w:rPr>
          <w:color w:val="000000"/>
          <w:sz w:val="28"/>
          <w:szCs w:val="28"/>
        </w:rPr>
        <w:t>                                                    На правах рукописи </w:t>
      </w:r>
    </w:p>
    <w:p w14:paraId="1BE406E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15E94B9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3206D0B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4A8251B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0486247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29319F2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6FB47928" w14:textId="77777777" w:rsidR="00C700B8" w:rsidRPr="00170B7C" w:rsidRDefault="00564799"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b/>
          <w:color w:val="000000"/>
          <w:sz w:val="28"/>
          <w:szCs w:val="28"/>
        </w:rPr>
        <w:t>ҚАЛШАБАЙ ЕРКЕЖАН ЕРКІНҚЫЗЫ</w:t>
      </w:r>
      <w:r w:rsidRPr="00170B7C">
        <w:rPr>
          <w:color w:val="000000"/>
          <w:sz w:val="28"/>
          <w:szCs w:val="28"/>
        </w:rPr>
        <w:t> </w:t>
      </w:r>
    </w:p>
    <w:p w14:paraId="7998DE6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789809F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b/>
          <w:color w:val="000000"/>
          <w:sz w:val="28"/>
          <w:szCs w:val="28"/>
        </w:rPr>
        <w:t>Оптимизация КТ-волюметрии печени донора при родственной трансплантации</w:t>
      </w:r>
      <w:r w:rsidRPr="00170B7C">
        <w:rPr>
          <w:color w:val="000000"/>
          <w:sz w:val="28"/>
          <w:szCs w:val="28"/>
        </w:rPr>
        <w:t> </w:t>
      </w:r>
    </w:p>
    <w:p w14:paraId="7BC3947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1923483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8D10103</w:t>
      </w:r>
      <w:r w:rsidR="00D6409C" w:rsidRPr="00170B7C">
        <w:rPr>
          <w:color w:val="000000"/>
          <w:sz w:val="28"/>
          <w:szCs w:val="28"/>
        </w:rPr>
        <w:t xml:space="preserve"> –</w:t>
      </w:r>
      <w:r w:rsidR="00691B04" w:rsidRPr="00170B7C">
        <w:rPr>
          <w:color w:val="000000"/>
          <w:sz w:val="28"/>
          <w:szCs w:val="28"/>
        </w:rPr>
        <w:t xml:space="preserve"> Медицина</w:t>
      </w:r>
      <w:r w:rsidRPr="00170B7C">
        <w:rPr>
          <w:color w:val="000000"/>
          <w:sz w:val="28"/>
          <w:szCs w:val="28"/>
        </w:rPr>
        <w:t> </w:t>
      </w:r>
    </w:p>
    <w:p w14:paraId="7996154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0DBA766C" w14:textId="77777777" w:rsidR="00D6409C"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 xml:space="preserve">Диссертация на соискание степени </w:t>
      </w:r>
    </w:p>
    <w:p w14:paraId="455DC10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доктора философии (PhD) </w:t>
      </w:r>
    </w:p>
    <w:p w14:paraId="38C2574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129AE15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5AC36FF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16AB3AC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41FA111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316FBAA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2657DA08"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right"/>
        <w:rPr>
          <w:rFonts w:eastAsia="Calibri"/>
          <w:color w:val="000000"/>
          <w:sz w:val="28"/>
          <w:szCs w:val="28"/>
        </w:rPr>
      </w:pPr>
      <w:r w:rsidRPr="00170B7C">
        <w:rPr>
          <w:color w:val="000000"/>
          <w:sz w:val="28"/>
          <w:szCs w:val="28"/>
        </w:rPr>
        <w:t>Научные консультанты:  </w:t>
      </w:r>
    </w:p>
    <w:p w14:paraId="13541E14" w14:textId="77777777" w:rsidR="00564799" w:rsidRPr="00170B7C" w:rsidRDefault="00564799" w:rsidP="00170B7C">
      <w:pPr>
        <w:pBdr>
          <w:top w:val="none" w:sz="0" w:space="0" w:color="000000"/>
          <w:left w:val="none" w:sz="0" w:space="0" w:color="000000"/>
          <w:bottom w:val="none" w:sz="0" w:space="0" w:color="000000"/>
          <w:right w:val="none" w:sz="0" w:space="0" w:color="000000"/>
          <w:between w:val="none" w:sz="0" w:space="0" w:color="000000"/>
        </w:pBdr>
        <w:jc w:val="right"/>
        <w:rPr>
          <w:rFonts w:eastAsia="Calibri"/>
          <w:color w:val="000000"/>
          <w:sz w:val="28"/>
          <w:szCs w:val="28"/>
        </w:rPr>
      </w:pPr>
      <w:r w:rsidRPr="00170B7C">
        <w:rPr>
          <w:color w:val="000000"/>
          <w:sz w:val="28"/>
          <w:szCs w:val="28"/>
        </w:rPr>
        <w:t>д.м.н., профессор Жолдыбай Ж.Ж.  </w:t>
      </w:r>
    </w:p>
    <w:p w14:paraId="1D12AF7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right"/>
        <w:rPr>
          <w:rFonts w:eastAsia="Calibri"/>
          <w:color w:val="000000"/>
          <w:sz w:val="28"/>
          <w:szCs w:val="28"/>
        </w:rPr>
      </w:pPr>
      <w:r w:rsidRPr="00170B7C">
        <w:rPr>
          <w:color w:val="000000"/>
          <w:sz w:val="28"/>
          <w:szCs w:val="28"/>
        </w:rPr>
        <w:t>д.м.н., профессор, академик НАН РК Баймаханов Б.Б.  </w:t>
      </w:r>
    </w:p>
    <w:p w14:paraId="70E17B8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right"/>
        <w:rPr>
          <w:rFonts w:eastAsia="Calibri"/>
          <w:color w:val="000000"/>
          <w:sz w:val="28"/>
          <w:szCs w:val="28"/>
        </w:rPr>
      </w:pPr>
      <w:r w:rsidRPr="00170B7C">
        <w:rPr>
          <w:color w:val="000000"/>
          <w:sz w:val="28"/>
          <w:szCs w:val="28"/>
        </w:rPr>
        <w:t>д.м.н., ассоциированный профессор Медеубеков У.Ш. </w:t>
      </w:r>
    </w:p>
    <w:p w14:paraId="154C14E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right"/>
        <w:rPr>
          <w:rFonts w:eastAsia="Calibri"/>
          <w:color w:val="000000"/>
          <w:sz w:val="28"/>
          <w:szCs w:val="28"/>
        </w:rPr>
      </w:pPr>
      <w:r w:rsidRPr="00170B7C">
        <w:rPr>
          <w:color w:val="000000"/>
          <w:sz w:val="28"/>
          <w:szCs w:val="28"/>
        </w:rPr>
        <w:t>Зарубежный научный консультант: </w:t>
      </w:r>
    </w:p>
    <w:p w14:paraId="22CB94C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right"/>
        <w:rPr>
          <w:rFonts w:eastAsia="Calibri"/>
          <w:color w:val="000000"/>
          <w:sz w:val="28"/>
          <w:szCs w:val="28"/>
        </w:rPr>
      </w:pPr>
      <w:r w:rsidRPr="00170B7C">
        <w:rPr>
          <w:color w:val="000000"/>
          <w:sz w:val="28"/>
          <w:szCs w:val="28"/>
        </w:rPr>
        <w:t>PhD, MD Michele Di Martino  </w:t>
      </w:r>
    </w:p>
    <w:p w14:paraId="77165C9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2FEC158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0F03C1A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1E29E29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47E58A8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4C010DB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5F777AF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05B662D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40FB135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7B22021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Республика Казахстан </w:t>
      </w:r>
    </w:p>
    <w:p w14:paraId="62B808FF" w14:textId="77777777" w:rsidR="00C700B8" w:rsidRPr="00170B7C" w:rsidRDefault="00274D3C" w:rsidP="009471B9">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Алматы, 2024 </w:t>
      </w:r>
    </w:p>
    <w:p w14:paraId="493DFF38"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lastRenderedPageBreak/>
        <w:t> </w:t>
      </w:r>
    </w:p>
    <w:p w14:paraId="6A74E65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b/>
          <w:color w:val="000000"/>
          <w:sz w:val="28"/>
          <w:szCs w:val="28"/>
        </w:rPr>
        <w:t>СОДЕРЖАНИЕ</w:t>
      </w:r>
      <w:r w:rsidRPr="00170B7C">
        <w:rPr>
          <w:color w:val="000000"/>
          <w:sz w:val="28"/>
          <w:szCs w:val="28"/>
        </w:rPr>
        <w:t> </w:t>
      </w:r>
    </w:p>
    <w:p w14:paraId="21B5F0D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tbl>
      <w:tblPr>
        <w:tblStyle w:val="aff5"/>
        <w:tblW w:w="96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4"/>
        <w:gridCol w:w="8363"/>
        <w:gridCol w:w="561"/>
      </w:tblGrid>
      <w:tr w:rsidR="009D1579" w14:paraId="4170FA10" w14:textId="77777777" w:rsidTr="001E740B">
        <w:tc>
          <w:tcPr>
            <w:tcW w:w="704" w:type="dxa"/>
          </w:tcPr>
          <w:p w14:paraId="5BE4983B" w14:textId="77777777" w:rsidR="009D1579" w:rsidRPr="00BA1134" w:rsidRDefault="009D1579" w:rsidP="00EC299B">
            <w:pPr>
              <w:jc w:val="both"/>
              <w:rPr>
                <w:b/>
                <w:color w:val="000000"/>
                <w:sz w:val="28"/>
                <w:szCs w:val="28"/>
              </w:rPr>
            </w:pPr>
          </w:p>
        </w:tc>
        <w:tc>
          <w:tcPr>
            <w:tcW w:w="8363" w:type="dxa"/>
          </w:tcPr>
          <w:p w14:paraId="6BB0F782" w14:textId="77777777" w:rsidR="009D1579" w:rsidRPr="00E940EC" w:rsidRDefault="009D1579" w:rsidP="009D1579">
            <w:pPr>
              <w:rPr>
                <w:b/>
                <w:color w:val="000000"/>
                <w:sz w:val="28"/>
                <w:szCs w:val="28"/>
                <w:lang w:val="en-US"/>
              </w:rPr>
            </w:pPr>
            <w:r w:rsidRPr="00BA1134">
              <w:rPr>
                <w:b/>
                <w:color w:val="000000"/>
                <w:sz w:val="28"/>
                <w:szCs w:val="28"/>
              </w:rPr>
              <w:t>НОРМАТИВНЫЕ ССЫЛКИ</w:t>
            </w:r>
            <w:r>
              <w:rPr>
                <w:b/>
                <w:color w:val="000000"/>
                <w:sz w:val="28"/>
                <w:szCs w:val="28"/>
                <w:lang w:val="en-US"/>
              </w:rPr>
              <w:t>………………………………………...</w:t>
            </w:r>
          </w:p>
        </w:tc>
        <w:tc>
          <w:tcPr>
            <w:tcW w:w="561" w:type="dxa"/>
          </w:tcPr>
          <w:p w14:paraId="7F141B87" w14:textId="77777777" w:rsidR="009D1579" w:rsidRDefault="009D1579" w:rsidP="00EC299B">
            <w:pPr>
              <w:jc w:val="right"/>
              <w:rPr>
                <w:rFonts w:eastAsia="Calibri"/>
                <w:color w:val="000000"/>
                <w:sz w:val="28"/>
                <w:szCs w:val="28"/>
                <w:lang w:val="en-US"/>
              </w:rPr>
            </w:pPr>
            <w:r>
              <w:rPr>
                <w:rFonts w:eastAsia="Calibri"/>
                <w:color w:val="000000"/>
                <w:sz w:val="28"/>
                <w:szCs w:val="28"/>
                <w:lang w:val="en-US"/>
              </w:rPr>
              <w:t>3</w:t>
            </w:r>
          </w:p>
        </w:tc>
      </w:tr>
      <w:tr w:rsidR="009D1579" w14:paraId="43B39DA2" w14:textId="77777777" w:rsidTr="001E740B">
        <w:tc>
          <w:tcPr>
            <w:tcW w:w="704" w:type="dxa"/>
          </w:tcPr>
          <w:p w14:paraId="26360092" w14:textId="77777777" w:rsidR="009D1579" w:rsidRPr="00BA1134" w:rsidRDefault="009D1579" w:rsidP="00EC299B">
            <w:pPr>
              <w:jc w:val="both"/>
              <w:rPr>
                <w:b/>
                <w:color w:val="000000"/>
                <w:sz w:val="28"/>
                <w:szCs w:val="28"/>
              </w:rPr>
            </w:pPr>
          </w:p>
        </w:tc>
        <w:tc>
          <w:tcPr>
            <w:tcW w:w="8363" w:type="dxa"/>
          </w:tcPr>
          <w:p w14:paraId="00C0A2D5" w14:textId="77777777" w:rsidR="009D1579" w:rsidRPr="009D1579" w:rsidRDefault="009D1579" w:rsidP="009D1579">
            <w:pPr>
              <w:rPr>
                <w:rFonts w:eastAsia="Calibri"/>
                <w:color w:val="000000"/>
                <w:sz w:val="28"/>
                <w:szCs w:val="28"/>
                <w:lang w:val="en-US"/>
              </w:rPr>
            </w:pPr>
            <w:r w:rsidRPr="00BA1134">
              <w:rPr>
                <w:b/>
                <w:color w:val="000000"/>
                <w:sz w:val="28"/>
                <w:szCs w:val="28"/>
              </w:rPr>
              <w:t>ОПРЕДЕЛЕНИЯ</w:t>
            </w:r>
            <w:r w:rsidRPr="00BA1134">
              <w:rPr>
                <w:color w:val="000000"/>
                <w:sz w:val="28"/>
                <w:szCs w:val="28"/>
              </w:rPr>
              <w:t>………………………………………………………</w:t>
            </w:r>
          </w:p>
        </w:tc>
        <w:tc>
          <w:tcPr>
            <w:tcW w:w="561" w:type="dxa"/>
          </w:tcPr>
          <w:p w14:paraId="793364EC" w14:textId="77777777" w:rsidR="009D1579" w:rsidRPr="00EC299B" w:rsidRDefault="009D1579" w:rsidP="00EC299B">
            <w:pPr>
              <w:jc w:val="right"/>
              <w:rPr>
                <w:rFonts w:eastAsia="Calibri"/>
                <w:color w:val="000000"/>
                <w:sz w:val="28"/>
                <w:szCs w:val="28"/>
                <w:lang w:val="en-US"/>
              </w:rPr>
            </w:pPr>
            <w:r>
              <w:rPr>
                <w:rFonts w:eastAsia="Calibri"/>
                <w:color w:val="000000"/>
                <w:sz w:val="28"/>
                <w:szCs w:val="28"/>
                <w:lang w:val="en-US"/>
              </w:rPr>
              <w:t>4</w:t>
            </w:r>
          </w:p>
        </w:tc>
      </w:tr>
      <w:tr w:rsidR="009D1579" w14:paraId="604465DD" w14:textId="77777777" w:rsidTr="001E740B">
        <w:tc>
          <w:tcPr>
            <w:tcW w:w="704" w:type="dxa"/>
          </w:tcPr>
          <w:p w14:paraId="5CB32472" w14:textId="77777777" w:rsidR="009D1579" w:rsidRPr="00BA1134" w:rsidRDefault="009D1579" w:rsidP="00EC299B">
            <w:pPr>
              <w:jc w:val="both"/>
              <w:rPr>
                <w:b/>
                <w:color w:val="000000"/>
                <w:sz w:val="28"/>
                <w:szCs w:val="28"/>
              </w:rPr>
            </w:pPr>
          </w:p>
        </w:tc>
        <w:tc>
          <w:tcPr>
            <w:tcW w:w="8363" w:type="dxa"/>
          </w:tcPr>
          <w:p w14:paraId="5F8A0606" w14:textId="77777777" w:rsidR="009D1579" w:rsidRPr="00EC299B" w:rsidRDefault="009D1579" w:rsidP="009D1579">
            <w:pPr>
              <w:rPr>
                <w:rFonts w:eastAsia="Calibri"/>
                <w:color w:val="000000"/>
                <w:sz w:val="28"/>
                <w:szCs w:val="28"/>
                <w:lang w:val="en-US"/>
              </w:rPr>
            </w:pPr>
            <w:r w:rsidRPr="00BA1134">
              <w:rPr>
                <w:b/>
                <w:color w:val="000000"/>
                <w:sz w:val="28"/>
                <w:szCs w:val="28"/>
              </w:rPr>
              <w:t>ОБОЗНАЧЕНИЯ И СОКРАЩЕНИЯ</w:t>
            </w:r>
            <w:r>
              <w:rPr>
                <w:b/>
                <w:color w:val="000000"/>
                <w:sz w:val="28"/>
                <w:szCs w:val="28"/>
                <w:lang w:val="en-US"/>
              </w:rPr>
              <w:t>……………………………….</w:t>
            </w:r>
          </w:p>
        </w:tc>
        <w:tc>
          <w:tcPr>
            <w:tcW w:w="561" w:type="dxa"/>
          </w:tcPr>
          <w:p w14:paraId="4D160180" w14:textId="77777777" w:rsidR="009D1579" w:rsidRPr="00EC299B" w:rsidRDefault="009D1579" w:rsidP="00EC299B">
            <w:pPr>
              <w:jc w:val="right"/>
              <w:rPr>
                <w:rFonts w:eastAsia="Calibri"/>
                <w:color w:val="000000"/>
                <w:sz w:val="28"/>
                <w:szCs w:val="28"/>
                <w:lang w:val="en-US"/>
              </w:rPr>
            </w:pPr>
            <w:r>
              <w:rPr>
                <w:rFonts w:eastAsia="Calibri"/>
                <w:color w:val="000000"/>
                <w:sz w:val="28"/>
                <w:szCs w:val="28"/>
                <w:lang w:val="en-US"/>
              </w:rPr>
              <w:t>5</w:t>
            </w:r>
          </w:p>
        </w:tc>
      </w:tr>
      <w:tr w:rsidR="009D1579" w14:paraId="69B6EF4E" w14:textId="77777777" w:rsidTr="001E740B">
        <w:tc>
          <w:tcPr>
            <w:tcW w:w="704" w:type="dxa"/>
          </w:tcPr>
          <w:p w14:paraId="3B04AB5F" w14:textId="77777777" w:rsidR="009D1579" w:rsidRPr="009D1579" w:rsidRDefault="009D1579" w:rsidP="00EC299B">
            <w:pPr>
              <w:jc w:val="both"/>
              <w:rPr>
                <w:b/>
                <w:color w:val="000000"/>
                <w:sz w:val="28"/>
                <w:szCs w:val="28"/>
                <w:lang w:val="en-US"/>
              </w:rPr>
            </w:pPr>
          </w:p>
        </w:tc>
        <w:tc>
          <w:tcPr>
            <w:tcW w:w="8363" w:type="dxa"/>
          </w:tcPr>
          <w:p w14:paraId="3D2F3E6B" w14:textId="77777777" w:rsidR="009D1579" w:rsidRPr="00EC299B" w:rsidRDefault="009D1579" w:rsidP="009D1579">
            <w:pPr>
              <w:rPr>
                <w:rFonts w:eastAsia="Calibri"/>
                <w:color w:val="000000"/>
                <w:sz w:val="28"/>
                <w:szCs w:val="28"/>
                <w:lang w:val="en-US"/>
              </w:rPr>
            </w:pPr>
            <w:r w:rsidRPr="00BA1134">
              <w:rPr>
                <w:b/>
                <w:color w:val="000000"/>
                <w:sz w:val="28"/>
                <w:szCs w:val="28"/>
              </w:rPr>
              <w:t>ВВЕДЕНИЕ</w:t>
            </w:r>
            <w:r>
              <w:rPr>
                <w:b/>
                <w:color w:val="000000"/>
                <w:sz w:val="28"/>
                <w:szCs w:val="28"/>
                <w:lang w:val="en-US"/>
              </w:rPr>
              <w:t>……………………………………………………………..</w:t>
            </w:r>
          </w:p>
        </w:tc>
        <w:tc>
          <w:tcPr>
            <w:tcW w:w="561" w:type="dxa"/>
          </w:tcPr>
          <w:p w14:paraId="587A5FB8" w14:textId="77777777" w:rsidR="009D1579" w:rsidRPr="00EC299B" w:rsidRDefault="009D1579" w:rsidP="00EC299B">
            <w:pPr>
              <w:jc w:val="right"/>
              <w:rPr>
                <w:rFonts w:eastAsia="Calibri"/>
                <w:color w:val="000000"/>
                <w:sz w:val="28"/>
                <w:szCs w:val="28"/>
                <w:lang w:val="en-US"/>
              </w:rPr>
            </w:pPr>
            <w:r>
              <w:rPr>
                <w:rFonts w:eastAsia="Calibri"/>
                <w:color w:val="000000"/>
                <w:sz w:val="28"/>
                <w:szCs w:val="28"/>
                <w:lang w:val="en-US"/>
              </w:rPr>
              <w:t>6</w:t>
            </w:r>
          </w:p>
        </w:tc>
      </w:tr>
      <w:tr w:rsidR="009D1579" w14:paraId="1D5930CD" w14:textId="77777777" w:rsidTr="001E740B">
        <w:tc>
          <w:tcPr>
            <w:tcW w:w="704" w:type="dxa"/>
          </w:tcPr>
          <w:p w14:paraId="2A077EE5" w14:textId="77777777" w:rsidR="009D1579" w:rsidRPr="009D1579" w:rsidRDefault="009D1579" w:rsidP="00C36745">
            <w:pPr>
              <w:rPr>
                <w:b/>
                <w:color w:val="000000"/>
                <w:sz w:val="28"/>
                <w:szCs w:val="28"/>
                <w:lang w:val="en-US"/>
              </w:rPr>
            </w:pPr>
            <w:r>
              <w:rPr>
                <w:b/>
                <w:color w:val="000000"/>
                <w:sz w:val="28"/>
                <w:szCs w:val="28"/>
                <w:lang w:val="en-US"/>
              </w:rPr>
              <w:t>1.</w:t>
            </w:r>
          </w:p>
        </w:tc>
        <w:tc>
          <w:tcPr>
            <w:tcW w:w="8363" w:type="dxa"/>
          </w:tcPr>
          <w:p w14:paraId="7C9BDED2" w14:textId="77777777" w:rsidR="009D1579" w:rsidRPr="009D1579" w:rsidRDefault="009D1579" w:rsidP="009D1579">
            <w:pPr>
              <w:rPr>
                <w:rFonts w:eastAsia="Calibri"/>
                <w:color w:val="000000"/>
                <w:sz w:val="28"/>
                <w:szCs w:val="28"/>
              </w:rPr>
            </w:pPr>
            <w:r w:rsidRPr="009D1579">
              <w:rPr>
                <w:b/>
                <w:color w:val="000000"/>
                <w:sz w:val="28"/>
                <w:szCs w:val="28"/>
              </w:rPr>
              <w:t>ОБЗОР</w:t>
            </w:r>
            <w:r>
              <w:rPr>
                <w:b/>
                <w:color w:val="000000"/>
                <w:sz w:val="28"/>
                <w:szCs w:val="28"/>
                <w:lang w:val="en-US"/>
              </w:rPr>
              <w:t xml:space="preserve"> </w:t>
            </w:r>
            <w:r w:rsidRPr="009D1579">
              <w:rPr>
                <w:b/>
                <w:color w:val="000000"/>
                <w:sz w:val="28"/>
                <w:szCs w:val="28"/>
              </w:rPr>
              <w:t>ЛИТЕРАТУРЫ</w:t>
            </w:r>
            <w:r w:rsidRPr="009D1579">
              <w:rPr>
                <w:b/>
                <w:color w:val="000000"/>
                <w:sz w:val="28"/>
                <w:szCs w:val="28"/>
                <w:lang w:val="en-US"/>
              </w:rPr>
              <w:t>…………………………………………….</w:t>
            </w:r>
            <w:r>
              <w:rPr>
                <w:b/>
                <w:color w:val="000000"/>
                <w:sz w:val="28"/>
                <w:szCs w:val="28"/>
                <w:lang w:val="en-US"/>
              </w:rPr>
              <w:t>..</w:t>
            </w:r>
            <w:r w:rsidRPr="009D1579">
              <w:rPr>
                <w:b/>
                <w:color w:val="000000"/>
                <w:sz w:val="28"/>
                <w:szCs w:val="28"/>
                <w:lang w:val="en-US"/>
              </w:rPr>
              <w:t>.</w:t>
            </w:r>
            <w:r>
              <w:rPr>
                <w:b/>
                <w:color w:val="000000"/>
                <w:sz w:val="28"/>
                <w:szCs w:val="28"/>
                <w:lang w:val="en-US"/>
              </w:rPr>
              <w:t>.</w:t>
            </w:r>
          </w:p>
        </w:tc>
        <w:tc>
          <w:tcPr>
            <w:tcW w:w="561" w:type="dxa"/>
          </w:tcPr>
          <w:p w14:paraId="02C01102" w14:textId="77777777" w:rsidR="009D1579" w:rsidRPr="00EC299B" w:rsidRDefault="009D1579" w:rsidP="00EC299B">
            <w:pPr>
              <w:jc w:val="right"/>
              <w:rPr>
                <w:rFonts w:eastAsia="Calibri"/>
                <w:color w:val="000000"/>
                <w:sz w:val="28"/>
                <w:szCs w:val="28"/>
                <w:lang w:val="en-US"/>
              </w:rPr>
            </w:pPr>
            <w:r>
              <w:rPr>
                <w:rFonts w:eastAsia="Calibri"/>
                <w:color w:val="000000"/>
                <w:sz w:val="28"/>
                <w:szCs w:val="28"/>
                <w:lang w:val="en-US"/>
              </w:rPr>
              <w:t>11</w:t>
            </w:r>
          </w:p>
        </w:tc>
      </w:tr>
      <w:tr w:rsidR="009D1579" w14:paraId="7E983032" w14:textId="77777777" w:rsidTr="001E740B">
        <w:tc>
          <w:tcPr>
            <w:tcW w:w="704" w:type="dxa"/>
          </w:tcPr>
          <w:p w14:paraId="01B1EF5C" w14:textId="77777777" w:rsidR="009D1579" w:rsidRPr="009D1579" w:rsidRDefault="001E740B" w:rsidP="00C36745">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lang w:val="en-US"/>
              </w:rPr>
            </w:pPr>
            <w:r>
              <w:rPr>
                <w:rFonts w:eastAsia="Calibri"/>
                <w:color w:val="000000"/>
                <w:sz w:val="28"/>
                <w:szCs w:val="28"/>
                <w:lang w:val="en-US"/>
              </w:rPr>
              <w:t>1.1</w:t>
            </w:r>
          </w:p>
        </w:tc>
        <w:tc>
          <w:tcPr>
            <w:tcW w:w="8363" w:type="dxa"/>
          </w:tcPr>
          <w:p w14:paraId="22386075" w14:textId="77777777" w:rsidR="009D1579" w:rsidRPr="009D1579" w:rsidRDefault="009D1579" w:rsidP="009D1579">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BA1134">
              <w:rPr>
                <w:color w:val="000000"/>
                <w:sz w:val="28"/>
                <w:szCs w:val="28"/>
              </w:rPr>
              <w:t xml:space="preserve">Роль волюметрии печени </w:t>
            </w:r>
            <w:r w:rsidRPr="00BA1134">
              <w:rPr>
                <w:color w:val="000000"/>
                <w:sz w:val="28"/>
                <w:szCs w:val="28"/>
                <w:lang w:val="kk-KZ"/>
              </w:rPr>
              <w:t xml:space="preserve">донора </w:t>
            </w:r>
            <w:r w:rsidRPr="00BA1134">
              <w:rPr>
                <w:color w:val="000000"/>
                <w:sz w:val="28"/>
                <w:szCs w:val="28"/>
              </w:rPr>
              <w:t xml:space="preserve">при родственной </w:t>
            </w:r>
            <w:r w:rsidRPr="00EC299B">
              <w:rPr>
                <w:color w:val="000000"/>
                <w:sz w:val="28"/>
                <w:szCs w:val="28"/>
              </w:rPr>
              <w:t xml:space="preserve"> </w:t>
            </w:r>
            <w:r w:rsidRPr="00BA1134">
              <w:rPr>
                <w:color w:val="000000"/>
                <w:sz w:val="28"/>
                <w:szCs w:val="28"/>
              </w:rPr>
              <w:t>трансплантации</w:t>
            </w:r>
            <w:r>
              <w:rPr>
                <w:color w:val="000000"/>
                <w:sz w:val="28"/>
                <w:szCs w:val="28"/>
              </w:rPr>
              <w:t>……</w:t>
            </w:r>
            <w:r w:rsidRPr="009D1579">
              <w:rPr>
                <w:color w:val="000000"/>
                <w:sz w:val="28"/>
                <w:szCs w:val="28"/>
              </w:rPr>
              <w:t>…………………</w:t>
            </w:r>
            <w:r>
              <w:rPr>
                <w:color w:val="000000"/>
                <w:sz w:val="28"/>
                <w:szCs w:val="28"/>
              </w:rPr>
              <w:t>…</w:t>
            </w:r>
            <w:r w:rsidRPr="009D1579">
              <w:rPr>
                <w:color w:val="000000"/>
                <w:sz w:val="28"/>
                <w:szCs w:val="28"/>
              </w:rPr>
              <w:t>…………………………</w:t>
            </w:r>
            <w:r>
              <w:rPr>
                <w:color w:val="000000"/>
                <w:sz w:val="28"/>
                <w:szCs w:val="28"/>
              </w:rPr>
              <w:t>……</w:t>
            </w:r>
          </w:p>
        </w:tc>
        <w:tc>
          <w:tcPr>
            <w:tcW w:w="561" w:type="dxa"/>
          </w:tcPr>
          <w:p w14:paraId="67D93FA5" w14:textId="77777777" w:rsidR="001E740B" w:rsidRPr="00E8569A" w:rsidRDefault="001E740B" w:rsidP="00EC299B">
            <w:pPr>
              <w:jc w:val="right"/>
              <w:rPr>
                <w:rFonts w:eastAsia="Calibri"/>
                <w:color w:val="000000"/>
                <w:sz w:val="28"/>
                <w:szCs w:val="28"/>
              </w:rPr>
            </w:pPr>
          </w:p>
          <w:p w14:paraId="146B974D" w14:textId="77777777" w:rsidR="009D1579" w:rsidRPr="00EC299B" w:rsidRDefault="009D1579" w:rsidP="00EC299B">
            <w:pPr>
              <w:jc w:val="right"/>
              <w:rPr>
                <w:rFonts w:eastAsia="Calibri"/>
                <w:color w:val="000000"/>
                <w:sz w:val="28"/>
                <w:szCs w:val="28"/>
                <w:lang w:val="en-US"/>
              </w:rPr>
            </w:pPr>
            <w:r>
              <w:rPr>
                <w:rFonts w:eastAsia="Calibri"/>
                <w:color w:val="000000"/>
                <w:sz w:val="28"/>
                <w:szCs w:val="28"/>
                <w:lang w:val="en-US"/>
              </w:rPr>
              <w:t>11</w:t>
            </w:r>
          </w:p>
        </w:tc>
      </w:tr>
      <w:tr w:rsidR="009D1579" w14:paraId="5FA7A372" w14:textId="77777777" w:rsidTr="001E740B">
        <w:tc>
          <w:tcPr>
            <w:tcW w:w="704" w:type="dxa"/>
          </w:tcPr>
          <w:p w14:paraId="2F7DFC74" w14:textId="77777777" w:rsidR="009D1579" w:rsidRDefault="009D1579" w:rsidP="00C36745">
            <w:pPr>
              <w:rPr>
                <w:color w:val="000000"/>
                <w:sz w:val="28"/>
                <w:szCs w:val="28"/>
                <w:lang w:val="en-US"/>
              </w:rPr>
            </w:pPr>
            <w:r>
              <w:rPr>
                <w:color w:val="000000"/>
                <w:sz w:val="28"/>
                <w:szCs w:val="28"/>
                <w:lang w:val="en-US"/>
              </w:rPr>
              <w:t>1.2</w:t>
            </w:r>
          </w:p>
        </w:tc>
        <w:tc>
          <w:tcPr>
            <w:tcW w:w="8363" w:type="dxa"/>
          </w:tcPr>
          <w:p w14:paraId="0F4AC596" w14:textId="77777777" w:rsidR="009D1579" w:rsidRPr="00EC299B" w:rsidRDefault="009D1579" w:rsidP="009D1579">
            <w:pPr>
              <w:rPr>
                <w:rFonts w:eastAsia="Calibri"/>
                <w:color w:val="000000"/>
                <w:sz w:val="28"/>
                <w:szCs w:val="28"/>
                <w:lang w:val="en-US"/>
              </w:rPr>
            </w:pPr>
            <w:r>
              <w:rPr>
                <w:color w:val="000000"/>
                <w:sz w:val="28"/>
                <w:szCs w:val="28"/>
                <w:lang w:val="en-US"/>
              </w:rPr>
              <w:t xml:space="preserve"> </w:t>
            </w:r>
            <w:r w:rsidRPr="00BA1134">
              <w:rPr>
                <w:color w:val="000000"/>
                <w:sz w:val="28"/>
                <w:szCs w:val="28"/>
              </w:rPr>
              <w:t>Методы расчета объема печени</w:t>
            </w:r>
            <w:r>
              <w:rPr>
                <w:color w:val="000000"/>
                <w:sz w:val="28"/>
                <w:szCs w:val="28"/>
                <w:lang w:val="en-US"/>
              </w:rPr>
              <w:t>……………………………...………..</w:t>
            </w:r>
          </w:p>
        </w:tc>
        <w:tc>
          <w:tcPr>
            <w:tcW w:w="561" w:type="dxa"/>
          </w:tcPr>
          <w:p w14:paraId="428ABDFE" w14:textId="77777777" w:rsidR="009D1579" w:rsidRPr="00EC299B" w:rsidRDefault="009D1579" w:rsidP="00EC299B">
            <w:pPr>
              <w:jc w:val="right"/>
              <w:rPr>
                <w:rFonts w:eastAsia="Calibri"/>
                <w:color w:val="000000"/>
                <w:sz w:val="28"/>
                <w:szCs w:val="28"/>
                <w:lang w:val="en-US"/>
              </w:rPr>
            </w:pPr>
            <w:r>
              <w:rPr>
                <w:rFonts w:eastAsia="Calibri"/>
                <w:color w:val="000000"/>
                <w:sz w:val="28"/>
                <w:szCs w:val="28"/>
                <w:lang w:val="en-US"/>
              </w:rPr>
              <w:t>17</w:t>
            </w:r>
          </w:p>
        </w:tc>
      </w:tr>
      <w:tr w:rsidR="009D1579" w14:paraId="736B7AD0" w14:textId="77777777" w:rsidTr="001E740B">
        <w:tc>
          <w:tcPr>
            <w:tcW w:w="704" w:type="dxa"/>
          </w:tcPr>
          <w:p w14:paraId="3D363504" w14:textId="77777777" w:rsidR="009D1579" w:rsidRPr="001E740B" w:rsidRDefault="001E740B" w:rsidP="001E740B">
            <w:pPr>
              <w:pBdr>
                <w:top w:val="none" w:sz="0" w:space="0" w:color="000000"/>
                <w:left w:val="none" w:sz="0" w:space="0" w:color="000000"/>
                <w:bottom w:val="none" w:sz="0" w:space="0" w:color="000000"/>
                <w:right w:val="none" w:sz="0" w:space="0" w:color="000000"/>
                <w:between w:val="none" w:sz="0" w:space="0" w:color="000000"/>
              </w:pBdr>
              <w:rPr>
                <w:color w:val="000000"/>
                <w:sz w:val="28"/>
                <w:szCs w:val="28"/>
                <w:lang w:val="en-US"/>
              </w:rPr>
            </w:pPr>
            <w:r>
              <w:rPr>
                <w:color w:val="000000"/>
                <w:sz w:val="28"/>
                <w:szCs w:val="28"/>
                <w:lang w:val="en-US"/>
              </w:rPr>
              <w:t>1.3</w:t>
            </w:r>
          </w:p>
        </w:tc>
        <w:tc>
          <w:tcPr>
            <w:tcW w:w="8363" w:type="dxa"/>
          </w:tcPr>
          <w:p w14:paraId="639CA3CE" w14:textId="77777777" w:rsidR="009D1579" w:rsidRPr="009D1579" w:rsidRDefault="009D1579" w:rsidP="009D1579">
            <w:pPr>
              <w:pBdr>
                <w:top w:val="none" w:sz="0" w:space="0" w:color="000000"/>
                <w:left w:val="none" w:sz="0" w:space="0" w:color="000000"/>
                <w:bottom w:val="none" w:sz="0" w:space="0" w:color="000000"/>
                <w:right w:val="none" w:sz="0" w:space="0" w:color="000000"/>
                <w:between w:val="none" w:sz="0" w:space="0" w:color="000000"/>
              </w:pBdr>
              <w:ind w:left="33"/>
              <w:rPr>
                <w:color w:val="000000"/>
                <w:sz w:val="28"/>
                <w:szCs w:val="28"/>
              </w:rPr>
            </w:pPr>
            <w:r w:rsidRPr="009D1579">
              <w:rPr>
                <w:color w:val="000000"/>
                <w:sz w:val="28"/>
                <w:szCs w:val="28"/>
              </w:rPr>
              <w:t>Влияние факторов на точность КТ-волюметрии печени донора……</w:t>
            </w:r>
          </w:p>
        </w:tc>
        <w:tc>
          <w:tcPr>
            <w:tcW w:w="561" w:type="dxa"/>
          </w:tcPr>
          <w:p w14:paraId="0B450F60" w14:textId="77777777" w:rsidR="009D1579" w:rsidRPr="00EC299B" w:rsidRDefault="009D1579" w:rsidP="00EC299B">
            <w:pPr>
              <w:jc w:val="right"/>
              <w:rPr>
                <w:rFonts w:eastAsia="Calibri"/>
                <w:color w:val="000000"/>
                <w:sz w:val="28"/>
                <w:szCs w:val="28"/>
                <w:lang w:val="en-US"/>
              </w:rPr>
            </w:pPr>
            <w:r>
              <w:rPr>
                <w:rFonts w:eastAsia="Calibri"/>
                <w:color w:val="000000"/>
                <w:sz w:val="28"/>
                <w:szCs w:val="28"/>
                <w:lang w:val="en-US"/>
              </w:rPr>
              <w:t>26</w:t>
            </w:r>
          </w:p>
        </w:tc>
      </w:tr>
      <w:tr w:rsidR="009D1579" w14:paraId="61C25175" w14:textId="77777777" w:rsidTr="001E740B">
        <w:tc>
          <w:tcPr>
            <w:tcW w:w="704" w:type="dxa"/>
          </w:tcPr>
          <w:p w14:paraId="7D536C74" w14:textId="77777777" w:rsidR="009D1579" w:rsidRPr="001E740B" w:rsidRDefault="001E740B" w:rsidP="001E740B">
            <w:pPr>
              <w:rPr>
                <w:b/>
                <w:color w:val="000000"/>
                <w:sz w:val="28"/>
                <w:szCs w:val="28"/>
                <w:lang w:val="en-US"/>
              </w:rPr>
            </w:pPr>
            <w:r>
              <w:rPr>
                <w:b/>
                <w:color w:val="000000"/>
                <w:sz w:val="28"/>
                <w:szCs w:val="28"/>
                <w:lang w:val="en-US"/>
              </w:rPr>
              <w:t>2.</w:t>
            </w:r>
          </w:p>
        </w:tc>
        <w:tc>
          <w:tcPr>
            <w:tcW w:w="8363" w:type="dxa"/>
          </w:tcPr>
          <w:p w14:paraId="047497C1" w14:textId="77777777" w:rsidR="009D1579" w:rsidRPr="009D1579" w:rsidRDefault="009D1579" w:rsidP="009D1579">
            <w:pPr>
              <w:ind w:left="33"/>
              <w:rPr>
                <w:rFonts w:eastAsia="Calibri"/>
                <w:color w:val="000000"/>
                <w:sz w:val="28"/>
                <w:szCs w:val="28"/>
                <w:lang w:val="en-US"/>
              </w:rPr>
            </w:pPr>
            <w:r w:rsidRPr="009D1579">
              <w:rPr>
                <w:b/>
                <w:color w:val="000000"/>
                <w:sz w:val="28"/>
                <w:szCs w:val="28"/>
              </w:rPr>
              <w:t>МАТЕРИАЛЫ И МЕТОДЫ ИССЛЕДОВАНИЯ</w:t>
            </w:r>
            <w:r w:rsidRPr="009D1579">
              <w:rPr>
                <w:b/>
                <w:color w:val="000000"/>
                <w:sz w:val="28"/>
                <w:szCs w:val="28"/>
                <w:lang w:val="en-US"/>
              </w:rPr>
              <w:t>……</w:t>
            </w:r>
            <w:r>
              <w:rPr>
                <w:b/>
                <w:color w:val="000000"/>
                <w:sz w:val="28"/>
                <w:szCs w:val="28"/>
                <w:lang w:val="en-US"/>
              </w:rPr>
              <w:t>….</w:t>
            </w:r>
            <w:r w:rsidRPr="009D1579">
              <w:rPr>
                <w:b/>
                <w:color w:val="000000"/>
                <w:sz w:val="28"/>
                <w:szCs w:val="28"/>
                <w:lang w:val="en-US"/>
              </w:rPr>
              <w:t>……</w:t>
            </w:r>
            <w:r>
              <w:rPr>
                <w:b/>
                <w:color w:val="000000"/>
                <w:sz w:val="28"/>
                <w:szCs w:val="28"/>
                <w:lang w:val="en-US"/>
              </w:rPr>
              <w:t>…...</w:t>
            </w:r>
          </w:p>
        </w:tc>
        <w:tc>
          <w:tcPr>
            <w:tcW w:w="561" w:type="dxa"/>
          </w:tcPr>
          <w:p w14:paraId="07EE731A" w14:textId="77777777" w:rsidR="009D1579" w:rsidRPr="00EC299B" w:rsidRDefault="009D1579" w:rsidP="00EC299B">
            <w:pPr>
              <w:jc w:val="right"/>
              <w:rPr>
                <w:rFonts w:eastAsia="Calibri"/>
                <w:color w:val="000000"/>
                <w:sz w:val="28"/>
                <w:szCs w:val="28"/>
                <w:lang w:val="en-US"/>
              </w:rPr>
            </w:pPr>
            <w:r>
              <w:rPr>
                <w:rFonts w:eastAsia="Calibri"/>
                <w:color w:val="000000"/>
                <w:sz w:val="28"/>
                <w:szCs w:val="28"/>
                <w:lang w:val="en-US"/>
              </w:rPr>
              <w:t>33</w:t>
            </w:r>
          </w:p>
        </w:tc>
      </w:tr>
      <w:tr w:rsidR="009D1579" w14:paraId="38DA3427" w14:textId="77777777" w:rsidTr="001E740B">
        <w:tc>
          <w:tcPr>
            <w:tcW w:w="704" w:type="dxa"/>
          </w:tcPr>
          <w:p w14:paraId="76BBEB5D" w14:textId="77777777" w:rsidR="009D1579" w:rsidRDefault="009D1579" w:rsidP="00C36745">
            <w:pPr>
              <w:rPr>
                <w:color w:val="000000"/>
                <w:sz w:val="28"/>
                <w:szCs w:val="28"/>
                <w:lang w:val="en-US"/>
              </w:rPr>
            </w:pPr>
            <w:r>
              <w:rPr>
                <w:color w:val="000000"/>
                <w:sz w:val="28"/>
                <w:szCs w:val="28"/>
                <w:lang w:val="en-US"/>
              </w:rPr>
              <w:t>2.1</w:t>
            </w:r>
          </w:p>
        </w:tc>
        <w:tc>
          <w:tcPr>
            <w:tcW w:w="8363" w:type="dxa"/>
          </w:tcPr>
          <w:p w14:paraId="22414446" w14:textId="77777777" w:rsidR="009D1579" w:rsidRPr="00EC299B" w:rsidRDefault="009D1579" w:rsidP="009D1579">
            <w:pPr>
              <w:rPr>
                <w:rFonts w:eastAsia="Calibri"/>
                <w:color w:val="000000"/>
                <w:sz w:val="28"/>
                <w:szCs w:val="28"/>
                <w:lang w:val="en-US"/>
              </w:rPr>
            </w:pPr>
            <w:r w:rsidRPr="00BA1134">
              <w:rPr>
                <w:color w:val="000000"/>
                <w:sz w:val="28"/>
                <w:szCs w:val="28"/>
              </w:rPr>
              <w:t>Дизайн исследования</w:t>
            </w:r>
            <w:r>
              <w:rPr>
                <w:color w:val="000000"/>
                <w:sz w:val="28"/>
                <w:szCs w:val="28"/>
                <w:lang w:val="en-US"/>
              </w:rPr>
              <w:t>………………………………………………...…</w:t>
            </w:r>
          </w:p>
        </w:tc>
        <w:tc>
          <w:tcPr>
            <w:tcW w:w="561" w:type="dxa"/>
          </w:tcPr>
          <w:p w14:paraId="3CE50413" w14:textId="77777777" w:rsidR="009D1579" w:rsidRPr="00EC299B" w:rsidRDefault="009D1579" w:rsidP="00EC299B">
            <w:pPr>
              <w:jc w:val="right"/>
              <w:rPr>
                <w:rFonts w:eastAsia="Calibri"/>
                <w:color w:val="000000"/>
                <w:sz w:val="28"/>
                <w:szCs w:val="28"/>
                <w:lang w:val="en-US"/>
              </w:rPr>
            </w:pPr>
            <w:r>
              <w:rPr>
                <w:rFonts w:eastAsia="Calibri"/>
                <w:color w:val="000000"/>
                <w:sz w:val="28"/>
                <w:szCs w:val="28"/>
                <w:lang w:val="en-US"/>
              </w:rPr>
              <w:t>33</w:t>
            </w:r>
          </w:p>
        </w:tc>
      </w:tr>
      <w:tr w:rsidR="009D1579" w14:paraId="793AF8DD" w14:textId="77777777" w:rsidTr="001E740B">
        <w:tc>
          <w:tcPr>
            <w:tcW w:w="704" w:type="dxa"/>
          </w:tcPr>
          <w:p w14:paraId="260FA18C" w14:textId="77777777" w:rsidR="009D1579" w:rsidRDefault="009D1579" w:rsidP="00C36745">
            <w:pPr>
              <w:rPr>
                <w:color w:val="000000"/>
                <w:sz w:val="28"/>
                <w:szCs w:val="28"/>
                <w:lang w:val="en-US"/>
              </w:rPr>
            </w:pPr>
            <w:r>
              <w:rPr>
                <w:color w:val="000000"/>
                <w:sz w:val="28"/>
                <w:szCs w:val="28"/>
                <w:lang w:val="en-US"/>
              </w:rPr>
              <w:t>2.2</w:t>
            </w:r>
          </w:p>
        </w:tc>
        <w:tc>
          <w:tcPr>
            <w:tcW w:w="8363" w:type="dxa"/>
          </w:tcPr>
          <w:p w14:paraId="40B5487C" w14:textId="77777777" w:rsidR="009D1579" w:rsidRPr="00EC299B" w:rsidRDefault="009D1579" w:rsidP="009D1579">
            <w:pPr>
              <w:rPr>
                <w:color w:val="000000"/>
                <w:sz w:val="28"/>
                <w:szCs w:val="28"/>
                <w:lang w:val="en-US"/>
              </w:rPr>
            </w:pPr>
            <w:r w:rsidRPr="00BA1134">
              <w:rPr>
                <w:color w:val="000000"/>
                <w:sz w:val="28"/>
                <w:szCs w:val="28"/>
              </w:rPr>
              <w:t>Материал исследования</w:t>
            </w:r>
            <w:r>
              <w:rPr>
                <w:color w:val="000000"/>
                <w:sz w:val="28"/>
                <w:szCs w:val="28"/>
                <w:lang w:val="en-US"/>
              </w:rPr>
              <w:t>……………………………………………...…</w:t>
            </w:r>
          </w:p>
        </w:tc>
        <w:tc>
          <w:tcPr>
            <w:tcW w:w="561" w:type="dxa"/>
          </w:tcPr>
          <w:p w14:paraId="05AA819C" w14:textId="77777777" w:rsidR="009D1579" w:rsidRPr="00EC299B" w:rsidRDefault="009D1579" w:rsidP="00EC299B">
            <w:pPr>
              <w:jc w:val="right"/>
              <w:rPr>
                <w:rFonts w:eastAsia="Calibri"/>
                <w:color w:val="000000"/>
                <w:sz w:val="28"/>
                <w:szCs w:val="28"/>
                <w:lang w:val="en-US"/>
              </w:rPr>
            </w:pPr>
            <w:r>
              <w:rPr>
                <w:rFonts w:eastAsia="Calibri"/>
                <w:color w:val="000000"/>
                <w:sz w:val="28"/>
                <w:szCs w:val="28"/>
                <w:lang w:val="en-US"/>
              </w:rPr>
              <w:t>33</w:t>
            </w:r>
          </w:p>
        </w:tc>
      </w:tr>
      <w:tr w:rsidR="009D1579" w14:paraId="3136899F" w14:textId="77777777" w:rsidTr="001E740B">
        <w:tc>
          <w:tcPr>
            <w:tcW w:w="704" w:type="dxa"/>
          </w:tcPr>
          <w:p w14:paraId="666A2327" w14:textId="77777777" w:rsidR="009D1579" w:rsidRDefault="009D1579" w:rsidP="00C36745">
            <w:pPr>
              <w:rPr>
                <w:color w:val="000000"/>
                <w:sz w:val="28"/>
                <w:szCs w:val="28"/>
                <w:lang w:val="en-US"/>
              </w:rPr>
            </w:pPr>
            <w:r>
              <w:rPr>
                <w:color w:val="000000"/>
                <w:sz w:val="28"/>
                <w:szCs w:val="28"/>
                <w:lang w:val="en-US"/>
              </w:rPr>
              <w:t>2.3</w:t>
            </w:r>
          </w:p>
        </w:tc>
        <w:tc>
          <w:tcPr>
            <w:tcW w:w="8363" w:type="dxa"/>
          </w:tcPr>
          <w:p w14:paraId="10D38C87" w14:textId="77777777" w:rsidR="009D1579" w:rsidRPr="00EC299B" w:rsidRDefault="009D1579" w:rsidP="009D1579">
            <w:pPr>
              <w:rPr>
                <w:color w:val="000000"/>
                <w:sz w:val="28"/>
                <w:szCs w:val="28"/>
                <w:lang w:val="en-US"/>
              </w:rPr>
            </w:pPr>
            <w:r w:rsidRPr="00BA1134">
              <w:rPr>
                <w:color w:val="000000"/>
                <w:sz w:val="28"/>
                <w:szCs w:val="28"/>
              </w:rPr>
              <w:t>Методы исследования</w:t>
            </w:r>
            <w:r>
              <w:rPr>
                <w:color w:val="000000"/>
                <w:sz w:val="28"/>
                <w:szCs w:val="28"/>
                <w:lang w:val="en-US"/>
              </w:rPr>
              <w:t>……………………………………..……………</w:t>
            </w:r>
          </w:p>
        </w:tc>
        <w:tc>
          <w:tcPr>
            <w:tcW w:w="561" w:type="dxa"/>
          </w:tcPr>
          <w:p w14:paraId="1EC2C61A" w14:textId="77777777" w:rsidR="009D1579" w:rsidRPr="00EC299B" w:rsidRDefault="009D1579" w:rsidP="00EC299B">
            <w:pPr>
              <w:jc w:val="right"/>
              <w:rPr>
                <w:rFonts w:eastAsia="Calibri"/>
                <w:color w:val="000000"/>
                <w:sz w:val="28"/>
                <w:szCs w:val="28"/>
                <w:lang w:val="en-US"/>
              </w:rPr>
            </w:pPr>
            <w:r>
              <w:rPr>
                <w:rFonts w:eastAsia="Calibri"/>
                <w:color w:val="000000"/>
                <w:sz w:val="28"/>
                <w:szCs w:val="28"/>
                <w:lang w:val="en-US"/>
              </w:rPr>
              <w:t>40</w:t>
            </w:r>
          </w:p>
        </w:tc>
      </w:tr>
      <w:tr w:rsidR="009D1579" w14:paraId="203FB2A8" w14:textId="77777777" w:rsidTr="001E740B">
        <w:tc>
          <w:tcPr>
            <w:tcW w:w="704" w:type="dxa"/>
          </w:tcPr>
          <w:p w14:paraId="144A58C1" w14:textId="77777777" w:rsidR="009D1579" w:rsidRDefault="009D1579" w:rsidP="00C36745">
            <w:pPr>
              <w:rPr>
                <w:color w:val="000000"/>
                <w:sz w:val="28"/>
                <w:szCs w:val="28"/>
                <w:lang w:val="en-US"/>
              </w:rPr>
            </w:pPr>
            <w:r>
              <w:rPr>
                <w:color w:val="000000"/>
                <w:sz w:val="28"/>
                <w:szCs w:val="28"/>
                <w:lang w:val="en-US"/>
              </w:rPr>
              <w:t>2.4</w:t>
            </w:r>
          </w:p>
        </w:tc>
        <w:tc>
          <w:tcPr>
            <w:tcW w:w="8363" w:type="dxa"/>
          </w:tcPr>
          <w:p w14:paraId="033B9C3D" w14:textId="77777777" w:rsidR="009D1579" w:rsidRPr="00EC299B" w:rsidRDefault="009D1579" w:rsidP="009D1579">
            <w:pPr>
              <w:rPr>
                <w:color w:val="000000"/>
                <w:sz w:val="28"/>
                <w:szCs w:val="28"/>
                <w:lang w:val="en-US"/>
              </w:rPr>
            </w:pPr>
            <w:r w:rsidRPr="00BA1134">
              <w:rPr>
                <w:color w:val="000000"/>
                <w:sz w:val="28"/>
                <w:szCs w:val="28"/>
              </w:rPr>
              <w:t>Интраоперационный этап Back table</w:t>
            </w:r>
            <w:r>
              <w:rPr>
                <w:color w:val="000000"/>
                <w:sz w:val="28"/>
                <w:szCs w:val="28"/>
                <w:lang w:val="en-US"/>
              </w:rPr>
              <w:t>………………………….……….</w:t>
            </w:r>
          </w:p>
        </w:tc>
        <w:tc>
          <w:tcPr>
            <w:tcW w:w="561" w:type="dxa"/>
          </w:tcPr>
          <w:p w14:paraId="20E58583" w14:textId="77777777" w:rsidR="009D1579" w:rsidRPr="00EC299B" w:rsidRDefault="009D1579" w:rsidP="00EC299B">
            <w:pPr>
              <w:jc w:val="right"/>
              <w:rPr>
                <w:rFonts w:eastAsia="Calibri"/>
                <w:color w:val="000000"/>
                <w:sz w:val="28"/>
                <w:szCs w:val="28"/>
                <w:lang w:val="en-US"/>
              </w:rPr>
            </w:pPr>
            <w:r>
              <w:rPr>
                <w:rFonts w:eastAsia="Calibri"/>
                <w:color w:val="000000"/>
                <w:sz w:val="28"/>
                <w:szCs w:val="28"/>
                <w:lang w:val="en-US"/>
              </w:rPr>
              <w:t>50</w:t>
            </w:r>
          </w:p>
        </w:tc>
      </w:tr>
      <w:tr w:rsidR="009D1579" w14:paraId="40CD3DD1" w14:textId="77777777" w:rsidTr="001E740B">
        <w:tc>
          <w:tcPr>
            <w:tcW w:w="704" w:type="dxa"/>
          </w:tcPr>
          <w:p w14:paraId="46B5AD20" w14:textId="77777777" w:rsidR="009D1579" w:rsidRDefault="009D1579" w:rsidP="00C36745">
            <w:pPr>
              <w:pStyle w:val="ac"/>
              <w:numPr>
                <w:ilvl w:val="1"/>
                <w:numId w:val="14"/>
              </w:numPr>
              <w:rPr>
                <w:color w:val="000000"/>
                <w:sz w:val="28"/>
                <w:szCs w:val="28"/>
                <w:lang w:val="en-US"/>
              </w:rPr>
            </w:pPr>
          </w:p>
        </w:tc>
        <w:tc>
          <w:tcPr>
            <w:tcW w:w="8363" w:type="dxa"/>
          </w:tcPr>
          <w:p w14:paraId="42BF7326" w14:textId="77777777" w:rsidR="009D1579" w:rsidRPr="009D1579" w:rsidRDefault="009D1579" w:rsidP="009D1579">
            <w:pPr>
              <w:rPr>
                <w:color w:val="000000"/>
                <w:sz w:val="28"/>
                <w:szCs w:val="28"/>
                <w:lang w:val="en-US"/>
              </w:rPr>
            </w:pPr>
            <w:r w:rsidRPr="009D1579">
              <w:rPr>
                <w:color w:val="000000"/>
                <w:sz w:val="28"/>
                <w:szCs w:val="28"/>
              </w:rPr>
              <w:t>Статистический анализ данных</w:t>
            </w:r>
            <w:r w:rsidRPr="009D1579">
              <w:rPr>
                <w:color w:val="000000"/>
                <w:sz w:val="28"/>
                <w:szCs w:val="28"/>
                <w:lang w:val="en-US"/>
              </w:rPr>
              <w:t>…………………………</w:t>
            </w:r>
            <w:r>
              <w:rPr>
                <w:color w:val="000000"/>
                <w:sz w:val="28"/>
                <w:szCs w:val="28"/>
                <w:lang w:val="en-US"/>
              </w:rPr>
              <w:t>.</w:t>
            </w:r>
            <w:r w:rsidRPr="009D1579">
              <w:rPr>
                <w:color w:val="000000"/>
                <w:sz w:val="28"/>
                <w:szCs w:val="28"/>
                <w:lang w:val="en-US"/>
              </w:rPr>
              <w:t>……</w:t>
            </w:r>
            <w:r>
              <w:rPr>
                <w:color w:val="000000"/>
                <w:sz w:val="28"/>
                <w:szCs w:val="28"/>
                <w:lang w:val="en-US"/>
              </w:rPr>
              <w:t>……….</w:t>
            </w:r>
          </w:p>
        </w:tc>
        <w:tc>
          <w:tcPr>
            <w:tcW w:w="561" w:type="dxa"/>
          </w:tcPr>
          <w:p w14:paraId="45B1606E" w14:textId="77777777" w:rsidR="009D1579" w:rsidRDefault="009D1579" w:rsidP="00EC299B">
            <w:pPr>
              <w:jc w:val="right"/>
              <w:rPr>
                <w:rFonts w:eastAsia="Calibri"/>
                <w:color w:val="000000"/>
                <w:sz w:val="28"/>
                <w:szCs w:val="28"/>
                <w:lang w:val="en-US"/>
              </w:rPr>
            </w:pPr>
            <w:r>
              <w:rPr>
                <w:rFonts w:eastAsia="Calibri"/>
                <w:color w:val="000000"/>
                <w:sz w:val="28"/>
                <w:szCs w:val="28"/>
                <w:lang w:val="en-US"/>
              </w:rPr>
              <w:t>52</w:t>
            </w:r>
          </w:p>
        </w:tc>
      </w:tr>
      <w:tr w:rsidR="009D1579" w14:paraId="35DCBA9F" w14:textId="77777777" w:rsidTr="001E740B">
        <w:tc>
          <w:tcPr>
            <w:tcW w:w="704" w:type="dxa"/>
          </w:tcPr>
          <w:p w14:paraId="1CC95D4F" w14:textId="77777777" w:rsidR="009D1579" w:rsidRPr="001E740B" w:rsidRDefault="001E740B" w:rsidP="001E740B">
            <w:pPr>
              <w:rPr>
                <w:b/>
                <w:color w:val="000000"/>
                <w:sz w:val="28"/>
                <w:szCs w:val="28"/>
                <w:lang w:val="en-US"/>
              </w:rPr>
            </w:pPr>
            <w:r>
              <w:rPr>
                <w:b/>
                <w:color w:val="000000"/>
                <w:sz w:val="28"/>
                <w:szCs w:val="28"/>
                <w:lang w:val="en-US"/>
              </w:rPr>
              <w:t>3.</w:t>
            </w:r>
          </w:p>
        </w:tc>
        <w:tc>
          <w:tcPr>
            <w:tcW w:w="8363" w:type="dxa"/>
          </w:tcPr>
          <w:p w14:paraId="740D6621" w14:textId="77777777" w:rsidR="009D1579" w:rsidRPr="009D1579" w:rsidRDefault="009D1579" w:rsidP="009D1579">
            <w:pPr>
              <w:rPr>
                <w:color w:val="000000"/>
                <w:sz w:val="28"/>
                <w:szCs w:val="28"/>
                <w:lang w:val="en-US"/>
              </w:rPr>
            </w:pPr>
            <w:r w:rsidRPr="009D1579">
              <w:rPr>
                <w:b/>
                <w:color w:val="000000"/>
                <w:sz w:val="28"/>
                <w:szCs w:val="28"/>
              </w:rPr>
              <w:t>ЕЗУЛЬТАТЫ СОБСТВЕННЫХ ИССЛЕДОВАНИЙ</w:t>
            </w:r>
            <w:r w:rsidRPr="009D1579">
              <w:rPr>
                <w:b/>
                <w:color w:val="000000"/>
                <w:sz w:val="28"/>
                <w:szCs w:val="28"/>
                <w:lang w:val="en-US"/>
              </w:rPr>
              <w:t>…</w:t>
            </w:r>
            <w:r>
              <w:rPr>
                <w:b/>
                <w:color w:val="000000"/>
                <w:sz w:val="28"/>
                <w:szCs w:val="28"/>
                <w:lang w:val="en-US"/>
              </w:rPr>
              <w:t>...</w:t>
            </w:r>
            <w:r w:rsidRPr="009D1579">
              <w:rPr>
                <w:b/>
                <w:color w:val="000000"/>
                <w:sz w:val="28"/>
                <w:szCs w:val="28"/>
                <w:lang w:val="en-US"/>
              </w:rPr>
              <w:t>……..…</w:t>
            </w:r>
          </w:p>
        </w:tc>
        <w:tc>
          <w:tcPr>
            <w:tcW w:w="561" w:type="dxa"/>
          </w:tcPr>
          <w:p w14:paraId="4113F64D" w14:textId="77777777" w:rsidR="009D1579" w:rsidRDefault="009D1579" w:rsidP="00EC299B">
            <w:pPr>
              <w:jc w:val="right"/>
              <w:rPr>
                <w:rFonts w:eastAsia="Calibri"/>
                <w:color w:val="000000"/>
                <w:sz w:val="28"/>
                <w:szCs w:val="28"/>
                <w:lang w:val="en-US"/>
              </w:rPr>
            </w:pPr>
            <w:r>
              <w:rPr>
                <w:rFonts w:eastAsia="Calibri"/>
                <w:color w:val="000000"/>
                <w:sz w:val="28"/>
                <w:szCs w:val="28"/>
                <w:lang w:val="en-US"/>
              </w:rPr>
              <w:t>53</w:t>
            </w:r>
          </w:p>
        </w:tc>
      </w:tr>
      <w:tr w:rsidR="009D1579" w14:paraId="06B5A0D4" w14:textId="77777777" w:rsidTr="001E740B">
        <w:tc>
          <w:tcPr>
            <w:tcW w:w="704" w:type="dxa"/>
          </w:tcPr>
          <w:p w14:paraId="6FF026A6" w14:textId="77777777" w:rsidR="009D1579" w:rsidRPr="009D1579" w:rsidRDefault="009D1579" w:rsidP="00C36745">
            <w:pPr>
              <w:pBdr>
                <w:top w:val="none" w:sz="0" w:space="0" w:color="000000"/>
                <w:left w:val="none" w:sz="0" w:space="0" w:color="000000"/>
                <w:bottom w:val="none" w:sz="0" w:space="0" w:color="000000"/>
                <w:right w:val="none" w:sz="0" w:space="0" w:color="000000"/>
                <w:between w:val="none" w:sz="0" w:space="0" w:color="000000"/>
              </w:pBdr>
              <w:rPr>
                <w:color w:val="000000"/>
                <w:sz w:val="28"/>
                <w:szCs w:val="28"/>
                <w:lang w:val="en-US"/>
              </w:rPr>
            </w:pPr>
            <w:r>
              <w:rPr>
                <w:color w:val="000000"/>
                <w:sz w:val="28"/>
                <w:szCs w:val="28"/>
                <w:lang w:val="en-US"/>
              </w:rPr>
              <w:t>3.1</w:t>
            </w:r>
          </w:p>
        </w:tc>
        <w:tc>
          <w:tcPr>
            <w:tcW w:w="8363" w:type="dxa"/>
          </w:tcPr>
          <w:p w14:paraId="6B0793AE" w14:textId="77777777" w:rsidR="009D1579" w:rsidRPr="00EC299B" w:rsidRDefault="009D1579" w:rsidP="009D1579">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BA1134">
              <w:rPr>
                <w:color w:val="000000"/>
                <w:sz w:val="28"/>
                <w:szCs w:val="28"/>
              </w:rPr>
              <w:t>Возможности мануального, полуавтоматического и</w:t>
            </w:r>
            <w:r w:rsidRPr="00EC299B">
              <w:rPr>
                <w:color w:val="000000"/>
                <w:sz w:val="28"/>
                <w:szCs w:val="28"/>
              </w:rPr>
              <w:t xml:space="preserve"> </w:t>
            </w:r>
            <w:r w:rsidRPr="00BA1134">
              <w:rPr>
                <w:color w:val="000000"/>
                <w:sz w:val="28"/>
                <w:szCs w:val="28"/>
              </w:rPr>
              <w:t>автоматического методов КТ-волюметрии печени донора при</w:t>
            </w:r>
            <w:r w:rsidRPr="00EC299B">
              <w:rPr>
                <w:color w:val="000000"/>
                <w:sz w:val="28"/>
                <w:szCs w:val="28"/>
              </w:rPr>
              <w:t xml:space="preserve"> </w:t>
            </w:r>
            <w:r w:rsidRPr="00BA1134">
              <w:rPr>
                <w:color w:val="000000"/>
                <w:sz w:val="28"/>
                <w:szCs w:val="28"/>
              </w:rPr>
              <w:t>родственной трансплантации</w:t>
            </w:r>
            <w:r>
              <w:rPr>
                <w:color w:val="000000"/>
                <w:sz w:val="28"/>
                <w:szCs w:val="28"/>
              </w:rPr>
              <w:t>…</w:t>
            </w:r>
            <w:r w:rsidRPr="00EC299B">
              <w:rPr>
                <w:color w:val="000000"/>
                <w:sz w:val="28"/>
                <w:szCs w:val="28"/>
              </w:rPr>
              <w:t>……………………………</w:t>
            </w:r>
            <w:r w:rsidRPr="009D1579">
              <w:rPr>
                <w:color w:val="000000"/>
                <w:sz w:val="28"/>
                <w:szCs w:val="28"/>
              </w:rPr>
              <w:t>…..</w:t>
            </w:r>
            <w:r w:rsidRPr="00EC299B">
              <w:rPr>
                <w:color w:val="000000"/>
                <w:sz w:val="28"/>
                <w:szCs w:val="28"/>
              </w:rPr>
              <w:t>………</w:t>
            </w:r>
          </w:p>
        </w:tc>
        <w:tc>
          <w:tcPr>
            <w:tcW w:w="561" w:type="dxa"/>
          </w:tcPr>
          <w:p w14:paraId="1CB97146" w14:textId="77777777" w:rsidR="009D1579" w:rsidRPr="00EC299B" w:rsidRDefault="009D1579" w:rsidP="00EC299B">
            <w:pPr>
              <w:jc w:val="right"/>
              <w:rPr>
                <w:rFonts w:eastAsia="Calibri"/>
                <w:color w:val="000000"/>
                <w:sz w:val="28"/>
                <w:szCs w:val="28"/>
              </w:rPr>
            </w:pPr>
          </w:p>
          <w:p w14:paraId="113B5609" w14:textId="77777777" w:rsidR="009D1579" w:rsidRPr="00EC299B" w:rsidRDefault="009D1579" w:rsidP="00EC299B">
            <w:pPr>
              <w:jc w:val="right"/>
              <w:rPr>
                <w:rFonts w:eastAsia="Calibri"/>
                <w:color w:val="000000"/>
                <w:sz w:val="28"/>
                <w:szCs w:val="28"/>
              </w:rPr>
            </w:pPr>
          </w:p>
          <w:p w14:paraId="2C605550" w14:textId="77777777" w:rsidR="009D1579" w:rsidRPr="00EC299B" w:rsidRDefault="009D1579" w:rsidP="00EC299B">
            <w:pPr>
              <w:jc w:val="right"/>
              <w:rPr>
                <w:rFonts w:eastAsia="Calibri"/>
                <w:color w:val="000000"/>
                <w:sz w:val="28"/>
                <w:szCs w:val="28"/>
                <w:lang w:val="en-US"/>
              </w:rPr>
            </w:pPr>
            <w:r>
              <w:rPr>
                <w:rFonts w:eastAsia="Calibri"/>
                <w:color w:val="000000"/>
                <w:sz w:val="28"/>
                <w:szCs w:val="28"/>
                <w:lang w:val="en-US"/>
              </w:rPr>
              <w:t>53</w:t>
            </w:r>
          </w:p>
        </w:tc>
      </w:tr>
      <w:tr w:rsidR="009D1579" w14:paraId="568A511A" w14:textId="77777777" w:rsidTr="001E740B">
        <w:tc>
          <w:tcPr>
            <w:tcW w:w="704" w:type="dxa"/>
          </w:tcPr>
          <w:p w14:paraId="00E7926D" w14:textId="77777777" w:rsidR="009D1579" w:rsidRPr="00EC299B" w:rsidRDefault="009D1579" w:rsidP="00C36745">
            <w:pPr>
              <w:pStyle w:val="ac"/>
              <w:numPr>
                <w:ilvl w:val="1"/>
                <w:numId w:val="15"/>
              </w:num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p>
        </w:tc>
        <w:tc>
          <w:tcPr>
            <w:tcW w:w="8363" w:type="dxa"/>
          </w:tcPr>
          <w:p w14:paraId="4EE915EC" w14:textId="77777777" w:rsidR="009D1579" w:rsidRPr="009D1579" w:rsidRDefault="009D1579" w:rsidP="009D1579">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9D1579">
              <w:rPr>
                <w:color w:val="000000"/>
                <w:sz w:val="28"/>
                <w:szCs w:val="28"/>
              </w:rPr>
              <w:t>Способ оптимизации КТ-волюметрии печени</w:t>
            </w:r>
            <w:r>
              <w:rPr>
                <w:color w:val="000000"/>
                <w:sz w:val="28"/>
                <w:szCs w:val="28"/>
              </w:rPr>
              <w:t xml:space="preserve"> </w:t>
            </w:r>
            <w:r w:rsidRPr="009D1579">
              <w:rPr>
                <w:color w:val="000000"/>
                <w:sz w:val="28"/>
                <w:szCs w:val="28"/>
              </w:rPr>
              <w:t>донора……………</w:t>
            </w:r>
            <w:r>
              <w:rPr>
                <w:color w:val="000000"/>
                <w:sz w:val="28"/>
                <w:szCs w:val="28"/>
              </w:rPr>
              <w:t>…</w:t>
            </w:r>
            <w:r w:rsidRPr="009D1579">
              <w:rPr>
                <w:color w:val="000000"/>
                <w:sz w:val="28"/>
                <w:szCs w:val="28"/>
              </w:rPr>
              <w:t>.</w:t>
            </w:r>
          </w:p>
        </w:tc>
        <w:tc>
          <w:tcPr>
            <w:tcW w:w="561" w:type="dxa"/>
          </w:tcPr>
          <w:p w14:paraId="5EFACCA9" w14:textId="77777777" w:rsidR="009D1579" w:rsidRPr="00EC299B" w:rsidRDefault="009D1579" w:rsidP="00EC299B">
            <w:pPr>
              <w:jc w:val="right"/>
              <w:rPr>
                <w:rFonts w:eastAsia="Calibri"/>
                <w:color w:val="000000"/>
                <w:sz w:val="28"/>
                <w:szCs w:val="28"/>
                <w:lang w:val="en-US"/>
              </w:rPr>
            </w:pPr>
            <w:r>
              <w:rPr>
                <w:rFonts w:eastAsia="Calibri"/>
                <w:color w:val="000000"/>
                <w:sz w:val="28"/>
                <w:szCs w:val="28"/>
                <w:lang w:val="en-US"/>
              </w:rPr>
              <w:t>66</w:t>
            </w:r>
          </w:p>
        </w:tc>
      </w:tr>
      <w:tr w:rsidR="009D1579" w14:paraId="08299281" w14:textId="77777777" w:rsidTr="001E740B">
        <w:tc>
          <w:tcPr>
            <w:tcW w:w="704" w:type="dxa"/>
          </w:tcPr>
          <w:p w14:paraId="135626E4" w14:textId="77777777" w:rsidR="009D1579" w:rsidRPr="001E740B" w:rsidRDefault="001E740B" w:rsidP="001E740B">
            <w:pPr>
              <w:pBdr>
                <w:top w:val="none" w:sz="0" w:space="0" w:color="000000"/>
                <w:left w:val="none" w:sz="0" w:space="0" w:color="000000"/>
                <w:bottom w:val="none" w:sz="0" w:space="0" w:color="000000"/>
                <w:right w:val="none" w:sz="0" w:space="0" w:color="000000"/>
                <w:between w:val="none" w:sz="0" w:space="0" w:color="000000"/>
              </w:pBdr>
              <w:rPr>
                <w:b/>
                <w:color w:val="000000"/>
                <w:sz w:val="28"/>
                <w:szCs w:val="28"/>
                <w:lang w:val="en-US"/>
              </w:rPr>
            </w:pPr>
            <w:r w:rsidRPr="001E740B">
              <w:rPr>
                <w:b/>
                <w:color w:val="000000"/>
                <w:sz w:val="28"/>
                <w:szCs w:val="28"/>
                <w:lang w:val="en-US"/>
              </w:rPr>
              <w:t>4</w:t>
            </w:r>
            <w:r>
              <w:rPr>
                <w:b/>
                <w:color w:val="000000"/>
                <w:sz w:val="28"/>
                <w:szCs w:val="28"/>
                <w:lang w:val="en-US"/>
              </w:rPr>
              <w:t>.</w:t>
            </w:r>
          </w:p>
        </w:tc>
        <w:tc>
          <w:tcPr>
            <w:tcW w:w="8363" w:type="dxa"/>
          </w:tcPr>
          <w:p w14:paraId="6B1EC780" w14:textId="77777777" w:rsidR="009D1579" w:rsidRPr="009D1579" w:rsidRDefault="009D1579" w:rsidP="009D1579">
            <w:pPr>
              <w:pBdr>
                <w:top w:val="none" w:sz="0" w:space="0" w:color="000000"/>
                <w:left w:val="none" w:sz="0" w:space="0" w:color="000000"/>
                <w:bottom w:val="none" w:sz="0" w:space="0" w:color="000000"/>
                <w:right w:val="none" w:sz="0" w:space="0" w:color="000000"/>
                <w:between w:val="none" w:sz="0" w:space="0" w:color="000000"/>
              </w:pBdr>
              <w:ind w:left="33"/>
              <w:rPr>
                <w:color w:val="000000"/>
                <w:sz w:val="28"/>
                <w:szCs w:val="28"/>
                <w:lang w:val="en-US"/>
              </w:rPr>
            </w:pPr>
            <w:r w:rsidRPr="009D1579">
              <w:rPr>
                <w:b/>
                <w:color w:val="000000"/>
                <w:sz w:val="28"/>
                <w:szCs w:val="28"/>
              </w:rPr>
              <w:t>ОБСУЖДЕНИЕ</w:t>
            </w:r>
            <w:r w:rsidRPr="009D1579">
              <w:rPr>
                <w:b/>
                <w:color w:val="000000"/>
                <w:sz w:val="28"/>
                <w:szCs w:val="28"/>
                <w:lang w:val="en-US"/>
              </w:rPr>
              <w:t>…………………………………………………</w:t>
            </w:r>
            <w:r>
              <w:rPr>
                <w:b/>
                <w:color w:val="000000"/>
                <w:sz w:val="28"/>
                <w:szCs w:val="28"/>
                <w:lang w:val="en-US"/>
              </w:rPr>
              <w:t>.</w:t>
            </w:r>
            <w:r w:rsidRPr="009D1579">
              <w:rPr>
                <w:b/>
                <w:color w:val="000000"/>
                <w:sz w:val="28"/>
                <w:szCs w:val="28"/>
                <w:lang w:val="en-US"/>
              </w:rPr>
              <w:t>…….</w:t>
            </w:r>
          </w:p>
        </w:tc>
        <w:tc>
          <w:tcPr>
            <w:tcW w:w="561" w:type="dxa"/>
          </w:tcPr>
          <w:p w14:paraId="16D86F11" w14:textId="77777777" w:rsidR="009D1579" w:rsidRDefault="009D1579" w:rsidP="00EC299B">
            <w:pPr>
              <w:jc w:val="right"/>
              <w:rPr>
                <w:rFonts w:eastAsia="Calibri"/>
                <w:color w:val="000000"/>
                <w:sz w:val="28"/>
                <w:szCs w:val="28"/>
                <w:lang w:val="en-US"/>
              </w:rPr>
            </w:pPr>
            <w:r>
              <w:rPr>
                <w:rFonts w:eastAsia="Calibri"/>
                <w:color w:val="000000"/>
                <w:sz w:val="28"/>
                <w:szCs w:val="28"/>
                <w:lang w:val="en-US"/>
              </w:rPr>
              <w:t>72</w:t>
            </w:r>
          </w:p>
        </w:tc>
      </w:tr>
      <w:tr w:rsidR="009D1579" w14:paraId="47648B4D" w14:textId="77777777" w:rsidTr="001E740B">
        <w:tc>
          <w:tcPr>
            <w:tcW w:w="704" w:type="dxa"/>
          </w:tcPr>
          <w:p w14:paraId="3DE62299" w14:textId="77777777" w:rsidR="009D1579" w:rsidRPr="00BA1134" w:rsidRDefault="009D1579" w:rsidP="009D1579">
            <w:pPr>
              <w:pBdr>
                <w:top w:val="none" w:sz="0" w:space="0" w:color="000000"/>
                <w:left w:val="none" w:sz="0" w:space="0" w:color="000000"/>
                <w:bottom w:val="none" w:sz="0" w:space="0" w:color="000000"/>
                <w:right w:val="none" w:sz="0" w:space="0" w:color="000000"/>
                <w:between w:val="none" w:sz="0" w:space="0" w:color="000000"/>
              </w:pBdr>
              <w:rPr>
                <w:b/>
                <w:color w:val="000000"/>
                <w:sz w:val="28"/>
                <w:szCs w:val="28"/>
              </w:rPr>
            </w:pPr>
          </w:p>
        </w:tc>
        <w:tc>
          <w:tcPr>
            <w:tcW w:w="8363" w:type="dxa"/>
          </w:tcPr>
          <w:p w14:paraId="40CA2937" w14:textId="77777777" w:rsidR="009D1579" w:rsidRPr="00EC299B" w:rsidRDefault="009D1579" w:rsidP="009D1579">
            <w:pPr>
              <w:pBdr>
                <w:top w:val="none" w:sz="0" w:space="0" w:color="000000"/>
                <w:left w:val="none" w:sz="0" w:space="0" w:color="000000"/>
                <w:bottom w:val="none" w:sz="0" w:space="0" w:color="000000"/>
                <w:right w:val="none" w:sz="0" w:space="0" w:color="000000"/>
                <w:between w:val="none" w:sz="0" w:space="0" w:color="000000"/>
              </w:pBdr>
              <w:rPr>
                <w:color w:val="000000"/>
                <w:sz w:val="28"/>
                <w:szCs w:val="28"/>
                <w:lang w:val="en-US"/>
              </w:rPr>
            </w:pPr>
            <w:r w:rsidRPr="00BA1134">
              <w:rPr>
                <w:b/>
                <w:color w:val="000000"/>
                <w:sz w:val="28"/>
                <w:szCs w:val="28"/>
              </w:rPr>
              <w:t>ЗАКЛЮЧЕНИЕ</w:t>
            </w:r>
            <w:r>
              <w:rPr>
                <w:b/>
                <w:color w:val="000000"/>
                <w:sz w:val="28"/>
                <w:szCs w:val="28"/>
                <w:lang w:val="en-US"/>
              </w:rPr>
              <w:t>……………………………………………………..…</w:t>
            </w:r>
          </w:p>
        </w:tc>
        <w:tc>
          <w:tcPr>
            <w:tcW w:w="561" w:type="dxa"/>
          </w:tcPr>
          <w:p w14:paraId="269BF075" w14:textId="77777777" w:rsidR="009D1579" w:rsidRDefault="009D1579" w:rsidP="00EC299B">
            <w:pPr>
              <w:jc w:val="right"/>
              <w:rPr>
                <w:rFonts w:eastAsia="Calibri"/>
                <w:color w:val="000000"/>
                <w:sz w:val="28"/>
                <w:szCs w:val="28"/>
                <w:lang w:val="en-US"/>
              </w:rPr>
            </w:pPr>
            <w:r>
              <w:rPr>
                <w:rFonts w:eastAsia="Calibri"/>
                <w:color w:val="000000"/>
                <w:sz w:val="28"/>
                <w:szCs w:val="28"/>
                <w:lang w:val="en-US"/>
              </w:rPr>
              <w:t>82</w:t>
            </w:r>
          </w:p>
        </w:tc>
      </w:tr>
      <w:tr w:rsidR="009D1579" w14:paraId="2844FBBA" w14:textId="77777777" w:rsidTr="001E740B">
        <w:tc>
          <w:tcPr>
            <w:tcW w:w="704" w:type="dxa"/>
          </w:tcPr>
          <w:p w14:paraId="7740D7CB" w14:textId="77777777" w:rsidR="009D1579" w:rsidRPr="00BA1134" w:rsidRDefault="009D1579" w:rsidP="00EC299B">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tc>
        <w:tc>
          <w:tcPr>
            <w:tcW w:w="8363" w:type="dxa"/>
          </w:tcPr>
          <w:p w14:paraId="0DA38A40" w14:textId="77777777" w:rsidR="009D1579" w:rsidRPr="00EC299B" w:rsidRDefault="009D1579" w:rsidP="009D1579">
            <w:pPr>
              <w:pBdr>
                <w:top w:val="none" w:sz="0" w:space="0" w:color="000000"/>
                <w:left w:val="none" w:sz="0" w:space="0" w:color="000000"/>
                <w:bottom w:val="none" w:sz="0" w:space="0" w:color="000000"/>
                <w:right w:val="none" w:sz="0" w:space="0" w:color="000000"/>
                <w:between w:val="none" w:sz="0" w:space="0" w:color="000000"/>
              </w:pBdr>
              <w:rPr>
                <w:b/>
                <w:color w:val="000000"/>
                <w:sz w:val="28"/>
                <w:szCs w:val="28"/>
                <w:lang w:val="en-US"/>
              </w:rPr>
            </w:pPr>
            <w:r w:rsidRPr="00BA1134">
              <w:rPr>
                <w:b/>
                <w:color w:val="000000"/>
                <w:sz w:val="28"/>
                <w:szCs w:val="28"/>
              </w:rPr>
              <w:t>СПИСОК ИСПОЛЬЗОВАННЫХ ИСТОЧНИКОВ</w:t>
            </w:r>
            <w:r>
              <w:rPr>
                <w:b/>
                <w:color w:val="000000"/>
                <w:sz w:val="28"/>
                <w:szCs w:val="28"/>
                <w:lang w:val="en-US"/>
              </w:rPr>
              <w:t>……………….</w:t>
            </w:r>
          </w:p>
        </w:tc>
        <w:tc>
          <w:tcPr>
            <w:tcW w:w="561" w:type="dxa"/>
          </w:tcPr>
          <w:p w14:paraId="55FB6455" w14:textId="77777777" w:rsidR="009D1579" w:rsidRDefault="009D1579" w:rsidP="00EC299B">
            <w:pPr>
              <w:jc w:val="right"/>
              <w:rPr>
                <w:rFonts w:eastAsia="Calibri"/>
                <w:color w:val="000000"/>
                <w:sz w:val="28"/>
                <w:szCs w:val="28"/>
                <w:lang w:val="en-US"/>
              </w:rPr>
            </w:pPr>
            <w:r>
              <w:rPr>
                <w:rFonts w:eastAsia="Calibri"/>
                <w:color w:val="000000"/>
                <w:sz w:val="28"/>
                <w:szCs w:val="28"/>
                <w:lang w:val="en-US"/>
              </w:rPr>
              <w:t>85</w:t>
            </w:r>
          </w:p>
        </w:tc>
      </w:tr>
      <w:tr w:rsidR="009D1579" w14:paraId="0EA6EFAF" w14:textId="77777777" w:rsidTr="001E740B">
        <w:tc>
          <w:tcPr>
            <w:tcW w:w="704" w:type="dxa"/>
          </w:tcPr>
          <w:p w14:paraId="7979E928" w14:textId="77777777" w:rsidR="009D1579" w:rsidRPr="00BA1134" w:rsidRDefault="009D1579" w:rsidP="00EC299B">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tc>
        <w:tc>
          <w:tcPr>
            <w:tcW w:w="8363" w:type="dxa"/>
          </w:tcPr>
          <w:p w14:paraId="54F29486" w14:textId="77777777" w:rsidR="009D1579" w:rsidRPr="00EC299B" w:rsidRDefault="009D1579" w:rsidP="009D1579">
            <w:pPr>
              <w:pBdr>
                <w:top w:val="none" w:sz="0" w:space="0" w:color="000000"/>
                <w:left w:val="none" w:sz="0" w:space="0" w:color="000000"/>
                <w:bottom w:val="none" w:sz="0" w:space="0" w:color="000000"/>
                <w:right w:val="none" w:sz="0" w:space="0" w:color="000000"/>
                <w:between w:val="none" w:sz="0" w:space="0" w:color="000000"/>
              </w:pBdr>
              <w:rPr>
                <w:b/>
                <w:color w:val="000000"/>
                <w:sz w:val="28"/>
                <w:szCs w:val="28"/>
                <w:lang w:val="en-US"/>
              </w:rPr>
            </w:pPr>
            <w:r w:rsidRPr="00BA1134">
              <w:rPr>
                <w:b/>
                <w:color w:val="000000"/>
                <w:sz w:val="28"/>
                <w:szCs w:val="28"/>
              </w:rPr>
              <w:t>ПРИЛОЖЕНИЯ</w:t>
            </w:r>
            <w:r>
              <w:rPr>
                <w:b/>
                <w:color w:val="000000"/>
                <w:sz w:val="28"/>
                <w:szCs w:val="28"/>
                <w:lang w:val="en-US"/>
              </w:rPr>
              <w:t>……………………………………………………….</w:t>
            </w:r>
          </w:p>
        </w:tc>
        <w:tc>
          <w:tcPr>
            <w:tcW w:w="561" w:type="dxa"/>
          </w:tcPr>
          <w:p w14:paraId="7938AF38" w14:textId="77777777" w:rsidR="009D1579" w:rsidRDefault="009D1579" w:rsidP="00EC299B">
            <w:pPr>
              <w:jc w:val="right"/>
              <w:rPr>
                <w:rFonts w:eastAsia="Calibri"/>
                <w:color w:val="000000"/>
                <w:sz w:val="28"/>
                <w:szCs w:val="28"/>
                <w:lang w:val="en-US"/>
              </w:rPr>
            </w:pPr>
            <w:r>
              <w:rPr>
                <w:rFonts w:eastAsia="Calibri"/>
                <w:color w:val="000000"/>
                <w:sz w:val="28"/>
                <w:szCs w:val="28"/>
                <w:lang w:val="en-US"/>
              </w:rPr>
              <w:t>95</w:t>
            </w:r>
          </w:p>
        </w:tc>
      </w:tr>
    </w:tbl>
    <w:p w14:paraId="3545B54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4E47970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2B795FD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6A5E06A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34322F2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0448AA8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72C2434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219BAC8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6C3741B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1EE0CE9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3161566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7E3DBE48"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21B9C7D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6F3379E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24D8C972" w14:textId="77777777" w:rsidR="00C700B8" w:rsidRDefault="00274D3C" w:rsidP="00E73B44">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2BB4E02D" w14:textId="77777777" w:rsidR="009471B9" w:rsidRPr="00170B7C" w:rsidRDefault="009471B9" w:rsidP="00E73B44">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5508D5F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tabs>
          <w:tab w:val="left" w:pos="567"/>
        </w:tabs>
        <w:spacing w:before="320" w:after="320"/>
        <w:rPr>
          <w:rFonts w:eastAsia="Calibri"/>
          <w:color w:val="000000"/>
          <w:sz w:val="28"/>
          <w:szCs w:val="28"/>
        </w:rPr>
      </w:pPr>
      <w:r w:rsidRPr="00170B7C">
        <w:rPr>
          <w:b/>
          <w:color w:val="000000"/>
          <w:sz w:val="28"/>
          <w:szCs w:val="28"/>
        </w:rPr>
        <w:lastRenderedPageBreak/>
        <w:t>                                       НОРМАТИВНЫЕ ССЫЛКИ</w:t>
      </w:r>
      <w:r w:rsidRPr="00170B7C">
        <w:rPr>
          <w:color w:val="000000"/>
          <w:sz w:val="28"/>
          <w:szCs w:val="28"/>
        </w:rPr>
        <w:t> </w:t>
      </w:r>
    </w:p>
    <w:p w14:paraId="4F047636" w14:textId="77777777" w:rsidR="00DE7669" w:rsidRPr="00DE7669" w:rsidRDefault="00DE7669" w:rsidP="00DE7669">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DE7669">
        <w:rPr>
          <w:rFonts w:eastAsia="Calibri"/>
          <w:color w:val="000000"/>
          <w:sz w:val="28"/>
          <w:szCs w:val="28"/>
        </w:rPr>
        <w:t>В настоящей диссертации использованы ссылки на следующие стандарты:</w:t>
      </w:r>
    </w:p>
    <w:p w14:paraId="7937D286" w14:textId="77777777" w:rsidR="00DE7669" w:rsidRPr="00DE7669" w:rsidRDefault="00DE7669" w:rsidP="00DE7669">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DE7669">
        <w:rPr>
          <w:rFonts w:eastAsia="Calibri"/>
          <w:color w:val="000000"/>
          <w:sz w:val="28"/>
          <w:szCs w:val="28"/>
        </w:rPr>
        <w:t>1. Приказ Министра здравоохранения Республики Казахстан от 25 августа 2022 года № ҚР ДСМ-90 Об утверждении Санитарных правил «Санитарно-эпидемиологические требования к радиационно-опасным объектам»;</w:t>
      </w:r>
    </w:p>
    <w:p w14:paraId="6D9467DF" w14:textId="77777777" w:rsidR="00DE7669" w:rsidRPr="00DE7669" w:rsidRDefault="00DE7669" w:rsidP="00DE7669">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DE7669">
        <w:rPr>
          <w:rFonts w:eastAsia="Calibri"/>
          <w:color w:val="000000"/>
          <w:sz w:val="28"/>
          <w:szCs w:val="28"/>
        </w:rPr>
        <w:t>2. Приказ Министра здравоохранения Республики Казахстан от 25 ноября 2020 года № ҚР ДСМ-207/2020 «Об утверждении правил и условий изъятия, заготовки, хранения, консервации, транспортировки, трансплантации органов (части органа) и (или) тканей (части ткани) от донора к реципиенту»;</w:t>
      </w:r>
    </w:p>
    <w:p w14:paraId="7161C654" w14:textId="77777777" w:rsidR="00DE7669" w:rsidRPr="00DE7669" w:rsidRDefault="00DE7669" w:rsidP="00DE7669">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DE7669">
        <w:rPr>
          <w:rFonts w:eastAsia="Calibri"/>
          <w:color w:val="000000"/>
          <w:sz w:val="28"/>
          <w:szCs w:val="28"/>
        </w:rPr>
        <w:t>3. Приказ Министра здравоохранения Республики Казахстан от 15 декабря 2020 года № ҚР ДСМ-275/2020 Об утверждении Санитарных правил «Санитарно-эпидемиологические требования к обеспечению радиационной безопасности»;</w:t>
      </w:r>
    </w:p>
    <w:p w14:paraId="4F026925" w14:textId="77777777" w:rsidR="00C23747" w:rsidRPr="00170B7C" w:rsidRDefault="00DE7669" w:rsidP="00DE7669">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DE7669">
        <w:rPr>
          <w:rFonts w:eastAsia="Calibri"/>
          <w:color w:val="000000"/>
          <w:sz w:val="28"/>
          <w:szCs w:val="28"/>
        </w:rPr>
        <w:t>4. Кодекс Республики Казахстан от 7 июля 2020 года № 360-VI «О здоровье народа и системе здравоохранения».</w:t>
      </w:r>
    </w:p>
    <w:p w14:paraId="2A88882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52DD417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0D24B278" w14:textId="77777777"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53DF6954" w14:textId="77777777" w:rsidR="00DE7669" w:rsidRDefault="00DE7669"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3CD89D26" w14:textId="77777777" w:rsidR="00DE7669" w:rsidRDefault="00DE7669"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5D118847" w14:textId="77777777" w:rsidR="00DE7669" w:rsidRDefault="00DE7669"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04A604F5" w14:textId="77777777" w:rsidR="00DE7669" w:rsidRDefault="00DE7669"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7018D376" w14:textId="77777777" w:rsidR="00DE7669" w:rsidRDefault="00DE7669"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0375595F" w14:textId="77777777" w:rsidR="00DE7669" w:rsidRDefault="00DE7669"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47F23C98" w14:textId="77777777" w:rsidR="00172533" w:rsidRDefault="00172533" w:rsidP="009D1579">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330B7E11" w14:textId="77777777" w:rsidR="009D1579" w:rsidRDefault="009D1579" w:rsidP="009D1579">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5AF02CC3" w14:textId="77777777" w:rsidR="008674E9" w:rsidRDefault="008674E9" w:rsidP="009D1579">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4AF225D5" w14:textId="77777777" w:rsidR="008674E9" w:rsidRDefault="008674E9" w:rsidP="009D1579">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46A232EC" w14:textId="77777777" w:rsidR="008674E9" w:rsidRDefault="008674E9" w:rsidP="009D1579">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578859B4" w14:textId="77777777" w:rsidR="008674E9" w:rsidRDefault="008674E9" w:rsidP="009D1579">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24E643A8" w14:textId="77777777" w:rsidR="008674E9" w:rsidRDefault="008674E9" w:rsidP="009D1579">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30BE41C6" w14:textId="77777777" w:rsidR="008674E9" w:rsidRDefault="008674E9" w:rsidP="009D1579">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0DEE162F" w14:textId="77777777" w:rsidR="008674E9" w:rsidRDefault="008674E9" w:rsidP="009D1579">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01D5C6F8" w14:textId="77777777" w:rsidR="008674E9" w:rsidRDefault="008674E9" w:rsidP="009D1579">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013ECCEC" w14:textId="77777777" w:rsidR="008674E9" w:rsidRDefault="008674E9" w:rsidP="009D1579">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61482F62" w14:textId="77777777" w:rsidR="008674E9" w:rsidRDefault="008674E9" w:rsidP="009D1579">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294EB58A" w14:textId="77777777" w:rsidR="008674E9" w:rsidRDefault="008674E9" w:rsidP="009D1579">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4B9727EE" w14:textId="77777777" w:rsidR="008674E9" w:rsidRDefault="008674E9" w:rsidP="009D1579">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00E3A32A" w14:textId="77777777" w:rsidR="008674E9" w:rsidRDefault="008674E9" w:rsidP="009D1579">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37F74399" w14:textId="77777777" w:rsidR="008674E9" w:rsidRDefault="008674E9" w:rsidP="009D1579">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23E9070C" w14:textId="77777777" w:rsidR="008674E9" w:rsidRPr="001F6846" w:rsidRDefault="008674E9" w:rsidP="009D1579">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lang w:val="kk-KZ"/>
        </w:rPr>
      </w:pPr>
    </w:p>
    <w:p w14:paraId="3DC01AB8" w14:textId="77777777" w:rsidR="00E73B44" w:rsidRDefault="00E73B44"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p>
    <w:p w14:paraId="0DCDEA00" w14:textId="77777777" w:rsidR="00E73B44" w:rsidRPr="00170B7C" w:rsidRDefault="00E73B44"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p>
    <w:p w14:paraId="2F96BDB8"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jc w:val="center"/>
        <w:rPr>
          <w:rFonts w:eastAsia="Calibri"/>
          <w:color w:val="000000"/>
          <w:sz w:val="28"/>
          <w:szCs w:val="28"/>
        </w:rPr>
      </w:pPr>
      <w:r w:rsidRPr="00170B7C">
        <w:rPr>
          <w:b/>
          <w:color w:val="000000"/>
          <w:sz w:val="28"/>
          <w:szCs w:val="28"/>
        </w:rPr>
        <w:lastRenderedPageBreak/>
        <w:t>ОПРЕДЕЛЕНИЯ</w:t>
      </w:r>
      <w:r w:rsidRPr="00170B7C">
        <w:rPr>
          <w:color w:val="000000"/>
          <w:sz w:val="28"/>
          <w:szCs w:val="28"/>
        </w:rPr>
        <w:t> </w:t>
      </w:r>
    </w:p>
    <w:p w14:paraId="44F90CC4"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216B9BA3" w14:textId="77777777" w:rsidR="00172533"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В настоящей диссертации применены следующие термины с соответствующими определениями: </w:t>
      </w:r>
    </w:p>
    <w:p w14:paraId="383E8D4A"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b/>
          <w:color w:val="000000"/>
          <w:sz w:val="28"/>
          <w:szCs w:val="28"/>
        </w:rPr>
        <w:t xml:space="preserve">Back table - </w:t>
      </w:r>
      <w:r w:rsidRPr="00170B7C">
        <w:rPr>
          <w:color w:val="000000"/>
          <w:sz w:val="28"/>
          <w:szCs w:val="28"/>
        </w:rPr>
        <w:t>интраоперационный этап подготовки трансплантата к имплантации реципиенту </w:t>
      </w:r>
    </w:p>
    <w:p w14:paraId="52BF17E3"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b/>
          <w:color w:val="000000"/>
          <w:sz w:val="28"/>
          <w:szCs w:val="28"/>
        </w:rPr>
        <w:t xml:space="preserve">Волюметрия - </w:t>
      </w:r>
      <w:r w:rsidRPr="00170B7C">
        <w:rPr>
          <w:color w:val="000000"/>
          <w:sz w:val="28"/>
          <w:szCs w:val="28"/>
        </w:rPr>
        <w:t>метод измерения объема </w:t>
      </w:r>
    </w:p>
    <w:p w14:paraId="08044EAA"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b/>
          <w:color w:val="000000"/>
          <w:sz w:val="28"/>
          <w:szCs w:val="28"/>
        </w:rPr>
        <w:t xml:space="preserve">Графт - </w:t>
      </w:r>
      <w:r w:rsidRPr="00170B7C">
        <w:rPr>
          <w:color w:val="000000"/>
          <w:sz w:val="28"/>
          <w:szCs w:val="28"/>
        </w:rPr>
        <w:t>ткань или орган, который пересаживается от донора к реципиенту </w:t>
      </w:r>
    </w:p>
    <w:p w14:paraId="284A7227"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b/>
          <w:color w:val="000000"/>
          <w:sz w:val="28"/>
          <w:szCs w:val="28"/>
        </w:rPr>
        <w:t xml:space="preserve">Донор - </w:t>
      </w:r>
      <w:r w:rsidRPr="00170B7C">
        <w:rPr>
          <w:color w:val="000000"/>
          <w:sz w:val="28"/>
          <w:szCs w:val="28"/>
        </w:rPr>
        <w:t>лицо, отдающее орган или часть органа для трансплантации другому лицу, называемому реципиентом </w:t>
      </w:r>
    </w:p>
    <w:p w14:paraId="4B0A03F4"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b/>
          <w:color w:val="000000"/>
          <w:sz w:val="28"/>
          <w:szCs w:val="28"/>
        </w:rPr>
        <w:t xml:space="preserve">Живой родственный донор - </w:t>
      </w:r>
      <w:r w:rsidRPr="00170B7C">
        <w:rPr>
          <w:color w:val="000000"/>
          <w:sz w:val="28"/>
          <w:szCs w:val="28"/>
        </w:rPr>
        <w:t>лицо, прошедшее обследование и признанное годным к трансплантации, находящееся в кровной связи с реципиентом </w:t>
      </w:r>
    </w:p>
    <w:p w14:paraId="5A4693E9"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b/>
          <w:color w:val="000000"/>
          <w:sz w:val="28"/>
          <w:szCs w:val="28"/>
        </w:rPr>
        <w:t>Кустадиол -</w:t>
      </w:r>
      <w:r w:rsidRPr="00170B7C">
        <w:rPr>
          <w:color w:val="000000"/>
          <w:sz w:val="28"/>
          <w:szCs w:val="28"/>
        </w:rPr>
        <w:t>кардиоплегический раствор гистидин-триптофан-кетоглутарат </w:t>
      </w:r>
    </w:p>
    <w:p w14:paraId="60A53D8A"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b/>
          <w:color w:val="000000"/>
          <w:sz w:val="28"/>
          <w:szCs w:val="28"/>
        </w:rPr>
        <w:t>Посмертный (трупный) донор</w:t>
      </w:r>
      <w:r w:rsidRPr="00170B7C">
        <w:rPr>
          <w:color w:val="000000"/>
          <w:sz w:val="28"/>
          <w:szCs w:val="28"/>
        </w:rPr>
        <w:t xml:space="preserve"> – человек, признанный умершим в установленном порядке (биологическая смерть или смерть головного мозга) и ставший источником органов для трансплантации </w:t>
      </w:r>
    </w:p>
    <w:p w14:paraId="3E36C68D"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b/>
          <w:color w:val="000000"/>
          <w:sz w:val="28"/>
          <w:szCs w:val="28"/>
        </w:rPr>
        <w:t xml:space="preserve">Реципиент - </w:t>
      </w:r>
      <w:r w:rsidRPr="00170B7C">
        <w:rPr>
          <w:color w:val="000000"/>
          <w:sz w:val="28"/>
          <w:szCs w:val="28"/>
        </w:rPr>
        <w:t>пациент, которому выполняют пересадку органа </w:t>
      </w:r>
    </w:p>
    <w:p w14:paraId="566BECE2"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b/>
          <w:color w:val="202122"/>
          <w:sz w:val="28"/>
          <w:szCs w:val="28"/>
        </w:rPr>
        <w:t xml:space="preserve">Ретрансплантация </w:t>
      </w:r>
      <w:r w:rsidRPr="00170B7C">
        <w:rPr>
          <w:color w:val="202122"/>
          <w:sz w:val="28"/>
          <w:szCs w:val="28"/>
        </w:rPr>
        <w:t>– повторная пересадка того или иного трансплантата </w:t>
      </w:r>
    </w:p>
    <w:p w14:paraId="056B75E5"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b/>
          <w:color w:val="000000"/>
          <w:sz w:val="28"/>
          <w:szCs w:val="28"/>
        </w:rPr>
        <w:t xml:space="preserve">Трансплантант - </w:t>
      </w:r>
      <w:r w:rsidRPr="00170B7C">
        <w:rPr>
          <w:color w:val="000000"/>
          <w:sz w:val="28"/>
          <w:szCs w:val="28"/>
        </w:rPr>
        <w:t>ткань или орган, пересаженный от донора к реципиенту </w:t>
      </w:r>
    </w:p>
    <w:p w14:paraId="069672DD"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b/>
          <w:color w:val="000000"/>
          <w:sz w:val="28"/>
          <w:szCs w:val="28"/>
        </w:rPr>
        <w:t xml:space="preserve">Трансплантация - </w:t>
      </w:r>
      <w:r w:rsidRPr="00170B7C">
        <w:rPr>
          <w:color w:val="000000"/>
          <w:sz w:val="28"/>
          <w:szCs w:val="28"/>
        </w:rPr>
        <w:t>пересадка органов (части органа) и (или) тканей (части ткани) на другое место в организме или в другой организм </w:t>
      </w:r>
    </w:p>
    <w:p w14:paraId="54C14341"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jc w:val="both"/>
        <w:rPr>
          <w:rFonts w:eastAsia="Calibri"/>
          <w:color w:val="000000"/>
          <w:sz w:val="28"/>
          <w:szCs w:val="28"/>
        </w:rPr>
      </w:pPr>
      <w:r w:rsidRPr="00170B7C">
        <w:rPr>
          <w:rFonts w:eastAsia="Calibri"/>
          <w:color w:val="000000"/>
          <w:sz w:val="28"/>
          <w:szCs w:val="28"/>
        </w:rPr>
        <w:t> </w:t>
      </w:r>
    </w:p>
    <w:p w14:paraId="153DEC95"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03A9CD0D"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242C12B0"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49D5AECC"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259F9F2E"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77AA5DBB"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5DDACDB6"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2E12A5D8"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1C712A6F"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3C75AB6F"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093E8344"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3E3E752F"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7D226FBA"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2D2522BD"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04B2835B"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4F65F39A"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153F47F8" w14:textId="77777777" w:rsidR="00C700B8" w:rsidRPr="00170B7C"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37B8B396" w14:textId="77777777" w:rsidR="00C700B8" w:rsidRDefault="00274D3C"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43CE47B3" w14:textId="77777777" w:rsidR="009471B9" w:rsidRDefault="009471B9"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p>
    <w:p w14:paraId="5BA17F6F" w14:textId="77777777" w:rsidR="009471B9" w:rsidRDefault="009471B9"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p>
    <w:p w14:paraId="5DA2A442" w14:textId="77777777" w:rsidR="009471B9" w:rsidRPr="00170B7C" w:rsidRDefault="009471B9" w:rsidP="00170B7C">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p>
    <w:p w14:paraId="43845723" w14:textId="77777777" w:rsidR="00C700B8" w:rsidRPr="00170B7C" w:rsidRDefault="00274D3C" w:rsidP="001E740B">
      <w:pPr>
        <w:pBdr>
          <w:top w:val="none" w:sz="0" w:space="0" w:color="000000"/>
          <w:left w:val="none" w:sz="0" w:space="15"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470FA76A" w14:textId="77777777" w:rsidR="0090350F" w:rsidRPr="00170B7C" w:rsidRDefault="0090350F"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3E96753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b/>
          <w:color w:val="000000"/>
          <w:sz w:val="28"/>
          <w:szCs w:val="28"/>
        </w:rPr>
        <w:t>ОБОЗНАЧЕНИЯ И СОКРАЩЕНИЯ</w:t>
      </w:r>
      <w:r w:rsidRPr="00170B7C">
        <w:rPr>
          <w:color w:val="000000"/>
          <w:sz w:val="28"/>
          <w:szCs w:val="28"/>
        </w:rPr>
        <w:t> </w:t>
      </w:r>
    </w:p>
    <w:p w14:paraId="2D1B5B14"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p>
    <w:tbl>
      <w:tblPr>
        <w:tblStyle w:val="af8"/>
        <w:tblW w:w="9214" w:type="dxa"/>
        <w:tblInd w:w="0" w:type="dxa"/>
        <w:tblLayout w:type="fixed"/>
        <w:tblLook w:val="0000" w:firstRow="0" w:lastRow="0" w:firstColumn="0" w:lastColumn="0" w:noHBand="0" w:noVBand="0"/>
      </w:tblPr>
      <w:tblGrid>
        <w:gridCol w:w="1413"/>
        <w:gridCol w:w="7801"/>
      </w:tblGrid>
      <w:tr w:rsidR="00C700B8" w:rsidRPr="00170B7C" w14:paraId="768F209F" w14:textId="77777777" w:rsidTr="00170B7C">
        <w:trPr>
          <w:cantSplit/>
          <w:trHeight w:val="400"/>
          <w:tblHeader/>
        </w:trPr>
        <w:tc>
          <w:tcPr>
            <w:tcW w:w="1413" w:type="dxa"/>
            <w:shd w:val="clear" w:color="auto" w:fill="auto"/>
          </w:tcPr>
          <w:p w14:paraId="0D81EC8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ГЦК </w:t>
            </w:r>
            <w:r w:rsidR="00172533" w:rsidRPr="00170B7C">
              <w:rPr>
                <w:color w:val="000000"/>
                <w:sz w:val="28"/>
                <w:szCs w:val="28"/>
              </w:rPr>
              <w:t xml:space="preserve">         </w:t>
            </w:r>
            <w:r w:rsidR="00172533" w:rsidRPr="00170B7C">
              <w:rPr>
                <w:sz w:val="28"/>
                <w:szCs w:val="28"/>
              </w:rPr>
              <w:t>–</w:t>
            </w:r>
          </w:p>
        </w:tc>
        <w:tc>
          <w:tcPr>
            <w:tcW w:w="7801" w:type="dxa"/>
            <w:shd w:val="clear" w:color="auto" w:fill="auto"/>
          </w:tcPr>
          <w:p w14:paraId="4C5BBDD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гепатоцеллюлярная карцинома  </w:t>
            </w:r>
          </w:p>
        </w:tc>
      </w:tr>
      <w:tr w:rsidR="00C700B8" w:rsidRPr="00170B7C" w14:paraId="1201F56E" w14:textId="77777777" w:rsidTr="00170B7C">
        <w:trPr>
          <w:cantSplit/>
          <w:trHeight w:val="400"/>
          <w:tblHeader/>
        </w:trPr>
        <w:tc>
          <w:tcPr>
            <w:tcW w:w="1413" w:type="dxa"/>
            <w:shd w:val="clear" w:color="auto" w:fill="auto"/>
          </w:tcPr>
          <w:p w14:paraId="6BE3581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ИМТ </w:t>
            </w:r>
            <w:r w:rsidR="00172533" w:rsidRPr="00170B7C">
              <w:rPr>
                <w:color w:val="000000"/>
                <w:sz w:val="28"/>
                <w:szCs w:val="28"/>
              </w:rPr>
              <w:t xml:space="preserve">       </w:t>
            </w:r>
            <w:r w:rsidRPr="00170B7C">
              <w:rPr>
                <w:color w:val="000000"/>
                <w:sz w:val="28"/>
                <w:szCs w:val="28"/>
              </w:rPr>
              <w:t> </w:t>
            </w:r>
            <w:r w:rsidR="00172533" w:rsidRPr="00170B7C">
              <w:rPr>
                <w:sz w:val="28"/>
                <w:szCs w:val="28"/>
              </w:rPr>
              <w:t>–</w:t>
            </w:r>
          </w:p>
        </w:tc>
        <w:tc>
          <w:tcPr>
            <w:tcW w:w="7801" w:type="dxa"/>
            <w:shd w:val="clear" w:color="auto" w:fill="auto"/>
          </w:tcPr>
          <w:p w14:paraId="0BB74C9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индекс массы тела  </w:t>
            </w:r>
          </w:p>
        </w:tc>
      </w:tr>
      <w:tr w:rsidR="00C700B8" w:rsidRPr="00170B7C" w14:paraId="264DA320" w14:textId="77777777" w:rsidTr="00170B7C">
        <w:trPr>
          <w:cantSplit/>
          <w:trHeight w:val="400"/>
          <w:tblHeader/>
        </w:trPr>
        <w:tc>
          <w:tcPr>
            <w:tcW w:w="1413" w:type="dxa"/>
            <w:shd w:val="clear" w:color="auto" w:fill="auto"/>
          </w:tcPr>
          <w:p w14:paraId="703135C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КТ  </w:t>
            </w:r>
            <w:r w:rsidR="00172533" w:rsidRPr="00170B7C">
              <w:rPr>
                <w:color w:val="000000"/>
                <w:sz w:val="28"/>
                <w:szCs w:val="28"/>
              </w:rPr>
              <w:t xml:space="preserve">           </w:t>
            </w:r>
            <w:r w:rsidR="00172533" w:rsidRPr="00170B7C">
              <w:rPr>
                <w:sz w:val="28"/>
                <w:szCs w:val="28"/>
              </w:rPr>
              <w:t>–</w:t>
            </w:r>
          </w:p>
        </w:tc>
        <w:tc>
          <w:tcPr>
            <w:tcW w:w="7801" w:type="dxa"/>
            <w:shd w:val="clear" w:color="auto" w:fill="auto"/>
          </w:tcPr>
          <w:p w14:paraId="2AE8212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компьютерная томография </w:t>
            </w:r>
          </w:p>
        </w:tc>
      </w:tr>
      <w:tr w:rsidR="00C700B8" w:rsidRPr="00170B7C" w14:paraId="4E40EB40" w14:textId="77777777" w:rsidTr="00170B7C">
        <w:trPr>
          <w:cantSplit/>
          <w:trHeight w:val="400"/>
          <w:tblHeader/>
        </w:trPr>
        <w:tc>
          <w:tcPr>
            <w:tcW w:w="1413" w:type="dxa"/>
            <w:shd w:val="clear" w:color="auto" w:fill="auto"/>
          </w:tcPr>
          <w:p w14:paraId="0B77CC0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МРТ  </w:t>
            </w:r>
            <w:r w:rsidR="00172533" w:rsidRPr="00170B7C">
              <w:rPr>
                <w:color w:val="000000"/>
                <w:sz w:val="28"/>
                <w:szCs w:val="28"/>
              </w:rPr>
              <w:t xml:space="preserve">        </w:t>
            </w:r>
            <w:r w:rsidR="00172533" w:rsidRPr="00170B7C">
              <w:rPr>
                <w:sz w:val="28"/>
                <w:szCs w:val="28"/>
              </w:rPr>
              <w:t>–</w:t>
            </w:r>
          </w:p>
        </w:tc>
        <w:tc>
          <w:tcPr>
            <w:tcW w:w="7801" w:type="dxa"/>
            <w:shd w:val="clear" w:color="auto" w:fill="auto"/>
          </w:tcPr>
          <w:p w14:paraId="0DDC0F3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магнитно-резонансная томография </w:t>
            </w:r>
          </w:p>
        </w:tc>
      </w:tr>
      <w:tr w:rsidR="00C700B8" w:rsidRPr="00170B7C" w14:paraId="21A136AA" w14:textId="77777777" w:rsidTr="00170B7C">
        <w:trPr>
          <w:cantSplit/>
          <w:trHeight w:val="400"/>
          <w:tblHeader/>
        </w:trPr>
        <w:tc>
          <w:tcPr>
            <w:tcW w:w="1413" w:type="dxa"/>
            <w:shd w:val="clear" w:color="auto" w:fill="auto"/>
          </w:tcPr>
          <w:p w14:paraId="2B8DE58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МРХПГ</w:t>
            </w:r>
            <w:r w:rsidR="00172533" w:rsidRPr="00170B7C">
              <w:rPr>
                <w:color w:val="000000"/>
                <w:sz w:val="28"/>
                <w:szCs w:val="28"/>
              </w:rPr>
              <w:t xml:space="preserve">   </w:t>
            </w:r>
            <w:r w:rsidRPr="00170B7C">
              <w:rPr>
                <w:color w:val="000000"/>
                <w:sz w:val="28"/>
                <w:szCs w:val="28"/>
              </w:rPr>
              <w:t> </w:t>
            </w:r>
            <w:r w:rsidR="00172533" w:rsidRPr="00170B7C">
              <w:rPr>
                <w:sz w:val="28"/>
                <w:szCs w:val="28"/>
              </w:rPr>
              <w:t>–</w:t>
            </w:r>
          </w:p>
        </w:tc>
        <w:tc>
          <w:tcPr>
            <w:tcW w:w="7801" w:type="dxa"/>
            <w:shd w:val="clear" w:color="auto" w:fill="auto"/>
          </w:tcPr>
          <w:p w14:paraId="7DAAEF0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магнитно-резонансная холангиопанкреатография </w:t>
            </w:r>
          </w:p>
        </w:tc>
      </w:tr>
      <w:tr w:rsidR="00C700B8" w:rsidRPr="00170B7C" w14:paraId="6B9DA76E" w14:textId="77777777" w:rsidTr="00170B7C">
        <w:trPr>
          <w:cantSplit/>
          <w:trHeight w:val="400"/>
          <w:tblHeader/>
        </w:trPr>
        <w:tc>
          <w:tcPr>
            <w:tcW w:w="1413" w:type="dxa"/>
            <w:shd w:val="clear" w:color="auto" w:fill="auto"/>
          </w:tcPr>
          <w:p w14:paraId="40BADE1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sz w:val="28"/>
                <w:szCs w:val="28"/>
              </w:rPr>
            </w:pPr>
            <w:r w:rsidRPr="00170B7C">
              <w:rPr>
                <w:color w:val="000000"/>
                <w:sz w:val="28"/>
                <w:szCs w:val="28"/>
              </w:rPr>
              <w:t>МСКТ  </w:t>
            </w:r>
            <w:r w:rsidR="00172533" w:rsidRPr="00170B7C">
              <w:rPr>
                <w:color w:val="000000"/>
                <w:sz w:val="28"/>
                <w:szCs w:val="28"/>
              </w:rPr>
              <w:t xml:space="preserve">    </w:t>
            </w:r>
            <w:r w:rsidR="00172533" w:rsidRPr="00170B7C">
              <w:rPr>
                <w:sz w:val="28"/>
                <w:szCs w:val="28"/>
              </w:rPr>
              <w:t>–</w:t>
            </w:r>
          </w:p>
        </w:tc>
        <w:tc>
          <w:tcPr>
            <w:tcW w:w="7801" w:type="dxa"/>
            <w:shd w:val="clear" w:color="auto" w:fill="auto"/>
          </w:tcPr>
          <w:p w14:paraId="5BE7EDE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мультиспиральная компьютерная томография  </w:t>
            </w:r>
          </w:p>
        </w:tc>
      </w:tr>
      <w:tr w:rsidR="00C700B8" w:rsidRPr="00170B7C" w14:paraId="1AFC07FA" w14:textId="77777777" w:rsidTr="00170B7C">
        <w:trPr>
          <w:cantSplit/>
          <w:trHeight w:val="429"/>
          <w:tblHeader/>
        </w:trPr>
        <w:tc>
          <w:tcPr>
            <w:tcW w:w="1413" w:type="dxa"/>
            <w:shd w:val="clear" w:color="auto" w:fill="auto"/>
          </w:tcPr>
          <w:p w14:paraId="1A2D06D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СО</w:t>
            </w:r>
            <w:r w:rsidR="00B2743A">
              <w:rPr>
                <w:color w:val="000000"/>
                <w:sz w:val="28"/>
                <w:szCs w:val="28"/>
              </w:rPr>
              <w:t>О</w:t>
            </w:r>
            <w:r w:rsidRPr="00170B7C">
              <w:rPr>
                <w:color w:val="000000"/>
                <w:sz w:val="28"/>
                <w:szCs w:val="28"/>
              </w:rPr>
              <w:t>П </w:t>
            </w:r>
            <w:r w:rsidR="00172533" w:rsidRPr="00170B7C">
              <w:rPr>
                <w:color w:val="000000"/>
                <w:sz w:val="28"/>
                <w:szCs w:val="28"/>
              </w:rPr>
              <w:t xml:space="preserve">     </w:t>
            </w:r>
            <w:r w:rsidR="00172533" w:rsidRPr="00170B7C">
              <w:rPr>
                <w:sz w:val="28"/>
                <w:szCs w:val="28"/>
              </w:rPr>
              <w:t>–</w:t>
            </w:r>
          </w:p>
        </w:tc>
        <w:tc>
          <w:tcPr>
            <w:tcW w:w="7801" w:type="dxa"/>
            <w:shd w:val="clear" w:color="auto" w:fill="auto"/>
          </w:tcPr>
          <w:p w14:paraId="4C6D5FA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стандартный общий объем печени </w:t>
            </w:r>
          </w:p>
        </w:tc>
      </w:tr>
      <w:tr w:rsidR="00C700B8" w:rsidRPr="00170B7C" w14:paraId="264D6A37" w14:textId="77777777" w:rsidTr="00170B7C">
        <w:trPr>
          <w:cantSplit/>
          <w:trHeight w:val="400"/>
          <w:tblHeader/>
        </w:trPr>
        <w:tc>
          <w:tcPr>
            <w:tcW w:w="1413" w:type="dxa"/>
            <w:shd w:val="clear" w:color="auto" w:fill="auto"/>
          </w:tcPr>
          <w:p w14:paraId="51CAC80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УЗИ  </w:t>
            </w:r>
            <w:r w:rsidR="00172533" w:rsidRPr="00170B7C">
              <w:rPr>
                <w:color w:val="000000"/>
                <w:sz w:val="28"/>
                <w:szCs w:val="28"/>
              </w:rPr>
              <w:t xml:space="preserve">        </w:t>
            </w:r>
            <w:r w:rsidR="00172533" w:rsidRPr="00170B7C">
              <w:rPr>
                <w:sz w:val="28"/>
                <w:szCs w:val="28"/>
              </w:rPr>
              <w:t>–</w:t>
            </w:r>
          </w:p>
        </w:tc>
        <w:tc>
          <w:tcPr>
            <w:tcW w:w="7801" w:type="dxa"/>
            <w:shd w:val="clear" w:color="auto" w:fill="auto"/>
          </w:tcPr>
          <w:p w14:paraId="6B6895F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ультразвуковое исследование  </w:t>
            </w:r>
          </w:p>
        </w:tc>
      </w:tr>
      <w:tr w:rsidR="00C700B8" w:rsidRPr="00170B7C" w14:paraId="1AF55CDF" w14:textId="77777777" w:rsidTr="00170B7C">
        <w:trPr>
          <w:cantSplit/>
          <w:trHeight w:val="400"/>
          <w:tblHeader/>
        </w:trPr>
        <w:tc>
          <w:tcPr>
            <w:tcW w:w="1413" w:type="dxa"/>
            <w:shd w:val="clear" w:color="auto" w:fill="auto"/>
          </w:tcPr>
          <w:p w14:paraId="02F078D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ИИ (AI) </w:t>
            </w:r>
            <w:r w:rsidR="00172533" w:rsidRPr="00170B7C">
              <w:rPr>
                <w:color w:val="000000"/>
                <w:sz w:val="28"/>
                <w:szCs w:val="28"/>
              </w:rPr>
              <w:t xml:space="preserve">  </w:t>
            </w:r>
            <w:r w:rsidRPr="00170B7C">
              <w:rPr>
                <w:color w:val="000000"/>
                <w:sz w:val="28"/>
                <w:szCs w:val="28"/>
              </w:rPr>
              <w:t> </w:t>
            </w:r>
            <w:r w:rsidR="00172533" w:rsidRPr="00170B7C">
              <w:rPr>
                <w:sz w:val="28"/>
                <w:szCs w:val="28"/>
              </w:rPr>
              <w:t>–</w:t>
            </w:r>
          </w:p>
        </w:tc>
        <w:tc>
          <w:tcPr>
            <w:tcW w:w="7801" w:type="dxa"/>
            <w:shd w:val="clear" w:color="auto" w:fill="auto"/>
          </w:tcPr>
          <w:p w14:paraId="5E5917D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искусственный интеллект (artificial intelligence) </w:t>
            </w:r>
          </w:p>
        </w:tc>
      </w:tr>
      <w:tr w:rsidR="00C700B8" w:rsidRPr="00E8569A" w14:paraId="747A9204" w14:textId="77777777" w:rsidTr="00170B7C">
        <w:trPr>
          <w:cantSplit/>
          <w:trHeight w:val="400"/>
          <w:tblHeader/>
        </w:trPr>
        <w:tc>
          <w:tcPr>
            <w:tcW w:w="1413" w:type="dxa"/>
            <w:shd w:val="clear" w:color="auto" w:fill="auto"/>
          </w:tcPr>
          <w:p w14:paraId="51F88A7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CNN  </w:t>
            </w:r>
            <w:r w:rsidR="00172533" w:rsidRPr="00170B7C">
              <w:rPr>
                <w:color w:val="000000"/>
                <w:sz w:val="28"/>
                <w:szCs w:val="28"/>
              </w:rPr>
              <w:t xml:space="preserve">       </w:t>
            </w:r>
            <w:r w:rsidR="00172533" w:rsidRPr="00170B7C">
              <w:rPr>
                <w:sz w:val="28"/>
                <w:szCs w:val="28"/>
              </w:rPr>
              <w:t>–</w:t>
            </w:r>
          </w:p>
        </w:tc>
        <w:tc>
          <w:tcPr>
            <w:tcW w:w="7801" w:type="dxa"/>
            <w:shd w:val="clear" w:color="auto" w:fill="auto"/>
          </w:tcPr>
          <w:p w14:paraId="46E5AF15" w14:textId="77777777" w:rsidR="00C700B8" w:rsidRPr="00E8569A"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lang w:val="en-US"/>
              </w:rPr>
            </w:pPr>
            <w:r w:rsidRPr="00170B7C">
              <w:rPr>
                <w:color w:val="000000"/>
                <w:sz w:val="28"/>
                <w:szCs w:val="28"/>
              </w:rPr>
              <w:t>сверхточная</w:t>
            </w:r>
            <w:r w:rsidRPr="00E8569A">
              <w:rPr>
                <w:color w:val="000000"/>
                <w:sz w:val="28"/>
                <w:szCs w:val="28"/>
                <w:lang w:val="en-US"/>
              </w:rPr>
              <w:t xml:space="preserve"> </w:t>
            </w:r>
            <w:r w:rsidRPr="00170B7C">
              <w:rPr>
                <w:color w:val="000000"/>
                <w:sz w:val="28"/>
                <w:szCs w:val="28"/>
              </w:rPr>
              <w:t>нейронная</w:t>
            </w:r>
            <w:r w:rsidRPr="00E8569A">
              <w:rPr>
                <w:color w:val="000000"/>
                <w:sz w:val="28"/>
                <w:szCs w:val="28"/>
                <w:lang w:val="en-US"/>
              </w:rPr>
              <w:t xml:space="preserve"> </w:t>
            </w:r>
            <w:r w:rsidRPr="00170B7C">
              <w:rPr>
                <w:color w:val="000000"/>
                <w:sz w:val="28"/>
                <w:szCs w:val="28"/>
              </w:rPr>
              <w:t>сеть</w:t>
            </w:r>
            <w:r w:rsidRPr="00E8569A">
              <w:rPr>
                <w:color w:val="000000"/>
                <w:sz w:val="28"/>
                <w:szCs w:val="28"/>
                <w:lang w:val="en-US"/>
              </w:rPr>
              <w:t xml:space="preserve"> (</w:t>
            </w:r>
            <w:r w:rsidRPr="00D32828">
              <w:rPr>
                <w:color w:val="000000"/>
                <w:sz w:val="28"/>
                <w:szCs w:val="28"/>
                <w:lang w:val="en-US"/>
              </w:rPr>
              <w:t>convolutional</w:t>
            </w:r>
            <w:r w:rsidRPr="00E8569A">
              <w:rPr>
                <w:color w:val="000000"/>
                <w:sz w:val="28"/>
                <w:szCs w:val="28"/>
                <w:lang w:val="en-US"/>
              </w:rPr>
              <w:t xml:space="preserve"> </w:t>
            </w:r>
            <w:r w:rsidRPr="00D32828">
              <w:rPr>
                <w:color w:val="000000"/>
                <w:sz w:val="28"/>
                <w:szCs w:val="28"/>
                <w:lang w:val="en-US"/>
              </w:rPr>
              <w:t>neural</w:t>
            </w:r>
            <w:r w:rsidRPr="00E8569A">
              <w:rPr>
                <w:color w:val="000000"/>
                <w:sz w:val="28"/>
                <w:szCs w:val="28"/>
                <w:lang w:val="en-US"/>
              </w:rPr>
              <w:t xml:space="preserve"> </w:t>
            </w:r>
            <w:r w:rsidRPr="00D32828">
              <w:rPr>
                <w:color w:val="000000"/>
                <w:sz w:val="28"/>
                <w:szCs w:val="28"/>
                <w:lang w:val="en-US"/>
              </w:rPr>
              <w:t>network</w:t>
            </w:r>
            <w:r w:rsidRPr="00E8569A">
              <w:rPr>
                <w:color w:val="000000"/>
                <w:sz w:val="28"/>
                <w:szCs w:val="28"/>
                <w:lang w:val="en-US"/>
              </w:rPr>
              <w:t>)</w:t>
            </w:r>
            <w:r w:rsidRPr="00D32828">
              <w:rPr>
                <w:color w:val="000000"/>
                <w:sz w:val="28"/>
                <w:szCs w:val="28"/>
                <w:lang w:val="en-US"/>
              </w:rPr>
              <w:t>   </w:t>
            </w:r>
          </w:p>
        </w:tc>
      </w:tr>
      <w:tr w:rsidR="00C700B8" w:rsidRPr="00170B7C" w14:paraId="241DF6BB" w14:textId="77777777" w:rsidTr="00170B7C">
        <w:trPr>
          <w:cantSplit/>
          <w:trHeight w:val="400"/>
          <w:tblHeader/>
        </w:trPr>
        <w:tc>
          <w:tcPr>
            <w:tcW w:w="1413" w:type="dxa"/>
            <w:shd w:val="clear" w:color="auto" w:fill="auto"/>
          </w:tcPr>
          <w:p w14:paraId="1D40980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DICOM </w:t>
            </w:r>
            <w:r w:rsidR="00172533" w:rsidRPr="00170B7C">
              <w:rPr>
                <w:color w:val="000000"/>
                <w:sz w:val="28"/>
                <w:szCs w:val="28"/>
              </w:rPr>
              <w:t xml:space="preserve">  </w:t>
            </w:r>
            <w:r w:rsidRPr="00170B7C">
              <w:rPr>
                <w:color w:val="000000"/>
                <w:sz w:val="28"/>
                <w:szCs w:val="28"/>
              </w:rPr>
              <w:t> </w:t>
            </w:r>
            <w:r w:rsidR="00172533" w:rsidRPr="00170B7C">
              <w:rPr>
                <w:sz w:val="28"/>
                <w:szCs w:val="28"/>
              </w:rPr>
              <w:t>–</w:t>
            </w:r>
          </w:p>
        </w:tc>
        <w:tc>
          <w:tcPr>
            <w:tcW w:w="7801" w:type="dxa"/>
            <w:shd w:val="clear" w:color="auto" w:fill="auto"/>
          </w:tcPr>
          <w:p w14:paraId="5215A9B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 xml:space="preserve">медицинский стандарт создания, хранения, передачи и </w:t>
            </w:r>
            <w:r w:rsidR="00172533" w:rsidRPr="00170B7C">
              <w:rPr>
                <w:color w:val="000000"/>
                <w:sz w:val="28"/>
                <w:szCs w:val="28"/>
              </w:rPr>
              <w:t xml:space="preserve">  </w:t>
            </w:r>
            <w:r w:rsidRPr="00170B7C">
              <w:rPr>
                <w:color w:val="000000"/>
                <w:sz w:val="28"/>
                <w:szCs w:val="28"/>
              </w:rPr>
              <w:t>визуализации цифровых медицинских изображений и документов обследованных пациентов (Digital Imaging and Communications in Medicine) </w:t>
            </w:r>
          </w:p>
        </w:tc>
      </w:tr>
      <w:tr w:rsidR="00C700B8" w:rsidRPr="00170B7C" w14:paraId="78A85509" w14:textId="77777777" w:rsidTr="00170B7C">
        <w:trPr>
          <w:cantSplit/>
          <w:trHeight w:val="400"/>
          <w:tblHeader/>
        </w:trPr>
        <w:tc>
          <w:tcPr>
            <w:tcW w:w="1413" w:type="dxa"/>
            <w:shd w:val="clear" w:color="auto" w:fill="auto"/>
          </w:tcPr>
          <w:p w14:paraId="2C8F1E7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GRWR </w:t>
            </w:r>
            <w:r w:rsidR="00172533" w:rsidRPr="00170B7C">
              <w:rPr>
                <w:color w:val="000000"/>
                <w:sz w:val="28"/>
                <w:szCs w:val="28"/>
              </w:rPr>
              <w:t xml:space="preserve">    </w:t>
            </w:r>
            <w:r w:rsidR="00170B7C" w:rsidRPr="00170B7C">
              <w:rPr>
                <w:color w:val="000000"/>
                <w:sz w:val="28"/>
                <w:szCs w:val="28"/>
              </w:rPr>
              <w:t xml:space="preserve"> </w:t>
            </w:r>
            <w:r w:rsidR="00172533" w:rsidRPr="00170B7C">
              <w:rPr>
                <w:sz w:val="28"/>
                <w:szCs w:val="28"/>
              </w:rPr>
              <w:t>–</w:t>
            </w:r>
          </w:p>
        </w:tc>
        <w:tc>
          <w:tcPr>
            <w:tcW w:w="7801" w:type="dxa"/>
            <w:shd w:val="clear" w:color="auto" w:fill="auto"/>
          </w:tcPr>
          <w:p w14:paraId="09901CA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отношение массы пересаженной печени (графта) к массе тела реципиента (graft-to-recipient weight ratio) </w:t>
            </w:r>
          </w:p>
        </w:tc>
      </w:tr>
      <w:tr w:rsidR="00C700B8" w:rsidRPr="00170B7C" w14:paraId="5AF60E3B" w14:textId="77777777" w:rsidTr="00170B7C">
        <w:trPr>
          <w:cantSplit/>
          <w:trHeight w:val="400"/>
          <w:tblHeader/>
        </w:trPr>
        <w:tc>
          <w:tcPr>
            <w:tcW w:w="1413" w:type="dxa"/>
            <w:shd w:val="clear" w:color="auto" w:fill="auto"/>
          </w:tcPr>
          <w:p w14:paraId="6CD32BB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HBV </w:t>
            </w:r>
            <w:r w:rsidR="00172533" w:rsidRPr="00170B7C">
              <w:rPr>
                <w:color w:val="000000"/>
                <w:sz w:val="28"/>
                <w:szCs w:val="28"/>
              </w:rPr>
              <w:t xml:space="preserve">        </w:t>
            </w:r>
            <w:r w:rsidR="00172533" w:rsidRPr="00170B7C">
              <w:rPr>
                <w:sz w:val="28"/>
                <w:szCs w:val="28"/>
              </w:rPr>
              <w:t>–</w:t>
            </w:r>
          </w:p>
        </w:tc>
        <w:tc>
          <w:tcPr>
            <w:tcW w:w="7801" w:type="dxa"/>
            <w:shd w:val="clear" w:color="auto" w:fill="auto"/>
          </w:tcPr>
          <w:p w14:paraId="7C40BF4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вирусный гепатит В </w:t>
            </w:r>
          </w:p>
        </w:tc>
      </w:tr>
      <w:tr w:rsidR="00C700B8" w:rsidRPr="00170B7C" w14:paraId="7B3ADF49" w14:textId="77777777" w:rsidTr="00170B7C">
        <w:trPr>
          <w:cantSplit/>
          <w:trHeight w:val="400"/>
          <w:tblHeader/>
        </w:trPr>
        <w:tc>
          <w:tcPr>
            <w:tcW w:w="1413" w:type="dxa"/>
            <w:shd w:val="clear" w:color="auto" w:fill="auto"/>
          </w:tcPr>
          <w:p w14:paraId="2C8CE3B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HCV</w:t>
            </w:r>
            <w:r w:rsidR="00172533" w:rsidRPr="00170B7C">
              <w:rPr>
                <w:color w:val="000000"/>
                <w:sz w:val="28"/>
                <w:szCs w:val="28"/>
              </w:rPr>
              <w:t xml:space="preserve">        </w:t>
            </w:r>
            <w:r w:rsidRPr="00170B7C">
              <w:rPr>
                <w:color w:val="000000"/>
                <w:sz w:val="28"/>
                <w:szCs w:val="28"/>
              </w:rPr>
              <w:t> </w:t>
            </w:r>
            <w:r w:rsidR="00172533" w:rsidRPr="00170B7C">
              <w:rPr>
                <w:sz w:val="28"/>
                <w:szCs w:val="28"/>
              </w:rPr>
              <w:t>–</w:t>
            </w:r>
          </w:p>
        </w:tc>
        <w:tc>
          <w:tcPr>
            <w:tcW w:w="7801" w:type="dxa"/>
            <w:shd w:val="clear" w:color="auto" w:fill="auto"/>
          </w:tcPr>
          <w:p w14:paraId="3409E8F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вирусный гепатит C </w:t>
            </w:r>
          </w:p>
        </w:tc>
      </w:tr>
      <w:tr w:rsidR="00C700B8" w:rsidRPr="00170B7C" w14:paraId="2D672942" w14:textId="77777777" w:rsidTr="00170B7C">
        <w:trPr>
          <w:cantSplit/>
          <w:trHeight w:val="400"/>
          <w:tblHeader/>
        </w:trPr>
        <w:tc>
          <w:tcPr>
            <w:tcW w:w="1413" w:type="dxa"/>
            <w:shd w:val="clear" w:color="auto" w:fill="auto"/>
          </w:tcPr>
          <w:p w14:paraId="1C94DD0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HDV</w:t>
            </w:r>
            <w:r w:rsidR="00172533" w:rsidRPr="00170B7C">
              <w:rPr>
                <w:color w:val="000000"/>
                <w:sz w:val="28"/>
                <w:szCs w:val="28"/>
              </w:rPr>
              <w:t xml:space="preserve">        </w:t>
            </w:r>
            <w:r w:rsidRPr="00170B7C">
              <w:rPr>
                <w:color w:val="000000"/>
                <w:sz w:val="28"/>
                <w:szCs w:val="28"/>
              </w:rPr>
              <w:t> </w:t>
            </w:r>
            <w:r w:rsidR="00172533" w:rsidRPr="00170B7C">
              <w:rPr>
                <w:sz w:val="28"/>
                <w:szCs w:val="28"/>
              </w:rPr>
              <w:t>–</w:t>
            </w:r>
          </w:p>
        </w:tc>
        <w:tc>
          <w:tcPr>
            <w:tcW w:w="7801" w:type="dxa"/>
            <w:shd w:val="clear" w:color="auto" w:fill="auto"/>
          </w:tcPr>
          <w:p w14:paraId="15EFD91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вирусный гепатит D </w:t>
            </w:r>
          </w:p>
        </w:tc>
      </w:tr>
      <w:tr w:rsidR="00C700B8" w:rsidRPr="00170B7C" w14:paraId="25F242A0" w14:textId="77777777" w:rsidTr="00170B7C">
        <w:trPr>
          <w:cantSplit/>
          <w:trHeight w:val="400"/>
          <w:tblHeader/>
        </w:trPr>
        <w:tc>
          <w:tcPr>
            <w:tcW w:w="1413" w:type="dxa"/>
            <w:shd w:val="clear" w:color="auto" w:fill="auto"/>
          </w:tcPr>
          <w:p w14:paraId="69A698C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HU </w:t>
            </w:r>
            <w:r w:rsidR="00172533" w:rsidRPr="00170B7C">
              <w:rPr>
                <w:color w:val="000000"/>
                <w:sz w:val="28"/>
                <w:szCs w:val="28"/>
              </w:rPr>
              <w:t xml:space="preserve">           </w:t>
            </w:r>
            <w:r w:rsidR="00172533" w:rsidRPr="00170B7C">
              <w:rPr>
                <w:sz w:val="28"/>
                <w:szCs w:val="28"/>
              </w:rPr>
              <w:t>–</w:t>
            </w:r>
          </w:p>
        </w:tc>
        <w:tc>
          <w:tcPr>
            <w:tcW w:w="7801" w:type="dxa"/>
            <w:shd w:val="clear" w:color="auto" w:fill="auto"/>
          </w:tcPr>
          <w:p w14:paraId="373FCEE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шкала Хаунсфилда - количественная шкала рентгеновской плотности (Hounsfield unit) </w:t>
            </w:r>
          </w:p>
        </w:tc>
      </w:tr>
      <w:tr w:rsidR="00C700B8" w:rsidRPr="00170B7C" w14:paraId="61B92707" w14:textId="77777777" w:rsidTr="00170B7C">
        <w:trPr>
          <w:cantSplit/>
          <w:trHeight w:val="400"/>
          <w:tblHeader/>
        </w:trPr>
        <w:tc>
          <w:tcPr>
            <w:tcW w:w="1413" w:type="dxa"/>
            <w:shd w:val="clear" w:color="auto" w:fill="auto"/>
          </w:tcPr>
          <w:p w14:paraId="59F2B68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MELD </w:t>
            </w:r>
            <w:r w:rsidR="00172533" w:rsidRPr="00170B7C">
              <w:rPr>
                <w:color w:val="000000"/>
                <w:sz w:val="28"/>
                <w:szCs w:val="28"/>
              </w:rPr>
              <w:t xml:space="preserve">     </w:t>
            </w:r>
            <w:r w:rsidR="00172533" w:rsidRPr="00170B7C">
              <w:rPr>
                <w:sz w:val="28"/>
                <w:szCs w:val="28"/>
              </w:rPr>
              <w:t>–</w:t>
            </w:r>
          </w:p>
        </w:tc>
        <w:tc>
          <w:tcPr>
            <w:tcW w:w="7801" w:type="dxa"/>
            <w:shd w:val="clear" w:color="auto" w:fill="auto"/>
          </w:tcPr>
          <w:p w14:paraId="4F5096E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шкала для оценки тяжести состояния пациентов с циррозом печени (Model for End-stage Liver Disease) </w:t>
            </w:r>
          </w:p>
        </w:tc>
      </w:tr>
      <w:tr w:rsidR="00C700B8" w:rsidRPr="00170B7C" w14:paraId="224038F5" w14:textId="77777777" w:rsidTr="00170B7C">
        <w:trPr>
          <w:cantSplit/>
          <w:trHeight w:val="400"/>
          <w:tblHeader/>
        </w:trPr>
        <w:tc>
          <w:tcPr>
            <w:tcW w:w="1413" w:type="dxa"/>
            <w:shd w:val="clear" w:color="auto" w:fill="auto"/>
          </w:tcPr>
          <w:p w14:paraId="171B29F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PACS  </w:t>
            </w:r>
            <w:r w:rsidR="00172533" w:rsidRPr="00170B7C">
              <w:rPr>
                <w:color w:val="000000"/>
                <w:sz w:val="28"/>
                <w:szCs w:val="28"/>
              </w:rPr>
              <w:t xml:space="preserve">     </w:t>
            </w:r>
            <w:r w:rsidR="00172533" w:rsidRPr="00170B7C">
              <w:rPr>
                <w:sz w:val="28"/>
                <w:szCs w:val="28"/>
              </w:rPr>
              <w:t>–</w:t>
            </w:r>
          </w:p>
        </w:tc>
        <w:tc>
          <w:tcPr>
            <w:tcW w:w="7801" w:type="dxa"/>
            <w:shd w:val="clear" w:color="auto" w:fill="auto"/>
          </w:tcPr>
          <w:p w14:paraId="082583D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система передачи и архивации изображений, предполагают создание специальных удалённых архивов (Picture Archiving and Communication System) </w:t>
            </w:r>
          </w:p>
        </w:tc>
      </w:tr>
      <w:tr w:rsidR="00C700B8" w:rsidRPr="00E8569A" w14:paraId="17D0BE0C" w14:textId="77777777" w:rsidTr="00170B7C">
        <w:trPr>
          <w:cantSplit/>
          <w:trHeight w:val="400"/>
          <w:tblHeader/>
        </w:trPr>
        <w:tc>
          <w:tcPr>
            <w:tcW w:w="1413" w:type="dxa"/>
            <w:shd w:val="clear" w:color="auto" w:fill="auto"/>
          </w:tcPr>
          <w:p w14:paraId="14D5E50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ROI  </w:t>
            </w:r>
            <w:r w:rsidR="00170B7C" w:rsidRPr="00170B7C">
              <w:rPr>
                <w:color w:val="000000"/>
                <w:sz w:val="28"/>
                <w:szCs w:val="28"/>
              </w:rPr>
              <w:t xml:space="preserve">         </w:t>
            </w:r>
            <w:r w:rsidR="00170B7C" w:rsidRPr="00170B7C">
              <w:rPr>
                <w:sz w:val="28"/>
                <w:szCs w:val="28"/>
              </w:rPr>
              <w:t>–</w:t>
            </w:r>
          </w:p>
        </w:tc>
        <w:tc>
          <w:tcPr>
            <w:tcW w:w="7801" w:type="dxa"/>
            <w:shd w:val="clear" w:color="auto" w:fill="auto"/>
          </w:tcPr>
          <w:p w14:paraId="6CBFDEBC" w14:textId="77777777" w:rsidR="00C700B8" w:rsidRPr="00D32828"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lang w:val="en-US"/>
              </w:rPr>
            </w:pPr>
            <w:r w:rsidRPr="00170B7C">
              <w:rPr>
                <w:color w:val="000000"/>
                <w:sz w:val="28"/>
                <w:szCs w:val="28"/>
              </w:rPr>
              <w:t>зона</w:t>
            </w:r>
            <w:r w:rsidRPr="00D32828">
              <w:rPr>
                <w:color w:val="000000"/>
                <w:sz w:val="28"/>
                <w:szCs w:val="28"/>
                <w:lang w:val="en-US"/>
              </w:rPr>
              <w:t xml:space="preserve"> </w:t>
            </w:r>
            <w:r w:rsidRPr="00170B7C">
              <w:rPr>
                <w:color w:val="000000"/>
                <w:sz w:val="28"/>
                <w:szCs w:val="28"/>
              </w:rPr>
              <w:t>интереса</w:t>
            </w:r>
            <w:r w:rsidRPr="00D32828">
              <w:rPr>
                <w:color w:val="000000"/>
                <w:sz w:val="28"/>
                <w:szCs w:val="28"/>
                <w:lang w:val="en-US"/>
              </w:rPr>
              <w:t xml:space="preserve"> (region of interest) </w:t>
            </w:r>
          </w:p>
        </w:tc>
      </w:tr>
      <w:tr w:rsidR="00C700B8" w:rsidRPr="00170B7C" w14:paraId="4960A487" w14:textId="77777777" w:rsidTr="00170B7C">
        <w:trPr>
          <w:cantSplit/>
          <w:trHeight w:val="400"/>
          <w:tblHeader/>
        </w:trPr>
        <w:tc>
          <w:tcPr>
            <w:tcW w:w="1413" w:type="dxa"/>
            <w:shd w:val="clear" w:color="auto" w:fill="auto"/>
          </w:tcPr>
          <w:p w14:paraId="3E178DA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U-Net </w:t>
            </w:r>
            <w:r w:rsidR="00170B7C" w:rsidRPr="00170B7C">
              <w:rPr>
                <w:color w:val="000000"/>
                <w:sz w:val="28"/>
                <w:szCs w:val="28"/>
              </w:rPr>
              <w:t xml:space="preserve">       </w:t>
            </w:r>
            <w:r w:rsidR="00170B7C" w:rsidRPr="00170B7C">
              <w:rPr>
                <w:sz w:val="28"/>
                <w:szCs w:val="28"/>
              </w:rPr>
              <w:t>–</w:t>
            </w:r>
          </w:p>
        </w:tc>
        <w:tc>
          <w:tcPr>
            <w:tcW w:w="7801" w:type="dxa"/>
            <w:shd w:val="clear" w:color="auto" w:fill="auto"/>
          </w:tcPr>
          <w:p w14:paraId="28A126F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архитектура сверточной нейронной сети, предназначенная для сегментации изображений (первоначально, для биомедицинских изображений). </w:t>
            </w:r>
          </w:p>
        </w:tc>
      </w:tr>
      <w:tr w:rsidR="00C700B8" w:rsidRPr="00170B7C" w14:paraId="566B3264" w14:textId="77777777" w:rsidTr="00170B7C">
        <w:trPr>
          <w:cantSplit/>
          <w:trHeight w:val="400"/>
          <w:tblHeader/>
        </w:trPr>
        <w:tc>
          <w:tcPr>
            <w:tcW w:w="1413" w:type="dxa"/>
            <w:shd w:val="clear" w:color="auto" w:fill="auto"/>
          </w:tcPr>
          <w:p w14:paraId="1B949DD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UW </w:t>
            </w:r>
            <w:r w:rsidR="00170B7C" w:rsidRPr="00170B7C">
              <w:rPr>
                <w:color w:val="000000"/>
                <w:sz w:val="28"/>
                <w:szCs w:val="28"/>
              </w:rPr>
              <w:t xml:space="preserve">          </w:t>
            </w:r>
            <w:r w:rsidR="00170B7C" w:rsidRPr="00170B7C">
              <w:rPr>
                <w:sz w:val="28"/>
                <w:szCs w:val="28"/>
              </w:rPr>
              <w:t>–</w:t>
            </w:r>
          </w:p>
        </w:tc>
        <w:tc>
          <w:tcPr>
            <w:tcW w:w="7801" w:type="dxa"/>
            <w:shd w:val="clear" w:color="auto" w:fill="auto"/>
          </w:tcPr>
          <w:p w14:paraId="2F792AC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раствор Висконсинского университета (раствор Бельзера) </w:t>
            </w:r>
          </w:p>
        </w:tc>
      </w:tr>
      <w:tr w:rsidR="00C700B8" w:rsidRPr="00170B7C" w14:paraId="2AE5DAFC" w14:textId="77777777" w:rsidTr="00170B7C">
        <w:trPr>
          <w:cantSplit/>
          <w:trHeight w:val="400"/>
          <w:tblHeader/>
        </w:trPr>
        <w:tc>
          <w:tcPr>
            <w:tcW w:w="1413" w:type="dxa"/>
            <w:shd w:val="clear" w:color="auto" w:fill="auto"/>
          </w:tcPr>
          <w:p w14:paraId="69790A3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3D </w:t>
            </w:r>
            <w:r w:rsidR="00170B7C" w:rsidRPr="00170B7C">
              <w:rPr>
                <w:color w:val="000000"/>
                <w:sz w:val="28"/>
                <w:szCs w:val="28"/>
              </w:rPr>
              <w:t xml:space="preserve">            </w:t>
            </w:r>
            <w:r w:rsidR="00170B7C" w:rsidRPr="00170B7C">
              <w:rPr>
                <w:sz w:val="28"/>
                <w:szCs w:val="28"/>
              </w:rPr>
              <w:t>–</w:t>
            </w:r>
          </w:p>
        </w:tc>
        <w:tc>
          <w:tcPr>
            <w:tcW w:w="7801" w:type="dxa"/>
            <w:shd w:val="clear" w:color="auto" w:fill="auto"/>
          </w:tcPr>
          <w:p w14:paraId="638971F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трехмерное изображение (three-dimensional) </w:t>
            </w:r>
          </w:p>
        </w:tc>
      </w:tr>
    </w:tbl>
    <w:p w14:paraId="4F0ECF9C"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jc w:val="center"/>
        <w:rPr>
          <w:b/>
          <w:color w:val="000000"/>
          <w:sz w:val="28"/>
          <w:szCs w:val="28"/>
        </w:rPr>
      </w:pPr>
    </w:p>
    <w:p w14:paraId="063F7A41"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jc w:val="center"/>
        <w:rPr>
          <w:b/>
          <w:color w:val="000000"/>
          <w:sz w:val="28"/>
          <w:szCs w:val="28"/>
        </w:rPr>
      </w:pPr>
    </w:p>
    <w:p w14:paraId="4C41B647" w14:textId="77777777" w:rsidR="00C700B8" w:rsidRDefault="00C700B8" w:rsidP="00170B7C">
      <w:pPr>
        <w:pBdr>
          <w:top w:val="none" w:sz="0" w:space="0" w:color="000000"/>
          <w:left w:val="none" w:sz="0" w:space="0" w:color="000000"/>
          <w:bottom w:val="none" w:sz="0" w:space="0" w:color="000000"/>
          <w:right w:val="none" w:sz="0" w:space="0" w:color="000000"/>
          <w:between w:val="none" w:sz="0" w:space="0" w:color="000000"/>
        </w:pBdr>
        <w:jc w:val="both"/>
        <w:rPr>
          <w:b/>
          <w:sz w:val="28"/>
          <w:szCs w:val="28"/>
        </w:rPr>
      </w:pPr>
    </w:p>
    <w:p w14:paraId="0FFA9125" w14:textId="77777777" w:rsidR="00170B7C" w:rsidRPr="00170B7C" w:rsidRDefault="00170B7C" w:rsidP="00170B7C">
      <w:pPr>
        <w:pBdr>
          <w:top w:val="none" w:sz="0" w:space="0" w:color="000000"/>
          <w:left w:val="none" w:sz="0" w:space="0" w:color="000000"/>
          <w:bottom w:val="none" w:sz="0" w:space="0" w:color="000000"/>
          <w:right w:val="none" w:sz="0" w:space="0" w:color="000000"/>
          <w:between w:val="none" w:sz="0" w:space="0" w:color="000000"/>
        </w:pBdr>
        <w:jc w:val="both"/>
        <w:rPr>
          <w:b/>
          <w:sz w:val="28"/>
          <w:szCs w:val="28"/>
        </w:rPr>
      </w:pPr>
    </w:p>
    <w:p w14:paraId="1A9EF9A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b/>
          <w:color w:val="000000"/>
          <w:sz w:val="28"/>
          <w:szCs w:val="28"/>
        </w:rPr>
        <w:lastRenderedPageBreak/>
        <w:t>ВВЕДЕНИЕ</w:t>
      </w:r>
      <w:r w:rsidRPr="00170B7C">
        <w:rPr>
          <w:color w:val="000000"/>
          <w:sz w:val="28"/>
          <w:szCs w:val="28"/>
        </w:rPr>
        <w:t> </w:t>
      </w:r>
    </w:p>
    <w:p w14:paraId="5FDB706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0072F962" w14:textId="77777777" w:rsidR="00C559B7" w:rsidRPr="00C559B7" w:rsidRDefault="00C559B7" w:rsidP="00C559B7">
      <w:pPr>
        <w:shd w:val="clear" w:color="auto" w:fill="FFFFFF"/>
        <w:ind w:firstLine="567"/>
        <w:jc w:val="both"/>
        <w:rPr>
          <w:rFonts w:asciiTheme="majorBidi" w:hAnsiTheme="majorBidi" w:cstheme="majorBidi"/>
          <w:b/>
          <w:bCs/>
          <w:color w:val="000000"/>
          <w:sz w:val="28"/>
          <w:szCs w:val="28"/>
        </w:rPr>
      </w:pPr>
      <w:r w:rsidRPr="00C559B7">
        <w:rPr>
          <w:rFonts w:asciiTheme="majorBidi" w:hAnsiTheme="majorBidi" w:cstheme="majorBidi"/>
          <w:b/>
          <w:bCs/>
          <w:color w:val="000000"/>
          <w:sz w:val="28"/>
          <w:szCs w:val="28"/>
        </w:rPr>
        <w:t>Актуальность проблемы</w:t>
      </w:r>
    </w:p>
    <w:p w14:paraId="55D5C44C" w14:textId="3B78952F" w:rsidR="00C559B7" w:rsidRDefault="00C559B7" w:rsidP="00C559B7">
      <w:pPr>
        <w:shd w:val="clear" w:color="auto" w:fill="FFFFFF"/>
        <w:ind w:firstLine="567"/>
        <w:jc w:val="both"/>
        <w:rPr>
          <w:rFonts w:asciiTheme="majorBidi" w:hAnsiTheme="majorBidi" w:cstheme="majorBidi"/>
          <w:sz w:val="28"/>
          <w:szCs w:val="28"/>
        </w:rPr>
      </w:pPr>
      <w:r w:rsidRPr="00C371D6">
        <w:rPr>
          <w:rFonts w:asciiTheme="majorBidi" w:hAnsiTheme="majorBidi" w:cstheme="majorBidi"/>
          <w:color w:val="000000"/>
          <w:sz w:val="28"/>
          <w:szCs w:val="28"/>
        </w:rPr>
        <w:t xml:space="preserve">Трансплантация печени от живого родственного донора является </w:t>
      </w:r>
      <w:r w:rsidRPr="00C371D6">
        <w:rPr>
          <w:rFonts w:asciiTheme="majorBidi" w:hAnsiTheme="majorBidi" w:cstheme="majorBidi"/>
          <w:color w:val="212121"/>
          <w:sz w:val="28"/>
          <w:szCs w:val="28"/>
          <w:highlight w:val="white"/>
        </w:rPr>
        <w:t>первой линией лечения</w:t>
      </w:r>
      <w:r w:rsidRPr="00C371D6">
        <w:rPr>
          <w:rFonts w:asciiTheme="majorBidi" w:hAnsiTheme="majorBidi" w:cstheme="majorBidi"/>
          <w:color w:val="000000"/>
          <w:sz w:val="28"/>
          <w:szCs w:val="28"/>
        </w:rPr>
        <w:t xml:space="preserve"> </w:t>
      </w:r>
      <w:r w:rsidRPr="00C371D6">
        <w:rPr>
          <w:rFonts w:asciiTheme="majorBidi" w:hAnsiTheme="majorBidi" w:cstheme="majorBidi"/>
          <w:color w:val="212121"/>
          <w:sz w:val="28"/>
          <w:szCs w:val="28"/>
          <w:highlight w:val="white"/>
        </w:rPr>
        <w:t xml:space="preserve">пациентов с терминальной стадией заболеваний печени </w:t>
      </w:r>
      <w:r w:rsidRPr="00C371D6">
        <w:rPr>
          <w:rFonts w:asciiTheme="majorBidi" w:hAnsiTheme="majorBidi" w:cstheme="majorBidi"/>
          <w:color w:val="212121"/>
          <w:sz w:val="28"/>
          <w:szCs w:val="28"/>
          <w:lang w:val="kk-KZ"/>
        </w:rPr>
        <w:t xml:space="preserve">в </w:t>
      </w:r>
      <w:r w:rsidRPr="00C371D6">
        <w:rPr>
          <w:rFonts w:asciiTheme="majorBidi" w:hAnsiTheme="majorBidi" w:cstheme="majorBidi"/>
          <w:color w:val="000000"/>
          <w:sz w:val="28"/>
          <w:szCs w:val="28"/>
        </w:rPr>
        <w:t>странах</w:t>
      </w:r>
      <w:r>
        <w:rPr>
          <w:rFonts w:asciiTheme="majorBidi" w:hAnsiTheme="majorBidi" w:cstheme="majorBidi"/>
          <w:color w:val="000000"/>
          <w:sz w:val="28"/>
          <w:szCs w:val="28"/>
        </w:rPr>
        <w:t xml:space="preserve"> с недостаточно развитой </w:t>
      </w:r>
      <w:r w:rsidRPr="00C371D6">
        <w:rPr>
          <w:rFonts w:asciiTheme="majorBidi" w:hAnsiTheme="majorBidi" w:cstheme="majorBidi"/>
          <w:color w:val="000000"/>
          <w:sz w:val="28"/>
          <w:szCs w:val="28"/>
        </w:rPr>
        <w:t>программ</w:t>
      </w:r>
      <w:r>
        <w:rPr>
          <w:rFonts w:asciiTheme="majorBidi" w:hAnsiTheme="majorBidi" w:cstheme="majorBidi"/>
          <w:color w:val="000000"/>
          <w:sz w:val="28"/>
          <w:szCs w:val="28"/>
        </w:rPr>
        <w:t xml:space="preserve">ой </w:t>
      </w:r>
      <w:r w:rsidRPr="00C371D6">
        <w:rPr>
          <w:rFonts w:asciiTheme="majorBidi" w:hAnsiTheme="majorBidi" w:cstheme="majorBidi"/>
          <w:color w:val="000000"/>
          <w:sz w:val="28"/>
          <w:szCs w:val="28"/>
        </w:rPr>
        <w:t>трупного донорства</w:t>
      </w:r>
      <w:r w:rsidR="00E73B44" w:rsidRPr="00E73B44">
        <w:rPr>
          <w:sz w:val="28"/>
          <w:szCs w:val="28"/>
        </w:rPr>
        <w:t>.</w:t>
      </w:r>
      <w:r w:rsidRPr="00C371D6">
        <w:rPr>
          <w:rFonts w:asciiTheme="majorBidi" w:hAnsiTheme="majorBidi" w:cstheme="majorBidi"/>
          <w:sz w:val="28"/>
          <w:szCs w:val="28"/>
        </w:rPr>
        <w:t xml:space="preserve"> </w:t>
      </w:r>
    </w:p>
    <w:p w14:paraId="04D86B16" w14:textId="3811C20F" w:rsidR="00C559B7" w:rsidRPr="00E73B44" w:rsidRDefault="00C559B7" w:rsidP="00C559B7">
      <w:pPr>
        <w:shd w:val="clear" w:color="auto" w:fill="FFFFFF"/>
        <w:ind w:firstLine="567"/>
        <w:jc w:val="both"/>
        <w:rPr>
          <w:rFonts w:asciiTheme="majorBidi" w:hAnsiTheme="majorBidi" w:cstheme="majorBidi"/>
          <w:color w:val="FF0000"/>
          <w:sz w:val="28"/>
          <w:szCs w:val="28"/>
        </w:rPr>
      </w:pPr>
      <w:r w:rsidRPr="008A5FD6">
        <w:rPr>
          <w:sz w:val="28"/>
          <w:szCs w:val="28"/>
        </w:rPr>
        <w:t>В Казахстане трансплантация печени от живого донора остается единственным методом лечения пациентов с терминал</w:t>
      </w:r>
      <w:r w:rsidR="00D354D5">
        <w:rPr>
          <w:sz w:val="28"/>
          <w:szCs w:val="28"/>
        </w:rPr>
        <w:t>ьной стадией заболеваний печени</w:t>
      </w:r>
      <w:r w:rsidR="00E73B44" w:rsidRPr="00E73B44">
        <w:rPr>
          <w:sz w:val="28"/>
          <w:szCs w:val="28"/>
        </w:rPr>
        <w:t>.</w:t>
      </w:r>
    </w:p>
    <w:p w14:paraId="7D90D0E7" w14:textId="7F5DEE1D" w:rsidR="00C559B7" w:rsidRDefault="00C559B7" w:rsidP="00C559B7">
      <w:pPr>
        <w:pBdr>
          <w:top w:val="nil"/>
          <w:left w:val="nil"/>
          <w:bottom w:val="nil"/>
          <w:right w:val="nil"/>
          <w:between w:val="nil"/>
        </w:pBdr>
        <w:ind w:firstLine="567"/>
        <w:jc w:val="both"/>
        <w:rPr>
          <w:rFonts w:asciiTheme="majorBidi" w:hAnsiTheme="majorBidi" w:cstheme="majorBidi"/>
          <w:color w:val="000000" w:themeColor="text1"/>
          <w:sz w:val="28"/>
          <w:szCs w:val="28"/>
        </w:rPr>
      </w:pPr>
      <w:r>
        <w:rPr>
          <w:rFonts w:asciiTheme="majorBidi" w:hAnsiTheme="majorBidi" w:cstheme="majorBidi"/>
          <w:sz w:val="28"/>
          <w:szCs w:val="28"/>
        </w:rPr>
        <w:t xml:space="preserve">Успехи результатов родственной </w:t>
      </w:r>
      <w:r w:rsidRPr="00C371D6">
        <w:rPr>
          <w:rFonts w:asciiTheme="majorBidi" w:hAnsiTheme="majorBidi" w:cstheme="majorBidi"/>
          <w:sz w:val="28"/>
          <w:szCs w:val="28"/>
        </w:rPr>
        <w:t xml:space="preserve">трансплантации печени </w:t>
      </w:r>
      <w:r>
        <w:rPr>
          <w:rFonts w:asciiTheme="majorBidi" w:hAnsiTheme="majorBidi" w:cstheme="majorBidi"/>
          <w:sz w:val="28"/>
          <w:szCs w:val="28"/>
        </w:rPr>
        <w:t>зависят от многих факторов, к</w:t>
      </w:r>
      <w:r w:rsidRPr="00C371D6">
        <w:rPr>
          <w:rFonts w:asciiTheme="majorBidi" w:hAnsiTheme="majorBidi" w:cstheme="majorBidi"/>
          <w:sz w:val="28"/>
          <w:szCs w:val="28"/>
        </w:rPr>
        <w:t xml:space="preserve">лючевым </w:t>
      </w:r>
      <w:r>
        <w:rPr>
          <w:rFonts w:asciiTheme="majorBidi" w:hAnsiTheme="majorBidi" w:cstheme="majorBidi"/>
          <w:sz w:val="28"/>
          <w:szCs w:val="28"/>
        </w:rPr>
        <w:t xml:space="preserve">из которых </w:t>
      </w:r>
      <w:r w:rsidRPr="00C371D6">
        <w:rPr>
          <w:rFonts w:asciiTheme="majorBidi" w:hAnsiTheme="majorBidi" w:cstheme="majorBidi"/>
          <w:sz w:val="28"/>
          <w:szCs w:val="28"/>
        </w:rPr>
        <w:t>является предоперацион</w:t>
      </w:r>
      <w:r>
        <w:rPr>
          <w:rFonts w:asciiTheme="majorBidi" w:hAnsiTheme="majorBidi" w:cstheme="majorBidi"/>
          <w:sz w:val="28"/>
          <w:szCs w:val="28"/>
        </w:rPr>
        <w:t xml:space="preserve">ная оценка объёма печени донора. </w:t>
      </w:r>
      <w:r w:rsidRPr="008A5FD6">
        <w:rPr>
          <w:rFonts w:asciiTheme="majorBidi" w:hAnsiTheme="majorBidi" w:cstheme="majorBidi"/>
          <w:color w:val="000000" w:themeColor="text1"/>
          <w:sz w:val="28"/>
          <w:szCs w:val="28"/>
        </w:rPr>
        <w:t>Адекватная предоперационная оценка объёма печени донора имеет важное значение для достижения оптимальных клинических результатов</w:t>
      </w:r>
      <w:r>
        <w:rPr>
          <w:rFonts w:asciiTheme="majorBidi" w:hAnsiTheme="majorBidi" w:cstheme="majorBidi"/>
          <w:color w:val="000000" w:themeColor="text1"/>
          <w:sz w:val="28"/>
          <w:szCs w:val="28"/>
        </w:rPr>
        <w:t xml:space="preserve"> </w:t>
      </w:r>
      <w:r w:rsidRPr="008A5FD6">
        <w:rPr>
          <w:rFonts w:asciiTheme="majorBidi" w:hAnsiTheme="majorBidi" w:cstheme="majorBidi"/>
          <w:color w:val="000000" w:themeColor="text1"/>
          <w:sz w:val="28"/>
          <w:szCs w:val="28"/>
        </w:rPr>
        <w:t xml:space="preserve">как для донора, так и реципиента, минимизируя риски развития печеночной недостаточности, обусловленные </w:t>
      </w:r>
      <w:r w:rsidR="00A94A84" w:rsidRPr="00A94A84">
        <w:rPr>
          <w:rFonts w:asciiTheme="majorBidi" w:hAnsiTheme="majorBidi" w:cstheme="majorBidi"/>
          <w:color w:val="000000" w:themeColor="text1"/>
          <w:sz w:val="28"/>
          <w:szCs w:val="28"/>
        </w:rPr>
        <w:t>small - for - size syndrome</w:t>
      </w:r>
      <w:r w:rsidR="00E73B44" w:rsidRPr="00E73B44">
        <w:rPr>
          <w:sz w:val="28"/>
          <w:szCs w:val="28"/>
        </w:rPr>
        <w:t>.</w:t>
      </w:r>
      <w:r w:rsidRPr="008A5FD6">
        <w:rPr>
          <w:rFonts w:asciiTheme="majorBidi" w:hAnsiTheme="majorBidi" w:cstheme="majorBidi"/>
          <w:color w:val="000000" w:themeColor="text1"/>
          <w:sz w:val="28"/>
          <w:szCs w:val="28"/>
        </w:rPr>
        <w:t xml:space="preserve"> </w:t>
      </w:r>
    </w:p>
    <w:p w14:paraId="37AB2AAD" w14:textId="799F4463" w:rsidR="00C559B7" w:rsidRDefault="00C559B7" w:rsidP="00C559B7">
      <w:pPr>
        <w:pBdr>
          <w:top w:val="nil"/>
          <w:left w:val="nil"/>
          <w:bottom w:val="nil"/>
          <w:right w:val="nil"/>
          <w:between w:val="nil"/>
        </w:pBdr>
        <w:ind w:firstLine="567"/>
        <w:jc w:val="both"/>
        <w:rPr>
          <w:rFonts w:asciiTheme="majorBidi" w:hAnsiTheme="majorBidi" w:cstheme="majorBidi"/>
          <w:sz w:val="28"/>
          <w:szCs w:val="28"/>
        </w:rPr>
      </w:pPr>
      <w:r>
        <w:rPr>
          <w:rFonts w:asciiTheme="majorBidi" w:hAnsiTheme="majorBidi" w:cstheme="majorBidi"/>
          <w:sz w:val="28"/>
          <w:szCs w:val="28"/>
        </w:rPr>
        <w:t xml:space="preserve">По литературным данным </w:t>
      </w:r>
      <w:r w:rsidRPr="00C371D6">
        <w:rPr>
          <w:rFonts w:asciiTheme="majorBidi" w:hAnsiTheme="majorBidi" w:cstheme="majorBidi"/>
          <w:sz w:val="28"/>
          <w:szCs w:val="28"/>
        </w:rPr>
        <w:t>объём</w:t>
      </w:r>
      <w:r>
        <w:rPr>
          <w:rFonts w:asciiTheme="majorBidi" w:hAnsiTheme="majorBidi" w:cstheme="majorBidi"/>
          <w:sz w:val="28"/>
          <w:szCs w:val="28"/>
        </w:rPr>
        <w:t xml:space="preserve"> </w:t>
      </w:r>
      <w:r w:rsidRPr="00C371D6">
        <w:rPr>
          <w:rFonts w:asciiTheme="majorBidi" w:hAnsiTheme="majorBidi" w:cstheme="majorBidi"/>
          <w:sz w:val="28"/>
          <w:szCs w:val="28"/>
        </w:rPr>
        <w:t xml:space="preserve">остаточной печени у донора должен составлять не менее 30–40%, соотношение массы трансплантата к массе тела реципиента </w:t>
      </w:r>
      <w:r>
        <w:rPr>
          <w:rFonts w:asciiTheme="majorBidi" w:hAnsiTheme="majorBidi" w:cstheme="majorBidi"/>
          <w:sz w:val="28"/>
          <w:szCs w:val="28"/>
        </w:rPr>
        <w:t>не менее 0,8%</w:t>
      </w:r>
      <w:r w:rsidRPr="00E5153D">
        <w:rPr>
          <w:rFonts w:asciiTheme="majorBidi" w:hAnsiTheme="majorBidi" w:cstheme="majorBidi"/>
          <w:sz w:val="28"/>
          <w:szCs w:val="28"/>
        </w:rPr>
        <w:t xml:space="preserve"> </w:t>
      </w:r>
      <w:r>
        <w:rPr>
          <w:rFonts w:asciiTheme="majorBidi" w:hAnsiTheme="majorBidi" w:cstheme="majorBidi"/>
          <w:sz w:val="28"/>
          <w:szCs w:val="28"/>
        </w:rPr>
        <w:t>д</w:t>
      </w:r>
      <w:r w:rsidRPr="00C371D6">
        <w:rPr>
          <w:rFonts w:asciiTheme="majorBidi" w:hAnsiTheme="majorBidi" w:cstheme="majorBidi"/>
          <w:sz w:val="28"/>
          <w:szCs w:val="28"/>
        </w:rPr>
        <w:t>ля предотвращения критических осложнений</w:t>
      </w:r>
      <w:r>
        <w:rPr>
          <w:rFonts w:asciiTheme="majorBidi" w:hAnsiTheme="majorBidi" w:cstheme="majorBidi"/>
          <w:sz w:val="28"/>
          <w:szCs w:val="28"/>
        </w:rPr>
        <w:t xml:space="preserve">. </w:t>
      </w:r>
      <w:r w:rsidRPr="00C371D6">
        <w:rPr>
          <w:rFonts w:asciiTheme="majorBidi" w:hAnsiTheme="majorBidi" w:cstheme="majorBidi"/>
          <w:sz w:val="28"/>
          <w:szCs w:val="28"/>
        </w:rPr>
        <w:t>Достижение этих параметров возможно при использовании количественной оценки объёма печени с помощью современных методов визуальной диагностики</w:t>
      </w:r>
      <w:r w:rsidR="00E73B44" w:rsidRPr="00E73B44">
        <w:rPr>
          <w:rFonts w:asciiTheme="majorBidi" w:hAnsiTheme="majorBidi" w:cstheme="majorBidi"/>
          <w:color w:val="000000"/>
          <w:sz w:val="28"/>
          <w:szCs w:val="28"/>
        </w:rPr>
        <w:t>.</w:t>
      </w:r>
      <w:r>
        <w:rPr>
          <w:rFonts w:asciiTheme="majorBidi" w:hAnsiTheme="majorBidi" w:cstheme="majorBidi"/>
          <w:sz w:val="28"/>
          <w:szCs w:val="28"/>
        </w:rPr>
        <w:t xml:space="preserve"> </w:t>
      </w:r>
    </w:p>
    <w:p w14:paraId="3C90F2F5" w14:textId="6AB15052" w:rsidR="00C559B7" w:rsidRPr="00C371D6" w:rsidRDefault="00C559B7" w:rsidP="00C559B7">
      <w:pPr>
        <w:shd w:val="clear" w:color="auto" w:fill="FFFFFF"/>
        <w:ind w:firstLine="567"/>
        <w:jc w:val="both"/>
        <w:rPr>
          <w:rFonts w:asciiTheme="majorBidi" w:hAnsiTheme="majorBidi" w:cstheme="majorBidi"/>
          <w:color w:val="000000"/>
          <w:sz w:val="28"/>
          <w:szCs w:val="28"/>
        </w:rPr>
      </w:pPr>
      <w:r w:rsidRPr="003E5D5C">
        <w:rPr>
          <w:sz w:val="28"/>
          <w:szCs w:val="28"/>
        </w:rPr>
        <w:t xml:space="preserve">Радиологическая визуализация является обязательным </w:t>
      </w:r>
      <w:r>
        <w:rPr>
          <w:sz w:val="28"/>
          <w:szCs w:val="28"/>
        </w:rPr>
        <w:t xml:space="preserve">и </w:t>
      </w:r>
      <w:r w:rsidRPr="003E5D5C">
        <w:rPr>
          <w:sz w:val="28"/>
          <w:szCs w:val="28"/>
        </w:rPr>
        <w:t xml:space="preserve">решающим этапом предоперационного отбора потенциального донора.  </w:t>
      </w:r>
      <w:r w:rsidRPr="003E5D5C">
        <w:rPr>
          <w:rFonts w:asciiTheme="majorBidi" w:hAnsiTheme="majorBidi" w:cstheme="majorBidi"/>
          <w:sz w:val="28"/>
          <w:szCs w:val="28"/>
        </w:rPr>
        <w:t>К</w:t>
      </w:r>
      <w:r w:rsidRPr="00C371D6">
        <w:rPr>
          <w:rFonts w:asciiTheme="majorBidi" w:hAnsiTheme="majorBidi" w:cstheme="majorBidi"/>
          <w:sz w:val="28"/>
          <w:szCs w:val="28"/>
        </w:rPr>
        <w:t xml:space="preserve">омпьютерная томография органов брюшной полости с внутривенным </w:t>
      </w:r>
      <w:r w:rsidRPr="00C371D6">
        <w:rPr>
          <w:rFonts w:asciiTheme="majorBidi" w:hAnsiTheme="majorBidi" w:cstheme="majorBidi"/>
          <w:color w:val="000000"/>
          <w:sz w:val="28"/>
          <w:szCs w:val="28"/>
        </w:rPr>
        <w:t xml:space="preserve">контрастированием </w:t>
      </w:r>
      <w:r>
        <w:rPr>
          <w:rFonts w:asciiTheme="majorBidi" w:hAnsiTheme="majorBidi" w:cstheme="majorBidi"/>
          <w:color w:val="000000"/>
          <w:sz w:val="28"/>
          <w:szCs w:val="28"/>
        </w:rPr>
        <w:t>- метод</w:t>
      </w:r>
      <w:r w:rsidRPr="00C371D6">
        <w:rPr>
          <w:rFonts w:asciiTheme="majorBidi" w:hAnsiTheme="majorBidi" w:cstheme="majorBidi"/>
          <w:color w:val="000000"/>
          <w:sz w:val="28"/>
          <w:szCs w:val="28"/>
        </w:rPr>
        <w:t xml:space="preserve"> </w:t>
      </w:r>
      <w:r>
        <w:rPr>
          <w:rFonts w:asciiTheme="majorBidi" w:hAnsiTheme="majorBidi" w:cstheme="majorBidi"/>
          <w:color w:val="000000"/>
          <w:sz w:val="28"/>
          <w:szCs w:val="28"/>
        </w:rPr>
        <w:t xml:space="preserve">выбора при планировании родственной трансплантации, </w:t>
      </w:r>
      <w:r w:rsidRPr="00C371D6">
        <w:rPr>
          <w:rFonts w:asciiTheme="majorBidi" w:hAnsiTheme="majorBidi" w:cstheme="majorBidi"/>
          <w:color w:val="000000"/>
          <w:sz w:val="28"/>
          <w:szCs w:val="28"/>
        </w:rPr>
        <w:t>позволяющая оценить</w:t>
      </w:r>
      <w:r>
        <w:rPr>
          <w:rFonts w:asciiTheme="majorBidi" w:hAnsiTheme="majorBidi" w:cstheme="majorBidi"/>
          <w:color w:val="000000"/>
          <w:sz w:val="28"/>
          <w:szCs w:val="28"/>
        </w:rPr>
        <w:t xml:space="preserve"> </w:t>
      </w:r>
      <w:r w:rsidRPr="00D51D6A">
        <w:rPr>
          <w:rFonts w:asciiTheme="majorBidi" w:hAnsiTheme="majorBidi" w:cstheme="majorBidi"/>
          <w:sz w:val="28"/>
          <w:szCs w:val="28"/>
        </w:rPr>
        <w:t>качественные и количественные характеристики печени</w:t>
      </w:r>
      <w:r>
        <w:rPr>
          <w:rFonts w:asciiTheme="majorBidi" w:hAnsiTheme="majorBidi" w:cstheme="majorBidi"/>
          <w:sz w:val="28"/>
          <w:szCs w:val="28"/>
        </w:rPr>
        <w:t xml:space="preserve"> </w:t>
      </w:r>
      <w:r w:rsidRPr="00D51D6A">
        <w:rPr>
          <w:rFonts w:asciiTheme="majorBidi" w:hAnsiTheme="majorBidi" w:cstheme="majorBidi"/>
          <w:sz w:val="28"/>
          <w:szCs w:val="28"/>
        </w:rPr>
        <w:t>донора</w:t>
      </w:r>
      <w:r>
        <w:rPr>
          <w:rFonts w:asciiTheme="majorBidi" w:hAnsiTheme="majorBidi" w:cstheme="majorBidi"/>
          <w:sz w:val="28"/>
          <w:szCs w:val="28"/>
        </w:rPr>
        <w:t xml:space="preserve"> и реципиента. </w:t>
      </w:r>
      <w:r w:rsidRPr="00C371D6">
        <w:rPr>
          <w:rFonts w:asciiTheme="majorBidi" w:hAnsiTheme="majorBidi" w:cstheme="majorBidi"/>
          <w:color w:val="000000"/>
          <w:sz w:val="28"/>
          <w:szCs w:val="28"/>
        </w:rPr>
        <w:t>Компьютерно-томографическая волюметрия (КТ-волюметрия) признана стандартом предоперацион</w:t>
      </w:r>
      <w:r w:rsidR="00D354D5">
        <w:rPr>
          <w:rFonts w:asciiTheme="majorBidi" w:hAnsiTheme="majorBidi" w:cstheme="majorBidi"/>
          <w:color w:val="000000"/>
          <w:sz w:val="28"/>
          <w:szCs w:val="28"/>
        </w:rPr>
        <w:t>ной оценки объёма печени донора</w:t>
      </w:r>
      <w:r w:rsidR="00E73B44" w:rsidRPr="00E73B44">
        <w:rPr>
          <w:rFonts w:asciiTheme="majorBidi" w:hAnsiTheme="majorBidi" w:cstheme="majorBidi"/>
          <w:color w:val="000000"/>
          <w:sz w:val="28"/>
          <w:szCs w:val="28"/>
        </w:rPr>
        <w:t>.</w:t>
      </w:r>
      <w:r w:rsidRPr="00C371D6">
        <w:rPr>
          <w:rFonts w:asciiTheme="majorBidi" w:hAnsiTheme="majorBidi" w:cstheme="majorBidi"/>
          <w:color w:val="000000"/>
          <w:sz w:val="28"/>
          <w:szCs w:val="28"/>
        </w:rPr>
        <w:t xml:space="preserve"> </w:t>
      </w:r>
    </w:p>
    <w:p w14:paraId="1FC57F1E" w14:textId="5ED40C5C" w:rsidR="00C559B7" w:rsidRPr="003E4D9E" w:rsidRDefault="00C559B7" w:rsidP="00C559B7">
      <w:pPr>
        <w:pBdr>
          <w:top w:val="nil"/>
          <w:left w:val="nil"/>
          <w:bottom w:val="nil"/>
          <w:right w:val="nil"/>
          <w:between w:val="nil"/>
        </w:pBdr>
        <w:ind w:firstLine="567"/>
        <w:jc w:val="both"/>
        <w:rPr>
          <w:rFonts w:asciiTheme="majorBidi" w:hAnsiTheme="majorBidi" w:cstheme="majorBidi"/>
          <w:sz w:val="28"/>
          <w:szCs w:val="28"/>
          <w:lang w:val="kk-KZ"/>
        </w:rPr>
      </w:pPr>
      <w:r>
        <w:rPr>
          <w:rFonts w:asciiTheme="majorBidi" w:hAnsiTheme="majorBidi" w:cstheme="majorBidi"/>
          <w:color w:val="000000"/>
          <w:sz w:val="28"/>
          <w:szCs w:val="28"/>
          <w:lang w:val="kk-KZ"/>
        </w:rPr>
        <w:t>В настоящее время для определения объема печени донора в предоперационном периоде используются различные методы КТ-волюметрии, такие как мануальный, полуавтоматический и автоматический</w:t>
      </w:r>
      <w:r>
        <w:rPr>
          <w:rFonts w:asciiTheme="majorBidi" w:hAnsiTheme="majorBidi" w:cstheme="majorBidi"/>
          <w:color w:val="000000"/>
          <w:sz w:val="28"/>
          <w:szCs w:val="28"/>
        </w:rPr>
        <w:t>.</w:t>
      </w:r>
      <w:r>
        <w:rPr>
          <w:rFonts w:asciiTheme="majorBidi" w:hAnsiTheme="majorBidi" w:cstheme="majorBidi"/>
          <w:color w:val="000000"/>
          <w:sz w:val="28"/>
          <w:szCs w:val="28"/>
          <w:lang w:val="kk-KZ"/>
        </w:rPr>
        <w:t xml:space="preserve"> В доступной литературе </w:t>
      </w:r>
      <w:r w:rsidRPr="00783CAF">
        <w:rPr>
          <w:rFonts w:asciiTheme="majorBidi" w:hAnsiTheme="majorBidi" w:cstheme="majorBidi"/>
          <w:sz w:val="28"/>
          <w:szCs w:val="28"/>
          <w:lang w:val="kk-KZ"/>
        </w:rPr>
        <w:t>опубликованы</w:t>
      </w:r>
      <w:r>
        <w:rPr>
          <w:rFonts w:asciiTheme="majorBidi" w:hAnsiTheme="majorBidi" w:cstheme="majorBidi"/>
          <w:color w:val="000000"/>
          <w:sz w:val="28"/>
          <w:szCs w:val="28"/>
          <w:lang w:val="kk-KZ"/>
        </w:rPr>
        <w:t xml:space="preserve"> результаты научных исследований, посвященных </w:t>
      </w:r>
      <w:r w:rsidRPr="00476529">
        <w:rPr>
          <w:rFonts w:asciiTheme="majorBidi" w:hAnsiTheme="majorBidi" w:cstheme="majorBidi"/>
          <w:sz w:val="28"/>
          <w:szCs w:val="28"/>
          <w:lang w:val="kk-KZ"/>
        </w:rPr>
        <w:t>изучен</w:t>
      </w:r>
      <w:r>
        <w:rPr>
          <w:rFonts w:asciiTheme="majorBidi" w:hAnsiTheme="majorBidi" w:cstheme="majorBidi"/>
          <w:sz w:val="28"/>
          <w:szCs w:val="28"/>
          <w:lang w:val="kk-KZ"/>
        </w:rPr>
        <w:t xml:space="preserve">ию </w:t>
      </w:r>
      <w:r w:rsidRPr="00476529">
        <w:rPr>
          <w:rFonts w:asciiTheme="majorBidi" w:hAnsiTheme="majorBidi" w:cstheme="majorBidi"/>
          <w:sz w:val="28"/>
          <w:szCs w:val="28"/>
          <w:lang w:val="kk-KZ"/>
        </w:rPr>
        <w:t>возможност</w:t>
      </w:r>
      <w:r>
        <w:rPr>
          <w:rFonts w:asciiTheme="majorBidi" w:hAnsiTheme="majorBidi" w:cstheme="majorBidi"/>
          <w:sz w:val="28"/>
          <w:szCs w:val="28"/>
          <w:lang w:val="kk-KZ"/>
        </w:rPr>
        <w:t xml:space="preserve">ей данных </w:t>
      </w:r>
      <w:r w:rsidRPr="002F65E6">
        <w:rPr>
          <w:rFonts w:asciiTheme="majorBidi" w:hAnsiTheme="majorBidi" w:cstheme="majorBidi"/>
          <w:sz w:val="28"/>
          <w:szCs w:val="28"/>
          <w:lang w:val="kk-KZ"/>
        </w:rPr>
        <w:t>методов</w:t>
      </w:r>
      <w:r w:rsidRPr="00476529">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Однако, существующие методы КТ-волюметрии не всегда обеспечивают необходимую точность, и </w:t>
      </w:r>
      <w:r>
        <w:rPr>
          <w:rFonts w:asciiTheme="majorBidi" w:hAnsiTheme="majorBidi" w:cstheme="majorBidi"/>
          <w:color w:val="000000"/>
          <w:sz w:val="28"/>
          <w:szCs w:val="28"/>
          <w:lang w:val="kk-KZ"/>
        </w:rPr>
        <w:t xml:space="preserve">частота ошибки предоперационного объема печени в сравнении с весом трансплантата достигает  </w:t>
      </w:r>
      <w:r w:rsidRPr="003E4D9E">
        <w:rPr>
          <w:rFonts w:asciiTheme="majorBidi" w:hAnsiTheme="majorBidi" w:cstheme="majorBidi"/>
          <w:color w:val="000000"/>
          <w:sz w:val="28"/>
          <w:szCs w:val="28"/>
        </w:rPr>
        <w:t>20</w:t>
      </w:r>
      <w:r>
        <w:rPr>
          <w:rFonts w:asciiTheme="majorBidi" w:hAnsiTheme="majorBidi" w:cstheme="majorBidi"/>
          <w:color w:val="000000"/>
          <w:sz w:val="28"/>
          <w:szCs w:val="28"/>
          <w:lang w:val="kk-KZ"/>
        </w:rPr>
        <w:t xml:space="preserve">%. Это требует  совершенствования подходов предоперационной волюметрии, направленных на повышение точности рассчитанного объема печени </w:t>
      </w:r>
      <w:r w:rsidRPr="004D6CC3">
        <w:rPr>
          <w:sz w:val="28"/>
          <w:szCs w:val="28"/>
        </w:rPr>
        <w:t>с фактической интраоперационной массой трансплантата</w:t>
      </w:r>
      <w:r w:rsidR="00E73B44" w:rsidRPr="00E73B44">
        <w:rPr>
          <w:color w:val="000000"/>
          <w:sz w:val="28"/>
          <w:szCs w:val="28"/>
        </w:rPr>
        <w:t>.</w:t>
      </w:r>
      <w:r w:rsidRPr="00C363E2">
        <w:rPr>
          <w:rFonts w:asciiTheme="majorBidi" w:hAnsiTheme="majorBidi" w:cstheme="majorBidi"/>
          <w:sz w:val="28"/>
          <w:szCs w:val="28"/>
        </w:rPr>
        <w:t xml:space="preserve"> </w:t>
      </w:r>
    </w:p>
    <w:p w14:paraId="76AA5AC4" w14:textId="77777777" w:rsidR="00C559B7" w:rsidRDefault="00C559B7" w:rsidP="00C559B7">
      <w:pPr>
        <w:pBdr>
          <w:top w:val="nil"/>
          <w:left w:val="nil"/>
          <w:bottom w:val="nil"/>
          <w:right w:val="nil"/>
          <w:between w:val="nil"/>
        </w:pBdr>
        <w:ind w:firstLine="567"/>
        <w:jc w:val="both"/>
        <w:rPr>
          <w:rFonts w:asciiTheme="majorBidi" w:hAnsiTheme="majorBidi" w:cstheme="majorBidi"/>
          <w:sz w:val="28"/>
          <w:szCs w:val="28"/>
        </w:rPr>
      </w:pPr>
      <w:r>
        <w:rPr>
          <w:rFonts w:asciiTheme="majorBidi" w:hAnsiTheme="majorBidi" w:cstheme="majorBidi"/>
          <w:color w:val="000000"/>
          <w:sz w:val="28"/>
          <w:szCs w:val="28"/>
        </w:rPr>
        <w:t>Таким образом, а</w:t>
      </w:r>
      <w:r>
        <w:rPr>
          <w:rFonts w:asciiTheme="majorBidi" w:hAnsiTheme="majorBidi" w:cstheme="majorBidi"/>
          <w:sz w:val="28"/>
          <w:szCs w:val="28"/>
        </w:rPr>
        <w:t xml:space="preserve">декватная </w:t>
      </w:r>
      <w:r w:rsidRPr="00C371D6">
        <w:rPr>
          <w:rFonts w:asciiTheme="majorBidi" w:hAnsiTheme="majorBidi" w:cstheme="majorBidi"/>
          <w:sz w:val="28"/>
          <w:szCs w:val="28"/>
        </w:rPr>
        <w:t>предоперационная оценка объёма печени донор</w:t>
      </w:r>
      <w:r>
        <w:rPr>
          <w:rFonts w:asciiTheme="majorBidi" w:hAnsiTheme="majorBidi" w:cstheme="majorBidi"/>
          <w:sz w:val="28"/>
          <w:szCs w:val="28"/>
        </w:rPr>
        <w:t xml:space="preserve">а </w:t>
      </w:r>
      <w:r w:rsidRPr="00C371D6">
        <w:rPr>
          <w:rFonts w:asciiTheme="majorBidi" w:hAnsiTheme="majorBidi" w:cstheme="majorBidi"/>
          <w:sz w:val="28"/>
          <w:szCs w:val="28"/>
        </w:rPr>
        <w:t xml:space="preserve">является </w:t>
      </w:r>
      <w:r w:rsidRPr="00C371D6">
        <w:rPr>
          <w:rFonts w:asciiTheme="majorBidi" w:hAnsiTheme="majorBidi" w:cstheme="majorBidi"/>
          <w:sz w:val="28"/>
          <w:szCs w:val="28"/>
          <w:lang w:val="kk-KZ"/>
        </w:rPr>
        <w:t xml:space="preserve">актуальной </w:t>
      </w:r>
      <w:r>
        <w:rPr>
          <w:rFonts w:asciiTheme="majorBidi" w:hAnsiTheme="majorBidi" w:cstheme="majorBidi"/>
          <w:sz w:val="28"/>
          <w:szCs w:val="28"/>
          <w:lang w:val="kk-KZ"/>
        </w:rPr>
        <w:t xml:space="preserve">проблемой </w:t>
      </w:r>
      <w:r w:rsidRPr="00C371D6">
        <w:rPr>
          <w:rFonts w:asciiTheme="majorBidi" w:hAnsiTheme="majorBidi" w:cstheme="majorBidi"/>
          <w:sz w:val="28"/>
          <w:szCs w:val="28"/>
          <w:lang w:val="kk-KZ"/>
        </w:rPr>
        <w:t>современной трансплантологии</w:t>
      </w:r>
      <w:r>
        <w:rPr>
          <w:rFonts w:asciiTheme="majorBidi" w:hAnsiTheme="majorBidi" w:cstheme="majorBidi"/>
          <w:sz w:val="28"/>
          <w:szCs w:val="28"/>
          <w:lang w:val="kk-KZ"/>
        </w:rPr>
        <w:t>, требующая дальнейшего изучения возможностей существующих методов КТ-волюметрии, изучения факторов, влияющих на оценку, разработки новых методов предоперационной оценки объема печени</w:t>
      </w:r>
      <w:r w:rsidRPr="00C371D6">
        <w:rPr>
          <w:rFonts w:asciiTheme="majorBidi" w:hAnsiTheme="majorBidi" w:cstheme="majorBidi"/>
          <w:sz w:val="28"/>
          <w:szCs w:val="28"/>
        </w:rPr>
        <w:t xml:space="preserve">, </w:t>
      </w:r>
      <w:r>
        <w:rPr>
          <w:rFonts w:asciiTheme="majorBidi" w:hAnsiTheme="majorBidi" w:cstheme="majorBidi"/>
          <w:sz w:val="28"/>
          <w:szCs w:val="28"/>
        </w:rPr>
        <w:t xml:space="preserve">для </w:t>
      </w:r>
      <w:r w:rsidRPr="00C371D6">
        <w:rPr>
          <w:rFonts w:asciiTheme="majorBidi" w:hAnsiTheme="majorBidi" w:cstheme="majorBidi"/>
          <w:sz w:val="28"/>
          <w:szCs w:val="28"/>
        </w:rPr>
        <w:t>выбор</w:t>
      </w:r>
      <w:r>
        <w:rPr>
          <w:rFonts w:asciiTheme="majorBidi" w:hAnsiTheme="majorBidi" w:cstheme="majorBidi"/>
          <w:sz w:val="28"/>
          <w:szCs w:val="28"/>
        </w:rPr>
        <w:t>а</w:t>
      </w:r>
      <w:r w:rsidRPr="00C371D6">
        <w:rPr>
          <w:rFonts w:asciiTheme="majorBidi" w:hAnsiTheme="majorBidi" w:cstheme="majorBidi"/>
          <w:sz w:val="28"/>
          <w:szCs w:val="28"/>
        </w:rPr>
        <w:t xml:space="preserve"> </w:t>
      </w:r>
      <w:r>
        <w:rPr>
          <w:rFonts w:asciiTheme="majorBidi" w:hAnsiTheme="majorBidi" w:cstheme="majorBidi"/>
          <w:sz w:val="28"/>
          <w:szCs w:val="28"/>
        </w:rPr>
        <w:t>потенциального донора</w:t>
      </w:r>
      <w:r w:rsidRPr="00C371D6">
        <w:rPr>
          <w:rFonts w:asciiTheme="majorBidi" w:hAnsiTheme="majorBidi" w:cstheme="majorBidi"/>
          <w:sz w:val="28"/>
          <w:szCs w:val="28"/>
        </w:rPr>
        <w:t>, снижени</w:t>
      </w:r>
      <w:r>
        <w:rPr>
          <w:rFonts w:asciiTheme="majorBidi" w:hAnsiTheme="majorBidi" w:cstheme="majorBidi"/>
          <w:sz w:val="28"/>
          <w:szCs w:val="28"/>
        </w:rPr>
        <w:t>я</w:t>
      </w:r>
      <w:r w:rsidRPr="00C371D6">
        <w:rPr>
          <w:rFonts w:asciiTheme="majorBidi" w:hAnsiTheme="majorBidi" w:cstheme="majorBidi"/>
          <w:sz w:val="28"/>
          <w:szCs w:val="28"/>
        </w:rPr>
        <w:t xml:space="preserve"> рисков послеоперационных осложнений у реципиента</w:t>
      </w:r>
      <w:r>
        <w:rPr>
          <w:rFonts w:asciiTheme="majorBidi" w:hAnsiTheme="majorBidi" w:cstheme="majorBidi"/>
          <w:sz w:val="28"/>
          <w:szCs w:val="28"/>
        </w:rPr>
        <w:t xml:space="preserve"> </w:t>
      </w:r>
      <w:r w:rsidRPr="00C371D6">
        <w:rPr>
          <w:rFonts w:asciiTheme="majorBidi" w:hAnsiTheme="majorBidi" w:cstheme="majorBidi"/>
          <w:sz w:val="28"/>
          <w:szCs w:val="28"/>
        </w:rPr>
        <w:t>и донора.</w:t>
      </w:r>
    </w:p>
    <w:p w14:paraId="00690C3D" w14:textId="77777777" w:rsidR="00C559B7" w:rsidRPr="00C371D6" w:rsidRDefault="00C559B7" w:rsidP="00C559B7">
      <w:pPr>
        <w:pBdr>
          <w:top w:val="none" w:sz="0" w:space="0" w:color="000000"/>
          <w:left w:val="none" w:sz="0" w:space="0" w:color="000000"/>
          <w:bottom w:val="none" w:sz="0" w:space="0" w:color="000000"/>
          <w:right w:val="none" w:sz="0" w:space="0" w:color="000000"/>
          <w:between w:val="none" w:sz="0" w:space="0" w:color="000000"/>
        </w:pBdr>
        <w:ind w:firstLine="567"/>
        <w:jc w:val="both"/>
        <w:rPr>
          <w:rFonts w:asciiTheme="majorBidi" w:eastAsia="Calibri" w:hAnsiTheme="majorBidi" w:cstheme="majorBidi"/>
          <w:color w:val="000000"/>
          <w:sz w:val="28"/>
          <w:szCs w:val="28"/>
        </w:rPr>
      </w:pPr>
      <w:r w:rsidRPr="00C371D6">
        <w:rPr>
          <w:rFonts w:asciiTheme="majorBidi" w:hAnsiTheme="majorBidi" w:cstheme="majorBidi"/>
          <w:b/>
          <w:color w:val="000000"/>
          <w:sz w:val="28"/>
          <w:szCs w:val="28"/>
        </w:rPr>
        <w:lastRenderedPageBreak/>
        <w:t>Цель исследования:</w:t>
      </w:r>
      <w:r w:rsidRPr="00C371D6">
        <w:rPr>
          <w:rFonts w:asciiTheme="majorBidi" w:hAnsiTheme="majorBidi" w:cstheme="majorBidi"/>
          <w:i/>
          <w:color w:val="000000"/>
          <w:sz w:val="28"/>
          <w:szCs w:val="28"/>
        </w:rPr>
        <w:t xml:space="preserve"> </w:t>
      </w:r>
      <w:r w:rsidRPr="00C371D6">
        <w:rPr>
          <w:rFonts w:asciiTheme="majorBidi" w:hAnsiTheme="majorBidi" w:cstheme="majorBidi"/>
          <w:color w:val="000000"/>
          <w:sz w:val="28"/>
          <w:szCs w:val="28"/>
        </w:rPr>
        <w:t>улучшить предоперационную компьютерно- томографическую оценку объема печени донора при родственной трансплантации. </w:t>
      </w:r>
    </w:p>
    <w:p w14:paraId="59073D86" w14:textId="77777777" w:rsidR="00C559B7" w:rsidRPr="00C371D6" w:rsidRDefault="00C559B7" w:rsidP="00C559B7">
      <w:pPr>
        <w:pBdr>
          <w:top w:val="none" w:sz="0" w:space="0" w:color="000000"/>
          <w:left w:val="none" w:sz="0" w:space="0" w:color="000000"/>
          <w:bottom w:val="none" w:sz="0" w:space="0" w:color="000000"/>
          <w:right w:val="none" w:sz="0" w:space="0" w:color="000000"/>
          <w:between w:val="none" w:sz="0" w:space="0" w:color="000000"/>
        </w:pBdr>
        <w:ind w:firstLine="567"/>
        <w:rPr>
          <w:rFonts w:asciiTheme="majorBidi" w:eastAsia="Calibri" w:hAnsiTheme="majorBidi" w:cstheme="majorBidi"/>
          <w:color w:val="000000"/>
          <w:sz w:val="28"/>
          <w:szCs w:val="28"/>
        </w:rPr>
      </w:pPr>
      <w:r w:rsidRPr="00C371D6">
        <w:rPr>
          <w:rFonts w:asciiTheme="majorBidi" w:hAnsiTheme="majorBidi" w:cstheme="majorBidi"/>
          <w:b/>
          <w:color w:val="000000"/>
          <w:sz w:val="28"/>
          <w:szCs w:val="28"/>
        </w:rPr>
        <w:t>Задачи исследования:</w:t>
      </w:r>
      <w:r w:rsidRPr="00C371D6">
        <w:rPr>
          <w:rFonts w:asciiTheme="majorBidi" w:hAnsiTheme="majorBidi" w:cstheme="majorBidi"/>
          <w:color w:val="000000"/>
          <w:sz w:val="28"/>
          <w:szCs w:val="28"/>
        </w:rPr>
        <w:t> </w:t>
      </w:r>
    </w:p>
    <w:p w14:paraId="05D034D2" w14:textId="77777777" w:rsidR="00C559B7" w:rsidRPr="00C371D6" w:rsidRDefault="00C559B7" w:rsidP="00C559B7">
      <w:pPr>
        <w:numPr>
          <w:ilvl w:val="0"/>
          <w:numId w:val="7"/>
        </w:numPr>
        <w:pBdr>
          <w:top w:val="none" w:sz="0" w:space="0" w:color="000000"/>
          <w:left w:val="none" w:sz="0" w:space="0" w:color="000000"/>
          <w:bottom w:val="none" w:sz="0" w:space="0" w:color="000000"/>
          <w:right w:val="none" w:sz="0" w:space="0" w:color="000000"/>
          <w:between w:val="none" w:sz="0" w:space="0" w:color="000000"/>
        </w:pBdr>
        <w:tabs>
          <w:tab w:val="left" w:pos="851"/>
        </w:tabs>
        <w:ind w:right="3" w:firstLine="566"/>
        <w:jc w:val="both"/>
        <w:rPr>
          <w:rFonts w:asciiTheme="majorBidi" w:hAnsiTheme="majorBidi" w:cstheme="majorBidi"/>
          <w:sz w:val="28"/>
          <w:szCs w:val="28"/>
        </w:rPr>
      </w:pPr>
      <w:r w:rsidRPr="00C371D6">
        <w:rPr>
          <w:rFonts w:asciiTheme="majorBidi" w:hAnsiTheme="majorBidi" w:cstheme="majorBidi"/>
          <w:color w:val="FF0000"/>
          <w:sz w:val="28"/>
          <w:szCs w:val="28"/>
        </w:rPr>
        <w:t xml:space="preserve"> </w:t>
      </w:r>
      <w:r w:rsidRPr="00C371D6">
        <w:rPr>
          <w:rFonts w:asciiTheme="majorBidi" w:hAnsiTheme="majorBidi" w:cstheme="majorBidi"/>
          <w:color w:val="000000"/>
          <w:sz w:val="28"/>
          <w:szCs w:val="28"/>
        </w:rPr>
        <w:t>изучить возможности мануального, полуавтоматического и автоматического методов КТ-</w:t>
      </w:r>
      <w:r w:rsidR="00C60723" w:rsidRPr="00C371D6">
        <w:rPr>
          <w:rFonts w:asciiTheme="majorBidi" w:hAnsiTheme="majorBidi" w:cstheme="majorBidi"/>
          <w:color w:val="000000"/>
          <w:sz w:val="28"/>
          <w:szCs w:val="28"/>
        </w:rPr>
        <w:t>волюметрии печени</w:t>
      </w:r>
      <w:r w:rsidRPr="00C371D6">
        <w:rPr>
          <w:rFonts w:asciiTheme="majorBidi" w:hAnsiTheme="majorBidi" w:cstheme="majorBidi"/>
          <w:color w:val="000000"/>
          <w:sz w:val="28"/>
          <w:szCs w:val="28"/>
        </w:rPr>
        <w:t xml:space="preserve"> донора при родственной трансплантации.   </w:t>
      </w:r>
    </w:p>
    <w:p w14:paraId="1F8716CF" w14:textId="77777777" w:rsidR="00C559B7" w:rsidRPr="00C371D6" w:rsidRDefault="00C559B7" w:rsidP="00C559B7">
      <w:pPr>
        <w:numPr>
          <w:ilvl w:val="0"/>
          <w:numId w:val="7"/>
        </w:numPr>
        <w:pBdr>
          <w:top w:val="none" w:sz="0" w:space="0" w:color="000000"/>
          <w:left w:val="none" w:sz="0" w:space="0" w:color="000000"/>
          <w:bottom w:val="none" w:sz="0" w:space="0" w:color="000000"/>
          <w:right w:val="none" w:sz="0" w:space="0" w:color="000000"/>
          <w:between w:val="none" w:sz="0" w:space="0" w:color="000000"/>
        </w:pBdr>
        <w:tabs>
          <w:tab w:val="left" w:pos="851"/>
        </w:tabs>
        <w:ind w:firstLine="567"/>
        <w:jc w:val="both"/>
        <w:rPr>
          <w:rFonts w:asciiTheme="majorBidi" w:hAnsiTheme="majorBidi" w:cstheme="majorBidi"/>
          <w:sz w:val="28"/>
          <w:szCs w:val="28"/>
        </w:rPr>
      </w:pPr>
      <w:r w:rsidRPr="00C371D6">
        <w:rPr>
          <w:rFonts w:asciiTheme="majorBidi" w:hAnsiTheme="majorBidi" w:cstheme="majorBidi"/>
          <w:sz w:val="28"/>
          <w:szCs w:val="28"/>
        </w:rPr>
        <w:t>оценить влияние возраста, пола, индекса массы тела донора, количества дней с момента проведения КТ-волюметрии до трансплантации на адекватность предоперационной оценки объема печени мануальным, полуавтоматическим и автоматическим методами</w:t>
      </w:r>
      <w:r>
        <w:rPr>
          <w:rFonts w:asciiTheme="majorBidi" w:hAnsiTheme="majorBidi" w:cstheme="majorBidi"/>
          <w:sz w:val="28"/>
          <w:szCs w:val="28"/>
        </w:rPr>
        <w:t xml:space="preserve">. </w:t>
      </w:r>
    </w:p>
    <w:p w14:paraId="1C82D7B9" w14:textId="77777777" w:rsidR="00C559B7" w:rsidRPr="00283DA7" w:rsidRDefault="00C559B7" w:rsidP="00C559B7">
      <w:pPr>
        <w:pBdr>
          <w:top w:val="none" w:sz="0" w:space="0" w:color="000000"/>
          <w:left w:val="none" w:sz="0" w:space="0" w:color="000000"/>
          <w:bottom w:val="none" w:sz="0" w:space="0" w:color="000000"/>
          <w:right w:val="none" w:sz="0" w:space="0" w:color="000000"/>
          <w:between w:val="none" w:sz="0" w:space="0" w:color="000000"/>
        </w:pBdr>
        <w:tabs>
          <w:tab w:val="left" w:pos="851"/>
        </w:tabs>
        <w:ind w:firstLine="567"/>
        <w:jc w:val="both"/>
        <w:rPr>
          <w:rFonts w:asciiTheme="majorBidi" w:hAnsiTheme="majorBidi" w:cstheme="majorBidi"/>
          <w:color w:val="FF0000"/>
          <w:sz w:val="28"/>
          <w:szCs w:val="28"/>
        </w:rPr>
      </w:pPr>
      <w:r w:rsidRPr="00E54918">
        <w:rPr>
          <w:rFonts w:asciiTheme="majorBidi" w:hAnsiTheme="majorBidi" w:cstheme="majorBidi"/>
          <w:color w:val="000000"/>
          <w:sz w:val="28"/>
          <w:szCs w:val="28"/>
        </w:rPr>
        <w:t>3.</w:t>
      </w:r>
      <w:r w:rsidRPr="00E54918">
        <w:rPr>
          <w:rFonts w:asciiTheme="majorBidi" w:hAnsiTheme="majorBidi" w:cstheme="majorBidi"/>
          <w:color w:val="000000"/>
          <w:sz w:val="28"/>
          <w:szCs w:val="28"/>
        </w:rPr>
        <w:tab/>
      </w:r>
      <w:r w:rsidRPr="00411ECC">
        <w:rPr>
          <w:rFonts w:asciiTheme="majorBidi" w:hAnsiTheme="majorBidi" w:cstheme="majorBidi"/>
          <w:color w:val="000000"/>
          <w:sz w:val="28"/>
          <w:szCs w:val="28"/>
        </w:rPr>
        <w:t>разработать способ КТ-волюметрии печени</w:t>
      </w:r>
      <w:r>
        <w:rPr>
          <w:rFonts w:asciiTheme="majorBidi" w:hAnsiTheme="majorBidi" w:cstheme="majorBidi"/>
          <w:color w:val="000000"/>
          <w:sz w:val="28"/>
          <w:szCs w:val="28"/>
        </w:rPr>
        <w:t xml:space="preserve"> </w:t>
      </w:r>
      <w:r w:rsidRPr="00411ECC">
        <w:rPr>
          <w:rFonts w:asciiTheme="majorBidi" w:hAnsiTheme="majorBidi" w:cstheme="majorBidi"/>
          <w:color w:val="000000"/>
          <w:sz w:val="28"/>
          <w:szCs w:val="28"/>
        </w:rPr>
        <w:t>донора, позволяющий повысить точность предоперационно определяемого объема печени</w:t>
      </w:r>
      <w:r>
        <w:rPr>
          <w:rFonts w:asciiTheme="majorBidi" w:hAnsiTheme="majorBidi" w:cstheme="majorBidi"/>
          <w:color w:val="000000"/>
          <w:sz w:val="28"/>
          <w:szCs w:val="28"/>
        </w:rPr>
        <w:t xml:space="preserve"> при родственной трансплантации. </w:t>
      </w:r>
      <w:r w:rsidRPr="00411ECC">
        <w:rPr>
          <w:rFonts w:asciiTheme="majorBidi" w:hAnsiTheme="majorBidi" w:cstheme="majorBidi"/>
          <w:color w:val="000000"/>
          <w:sz w:val="28"/>
          <w:szCs w:val="28"/>
        </w:rPr>
        <w:t xml:space="preserve"> </w:t>
      </w:r>
      <w:r w:rsidRPr="00283DA7">
        <w:rPr>
          <w:rFonts w:asciiTheme="majorBidi" w:hAnsiTheme="majorBidi" w:cstheme="majorBidi"/>
          <w:color w:val="FF0000"/>
          <w:sz w:val="28"/>
          <w:szCs w:val="28"/>
        </w:rPr>
        <w:t xml:space="preserve">    </w:t>
      </w:r>
    </w:p>
    <w:p w14:paraId="629A837C" w14:textId="77777777" w:rsidR="00C559B7" w:rsidRPr="00ED65F9" w:rsidRDefault="00C559B7" w:rsidP="00C559B7">
      <w:pPr>
        <w:pBdr>
          <w:top w:val="none" w:sz="0" w:space="0" w:color="000000"/>
          <w:left w:val="none" w:sz="0" w:space="0" w:color="000000"/>
          <w:bottom w:val="none" w:sz="0" w:space="0" w:color="000000"/>
          <w:right w:val="none" w:sz="0" w:space="0" w:color="000000"/>
          <w:between w:val="none" w:sz="0" w:space="0" w:color="000000"/>
        </w:pBdr>
        <w:tabs>
          <w:tab w:val="left" w:pos="851"/>
        </w:tabs>
        <w:ind w:firstLine="567"/>
        <w:jc w:val="both"/>
        <w:rPr>
          <w:rFonts w:asciiTheme="majorBidi" w:hAnsiTheme="majorBidi" w:cstheme="majorBidi"/>
          <w:sz w:val="28"/>
          <w:szCs w:val="28"/>
        </w:rPr>
      </w:pPr>
      <w:r w:rsidRPr="00ED65F9">
        <w:rPr>
          <w:rFonts w:asciiTheme="majorBidi" w:hAnsiTheme="majorBidi" w:cstheme="majorBidi"/>
          <w:sz w:val="28"/>
          <w:szCs w:val="28"/>
        </w:rPr>
        <w:t xml:space="preserve">4. провести корреляционный анализ результатов КТ-волюметрии печени оптимизированного и стандартного мануального методов с массой трансплантата. </w:t>
      </w:r>
    </w:p>
    <w:p w14:paraId="5CB31D7D" w14:textId="77777777" w:rsidR="00C559B7" w:rsidRPr="00C371D6" w:rsidRDefault="00C559B7" w:rsidP="00C559B7">
      <w:pPr>
        <w:pBdr>
          <w:top w:val="none" w:sz="0" w:space="0" w:color="000000"/>
          <w:left w:val="none" w:sz="0" w:space="0" w:color="000000"/>
          <w:bottom w:val="none" w:sz="0" w:space="0" w:color="000000"/>
          <w:right w:val="none" w:sz="0" w:space="0" w:color="000000"/>
          <w:between w:val="none" w:sz="0" w:space="0" w:color="000000"/>
        </w:pBdr>
        <w:ind w:firstLine="567"/>
        <w:jc w:val="both"/>
        <w:rPr>
          <w:rFonts w:asciiTheme="majorBidi" w:eastAsia="Calibri" w:hAnsiTheme="majorBidi" w:cstheme="majorBidi"/>
          <w:color w:val="000000"/>
          <w:sz w:val="28"/>
          <w:szCs w:val="28"/>
        </w:rPr>
      </w:pPr>
      <w:r w:rsidRPr="00C371D6">
        <w:rPr>
          <w:rFonts w:asciiTheme="majorBidi" w:hAnsiTheme="majorBidi" w:cstheme="majorBidi"/>
          <w:b/>
          <w:color w:val="000000"/>
          <w:sz w:val="28"/>
          <w:szCs w:val="28"/>
        </w:rPr>
        <w:t>Научная новизна: </w:t>
      </w:r>
      <w:r w:rsidRPr="00C371D6">
        <w:rPr>
          <w:rFonts w:asciiTheme="majorBidi" w:hAnsiTheme="majorBidi" w:cstheme="majorBidi"/>
          <w:color w:val="000000"/>
          <w:sz w:val="28"/>
          <w:szCs w:val="28"/>
        </w:rPr>
        <w:t> </w:t>
      </w:r>
    </w:p>
    <w:p w14:paraId="5E7F1E66" w14:textId="77777777" w:rsidR="00C559B7" w:rsidRDefault="00C559B7" w:rsidP="00C559B7">
      <w:pPr>
        <w:pBdr>
          <w:top w:val="none" w:sz="0" w:space="0" w:color="000000"/>
          <w:left w:val="none" w:sz="0" w:space="0" w:color="000000"/>
          <w:bottom w:val="none" w:sz="0" w:space="0" w:color="000000"/>
          <w:right w:val="none" w:sz="0" w:space="0" w:color="000000"/>
          <w:between w:val="none" w:sz="0" w:space="0" w:color="000000"/>
        </w:pBdr>
        <w:ind w:firstLine="567"/>
        <w:jc w:val="both"/>
        <w:rPr>
          <w:rFonts w:asciiTheme="majorBidi" w:hAnsiTheme="majorBidi" w:cstheme="majorBidi"/>
          <w:color w:val="000000"/>
          <w:sz w:val="28"/>
          <w:szCs w:val="28"/>
        </w:rPr>
      </w:pPr>
      <w:r w:rsidRPr="00ED65F9">
        <w:rPr>
          <w:rFonts w:asciiTheme="majorBidi" w:hAnsiTheme="majorBidi" w:cstheme="majorBidi"/>
          <w:sz w:val="28"/>
          <w:szCs w:val="28"/>
        </w:rPr>
        <w:t xml:space="preserve">Впервые проведен сравнительный анализ одновременно трех методов КТ-волюметрий (мануальный, полуавтоматический, автоматический) в предоперационной оценке объема печени при родственной трансплантации с определением преимуществ мануального метода </w:t>
      </w:r>
      <w:r w:rsidRPr="00ED65F9">
        <w:rPr>
          <w:rFonts w:asciiTheme="majorBidi" w:hAnsiTheme="majorBidi" w:cstheme="majorBidi"/>
          <w:i/>
          <w:color w:val="000000"/>
          <w:sz w:val="28"/>
          <w:szCs w:val="28"/>
        </w:rPr>
        <w:t>(статья в журнале Web of science Core Collection и Scopus 87 процентиль, Q1</w:t>
      </w:r>
      <w:r w:rsidRPr="00ED65F9">
        <w:rPr>
          <w:rFonts w:asciiTheme="majorBidi" w:hAnsiTheme="majorBidi" w:cstheme="majorBidi"/>
          <w:color w:val="000000"/>
          <w:sz w:val="28"/>
          <w:szCs w:val="28"/>
        </w:rPr>
        <w:t>)</w:t>
      </w:r>
    </w:p>
    <w:p w14:paraId="4DBE0EAA" w14:textId="77777777" w:rsidR="00C559B7" w:rsidRPr="00C371D6" w:rsidRDefault="00C559B7" w:rsidP="00C559B7">
      <w:pPr>
        <w:pBdr>
          <w:top w:val="none" w:sz="0" w:space="0" w:color="000000"/>
          <w:left w:val="none" w:sz="0" w:space="0" w:color="000000"/>
          <w:bottom w:val="none" w:sz="0" w:space="0" w:color="000000"/>
          <w:right w:val="none" w:sz="0" w:space="0" w:color="000000"/>
          <w:between w:val="none" w:sz="0" w:space="0" w:color="000000"/>
        </w:pBdr>
        <w:ind w:firstLine="567"/>
        <w:jc w:val="both"/>
        <w:rPr>
          <w:rFonts w:asciiTheme="majorBidi" w:hAnsiTheme="majorBidi" w:cstheme="majorBidi"/>
          <w:color w:val="FF0000"/>
          <w:sz w:val="28"/>
          <w:szCs w:val="28"/>
        </w:rPr>
      </w:pPr>
      <w:r w:rsidRPr="00C371D6">
        <w:rPr>
          <w:rFonts w:asciiTheme="majorBidi" w:hAnsiTheme="majorBidi" w:cstheme="majorBidi"/>
          <w:color w:val="000000"/>
          <w:sz w:val="28"/>
          <w:szCs w:val="28"/>
        </w:rPr>
        <w:t>Впервые разработан способ оптимизированной мануальной компьютерно-томографической волюметрии, улучшающий предоперационн</w:t>
      </w:r>
      <w:r w:rsidRPr="00C371D6">
        <w:rPr>
          <w:rFonts w:asciiTheme="majorBidi" w:hAnsiTheme="majorBidi" w:cstheme="majorBidi"/>
          <w:sz w:val="28"/>
          <w:szCs w:val="28"/>
        </w:rPr>
        <w:t>ую</w:t>
      </w:r>
      <w:r w:rsidRPr="00C371D6">
        <w:rPr>
          <w:rFonts w:asciiTheme="majorBidi" w:hAnsiTheme="majorBidi" w:cstheme="majorBidi"/>
          <w:color w:val="FF0000"/>
          <w:sz w:val="28"/>
          <w:szCs w:val="28"/>
        </w:rPr>
        <w:t xml:space="preserve"> </w:t>
      </w:r>
      <w:r w:rsidRPr="00C371D6">
        <w:rPr>
          <w:rFonts w:asciiTheme="majorBidi" w:hAnsiTheme="majorBidi" w:cstheme="majorBidi"/>
          <w:color w:val="000000"/>
          <w:sz w:val="28"/>
          <w:szCs w:val="28"/>
        </w:rPr>
        <w:t>оценк</w:t>
      </w:r>
      <w:r w:rsidRPr="00C371D6">
        <w:rPr>
          <w:rFonts w:asciiTheme="majorBidi" w:hAnsiTheme="majorBidi" w:cstheme="majorBidi"/>
          <w:sz w:val="28"/>
          <w:szCs w:val="28"/>
        </w:rPr>
        <w:t>у</w:t>
      </w:r>
      <w:r w:rsidRPr="00C371D6">
        <w:rPr>
          <w:rFonts w:asciiTheme="majorBidi" w:hAnsiTheme="majorBidi" w:cstheme="majorBidi"/>
          <w:color w:val="000000"/>
          <w:sz w:val="28"/>
          <w:szCs w:val="28"/>
        </w:rPr>
        <w:t xml:space="preserve"> объема печени при родственной трансплантации (</w:t>
      </w:r>
      <w:r w:rsidRPr="00C371D6">
        <w:rPr>
          <w:rFonts w:asciiTheme="majorBidi" w:hAnsiTheme="majorBidi" w:cstheme="majorBidi"/>
          <w:i/>
          <w:color w:val="000000"/>
          <w:sz w:val="28"/>
          <w:szCs w:val="28"/>
        </w:rPr>
        <w:t>патент РК №2023/1254.2 от 17.05.2024 г</w:t>
      </w:r>
      <w:r w:rsidRPr="00C371D6">
        <w:rPr>
          <w:rFonts w:asciiTheme="majorBidi" w:hAnsiTheme="majorBidi" w:cstheme="majorBidi"/>
          <w:color w:val="000000"/>
          <w:sz w:val="28"/>
          <w:szCs w:val="28"/>
        </w:rPr>
        <w:t xml:space="preserve">) </w:t>
      </w:r>
    </w:p>
    <w:p w14:paraId="0F4560E9" w14:textId="77777777" w:rsidR="007B05F6" w:rsidRPr="00170B7C" w:rsidRDefault="007B05F6"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b/>
          <w:color w:val="000000"/>
          <w:sz w:val="28"/>
          <w:szCs w:val="28"/>
        </w:rPr>
        <w:t>Практическая значимость:</w:t>
      </w:r>
      <w:r w:rsidRPr="00170B7C">
        <w:rPr>
          <w:color w:val="000000"/>
          <w:sz w:val="28"/>
          <w:szCs w:val="28"/>
        </w:rPr>
        <w:t> </w:t>
      </w:r>
    </w:p>
    <w:p w14:paraId="73A37341" w14:textId="77777777" w:rsidR="00916D7C" w:rsidRPr="00DB4044" w:rsidRDefault="00916D7C" w:rsidP="00DB4044">
      <w:pPr>
        <w:pBdr>
          <w:top w:val="none" w:sz="0" w:space="0" w:color="000000"/>
          <w:left w:val="none" w:sz="0" w:space="0" w:color="000000"/>
          <w:bottom w:val="none" w:sz="0" w:space="0" w:color="000000"/>
          <w:right w:val="none" w:sz="0" w:space="0" w:color="000000"/>
          <w:between w:val="none" w:sz="0" w:space="0" w:color="000000"/>
        </w:pBdr>
        <w:ind w:firstLine="567"/>
        <w:jc w:val="both"/>
        <w:rPr>
          <w:rFonts w:asciiTheme="majorBidi" w:hAnsiTheme="majorBidi" w:cstheme="majorBidi"/>
          <w:color w:val="FF0000"/>
          <w:sz w:val="28"/>
          <w:szCs w:val="28"/>
        </w:rPr>
      </w:pPr>
      <w:r w:rsidRPr="00916D7C">
        <w:rPr>
          <w:sz w:val="28"/>
          <w:szCs w:val="28"/>
        </w:rPr>
        <w:t>Разработан способ компьютерно-томографической волюметрии печени, который улучшит предоперационную оценку объема печени донора при родственной трансплантации</w:t>
      </w:r>
      <w:r w:rsidR="00DB4044">
        <w:rPr>
          <w:sz w:val="28"/>
          <w:szCs w:val="28"/>
        </w:rPr>
        <w:t xml:space="preserve"> </w:t>
      </w:r>
      <w:r w:rsidR="00DB4044" w:rsidRPr="00C371D6">
        <w:rPr>
          <w:rFonts w:asciiTheme="majorBidi" w:hAnsiTheme="majorBidi" w:cstheme="majorBidi"/>
          <w:color w:val="000000"/>
          <w:sz w:val="28"/>
          <w:szCs w:val="28"/>
        </w:rPr>
        <w:t>(</w:t>
      </w:r>
      <w:r w:rsidR="00DB4044" w:rsidRPr="00C371D6">
        <w:rPr>
          <w:rFonts w:asciiTheme="majorBidi" w:hAnsiTheme="majorBidi" w:cstheme="majorBidi"/>
          <w:i/>
          <w:color w:val="000000"/>
          <w:sz w:val="28"/>
          <w:szCs w:val="28"/>
        </w:rPr>
        <w:t>патент РК №2023/1254.2 от 17.05.2024 г</w:t>
      </w:r>
      <w:r w:rsidR="00DB4044" w:rsidRPr="00C371D6">
        <w:rPr>
          <w:rFonts w:asciiTheme="majorBidi" w:hAnsiTheme="majorBidi" w:cstheme="majorBidi"/>
          <w:color w:val="000000"/>
          <w:sz w:val="28"/>
          <w:szCs w:val="28"/>
        </w:rPr>
        <w:t xml:space="preserve">) </w:t>
      </w:r>
    </w:p>
    <w:p w14:paraId="60896FAF" w14:textId="77777777" w:rsidR="00916D7C" w:rsidRDefault="00916D7C" w:rsidP="00916D7C">
      <w:pPr>
        <w:ind w:left="120" w:right="177" w:firstLine="566"/>
        <w:jc w:val="both"/>
        <w:rPr>
          <w:sz w:val="28"/>
          <w:szCs w:val="28"/>
        </w:rPr>
      </w:pPr>
      <w:r w:rsidRPr="00916D7C">
        <w:rPr>
          <w:sz w:val="28"/>
          <w:szCs w:val="28"/>
        </w:rPr>
        <w:t xml:space="preserve">Снижение порога плотности печени при мануальном методе КТ-волюметрии повысит точность предоперационной оценки объема печени донора при родственной трансплантации. </w:t>
      </w:r>
    </w:p>
    <w:p w14:paraId="138E7C25" w14:textId="77777777" w:rsidR="00EA7307" w:rsidRPr="00170B7C" w:rsidRDefault="00EA7307" w:rsidP="00916D7C">
      <w:pPr>
        <w:ind w:left="120" w:right="177" w:firstLine="566"/>
        <w:jc w:val="both"/>
        <w:rPr>
          <w:color w:val="000000"/>
          <w:sz w:val="28"/>
          <w:szCs w:val="28"/>
        </w:rPr>
      </w:pPr>
      <w:r w:rsidRPr="006B74B6">
        <w:rPr>
          <w:b/>
          <w:color w:val="000000"/>
          <w:sz w:val="28"/>
          <w:szCs w:val="28"/>
        </w:rPr>
        <w:t>Методы исследования:</w:t>
      </w:r>
      <w:r w:rsidRPr="00170B7C">
        <w:rPr>
          <w:b/>
          <w:color w:val="000000"/>
          <w:sz w:val="28"/>
          <w:szCs w:val="28"/>
        </w:rPr>
        <w:t xml:space="preserve"> </w:t>
      </w:r>
      <w:r w:rsidRPr="00170B7C">
        <w:rPr>
          <w:color w:val="000000"/>
          <w:sz w:val="28"/>
          <w:szCs w:val="28"/>
        </w:rPr>
        <w:t>радиологический (компьютерно- томографическое исследование брюшной полости с болюсным контрастированием, КТ-волюметрия).</w:t>
      </w:r>
    </w:p>
    <w:p w14:paraId="5C3D5CAC" w14:textId="77777777" w:rsidR="00EA7307" w:rsidRPr="00170B7C" w:rsidRDefault="00EA7307" w:rsidP="000A19AB">
      <w:pPr>
        <w:pStyle w:val="a9"/>
        <w:spacing w:beforeAutospacing="0" w:afterAutospacing="0"/>
        <w:ind w:firstLine="686"/>
        <w:jc w:val="both"/>
        <w:rPr>
          <w:rFonts w:ascii="Times New Roman" w:hAnsi="Times New Roman"/>
          <w:color w:val="000000"/>
          <w:sz w:val="28"/>
          <w:szCs w:val="28"/>
          <w:lang w:val="ru-RU"/>
        </w:rPr>
      </w:pPr>
      <w:r w:rsidRPr="00170B7C">
        <w:rPr>
          <w:rFonts w:ascii="Times New Roman" w:hAnsi="Times New Roman"/>
          <w:color w:val="000000"/>
          <w:sz w:val="28"/>
          <w:szCs w:val="28"/>
          <w:lang w:val="ru-RU"/>
        </w:rPr>
        <w:t xml:space="preserve">КТ-исследование органов брюшной полости </w:t>
      </w:r>
      <w:r w:rsidR="000A19AB">
        <w:rPr>
          <w:rFonts w:ascii="Times New Roman" w:hAnsi="Times New Roman"/>
          <w:color w:val="000000"/>
          <w:sz w:val="28"/>
          <w:szCs w:val="28"/>
          <w:lang w:val="ru-RU"/>
        </w:rPr>
        <w:t>прроведен</w:t>
      </w:r>
      <w:r w:rsidR="00652741" w:rsidRPr="00652741">
        <w:rPr>
          <w:rFonts w:ascii="Times New Roman" w:hAnsi="Times New Roman"/>
          <w:color w:val="000000"/>
          <w:sz w:val="28"/>
          <w:szCs w:val="28"/>
          <w:lang w:val="ru-RU"/>
        </w:rPr>
        <w:t>о</w:t>
      </w:r>
      <w:r w:rsidR="000A19AB">
        <w:rPr>
          <w:rFonts w:ascii="Times New Roman" w:hAnsi="Times New Roman"/>
          <w:color w:val="000000"/>
          <w:sz w:val="28"/>
          <w:szCs w:val="28"/>
          <w:lang w:val="ru-RU"/>
        </w:rPr>
        <w:t xml:space="preserve"> </w:t>
      </w:r>
      <w:r w:rsidRPr="00170B7C">
        <w:rPr>
          <w:rFonts w:ascii="Times New Roman" w:hAnsi="Times New Roman"/>
          <w:color w:val="000000"/>
          <w:sz w:val="28"/>
          <w:szCs w:val="28"/>
          <w:lang w:val="ru-RU"/>
        </w:rPr>
        <w:t xml:space="preserve">на мультиспиральном компьютерном томографе </w:t>
      </w:r>
      <w:r w:rsidR="00000E18" w:rsidRPr="00C371D6">
        <w:rPr>
          <w:rFonts w:asciiTheme="majorBidi" w:hAnsiTheme="majorBidi" w:cstheme="majorBidi"/>
          <w:color w:val="000000"/>
          <w:sz w:val="28"/>
          <w:szCs w:val="28"/>
        </w:rPr>
        <w:t>Aquilion</w:t>
      </w:r>
      <w:r w:rsidR="00000E18" w:rsidRPr="00C371D6">
        <w:rPr>
          <w:rFonts w:asciiTheme="majorBidi" w:hAnsiTheme="majorBidi" w:cstheme="majorBidi"/>
          <w:color w:val="000000"/>
          <w:sz w:val="28"/>
          <w:szCs w:val="28"/>
          <w:lang w:val="ru-RU"/>
        </w:rPr>
        <w:t xml:space="preserve"> </w:t>
      </w:r>
      <w:r w:rsidR="00000E18">
        <w:rPr>
          <w:rFonts w:asciiTheme="majorBidi" w:hAnsiTheme="majorBidi" w:cstheme="majorBidi"/>
          <w:color w:val="000000"/>
          <w:sz w:val="28"/>
          <w:szCs w:val="28"/>
        </w:rPr>
        <w:t>Prime</w:t>
      </w:r>
      <w:r w:rsidR="00000E18" w:rsidRPr="005F3D18">
        <w:rPr>
          <w:rFonts w:asciiTheme="majorBidi" w:hAnsiTheme="majorBidi" w:cstheme="majorBidi"/>
          <w:color w:val="000000"/>
          <w:sz w:val="28"/>
          <w:szCs w:val="28"/>
          <w:lang w:val="ru-RU"/>
        </w:rPr>
        <w:t xml:space="preserve"> </w:t>
      </w:r>
      <w:r w:rsidR="00000E18">
        <w:rPr>
          <w:rFonts w:asciiTheme="majorBidi" w:hAnsiTheme="majorBidi" w:cstheme="majorBidi"/>
          <w:color w:val="000000"/>
          <w:sz w:val="28"/>
          <w:szCs w:val="28"/>
        </w:rPr>
        <w:t>SP</w:t>
      </w:r>
      <w:r w:rsidR="00000E18" w:rsidRPr="00170B7C">
        <w:rPr>
          <w:rFonts w:ascii="Times New Roman" w:hAnsi="Times New Roman"/>
          <w:color w:val="000000"/>
          <w:sz w:val="28"/>
          <w:szCs w:val="28"/>
          <w:lang w:val="ru-RU"/>
        </w:rPr>
        <w:t xml:space="preserve"> </w:t>
      </w:r>
      <w:r w:rsidRPr="00170B7C">
        <w:rPr>
          <w:rFonts w:ascii="Times New Roman" w:hAnsi="Times New Roman"/>
          <w:color w:val="000000"/>
          <w:sz w:val="28"/>
          <w:szCs w:val="28"/>
          <w:lang w:val="ru-RU"/>
        </w:rPr>
        <w:t>(</w:t>
      </w:r>
      <w:r w:rsidRPr="00170B7C">
        <w:rPr>
          <w:rFonts w:ascii="Times New Roman" w:hAnsi="Times New Roman"/>
          <w:color w:val="000000"/>
          <w:sz w:val="28"/>
          <w:szCs w:val="28"/>
        </w:rPr>
        <w:t>Canon</w:t>
      </w:r>
      <w:r w:rsidRPr="00170B7C">
        <w:rPr>
          <w:rFonts w:ascii="Times New Roman" w:hAnsi="Times New Roman"/>
          <w:color w:val="000000"/>
          <w:sz w:val="28"/>
          <w:szCs w:val="28"/>
          <w:lang w:val="ru-RU"/>
        </w:rPr>
        <w:t xml:space="preserve">), с болюсным введением неионного рентгеноконтрастного средства. </w:t>
      </w:r>
    </w:p>
    <w:p w14:paraId="39192C65" w14:textId="77777777" w:rsidR="00EA7307" w:rsidRPr="00C60723" w:rsidRDefault="00EA7307" w:rsidP="00170B7C">
      <w:pPr>
        <w:pStyle w:val="a9"/>
        <w:spacing w:beforeAutospacing="0" w:afterAutospacing="0"/>
        <w:ind w:firstLine="567"/>
        <w:jc w:val="both"/>
        <w:rPr>
          <w:rFonts w:ascii="Times New Roman" w:hAnsi="Times New Roman"/>
          <w:color w:val="000000"/>
          <w:sz w:val="28"/>
          <w:szCs w:val="28"/>
          <w:lang w:val="ru-RU"/>
        </w:rPr>
      </w:pPr>
      <w:r w:rsidRPr="00170B7C">
        <w:rPr>
          <w:rFonts w:ascii="Times New Roman" w:hAnsi="Times New Roman"/>
          <w:color w:val="000000"/>
          <w:sz w:val="28"/>
          <w:szCs w:val="28"/>
          <w:lang w:val="ru-RU"/>
        </w:rPr>
        <w:t>Расчет объема печени проводился тремя методами: мануальный (</w:t>
      </w:r>
      <w:r w:rsidRPr="00170B7C">
        <w:rPr>
          <w:rFonts w:ascii="Times New Roman" w:hAnsi="Times New Roman"/>
          <w:color w:val="000000"/>
          <w:sz w:val="28"/>
          <w:szCs w:val="28"/>
        </w:rPr>
        <w:t>Volume</w:t>
      </w:r>
      <w:r w:rsidRPr="00170B7C">
        <w:rPr>
          <w:rFonts w:ascii="Times New Roman" w:hAnsi="Times New Roman"/>
          <w:color w:val="000000"/>
          <w:sz w:val="28"/>
          <w:szCs w:val="28"/>
          <w:lang w:val="ru-RU"/>
        </w:rPr>
        <w:t xml:space="preserve"> </w:t>
      </w:r>
      <w:r w:rsidRPr="00170B7C">
        <w:rPr>
          <w:rFonts w:ascii="Times New Roman" w:hAnsi="Times New Roman"/>
          <w:color w:val="000000"/>
          <w:sz w:val="28"/>
          <w:szCs w:val="28"/>
        </w:rPr>
        <w:t>analysis</w:t>
      </w:r>
      <w:r w:rsidRPr="00170B7C">
        <w:rPr>
          <w:rFonts w:ascii="Times New Roman" w:hAnsi="Times New Roman"/>
          <w:color w:val="000000"/>
          <w:sz w:val="28"/>
          <w:szCs w:val="28"/>
          <w:lang w:val="ru-RU"/>
        </w:rPr>
        <w:t>), полуавтоматический (</w:t>
      </w:r>
      <w:r w:rsidRPr="00170B7C">
        <w:rPr>
          <w:rFonts w:ascii="Times New Roman" w:hAnsi="Times New Roman"/>
          <w:color w:val="000000"/>
          <w:sz w:val="28"/>
          <w:szCs w:val="28"/>
        </w:rPr>
        <w:t>OsiriX</w:t>
      </w:r>
      <w:r w:rsidRPr="00170B7C">
        <w:rPr>
          <w:rFonts w:ascii="Times New Roman" w:hAnsi="Times New Roman"/>
          <w:color w:val="000000"/>
          <w:sz w:val="28"/>
          <w:szCs w:val="28"/>
          <w:lang w:val="ru-RU"/>
        </w:rPr>
        <w:t xml:space="preserve"> </w:t>
      </w:r>
      <w:r w:rsidRPr="00170B7C">
        <w:rPr>
          <w:rFonts w:ascii="Times New Roman" w:hAnsi="Times New Roman"/>
          <w:color w:val="000000"/>
          <w:sz w:val="28"/>
          <w:szCs w:val="28"/>
        </w:rPr>
        <w:t>MD</w:t>
      </w:r>
      <w:r w:rsidRPr="00170B7C">
        <w:rPr>
          <w:rFonts w:ascii="Times New Roman" w:hAnsi="Times New Roman"/>
          <w:color w:val="000000"/>
          <w:sz w:val="28"/>
          <w:szCs w:val="28"/>
          <w:lang w:val="ru-RU"/>
        </w:rPr>
        <w:t>) и автоматический (</w:t>
      </w:r>
      <w:r w:rsidRPr="00170B7C">
        <w:rPr>
          <w:rFonts w:ascii="Times New Roman" w:hAnsi="Times New Roman"/>
          <w:color w:val="000000"/>
          <w:sz w:val="28"/>
          <w:szCs w:val="28"/>
        </w:rPr>
        <w:t>CT</w:t>
      </w:r>
      <w:r w:rsidRPr="00170B7C">
        <w:rPr>
          <w:rFonts w:ascii="Times New Roman" w:hAnsi="Times New Roman"/>
          <w:color w:val="000000"/>
          <w:sz w:val="28"/>
          <w:szCs w:val="28"/>
          <w:lang w:val="ru-RU"/>
        </w:rPr>
        <w:t xml:space="preserve"> </w:t>
      </w:r>
      <w:r w:rsidRPr="00170B7C">
        <w:rPr>
          <w:rFonts w:ascii="Times New Roman" w:hAnsi="Times New Roman"/>
          <w:color w:val="000000"/>
          <w:sz w:val="28"/>
          <w:szCs w:val="28"/>
        </w:rPr>
        <w:t>Liver</w:t>
      </w:r>
      <w:r w:rsidRPr="00170B7C">
        <w:rPr>
          <w:rFonts w:ascii="Times New Roman" w:hAnsi="Times New Roman"/>
          <w:color w:val="000000"/>
          <w:sz w:val="28"/>
          <w:szCs w:val="28"/>
          <w:lang w:val="ru-RU"/>
        </w:rPr>
        <w:t xml:space="preserve"> </w:t>
      </w:r>
      <w:r w:rsidRPr="00170B7C">
        <w:rPr>
          <w:rFonts w:ascii="Times New Roman" w:hAnsi="Times New Roman"/>
          <w:color w:val="000000"/>
          <w:sz w:val="28"/>
          <w:szCs w:val="28"/>
        </w:rPr>
        <w:t>Analysis</w:t>
      </w:r>
      <w:r w:rsidRPr="00170B7C">
        <w:rPr>
          <w:rFonts w:ascii="Times New Roman" w:hAnsi="Times New Roman"/>
          <w:color w:val="000000"/>
          <w:sz w:val="28"/>
          <w:szCs w:val="28"/>
          <w:lang w:val="ru-RU"/>
        </w:rPr>
        <w:t xml:space="preserve">) в две фазы: расчет общего объема печени и левой доли печени включая </w:t>
      </w:r>
      <w:r w:rsidRPr="00170B7C">
        <w:rPr>
          <w:rFonts w:ascii="Times New Roman" w:hAnsi="Times New Roman"/>
          <w:color w:val="000000"/>
          <w:sz w:val="28"/>
          <w:szCs w:val="28"/>
        </w:rPr>
        <w:t>I</w:t>
      </w:r>
      <w:r w:rsidRPr="00170B7C">
        <w:rPr>
          <w:rFonts w:ascii="Times New Roman" w:hAnsi="Times New Roman"/>
          <w:color w:val="000000"/>
          <w:sz w:val="28"/>
          <w:szCs w:val="28"/>
          <w:lang w:val="ru-RU"/>
        </w:rPr>
        <w:t xml:space="preserve"> сегмент. </w:t>
      </w:r>
      <w:r w:rsidRPr="00170B7C">
        <w:rPr>
          <w:rFonts w:ascii="Times New Roman" w:hAnsi="Times New Roman"/>
          <w:color w:val="000000"/>
          <w:sz w:val="28"/>
          <w:szCs w:val="28"/>
          <w:lang w:val="ru-RU"/>
        </w:rPr>
        <w:lastRenderedPageBreak/>
        <w:t xml:space="preserve">Объем правой доли равен разнице общего объема печени и левой доли. Вес </w:t>
      </w:r>
      <w:r w:rsidRPr="00C60723">
        <w:rPr>
          <w:rFonts w:ascii="Times New Roman" w:hAnsi="Times New Roman"/>
          <w:color w:val="000000"/>
          <w:sz w:val="28"/>
          <w:szCs w:val="28"/>
          <w:lang w:val="ru-RU"/>
        </w:rPr>
        <w:t>трансплантата измерялся интраоперацонно после промывки сосудов.</w:t>
      </w:r>
      <w:r w:rsidRPr="00C60723">
        <w:rPr>
          <w:rFonts w:ascii="Times New Roman" w:hAnsi="Times New Roman"/>
          <w:color w:val="000000"/>
          <w:sz w:val="28"/>
          <w:szCs w:val="28"/>
        </w:rPr>
        <w:t>  </w:t>
      </w:r>
    </w:p>
    <w:p w14:paraId="15C8E67A" w14:textId="77777777" w:rsidR="00EA7307" w:rsidRPr="00C60723" w:rsidRDefault="00EA7307" w:rsidP="00170B7C">
      <w:pPr>
        <w:pStyle w:val="a9"/>
        <w:spacing w:beforeAutospacing="0" w:afterAutospacing="0"/>
        <w:ind w:firstLine="567"/>
        <w:jc w:val="both"/>
        <w:rPr>
          <w:rFonts w:ascii="Times New Roman" w:hAnsi="Times New Roman"/>
          <w:sz w:val="28"/>
          <w:szCs w:val="28"/>
          <w:lang w:val="ru-RU"/>
        </w:rPr>
      </w:pPr>
      <w:r w:rsidRPr="00C60723">
        <w:rPr>
          <w:rFonts w:ascii="Times New Roman" w:hAnsi="Times New Roman"/>
          <w:b/>
          <w:color w:val="000000"/>
          <w:sz w:val="28"/>
          <w:szCs w:val="28"/>
          <w:lang w:val="ru-RU"/>
        </w:rPr>
        <w:t xml:space="preserve">Объект исследования: </w:t>
      </w:r>
      <w:r w:rsidRPr="00C60723">
        <w:rPr>
          <w:rFonts w:ascii="Times New Roman" w:hAnsi="Times New Roman"/>
          <w:color w:val="000000"/>
          <w:sz w:val="28"/>
          <w:szCs w:val="28"/>
          <w:lang w:val="ru-RU"/>
        </w:rPr>
        <w:t xml:space="preserve">проведен анализ данных 60 доноров печени за период 2018- 2021 годы в Национальном Научном центре хирургии им. А.Н. Сызганова. </w:t>
      </w:r>
    </w:p>
    <w:p w14:paraId="573E8A3F" w14:textId="77777777" w:rsidR="00362F2D" w:rsidRPr="00916D7C" w:rsidRDefault="00EA7307" w:rsidP="00916D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C60723">
        <w:rPr>
          <w:b/>
          <w:color w:val="000000"/>
          <w:sz w:val="28"/>
          <w:szCs w:val="28"/>
        </w:rPr>
        <w:t>Предмет исследования:</w:t>
      </w:r>
      <w:r w:rsidRPr="00C60723">
        <w:rPr>
          <w:color w:val="000000"/>
          <w:sz w:val="28"/>
          <w:szCs w:val="28"/>
        </w:rPr>
        <w:t xml:space="preserve"> объем печени, рассчитанный мануальным, полуавтоматическим, автоматическим</w:t>
      </w:r>
      <w:r w:rsidRPr="00170B7C">
        <w:rPr>
          <w:color w:val="000000"/>
          <w:sz w:val="28"/>
          <w:szCs w:val="28"/>
        </w:rPr>
        <w:t xml:space="preserve"> методами в предоперационном периоде при родственной трансплантации, вес гра</w:t>
      </w:r>
      <w:r w:rsidR="00916D7C">
        <w:rPr>
          <w:color w:val="000000"/>
          <w:sz w:val="28"/>
          <w:szCs w:val="28"/>
        </w:rPr>
        <w:t>фта взвешенный интраоперационно</w:t>
      </w:r>
      <w:r w:rsidR="00916D7C" w:rsidRPr="00916D7C">
        <w:rPr>
          <w:color w:val="000000"/>
          <w:sz w:val="28"/>
          <w:szCs w:val="28"/>
        </w:rPr>
        <w:t>.</w:t>
      </w:r>
    </w:p>
    <w:p w14:paraId="154A6802" w14:textId="77777777" w:rsidR="00EA7307" w:rsidRPr="00170B7C" w:rsidRDefault="00EA7307"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b/>
          <w:color w:val="000000"/>
          <w:sz w:val="28"/>
          <w:szCs w:val="28"/>
        </w:rPr>
        <w:t>Основные положения, выносимые на защиту: </w:t>
      </w:r>
      <w:r w:rsidRPr="00170B7C">
        <w:rPr>
          <w:color w:val="000000"/>
          <w:sz w:val="28"/>
          <w:szCs w:val="28"/>
        </w:rPr>
        <w:t> </w:t>
      </w:r>
    </w:p>
    <w:p w14:paraId="6284D563" w14:textId="77777777" w:rsidR="00C559B7" w:rsidRPr="009807D3" w:rsidRDefault="00C559B7" w:rsidP="00C559B7">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9807D3">
        <w:rPr>
          <w:color w:val="000000"/>
          <w:sz w:val="28"/>
          <w:szCs w:val="28"/>
        </w:rPr>
        <w:t xml:space="preserve">КТ-волюметрический расчетный объем печени донора при родственной трансплантации превышает массу трансплантата при мануальном, полуавтоматическом, автоматическом методах с преобладанием возможностей мануального метода. </w:t>
      </w:r>
    </w:p>
    <w:p w14:paraId="1CFB2DCE" w14:textId="77777777" w:rsidR="00C559B7" w:rsidRDefault="00C559B7" w:rsidP="00C559B7">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9807D3">
        <w:rPr>
          <w:color w:val="000000"/>
          <w:sz w:val="28"/>
          <w:szCs w:val="28"/>
        </w:rPr>
        <w:t xml:space="preserve">Предоперационная мануальная КТ-волюметрия со снижением порога плотности печени более точный метод оценки объема печени донора при родственной трансплантации.   </w:t>
      </w:r>
    </w:p>
    <w:p w14:paraId="6B18EE75" w14:textId="77777777" w:rsidR="00F51BAA" w:rsidRPr="00170B7C" w:rsidRDefault="00F51BAA"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b/>
          <w:color w:val="000000"/>
          <w:sz w:val="28"/>
          <w:szCs w:val="28"/>
        </w:rPr>
        <w:t>Апробация результатов диссертации:</w:t>
      </w:r>
      <w:r w:rsidRPr="00170B7C">
        <w:rPr>
          <w:color w:val="000000"/>
          <w:sz w:val="28"/>
          <w:szCs w:val="28"/>
        </w:rPr>
        <w:t> </w:t>
      </w:r>
    </w:p>
    <w:p w14:paraId="3680E84E" w14:textId="77777777" w:rsidR="00F51BAA" w:rsidRPr="00170B7C" w:rsidRDefault="00F51BAA"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Основные положения диссертационной работы доложены на: </w:t>
      </w:r>
    </w:p>
    <w:p w14:paraId="0A5CBE19" w14:textId="77777777" w:rsidR="00F51BAA" w:rsidRPr="00170B7C" w:rsidRDefault="00F51BAA" w:rsidP="00170B7C">
      <w:pPr>
        <w:ind w:firstLine="562"/>
        <w:jc w:val="both"/>
        <w:rPr>
          <w:sz w:val="28"/>
          <w:szCs w:val="28"/>
        </w:rPr>
      </w:pPr>
      <w:r w:rsidRPr="00170B7C">
        <w:rPr>
          <w:color w:val="000000"/>
          <w:sz w:val="28"/>
          <w:szCs w:val="28"/>
        </w:rPr>
        <w:t xml:space="preserve">1. IX Евразийском радиологическом форуме, г.Нур-Султан, 7-9 октября 2021 г. </w:t>
      </w:r>
    </w:p>
    <w:p w14:paraId="22F57CAE" w14:textId="77777777" w:rsidR="00F51BAA" w:rsidRPr="00170B7C" w:rsidRDefault="00F51BAA" w:rsidP="00170B7C">
      <w:pPr>
        <w:ind w:firstLine="562"/>
        <w:jc w:val="both"/>
        <w:rPr>
          <w:sz w:val="28"/>
          <w:szCs w:val="28"/>
        </w:rPr>
      </w:pPr>
      <w:r w:rsidRPr="00170B7C">
        <w:rPr>
          <w:color w:val="000000"/>
          <w:sz w:val="28"/>
          <w:szCs w:val="28"/>
        </w:rPr>
        <w:t xml:space="preserve">2. IІІ съезде хирургов Казахстана с международным участием «Актуальные вопросы хирургии и трансплантологии», г.Алматы, 2-3 сентября 2022 г. </w:t>
      </w:r>
    </w:p>
    <w:p w14:paraId="3EBCF082" w14:textId="77777777" w:rsidR="00F51BAA" w:rsidRPr="00170B7C" w:rsidRDefault="00F51BAA" w:rsidP="00170B7C">
      <w:pPr>
        <w:ind w:firstLine="562"/>
        <w:jc w:val="both"/>
        <w:rPr>
          <w:sz w:val="28"/>
          <w:szCs w:val="28"/>
        </w:rPr>
      </w:pPr>
      <w:r w:rsidRPr="00170B7C">
        <w:rPr>
          <w:color w:val="000000"/>
          <w:sz w:val="28"/>
          <w:szCs w:val="28"/>
        </w:rPr>
        <w:t xml:space="preserve">3. X международной научно-практической конференции «Актуальные вопросы медицины» г.Баку, Азербайджан, 27-28 апреля 2023 г. </w:t>
      </w:r>
    </w:p>
    <w:p w14:paraId="71638823" w14:textId="77777777" w:rsidR="00F51BAA" w:rsidRPr="00170B7C" w:rsidRDefault="00F51BAA" w:rsidP="00170B7C">
      <w:pPr>
        <w:ind w:firstLine="562"/>
        <w:jc w:val="both"/>
        <w:rPr>
          <w:sz w:val="28"/>
          <w:szCs w:val="28"/>
        </w:rPr>
      </w:pPr>
      <w:r w:rsidRPr="00170B7C">
        <w:rPr>
          <w:color w:val="000000"/>
          <w:sz w:val="28"/>
          <w:szCs w:val="28"/>
        </w:rPr>
        <w:t xml:space="preserve">4. VIII конгрессе хирургов Казахстана «Вклад академика М.А.Алиева в развитие хирургии Казахстана», г. Алматы, 8-9 сентября 2023 г. </w:t>
      </w:r>
    </w:p>
    <w:p w14:paraId="126A898C" w14:textId="77777777" w:rsidR="00F51BAA" w:rsidRPr="00170B7C" w:rsidRDefault="00F51BAA" w:rsidP="00170B7C">
      <w:pPr>
        <w:ind w:firstLine="562"/>
        <w:jc w:val="both"/>
        <w:rPr>
          <w:sz w:val="28"/>
          <w:szCs w:val="28"/>
        </w:rPr>
      </w:pPr>
      <w:r w:rsidRPr="00170B7C">
        <w:rPr>
          <w:color w:val="000000"/>
          <w:sz w:val="28"/>
          <w:szCs w:val="28"/>
        </w:rPr>
        <w:t xml:space="preserve">5. 22 Азиатско-Тихоокеанском конгрессе радиологов (AOCR 2024), Тайбэй, Тайвань, 22-25 марта 2024 г. </w:t>
      </w:r>
    </w:p>
    <w:p w14:paraId="1C2B89D1" w14:textId="77777777" w:rsidR="00F51BAA" w:rsidRPr="00170B7C" w:rsidRDefault="00F51BAA" w:rsidP="00170B7C">
      <w:pPr>
        <w:ind w:firstLine="562"/>
        <w:jc w:val="both"/>
        <w:rPr>
          <w:sz w:val="28"/>
          <w:szCs w:val="28"/>
        </w:rPr>
      </w:pPr>
      <w:r w:rsidRPr="00170B7C">
        <w:rPr>
          <w:color w:val="000000"/>
          <w:sz w:val="28"/>
          <w:szCs w:val="28"/>
        </w:rPr>
        <w:t>6. На расширенном заседании кафедры «Визуальная диагностика», протокол №5 от 14.12.2023 г.</w:t>
      </w:r>
    </w:p>
    <w:p w14:paraId="4D52D51E" w14:textId="77777777" w:rsidR="00F51BAA" w:rsidRPr="00170B7C" w:rsidRDefault="00F51BAA"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FF0000"/>
          <w:sz w:val="28"/>
          <w:szCs w:val="28"/>
        </w:rPr>
      </w:pPr>
      <w:r w:rsidRPr="00170B7C">
        <w:rPr>
          <w:b/>
          <w:color w:val="000000"/>
          <w:sz w:val="28"/>
          <w:szCs w:val="28"/>
        </w:rPr>
        <w:t>Сведения о внедрении:</w:t>
      </w:r>
      <w:r w:rsidRPr="00170B7C">
        <w:rPr>
          <w:color w:val="000000"/>
          <w:sz w:val="28"/>
          <w:szCs w:val="28"/>
        </w:rPr>
        <w:t> </w:t>
      </w:r>
      <w:r w:rsidRPr="00170B7C">
        <w:rPr>
          <w:color w:val="FF0000"/>
          <w:sz w:val="28"/>
          <w:szCs w:val="28"/>
        </w:rPr>
        <w:t xml:space="preserve"> </w:t>
      </w:r>
    </w:p>
    <w:p w14:paraId="7DC6B098" w14:textId="77777777" w:rsidR="00F51BAA" w:rsidRPr="00170B7C" w:rsidRDefault="00F51BAA"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1. Внедрение метода «КТ-волюметрия печени донора при родственной трансплантации» (акт внедрения №4-2023). </w:t>
      </w:r>
    </w:p>
    <w:p w14:paraId="4A71A91C" w14:textId="77777777" w:rsidR="00F51BAA" w:rsidRPr="00170B7C" w:rsidRDefault="00F51BAA"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2. Внедрение метода </w:t>
      </w:r>
      <w:r w:rsidRPr="00170B7C">
        <w:rPr>
          <w:color w:val="000000" w:themeColor="text1"/>
          <w:sz w:val="28"/>
          <w:szCs w:val="28"/>
        </w:rPr>
        <w:t>«Оптимизированный метод мануальной КТ-волюметрии печени» (акт внедр</w:t>
      </w:r>
      <w:r w:rsidRPr="00170B7C">
        <w:rPr>
          <w:color w:val="000000"/>
          <w:sz w:val="28"/>
          <w:szCs w:val="28"/>
        </w:rPr>
        <w:t>ения №5-2023). </w:t>
      </w:r>
    </w:p>
    <w:p w14:paraId="0571749D" w14:textId="77777777" w:rsidR="00F51BAA" w:rsidRPr="00170B7C" w:rsidRDefault="00F51BAA"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b/>
          <w:color w:val="000000"/>
          <w:sz w:val="28"/>
          <w:szCs w:val="28"/>
        </w:rPr>
        <w:t>Публикации:</w:t>
      </w:r>
      <w:r w:rsidRPr="00170B7C">
        <w:rPr>
          <w:color w:val="000000"/>
          <w:sz w:val="28"/>
          <w:szCs w:val="28"/>
        </w:rPr>
        <w:t> </w:t>
      </w:r>
    </w:p>
    <w:p w14:paraId="6C934B8D" w14:textId="77777777" w:rsidR="00652741" w:rsidRPr="00652741" w:rsidRDefault="00EA7307" w:rsidP="00652741">
      <w:pPr>
        <w:ind w:firstLine="562"/>
        <w:jc w:val="both"/>
        <w:rPr>
          <w:color w:val="000000"/>
          <w:sz w:val="28"/>
          <w:szCs w:val="28"/>
        </w:rPr>
      </w:pPr>
      <w:r w:rsidRPr="00170B7C">
        <w:rPr>
          <w:color w:val="000000"/>
          <w:sz w:val="28"/>
          <w:szCs w:val="28"/>
        </w:rPr>
        <w:t xml:space="preserve">Автором опубликовано всего – 8 научных трудов, из них по теме диссертационной работы - 8, в Перечне изданий – 3, в международном рецензируемом научном журнале, имеющий импакт-фактор по данным JCR (индексируемый в базе данных Web of science Core Collection, science Citation Index Expanded, показатель процентиля по CiteScore – 87, в базе данных Scopus– </w:t>
      </w:r>
      <w:r w:rsidRPr="00170B7C">
        <w:rPr>
          <w:color w:val="000000"/>
          <w:sz w:val="28"/>
          <w:szCs w:val="28"/>
          <w:lang w:val="en-US"/>
        </w:rPr>
        <w:t>Q</w:t>
      </w:r>
      <w:r w:rsidRPr="00170B7C">
        <w:rPr>
          <w:color w:val="000000"/>
          <w:sz w:val="28"/>
          <w:szCs w:val="28"/>
        </w:rPr>
        <w:t xml:space="preserve">1) – 1, в материалах зарубежных международных конференций – 3, патент </w:t>
      </w:r>
      <w:r w:rsidR="00652741">
        <w:rPr>
          <w:color w:val="000000"/>
          <w:sz w:val="28"/>
          <w:szCs w:val="28"/>
        </w:rPr>
        <w:t>–</w:t>
      </w:r>
      <w:r w:rsidRPr="00170B7C">
        <w:rPr>
          <w:color w:val="000000"/>
          <w:sz w:val="28"/>
          <w:szCs w:val="28"/>
        </w:rPr>
        <w:t xml:space="preserve"> 1</w:t>
      </w:r>
      <w:r w:rsidR="00652741">
        <w:rPr>
          <w:color w:val="000000"/>
          <w:sz w:val="28"/>
          <w:szCs w:val="28"/>
        </w:rPr>
        <w:t>.</w:t>
      </w:r>
    </w:p>
    <w:p w14:paraId="69C659FB" w14:textId="77777777" w:rsidR="00F51BAA" w:rsidRPr="00E8569A" w:rsidRDefault="00F51BAA" w:rsidP="00170B7C">
      <w:pPr>
        <w:ind w:firstLine="567"/>
        <w:jc w:val="both"/>
        <w:rPr>
          <w:color w:val="FF0000"/>
          <w:sz w:val="28"/>
          <w:szCs w:val="28"/>
          <w:lang w:val="en-US"/>
        </w:rPr>
      </w:pPr>
      <w:r w:rsidRPr="00E8569A">
        <w:rPr>
          <w:color w:val="000000"/>
          <w:sz w:val="28"/>
          <w:szCs w:val="28"/>
          <w:lang w:val="en-US"/>
        </w:rPr>
        <w:t xml:space="preserve">1. </w:t>
      </w:r>
      <w:r w:rsidRPr="00D32828">
        <w:rPr>
          <w:color w:val="000000"/>
          <w:sz w:val="28"/>
          <w:szCs w:val="28"/>
          <w:lang w:val="en-US"/>
        </w:rPr>
        <w:t>Kalshabay</w:t>
      </w:r>
      <w:r w:rsidRPr="00E8569A">
        <w:rPr>
          <w:color w:val="000000"/>
          <w:sz w:val="28"/>
          <w:szCs w:val="28"/>
          <w:lang w:val="en-US"/>
        </w:rPr>
        <w:t xml:space="preserve"> </w:t>
      </w:r>
      <w:r w:rsidRPr="00D32828">
        <w:rPr>
          <w:color w:val="000000"/>
          <w:sz w:val="28"/>
          <w:szCs w:val="28"/>
          <w:lang w:val="en-US"/>
        </w:rPr>
        <w:t>Y</w:t>
      </w:r>
      <w:r w:rsidRPr="00E8569A">
        <w:rPr>
          <w:color w:val="000000"/>
          <w:sz w:val="28"/>
          <w:szCs w:val="28"/>
          <w:lang w:val="en-US"/>
        </w:rPr>
        <w:t xml:space="preserve">., </w:t>
      </w:r>
      <w:r w:rsidRPr="00D32828">
        <w:rPr>
          <w:color w:val="000000"/>
          <w:sz w:val="28"/>
          <w:szCs w:val="28"/>
          <w:lang w:val="en-US"/>
        </w:rPr>
        <w:t>Zholdybay</w:t>
      </w:r>
      <w:r w:rsidRPr="00E8569A">
        <w:rPr>
          <w:color w:val="000000"/>
          <w:sz w:val="28"/>
          <w:szCs w:val="28"/>
          <w:lang w:val="en-US"/>
        </w:rPr>
        <w:t xml:space="preserve"> </w:t>
      </w:r>
      <w:r w:rsidRPr="00D32828">
        <w:rPr>
          <w:color w:val="000000"/>
          <w:sz w:val="28"/>
          <w:szCs w:val="28"/>
          <w:lang w:val="en-US"/>
        </w:rPr>
        <w:t>Z</w:t>
      </w:r>
      <w:r w:rsidRPr="00E8569A">
        <w:rPr>
          <w:color w:val="000000"/>
          <w:sz w:val="28"/>
          <w:szCs w:val="28"/>
          <w:lang w:val="en-US"/>
        </w:rPr>
        <w:t xml:space="preserve">., </w:t>
      </w:r>
      <w:r w:rsidRPr="00D32828">
        <w:rPr>
          <w:color w:val="000000"/>
          <w:sz w:val="28"/>
          <w:szCs w:val="28"/>
          <w:lang w:val="en-US"/>
        </w:rPr>
        <w:t>Di</w:t>
      </w:r>
      <w:r w:rsidRPr="00E8569A">
        <w:rPr>
          <w:color w:val="000000"/>
          <w:sz w:val="28"/>
          <w:szCs w:val="28"/>
          <w:lang w:val="en-US"/>
        </w:rPr>
        <w:t xml:space="preserve"> </w:t>
      </w:r>
      <w:r w:rsidRPr="00D32828">
        <w:rPr>
          <w:color w:val="000000"/>
          <w:sz w:val="28"/>
          <w:szCs w:val="28"/>
          <w:lang w:val="en-US"/>
        </w:rPr>
        <w:t>Martino</w:t>
      </w:r>
      <w:r w:rsidRPr="00E8569A">
        <w:rPr>
          <w:color w:val="000000"/>
          <w:sz w:val="28"/>
          <w:szCs w:val="28"/>
          <w:lang w:val="en-US"/>
        </w:rPr>
        <w:t xml:space="preserve">, </w:t>
      </w:r>
      <w:r w:rsidRPr="00D32828">
        <w:rPr>
          <w:color w:val="000000"/>
          <w:sz w:val="28"/>
          <w:szCs w:val="28"/>
          <w:lang w:val="en-US"/>
        </w:rPr>
        <w:t>Medeubekov</w:t>
      </w:r>
      <w:r w:rsidRPr="00E8569A">
        <w:rPr>
          <w:color w:val="000000"/>
          <w:sz w:val="28"/>
          <w:szCs w:val="28"/>
          <w:lang w:val="en-US"/>
        </w:rPr>
        <w:t xml:space="preserve"> </w:t>
      </w:r>
      <w:r w:rsidRPr="00D32828">
        <w:rPr>
          <w:color w:val="000000"/>
          <w:sz w:val="28"/>
          <w:szCs w:val="28"/>
          <w:lang w:val="en-US"/>
        </w:rPr>
        <w:t>U</w:t>
      </w:r>
      <w:r w:rsidRPr="00E8569A">
        <w:rPr>
          <w:color w:val="000000"/>
          <w:sz w:val="28"/>
          <w:szCs w:val="28"/>
          <w:lang w:val="en-US"/>
        </w:rPr>
        <w:t xml:space="preserve">., </w:t>
      </w:r>
      <w:r w:rsidRPr="00D32828">
        <w:rPr>
          <w:color w:val="000000"/>
          <w:sz w:val="28"/>
          <w:szCs w:val="28"/>
          <w:lang w:val="en-US"/>
        </w:rPr>
        <w:t>Baiguissova</w:t>
      </w:r>
      <w:r w:rsidRPr="00E8569A">
        <w:rPr>
          <w:color w:val="000000"/>
          <w:sz w:val="28"/>
          <w:szCs w:val="28"/>
          <w:lang w:val="en-US"/>
        </w:rPr>
        <w:t xml:space="preserve"> </w:t>
      </w:r>
      <w:r w:rsidRPr="00D32828">
        <w:rPr>
          <w:color w:val="000000"/>
          <w:sz w:val="28"/>
          <w:szCs w:val="28"/>
          <w:lang w:val="en-US"/>
        </w:rPr>
        <w:t>D</w:t>
      </w:r>
      <w:r w:rsidRPr="00E8569A">
        <w:rPr>
          <w:color w:val="000000"/>
          <w:sz w:val="28"/>
          <w:szCs w:val="28"/>
          <w:lang w:val="en-US"/>
        </w:rPr>
        <w:t xml:space="preserve">., </w:t>
      </w:r>
      <w:r w:rsidRPr="00D32828">
        <w:rPr>
          <w:color w:val="000000"/>
          <w:sz w:val="28"/>
          <w:szCs w:val="28"/>
          <w:lang w:val="en-US"/>
        </w:rPr>
        <w:t>Ainakulova</w:t>
      </w:r>
      <w:r w:rsidRPr="00E8569A">
        <w:rPr>
          <w:color w:val="000000"/>
          <w:sz w:val="28"/>
          <w:szCs w:val="28"/>
          <w:lang w:val="en-US"/>
        </w:rPr>
        <w:t xml:space="preserve"> </w:t>
      </w:r>
      <w:r w:rsidRPr="00D32828">
        <w:rPr>
          <w:color w:val="000000"/>
          <w:sz w:val="28"/>
          <w:szCs w:val="28"/>
          <w:lang w:val="en-US"/>
        </w:rPr>
        <w:t>A</w:t>
      </w:r>
      <w:r w:rsidRPr="00E8569A">
        <w:rPr>
          <w:color w:val="000000"/>
          <w:sz w:val="28"/>
          <w:szCs w:val="28"/>
          <w:lang w:val="en-US"/>
        </w:rPr>
        <w:t xml:space="preserve">., </w:t>
      </w:r>
      <w:r w:rsidRPr="00D32828">
        <w:rPr>
          <w:color w:val="000000"/>
          <w:sz w:val="28"/>
          <w:szCs w:val="28"/>
          <w:lang w:val="en-US"/>
        </w:rPr>
        <w:t>Doskhanov</w:t>
      </w:r>
      <w:r w:rsidRPr="00E8569A">
        <w:rPr>
          <w:color w:val="000000"/>
          <w:sz w:val="28"/>
          <w:szCs w:val="28"/>
          <w:lang w:val="en-US"/>
        </w:rPr>
        <w:t xml:space="preserve"> </w:t>
      </w:r>
      <w:r w:rsidRPr="00D32828">
        <w:rPr>
          <w:color w:val="000000"/>
          <w:sz w:val="28"/>
          <w:szCs w:val="28"/>
          <w:lang w:val="en-US"/>
        </w:rPr>
        <w:t>M</w:t>
      </w:r>
      <w:r w:rsidRPr="00E8569A">
        <w:rPr>
          <w:color w:val="000000"/>
          <w:sz w:val="28"/>
          <w:szCs w:val="28"/>
          <w:lang w:val="en-US"/>
        </w:rPr>
        <w:t xml:space="preserve">., </w:t>
      </w:r>
      <w:r w:rsidRPr="00D32828">
        <w:rPr>
          <w:color w:val="000000"/>
          <w:sz w:val="28"/>
          <w:szCs w:val="28"/>
          <w:lang w:val="en-US"/>
        </w:rPr>
        <w:t>Baimakhanov</w:t>
      </w:r>
      <w:r w:rsidRPr="00E8569A">
        <w:rPr>
          <w:color w:val="000000"/>
          <w:sz w:val="28"/>
          <w:szCs w:val="28"/>
          <w:lang w:val="en-US"/>
        </w:rPr>
        <w:t xml:space="preserve"> </w:t>
      </w:r>
      <w:r w:rsidRPr="00D32828">
        <w:rPr>
          <w:color w:val="000000"/>
          <w:sz w:val="28"/>
          <w:szCs w:val="28"/>
          <w:lang w:val="en-US"/>
        </w:rPr>
        <w:t>B</w:t>
      </w:r>
      <w:r w:rsidRPr="00E8569A">
        <w:rPr>
          <w:i/>
          <w:color w:val="000000"/>
          <w:sz w:val="28"/>
          <w:szCs w:val="28"/>
          <w:lang w:val="en-US"/>
        </w:rPr>
        <w:t xml:space="preserve">. </w:t>
      </w:r>
      <w:r w:rsidRPr="00D32828">
        <w:rPr>
          <w:color w:val="000000"/>
          <w:sz w:val="28"/>
          <w:szCs w:val="28"/>
          <w:lang w:val="en-US"/>
        </w:rPr>
        <w:t>CT</w:t>
      </w:r>
      <w:r w:rsidRPr="00E8569A">
        <w:rPr>
          <w:color w:val="000000"/>
          <w:sz w:val="28"/>
          <w:szCs w:val="28"/>
          <w:lang w:val="en-US"/>
        </w:rPr>
        <w:t xml:space="preserve"> </w:t>
      </w:r>
      <w:r w:rsidRPr="00D32828">
        <w:rPr>
          <w:color w:val="000000"/>
          <w:sz w:val="28"/>
          <w:szCs w:val="28"/>
          <w:lang w:val="en-US"/>
        </w:rPr>
        <w:t>volume</w:t>
      </w:r>
      <w:r w:rsidRPr="00E8569A">
        <w:rPr>
          <w:color w:val="000000"/>
          <w:sz w:val="28"/>
          <w:szCs w:val="28"/>
          <w:lang w:val="en-US"/>
        </w:rPr>
        <w:t xml:space="preserve"> </w:t>
      </w:r>
      <w:r w:rsidRPr="00D32828">
        <w:rPr>
          <w:color w:val="000000"/>
          <w:sz w:val="28"/>
          <w:szCs w:val="28"/>
          <w:lang w:val="en-US"/>
        </w:rPr>
        <w:t>analysis</w:t>
      </w:r>
      <w:r w:rsidRPr="00E8569A">
        <w:rPr>
          <w:color w:val="000000"/>
          <w:sz w:val="28"/>
          <w:szCs w:val="28"/>
          <w:lang w:val="en-US"/>
        </w:rPr>
        <w:t xml:space="preserve"> </w:t>
      </w:r>
      <w:r w:rsidRPr="00D32828">
        <w:rPr>
          <w:color w:val="000000"/>
          <w:sz w:val="28"/>
          <w:szCs w:val="28"/>
          <w:lang w:val="en-US"/>
        </w:rPr>
        <w:t>in</w:t>
      </w:r>
      <w:r w:rsidRPr="00E8569A">
        <w:rPr>
          <w:color w:val="000000"/>
          <w:sz w:val="28"/>
          <w:szCs w:val="28"/>
          <w:lang w:val="en-US"/>
        </w:rPr>
        <w:t xml:space="preserve"> </w:t>
      </w:r>
      <w:r w:rsidRPr="00D32828">
        <w:rPr>
          <w:color w:val="000000"/>
          <w:sz w:val="28"/>
          <w:szCs w:val="28"/>
          <w:lang w:val="en-US"/>
        </w:rPr>
        <w:t>living</w:t>
      </w:r>
      <w:r w:rsidRPr="00E8569A">
        <w:rPr>
          <w:color w:val="000000"/>
          <w:sz w:val="28"/>
          <w:szCs w:val="28"/>
          <w:lang w:val="en-US"/>
        </w:rPr>
        <w:t xml:space="preserve"> </w:t>
      </w:r>
      <w:r w:rsidRPr="00D32828">
        <w:rPr>
          <w:color w:val="000000"/>
          <w:sz w:val="28"/>
          <w:szCs w:val="28"/>
          <w:lang w:val="en-US"/>
        </w:rPr>
        <w:t>donor</w:t>
      </w:r>
      <w:r w:rsidRPr="00E8569A">
        <w:rPr>
          <w:color w:val="000000"/>
          <w:sz w:val="28"/>
          <w:szCs w:val="28"/>
          <w:lang w:val="en-US"/>
        </w:rPr>
        <w:t xml:space="preserve"> </w:t>
      </w:r>
      <w:r w:rsidRPr="00D32828">
        <w:rPr>
          <w:color w:val="000000"/>
          <w:sz w:val="28"/>
          <w:szCs w:val="28"/>
          <w:lang w:val="en-US"/>
        </w:rPr>
        <w:lastRenderedPageBreak/>
        <w:t>liver</w:t>
      </w:r>
      <w:r w:rsidRPr="00E8569A">
        <w:rPr>
          <w:color w:val="000000"/>
          <w:sz w:val="28"/>
          <w:szCs w:val="28"/>
          <w:lang w:val="en-US"/>
        </w:rPr>
        <w:t xml:space="preserve"> </w:t>
      </w:r>
      <w:r w:rsidRPr="00D32828">
        <w:rPr>
          <w:color w:val="000000"/>
          <w:sz w:val="28"/>
          <w:szCs w:val="28"/>
          <w:lang w:val="en-US"/>
        </w:rPr>
        <w:t>transplantation</w:t>
      </w:r>
      <w:r w:rsidRPr="00E8569A">
        <w:rPr>
          <w:color w:val="000000"/>
          <w:sz w:val="28"/>
          <w:szCs w:val="28"/>
          <w:lang w:val="en-US"/>
        </w:rPr>
        <w:t xml:space="preserve">: </w:t>
      </w:r>
      <w:r w:rsidRPr="00D32828">
        <w:rPr>
          <w:color w:val="000000"/>
          <w:sz w:val="28"/>
          <w:szCs w:val="28"/>
          <w:lang w:val="en-US"/>
        </w:rPr>
        <w:t>accuracy</w:t>
      </w:r>
      <w:r w:rsidRPr="00E8569A">
        <w:rPr>
          <w:color w:val="000000"/>
          <w:sz w:val="28"/>
          <w:szCs w:val="28"/>
          <w:lang w:val="en-US"/>
        </w:rPr>
        <w:t xml:space="preserve"> </w:t>
      </w:r>
      <w:r w:rsidRPr="00D32828">
        <w:rPr>
          <w:color w:val="000000"/>
          <w:sz w:val="28"/>
          <w:szCs w:val="28"/>
          <w:lang w:val="en-US"/>
        </w:rPr>
        <w:t>of</w:t>
      </w:r>
      <w:r w:rsidRPr="00E8569A">
        <w:rPr>
          <w:color w:val="000000"/>
          <w:sz w:val="28"/>
          <w:szCs w:val="28"/>
          <w:lang w:val="en-US"/>
        </w:rPr>
        <w:t xml:space="preserve"> </w:t>
      </w:r>
      <w:r w:rsidRPr="00D32828">
        <w:rPr>
          <w:color w:val="000000"/>
          <w:sz w:val="28"/>
          <w:szCs w:val="28"/>
          <w:lang w:val="en-US"/>
        </w:rPr>
        <w:t>three</w:t>
      </w:r>
      <w:r w:rsidRPr="00E8569A">
        <w:rPr>
          <w:color w:val="000000"/>
          <w:sz w:val="28"/>
          <w:szCs w:val="28"/>
          <w:lang w:val="en-US"/>
        </w:rPr>
        <w:t xml:space="preserve"> </w:t>
      </w:r>
      <w:r w:rsidRPr="00D32828">
        <w:rPr>
          <w:color w:val="000000"/>
          <w:sz w:val="28"/>
          <w:szCs w:val="28"/>
          <w:lang w:val="en-US"/>
        </w:rPr>
        <w:t>different</w:t>
      </w:r>
      <w:r w:rsidRPr="00E8569A">
        <w:rPr>
          <w:color w:val="000000"/>
          <w:sz w:val="28"/>
          <w:szCs w:val="28"/>
          <w:lang w:val="en-US"/>
        </w:rPr>
        <w:t xml:space="preserve"> </w:t>
      </w:r>
      <w:r w:rsidRPr="00D32828">
        <w:rPr>
          <w:color w:val="000000"/>
          <w:sz w:val="28"/>
          <w:szCs w:val="28"/>
          <w:lang w:val="en-US"/>
        </w:rPr>
        <w:t>approaches</w:t>
      </w:r>
      <w:r w:rsidRPr="00E8569A">
        <w:rPr>
          <w:color w:val="000000"/>
          <w:sz w:val="28"/>
          <w:szCs w:val="28"/>
          <w:lang w:val="en-US"/>
        </w:rPr>
        <w:t xml:space="preserve">. </w:t>
      </w:r>
      <w:r w:rsidRPr="00D32828">
        <w:rPr>
          <w:i/>
          <w:color w:val="000000"/>
          <w:sz w:val="28"/>
          <w:szCs w:val="28"/>
          <w:lang w:val="en-US"/>
        </w:rPr>
        <w:t>Insights</w:t>
      </w:r>
      <w:r w:rsidRPr="00E8569A">
        <w:rPr>
          <w:i/>
          <w:color w:val="000000"/>
          <w:sz w:val="28"/>
          <w:szCs w:val="28"/>
          <w:lang w:val="en-US"/>
        </w:rPr>
        <w:t xml:space="preserve"> </w:t>
      </w:r>
      <w:r w:rsidRPr="00D32828">
        <w:rPr>
          <w:i/>
          <w:color w:val="000000"/>
          <w:sz w:val="28"/>
          <w:szCs w:val="28"/>
          <w:lang w:val="en-US"/>
        </w:rPr>
        <w:t>Imaging</w:t>
      </w:r>
      <w:r w:rsidRPr="00E8569A">
        <w:rPr>
          <w:i/>
          <w:color w:val="000000"/>
          <w:sz w:val="28"/>
          <w:szCs w:val="28"/>
          <w:lang w:val="en-US"/>
        </w:rPr>
        <w:t xml:space="preserve"> </w:t>
      </w:r>
      <w:r w:rsidRPr="00E8569A">
        <w:rPr>
          <w:color w:val="000000"/>
          <w:sz w:val="28"/>
          <w:szCs w:val="28"/>
          <w:lang w:val="en-US"/>
        </w:rPr>
        <w:t xml:space="preserve">14, 82 (2023). </w:t>
      </w:r>
      <w:r w:rsidRPr="00D32828">
        <w:rPr>
          <w:color w:val="000000"/>
          <w:sz w:val="28"/>
          <w:szCs w:val="28"/>
          <w:lang w:val="en-US"/>
        </w:rPr>
        <w:t>https</w:t>
      </w:r>
      <w:r w:rsidRPr="00E8569A">
        <w:rPr>
          <w:color w:val="000000"/>
          <w:sz w:val="28"/>
          <w:szCs w:val="28"/>
          <w:lang w:val="en-US"/>
        </w:rPr>
        <w:t>://</w:t>
      </w:r>
      <w:r w:rsidRPr="00D32828">
        <w:rPr>
          <w:color w:val="000000"/>
          <w:sz w:val="28"/>
          <w:szCs w:val="28"/>
          <w:lang w:val="en-US"/>
        </w:rPr>
        <w:t>doi</w:t>
      </w:r>
      <w:r w:rsidRPr="00E8569A">
        <w:rPr>
          <w:color w:val="000000"/>
          <w:sz w:val="28"/>
          <w:szCs w:val="28"/>
          <w:lang w:val="en-US"/>
        </w:rPr>
        <w:t>.</w:t>
      </w:r>
      <w:r w:rsidRPr="00D32828">
        <w:rPr>
          <w:color w:val="000000"/>
          <w:sz w:val="28"/>
          <w:szCs w:val="28"/>
          <w:lang w:val="en-US"/>
        </w:rPr>
        <w:t>org</w:t>
      </w:r>
      <w:r w:rsidRPr="00E8569A">
        <w:rPr>
          <w:color w:val="000000"/>
          <w:sz w:val="28"/>
          <w:szCs w:val="28"/>
          <w:lang w:val="en-US"/>
        </w:rPr>
        <w:t>/10.1186/</w:t>
      </w:r>
      <w:r w:rsidRPr="00D32828">
        <w:rPr>
          <w:color w:val="000000"/>
          <w:sz w:val="28"/>
          <w:szCs w:val="28"/>
          <w:lang w:val="en-US"/>
        </w:rPr>
        <w:t>s</w:t>
      </w:r>
      <w:r w:rsidRPr="00E8569A">
        <w:rPr>
          <w:color w:val="000000"/>
          <w:sz w:val="28"/>
          <w:szCs w:val="28"/>
          <w:lang w:val="en-US"/>
        </w:rPr>
        <w:t>13244-023-01431-8 (8</w:t>
      </w:r>
      <w:r w:rsidR="009B7331" w:rsidRPr="00E8569A">
        <w:rPr>
          <w:color w:val="000000"/>
          <w:sz w:val="28"/>
          <w:szCs w:val="28"/>
          <w:lang w:val="en-US"/>
        </w:rPr>
        <w:t>7</w:t>
      </w:r>
      <w:r w:rsidRPr="00E8569A">
        <w:rPr>
          <w:color w:val="000000"/>
          <w:sz w:val="28"/>
          <w:szCs w:val="28"/>
          <w:lang w:val="en-US"/>
        </w:rPr>
        <w:t xml:space="preserve"> </w:t>
      </w:r>
      <w:r w:rsidRPr="00170B7C">
        <w:rPr>
          <w:color w:val="000000"/>
          <w:sz w:val="28"/>
          <w:szCs w:val="28"/>
        </w:rPr>
        <w:t>процентиль</w:t>
      </w:r>
      <w:r w:rsidRPr="00E8569A">
        <w:rPr>
          <w:color w:val="000000"/>
          <w:sz w:val="28"/>
          <w:szCs w:val="28"/>
          <w:lang w:val="en-US"/>
        </w:rPr>
        <w:t xml:space="preserve"> - </w:t>
      </w:r>
      <w:r w:rsidRPr="00D32828">
        <w:rPr>
          <w:color w:val="000000"/>
          <w:sz w:val="28"/>
          <w:szCs w:val="28"/>
          <w:lang w:val="en-US"/>
        </w:rPr>
        <w:t>Scopus</w:t>
      </w:r>
      <w:r w:rsidRPr="00E8569A">
        <w:rPr>
          <w:color w:val="000000"/>
          <w:sz w:val="28"/>
          <w:szCs w:val="28"/>
          <w:lang w:val="en-US"/>
        </w:rPr>
        <w:t xml:space="preserve">, </w:t>
      </w:r>
      <w:r w:rsidRPr="00D32828">
        <w:rPr>
          <w:color w:val="000000"/>
          <w:sz w:val="28"/>
          <w:szCs w:val="28"/>
          <w:lang w:val="en-US"/>
        </w:rPr>
        <w:t>Q</w:t>
      </w:r>
      <w:r w:rsidRPr="00E8569A">
        <w:rPr>
          <w:color w:val="000000"/>
          <w:sz w:val="28"/>
          <w:szCs w:val="28"/>
          <w:lang w:val="en-US"/>
        </w:rPr>
        <w:t xml:space="preserve">1 - </w:t>
      </w:r>
      <w:r w:rsidRPr="00D32828">
        <w:rPr>
          <w:color w:val="000000"/>
          <w:sz w:val="28"/>
          <w:szCs w:val="28"/>
          <w:lang w:val="en-US"/>
        </w:rPr>
        <w:t>WoS</w:t>
      </w:r>
      <w:r w:rsidRPr="00E8569A">
        <w:rPr>
          <w:color w:val="000000"/>
          <w:sz w:val="28"/>
          <w:szCs w:val="28"/>
          <w:lang w:val="en-US"/>
        </w:rPr>
        <w:t xml:space="preserve">), </w:t>
      </w:r>
      <w:r w:rsidRPr="00D32828">
        <w:rPr>
          <w:color w:val="000000"/>
          <w:sz w:val="28"/>
          <w:szCs w:val="28"/>
          <w:lang w:val="en-US"/>
        </w:rPr>
        <w:t>p</w:t>
      </w:r>
      <w:r w:rsidRPr="00E8569A">
        <w:rPr>
          <w:color w:val="000000"/>
          <w:sz w:val="28"/>
          <w:szCs w:val="28"/>
          <w:lang w:val="en-US"/>
        </w:rPr>
        <w:t xml:space="preserve"> 11</w:t>
      </w:r>
    </w:p>
    <w:p w14:paraId="7976D277" w14:textId="77777777" w:rsidR="00F51BAA" w:rsidRPr="00170B7C" w:rsidRDefault="00F51BAA" w:rsidP="00170B7C">
      <w:pPr>
        <w:ind w:firstLine="567"/>
        <w:jc w:val="both"/>
        <w:rPr>
          <w:color w:val="FF0000"/>
          <w:sz w:val="28"/>
          <w:szCs w:val="28"/>
        </w:rPr>
      </w:pPr>
      <w:r w:rsidRPr="00E8569A">
        <w:rPr>
          <w:color w:val="000000"/>
          <w:sz w:val="28"/>
          <w:szCs w:val="28"/>
          <w:lang w:val="en-US"/>
        </w:rPr>
        <w:t xml:space="preserve">2. </w:t>
      </w:r>
      <w:r w:rsidRPr="00170B7C">
        <w:rPr>
          <w:color w:val="000000"/>
          <w:sz w:val="28"/>
          <w:szCs w:val="28"/>
        </w:rPr>
        <w:t>Калшабай</w:t>
      </w:r>
      <w:r w:rsidRPr="00E8569A">
        <w:rPr>
          <w:color w:val="000000"/>
          <w:sz w:val="28"/>
          <w:szCs w:val="28"/>
          <w:lang w:val="en-US"/>
        </w:rPr>
        <w:t xml:space="preserve"> </w:t>
      </w:r>
      <w:r w:rsidRPr="00170B7C">
        <w:rPr>
          <w:color w:val="000000"/>
          <w:sz w:val="28"/>
          <w:szCs w:val="28"/>
        </w:rPr>
        <w:t>Е</w:t>
      </w:r>
      <w:r w:rsidRPr="00E8569A">
        <w:rPr>
          <w:color w:val="000000"/>
          <w:sz w:val="28"/>
          <w:szCs w:val="28"/>
          <w:lang w:val="en-US"/>
        </w:rPr>
        <w:t xml:space="preserve">., </w:t>
      </w:r>
      <w:r w:rsidRPr="00170B7C">
        <w:rPr>
          <w:color w:val="000000"/>
          <w:sz w:val="28"/>
          <w:szCs w:val="28"/>
        </w:rPr>
        <w:t>Сагиева</w:t>
      </w:r>
      <w:r w:rsidRPr="00E8569A">
        <w:rPr>
          <w:color w:val="000000"/>
          <w:sz w:val="28"/>
          <w:szCs w:val="28"/>
          <w:lang w:val="en-US"/>
        </w:rPr>
        <w:t xml:space="preserve"> </w:t>
      </w:r>
      <w:r w:rsidRPr="00170B7C">
        <w:rPr>
          <w:color w:val="000000"/>
          <w:sz w:val="28"/>
          <w:szCs w:val="28"/>
        </w:rPr>
        <w:t>А</w:t>
      </w:r>
      <w:r w:rsidRPr="00E8569A">
        <w:rPr>
          <w:color w:val="000000"/>
          <w:sz w:val="28"/>
          <w:szCs w:val="28"/>
          <w:lang w:val="en-US"/>
        </w:rPr>
        <w:t>.</w:t>
      </w:r>
      <w:r w:rsidRPr="00170B7C">
        <w:rPr>
          <w:color w:val="000000"/>
          <w:sz w:val="28"/>
          <w:szCs w:val="28"/>
        </w:rPr>
        <w:t>У</w:t>
      </w:r>
      <w:r w:rsidRPr="00E8569A">
        <w:rPr>
          <w:color w:val="000000"/>
          <w:sz w:val="28"/>
          <w:szCs w:val="28"/>
          <w:lang w:val="en-US"/>
        </w:rPr>
        <w:t xml:space="preserve">., </w:t>
      </w:r>
      <w:r w:rsidRPr="00170B7C">
        <w:rPr>
          <w:color w:val="000000"/>
          <w:sz w:val="28"/>
          <w:szCs w:val="28"/>
        </w:rPr>
        <w:t>Тәжім</w:t>
      </w:r>
      <w:r w:rsidRPr="00E8569A">
        <w:rPr>
          <w:color w:val="000000"/>
          <w:sz w:val="28"/>
          <w:szCs w:val="28"/>
          <w:lang w:val="en-US"/>
        </w:rPr>
        <w:t xml:space="preserve"> </w:t>
      </w:r>
      <w:r w:rsidRPr="00170B7C">
        <w:rPr>
          <w:color w:val="000000"/>
          <w:sz w:val="28"/>
          <w:szCs w:val="28"/>
        </w:rPr>
        <w:t>Р</w:t>
      </w:r>
      <w:r w:rsidRPr="00E8569A">
        <w:rPr>
          <w:color w:val="000000"/>
          <w:sz w:val="28"/>
          <w:szCs w:val="28"/>
          <w:lang w:val="en-US"/>
        </w:rPr>
        <w:t>.</w:t>
      </w:r>
      <w:r w:rsidRPr="00170B7C">
        <w:rPr>
          <w:color w:val="000000"/>
          <w:sz w:val="28"/>
          <w:szCs w:val="28"/>
        </w:rPr>
        <w:t>Н</w:t>
      </w:r>
      <w:r w:rsidRPr="00E8569A">
        <w:rPr>
          <w:color w:val="000000"/>
          <w:sz w:val="28"/>
          <w:szCs w:val="28"/>
          <w:lang w:val="en-US"/>
        </w:rPr>
        <w:t xml:space="preserve">. </w:t>
      </w:r>
      <w:r w:rsidRPr="00D32828">
        <w:rPr>
          <w:color w:val="000000"/>
          <w:sz w:val="28"/>
          <w:szCs w:val="28"/>
          <w:lang w:val="en-US"/>
        </w:rPr>
        <w:t>Preoperative</w:t>
      </w:r>
      <w:r w:rsidRPr="00E8569A">
        <w:rPr>
          <w:color w:val="000000"/>
          <w:sz w:val="28"/>
          <w:szCs w:val="28"/>
          <w:lang w:val="en-US"/>
        </w:rPr>
        <w:t xml:space="preserve"> </w:t>
      </w:r>
      <w:r w:rsidRPr="00D32828">
        <w:rPr>
          <w:color w:val="000000"/>
          <w:sz w:val="28"/>
          <w:szCs w:val="28"/>
          <w:lang w:val="en-US"/>
        </w:rPr>
        <w:t>volumetry</w:t>
      </w:r>
      <w:r w:rsidRPr="00E8569A">
        <w:rPr>
          <w:color w:val="000000"/>
          <w:sz w:val="28"/>
          <w:szCs w:val="28"/>
          <w:lang w:val="en-US"/>
        </w:rPr>
        <w:t xml:space="preserve"> </w:t>
      </w:r>
      <w:r w:rsidRPr="00D32828">
        <w:rPr>
          <w:color w:val="000000"/>
          <w:sz w:val="28"/>
          <w:szCs w:val="28"/>
          <w:lang w:val="en-US"/>
        </w:rPr>
        <w:t>of</w:t>
      </w:r>
      <w:r w:rsidRPr="00E8569A">
        <w:rPr>
          <w:color w:val="000000"/>
          <w:sz w:val="28"/>
          <w:szCs w:val="28"/>
          <w:lang w:val="en-US"/>
        </w:rPr>
        <w:t xml:space="preserve"> </w:t>
      </w:r>
      <w:r w:rsidRPr="00D32828">
        <w:rPr>
          <w:color w:val="000000"/>
          <w:sz w:val="28"/>
          <w:szCs w:val="28"/>
          <w:lang w:val="en-US"/>
        </w:rPr>
        <w:t>the</w:t>
      </w:r>
      <w:r w:rsidRPr="00E8569A">
        <w:rPr>
          <w:color w:val="000000"/>
          <w:sz w:val="28"/>
          <w:szCs w:val="28"/>
          <w:lang w:val="en-US"/>
        </w:rPr>
        <w:t xml:space="preserve"> </w:t>
      </w:r>
      <w:r w:rsidRPr="00D32828">
        <w:rPr>
          <w:color w:val="000000"/>
          <w:sz w:val="28"/>
          <w:szCs w:val="28"/>
          <w:lang w:val="en-US"/>
        </w:rPr>
        <w:t>donor</w:t>
      </w:r>
      <w:r w:rsidRPr="00E8569A">
        <w:rPr>
          <w:color w:val="000000"/>
          <w:sz w:val="28"/>
          <w:szCs w:val="28"/>
          <w:lang w:val="en-US"/>
        </w:rPr>
        <w:t>’</w:t>
      </w:r>
      <w:r w:rsidRPr="00D32828">
        <w:rPr>
          <w:color w:val="000000"/>
          <w:sz w:val="28"/>
          <w:szCs w:val="28"/>
          <w:lang w:val="en-US"/>
        </w:rPr>
        <w:t>s</w:t>
      </w:r>
      <w:r w:rsidRPr="00E8569A">
        <w:rPr>
          <w:color w:val="000000"/>
          <w:sz w:val="28"/>
          <w:szCs w:val="28"/>
          <w:lang w:val="en-US"/>
        </w:rPr>
        <w:t xml:space="preserve"> </w:t>
      </w:r>
      <w:r w:rsidRPr="00D32828">
        <w:rPr>
          <w:color w:val="000000"/>
          <w:sz w:val="28"/>
          <w:szCs w:val="28"/>
          <w:lang w:val="en-US"/>
        </w:rPr>
        <w:t>liver</w:t>
      </w:r>
      <w:r w:rsidRPr="00E8569A">
        <w:rPr>
          <w:color w:val="000000"/>
          <w:sz w:val="28"/>
          <w:szCs w:val="28"/>
          <w:lang w:val="en-US"/>
        </w:rPr>
        <w:t xml:space="preserve"> </w:t>
      </w:r>
      <w:r w:rsidRPr="00D32828">
        <w:rPr>
          <w:color w:val="000000"/>
          <w:sz w:val="28"/>
          <w:szCs w:val="28"/>
          <w:lang w:val="en-US"/>
        </w:rPr>
        <w:t>in</w:t>
      </w:r>
      <w:r w:rsidRPr="00E8569A">
        <w:rPr>
          <w:color w:val="000000"/>
          <w:sz w:val="28"/>
          <w:szCs w:val="28"/>
          <w:lang w:val="en-US"/>
        </w:rPr>
        <w:t xml:space="preserve"> </w:t>
      </w:r>
      <w:r w:rsidRPr="00D32828">
        <w:rPr>
          <w:color w:val="000000"/>
          <w:sz w:val="28"/>
          <w:szCs w:val="28"/>
          <w:lang w:val="en-US"/>
        </w:rPr>
        <w:t>related</w:t>
      </w:r>
      <w:r w:rsidRPr="00E8569A">
        <w:rPr>
          <w:color w:val="000000"/>
          <w:sz w:val="28"/>
          <w:szCs w:val="28"/>
          <w:lang w:val="en-US"/>
        </w:rPr>
        <w:t xml:space="preserve"> </w:t>
      </w:r>
      <w:r w:rsidRPr="00D32828">
        <w:rPr>
          <w:color w:val="000000"/>
          <w:sz w:val="28"/>
          <w:szCs w:val="28"/>
          <w:lang w:val="en-US"/>
        </w:rPr>
        <w:t>liver</w:t>
      </w:r>
      <w:r w:rsidRPr="00E8569A">
        <w:rPr>
          <w:color w:val="000000"/>
          <w:sz w:val="28"/>
          <w:szCs w:val="28"/>
          <w:lang w:val="en-US"/>
        </w:rPr>
        <w:t xml:space="preserve"> </w:t>
      </w:r>
      <w:r w:rsidRPr="00D32828">
        <w:rPr>
          <w:color w:val="000000"/>
          <w:sz w:val="28"/>
          <w:szCs w:val="28"/>
          <w:lang w:val="en-US"/>
        </w:rPr>
        <w:t>transplantation</w:t>
      </w:r>
      <w:r w:rsidRPr="00E8569A">
        <w:rPr>
          <w:color w:val="000000"/>
          <w:sz w:val="28"/>
          <w:szCs w:val="28"/>
          <w:lang w:val="en-US"/>
        </w:rPr>
        <w:t xml:space="preserve">. </w:t>
      </w:r>
      <w:r w:rsidRPr="00170B7C">
        <w:rPr>
          <w:color w:val="000000"/>
          <w:sz w:val="28"/>
          <w:szCs w:val="28"/>
        </w:rPr>
        <w:t xml:space="preserve">Review. Вестник Хирургии Казахстана №4 (65), 2021, </w:t>
      </w:r>
      <w:r w:rsidRPr="00170B7C">
        <w:rPr>
          <w:color w:val="000000" w:themeColor="text1"/>
          <w:sz w:val="28"/>
          <w:szCs w:val="28"/>
        </w:rPr>
        <w:t>стр 28-30</w:t>
      </w:r>
    </w:p>
    <w:p w14:paraId="5E7508BA" w14:textId="77777777" w:rsidR="00F51BAA" w:rsidRPr="00170B7C" w:rsidRDefault="00F51BAA" w:rsidP="00170B7C">
      <w:pPr>
        <w:ind w:firstLine="567"/>
        <w:jc w:val="both"/>
        <w:rPr>
          <w:sz w:val="28"/>
          <w:szCs w:val="28"/>
        </w:rPr>
      </w:pPr>
      <w:r w:rsidRPr="00170B7C">
        <w:rPr>
          <w:color w:val="000000"/>
          <w:sz w:val="28"/>
          <w:szCs w:val="28"/>
        </w:rPr>
        <w:t>3. Калшабай Е.Е., Жолдыбай Ж.Ж. Предоперационная оценка объема печени донора: анализ ручной и полуавтоматической программ. Фармация Казахстана №6 (245), 2022, стр 59-65. doi 10.53511/PHARMKAZ.2022.46.72.009</w:t>
      </w:r>
      <w:r w:rsidR="00652741">
        <w:rPr>
          <w:color w:val="000000"/>
          <w:sz w:val="28"/>
          <w:szCs w:val="28"/>
        </w:rPr>
        <w:t>.</w:t>
      </w:r>
      <w:r w:rsidRPr="00170B7C">
        <w:rPr>
          <w:color w:val="000000"/>
          <w:sz w:val="28"/>
          <w:szCs w:val="28"/>
        </w:rPr>
        <w:t xml:space="preserve"> </w:t>
      </w:r>
    </w:p>
    <w:p w14:paraId="4ADCBE2E" w14:textId="77777777" w:rsidR="00F51BAA" w:rsidRPr="00170B7C" w:rsidRDefault="00F51BAA" w:rsidP="00170B7C">
      <w:pPr>
        <w:ind w:firstLine="567"/>
        <w:jc w:val="both"/>
        <w:rPr>
          <w:sz w:val="28"/>
          <w:szCs w:val="28"/>
        </w:rPr>
      </w:pPr>
      <w:r w:rsidRPr="00170B7C">
        <w:rPr>
          <w:color w:val="333333"/>
          <w:sz w:val="28"/>
          <w:szCs w:val="28"/>
        </w:rPr>
        <w:t xml:space="preserve">4. </w:t>
      </w:r>
      <w:r w:rsidRPr="00170B7C">
        <w:rPr>
          <w:color w:val="000000"/>
          <w:sz w:val="28"/>
          <w:szCs w:val="28"/>
        </w:rPr>
        <w:t xml:space="preserve">Қалшабай Е., Жолдыбай Ж., Байгуисова Д., Батталова Г. Метод оптимизации КТ-волюметрии печени при родственной трансплантации. Вестник Хирургии Казахстана №3 (76), 2023, стр 10-15. doi: </w:t>
      </w:r>
      <w:r w:rsidRPr="00170B7C">
        <w:rPr>
          <w:color w:val="085C77"/>
          <w:sz w:val="28"/>
          <w:szCs w:val="28"/>
        </w:rPr>
        <w:t xml:space="preserve">10.35805/BSK2023III002 </w:t>
      </w:r>
    </w:p>
    <w:p w14:paraId="1178D929" w14:textId="77777777" w:rsidR="00F51BAA" w:rsidRPr="00C36745" w:rsidRDefault="00F51BAA" w:rsidP="00170B7C">
      <w:pPr>
        <w:ind w:firstLine="567"/>
        <w:jc w:val="both"/>
        <w:rPr>
          <w:sz w:val="28"/>
          <w:szCs w:val="28"/>
          <w:lang w:val="en-US"/>
        </w:rPr>
      </w:pPr>
      <w:r w:rsidRPr="00170B7C">
        <w:rPr>
          <w:color w:val="000000"/>
          <w:sz w:val="28"/>
          <w:szCs w:val="28"/>
        </w:rPr>
        <w:t xml:space="preserve">5. патент № 9120 Республики Казахстан на полезную модель «Способ оптимизации мануальной компьютерно-томографической волюметрии печени при родственной трансплантации» заявитель и патентообладатель Қалшабай Е.Е., соавт. Жолдыбай Ж., Айнакулова А.С., Байгуисова Д.З., Батталова Г.А. заявл.2023/1254.2; опубл. </w:t>
      </w:r>
      <w:r w:rsidRPr="00C36745">
        <w:rPr>
          <w:color w:val="000000"/>
          <w:sz w:val="28"/>
          <w:szCs w:val="28"/>
          <w:lang w:val="en-US"/>
        </w:rPr>
        <w:t xml:space="preserve">17.05.2024 </w:t>
      </w:r>
      <w:r w:rsidRPr="00170B7C">
        <w:rPr>
          <w:color w:val="000000"/>
          <w:sz w:val="28"/>
          <w:szCs w:val="28"/>
        </w:rPr>
        <w:t>г</w:t>
      </w:r>
      <w:r w:rsidRPr="00C36745">
        <w:rPr>
          <w:color w:val="000000"/>
          <w:sz w:val="28"/>
          <w:szCs w:val="28"/>
          <w:lang w:val="en-US"/>
        </w:rPr>
        <w:t xml:space="preserve">. </w:t>
      </w:r>
    </w:p>
    <w:p w14:paraId="642FA354" w14:textId="77777777" w:rsidR="009B7331" w:rsidRPr="00170B7C" w:rsidRDefault="00F51BAA" w:rsidP="00170B7C">
      <w:pPr>
        <w:ind w:firstLine="567"/>
        <w:jc w:val="both"/>
        <w:rPr>
          <w:color w:val="222222"/>
          <w:sz w:val="28"/>
          <w:szCs w:val="28"/>
        </w:rPr>
      </w:pPr>
      <w:r w:rsidRPr="00C36745">
        <w:rPr>
          <w:color w:val="000000"/>
          <w:sz w:val="28"/>
          <w:szCs w:val="28"/>
          <w:lang w:val="en-US"/>
        </w:rPr>
        <w:t xml:space="preserve">6. </w:t>
      </w:r>
      <w:r w:rsidR="009B7331" w:rsidRPr="00D32828">
        <w:rPr>
          <w:color w:val="000000"/>
          <w:sz w:val="28"/>
          <w:szCs w:val="28"/>
          <w:lang w:val="en-US"/>
        </w:rPr>
        <w:t>Kalshabay</w:t>
      </w:r>
      <w:r w:rsidR="009B7331" w:rsidRPr="00C36745">
        <w:rPr>
          <w:color w:val="000000"/>
          <w:sz w:val="28"/>
          <w:szCs w:val="28"/>
          <w:lang w:val="en-US"/>
        </w:rPr>
        <w:t xml:space="preserve"> </w:t>
      </w:r>
      <w:r w:rsidR="009B7331" w:rsidRPr="00D32828">
        <w:rPr>
          <w:color w:val="000000"/>
          <w:sz w:val="28"/>
          <w:szCs w:val="28"/>
          <w:lang w:val="en-US"/>
        </w:rPr>
        <w:t>Ye</w:t>
      </w:r>
      <w:r w:rsidR="009B7331" w:rsidRPr="00C36745">
        <w:rPr>
          <w:color w:val="000000"/>
          <w:sz w:val="28"/>
          <w:szCs w:val="28"/>
          <w:lang w:val="en-US"/>
        </w:rPr>
        <w:t xml:space="preserve">., </w:t>
      </w:r>
      <w:r w:rsidR="009B7331" w:rsidRPr="00D32828">
        <w:rPr>
          <w:color w:val="000000"/>
          <w:sz w:val="28"/>
          <w:szCs w:val="28"/>
          <w:lang w:val="en-US"/>
        </w:rPr>
        <w:t>Zholdybay</w:t>
      </w:r>
      <w:r w:rsidR="009B7331" w:rsidRPr="00C36745">
        <w:rPr>
          <w:color w:val="000000"/>
          <w:sz w:val="28"/>
          <w:szCs w:val="28"/>
          <w:lang w:val="en-US"/>
        </w:rPr>
        <w:t xml:space="preserve"> </w:t>
      </w:r>
      <w:r w:rsidR="009B7331" w:rsidRPr="00D32828">
        <w:rPr>
          <w:color w:val="000000"/>
          <w:sz w:val="28"/>
          <w:szCs w:val="28"/>
          <w:lang w:val="en-US"/>
        </w:rPr>
        <w:t>Zh</w:t>
      </w:r>
      <w:r w:rsidR="009B7331" w:rsidRPr="00C36745">
        <w:rPr>
          <w:color w:val="000000"/>
          <w:sz w:val="28"/>
          <w:szCs w:val="28"/>
          <w:lang w:val="en-US"/>
        </w:rPr>
        <w:t xml:space="preserve">., </w:t>
      </w:r>
      <w:r w:rsidR="009B7331" w:rsidRPr="00D32828">
        <w:rPr>
          <w:color w:val="000000"/>
          <w:sz w:val="28"/>
          <w:szCs w:val="28"/>
          <w:lang w:val="en-US"/>
        </w:rPr>
        <w:t>Baiguissova</w:t>
      </w:r>
      <w:r w:rsidR="009B7331" w:rsidRPr="00C36745">
        <w:rPr>
          <w:color w:val="000000"/>
          <w:sz w:val="28"/>
          <w:szCs w:val="28"/>
          <w:lang w:val="en-US"/>
        </w:rPr>
        <w:t xml:space="preserve"> </w:t>
      </w:r>
      <w:r w:rsidR="009B7331" w:rsidRPr="00D32828">
        <w:rPr>
          <w:color w:val="000000"/>
          <w:sz w:val="28"/>
          <w:szCs w:val="28"/>
          <w:lang w:val="en-US"/>
        </w:rPr>
        <w:t>D</w:t>
      </w:r>
      <w:r w:rsidR="009B7331" w:rsidRPr="00C36745">
        <w:rPr>
          <w:color w:val="000000"/>
          <w:sz w:val="28"/>
          <w:szCs w:val="28"/>
          <w:lang w:val="en-US"/>
        </w:rPr>
        <w:t xml:space="preserve">. </w:t>
      </w:r>
      <w:r w:rsidR="009B7331" w:rsidRPr="00D32828">
        <w:rPr>
          <w:color w:val="000000"/>
          <w:sz w:val="28"/>
          <w:szCs w:val="28"/>
          <w:lang w:val="en-US"/>
        </w:rPr>
        <w:t>Opportunities</w:t>
      </w:r>
      <w:r w:rsidR="009B7331" w:rsidRPr="00C36745">
        <w:rPr>
          <w:color w:val="000000"/>
          <w:sz w:val="28"/>
          <w:szCs w:val="28"/>
          <w:lang w:val="en-US"/>
        </w:rPr>
        <w:t xml:space="preserve"> </w:t>
      </w:r>
      <w:r w:rsidR="009B7331" w:rsidRPr="00D32828">
        <w:rPr>
          <w:color w:val="000000"/>
          <w:sz w:val="28"/>
          <w:szCs w:val="28"/>
          <w:lang w:val="en-US"/>
        </w:rPr>
        <w:t>of</w:t>
      </w:r>
      <w:r w:rsidR="009B7331" w:rsidRPr="00C36745">
        <w:rPr>
          <w:color w:val="000000"/>
          <w:sz w:val="28"/>
          <w:szCs w:val="28"/>
          <w:lang w:val="en-US"/>
        </w:rPr>
        <w:t xml:space="preserve"> </w:t>
      </w:r>
      <w:r w:rsidR="009B7331" w:rsidRPr="00D32828">
        <w:rPr>
          <w:color w:val="000000"/>
          <w:sz w:val="28"/>
          <w:szCs w:val="28"/>
          <w:lang w:val="en-US"/>
        </w:rPr>
        <w:t>CT</w:t>
      </w:r>
      <w:r w:rsidR="009B7331" w:rsidRPr="00C36745">
        <w:rPr>
          <w:color w:val="000000"/>
          <w:sz w:val="28"/>
          <w:szCs w:val="28"/>
          <w:lang w:val="en-US"/>
        </w:rPr>
        <w:t xml:space="preserve"> </w:t>
      </w:r>
      <w:r w:rsidR="009B7331" w:rsidRPr="00D32828">
        <w:rPr>
          <w:color w:val="000000"/>
          <w:sz w:val="28"/>
          <w:szCs w:val="28"/>
          <w:lang w:val="en-US"/>
        </w:rPr>
        <w:t>volumetry</w:t>
      </w:r>
      <w:r w:rsidR="009B7331" w:rsidRPr="00C36745">
        <w:rPr>
          <w:color w:val="000000"/>
          <w:sz w:val="28"/>
          <w:szCs w:val="28"/>
          <w:lang w:val="en-US"/>
        </w:rPr>
        <w:t xml:space="preserve"> </w:t>
      </w:r>
      <w:r w:rsidR="009B7331" w:rsidRPr="00D32828">
        <w:rPr>
          <w:color w:val="000000"/>
          <w:sz w:val="28"/>
          <w:szCs w:val="28"/>
          <w:lang w:val="en-US"/>
        </w:rPr>
        <w:t>in</w:t>
      </w:r>
      <w:r w:rsidR="009B7331" w:rsidRPr="00C36745">
        <w:rPr>
          <w:color w:val="000000"/>
          <w:sz w:val="28"/>
          <w:szCs w:val="28"/>
          <w:lang w:val="en-US"/>
        </w:rPr>
        <w:t xml:space="preserve"> </w:t>
      </w:r>
      <w:r w:rsidR="009B7331" w:rsidRPr="00D32828">
        <w:rPr>
          <w:color w:val="000000"/>
          <w:sz w:val="28"/>
          <w:szCs w:val="28"/>
          <w:lang w:val="en-US"/>
        </w:rPr>
        <w:t>the</w:t>
      </w:r>
      <w:r w:rsidR="009B7331" w:rsidRPr="00C36745">
        <w:rPr>
          <w:color w:val="000000"/>
          <w:sz w:val="28"/>
          <w:szCs w:val="28"/>
          <w:lang w:val="en-US"/>
        </w:rPr>
        <w:t xml:space="preserve"> </w:t>
      </w:r>
      <w:r w:rsidR="009B7331" w:rsidRPr="00D32828">
        <w:rPr>
          <w:color w:val="000000"/>
          <w:sz w:val="28"/>
          <w:szCs w:val="28"/>
          <w:lang w:val="en-US"/>
        </w:rPr>
        <w:t>liver</w:t>
      </w:r>
      <w:r w:rsidR="009B7331" w:rsidRPr="00C36745">
        <w:rPr>
          <w:color w:val="000000"/>
          <w:sz w:val="28"/>
          <w:szCs w:val="28"/>
          <w:lang w:val="en-US"/>
        </w:rPr>
        <w:t xml:space="preserve"> </w:t>
      </w:r>
      <w:r w:rsidR="009B7331" w:rsidRPr="00D32828">
        <w:rPr>
          <w:color w:val="000000"/>
          <w:sz w:val="28"/>
          <w:szCs w:val="28"/>
          <w:lang w:val="en-US"/>
        </w:rPr>
        <w:t>surgical</w:t>
      </w:r>
      <w:r w:rsidR="009B7331" w:rsidRPr="00C36745">
        <w:rPr>
          <w:color w:val="000000"/>
          <w:sz w:val="28"/>
          <w:szCs w:val="28"/>
          <w:lang w:val="en-US"/>
        </w:rPr>
        <w:t xml:space="preserve"> </w:t>
      </w:r>
      <w:r w:rsidR="009B7331" w:rsidRPr="00D32828">
        <w:rPr>
          <w:color w:val="000000"/>
          <w:sz w:val="28"/>
          <w:szCs w:val="28"/>
          <w:lang w:val="en-US"/>
        </w:rPr>
        <w:t>practice</w:t>
      </w:r>
      <w:r w:rsidR="009B7331" w:rsidRPr="00C36745">
        <w:rPr>
          <w:color w:val="000000"/>
          <w:sz w:val="28"/>
          <w:szCs w:val="28"/>
          <w:lang w:val="en-US"/>
        </w:rPr>
        <w:t xml:space="preserve"> (</w:t>
      </w:r>
      <w:r w:rsidR="009B7331" w:rsidRPr="00170B7C">
        <w:rPr>
          <w:color w:val="000000"/>
          <w:sz w:val="28"/>
          <w:szCs w:val="28"/>
        </w:rPr>
        <w:t>тезис</w:t>
      </w:r>
      <w:r w:rsidR="009B7331" w:rsidRPr="00C36745">
        <w:rPr>
          <w:color w:val="000000"/>
          <w:sz w:val="28"/>
          <w:szCs w:val="28"/>
          <w:lang w:val="en-US"/>
        </w:rPr>
        <w:t xml:space="preserve">). </w:t>
      </w:r>
      <w:r w:rsidR="009B7331" w:rsidRPr="00170B7C">
        <w:rPr>
          <w:color w:val="000000"/>
          <w:sz w:val="28"/>
          <w:szCs w:val="28"/>
        </w:rPr>
        <w:t xml:space="preserve">Сборник тезисов Ежегодной Международной Научно-Практической конференции </w:t>
      </w:r>
      <w:r w:rsidR="009B7331" w:rsidRPr="00170B7C">
        <w:rPr>
          <w:color w:val="222222"/>
          <w:sz w:val="28"/>
          <w:szCs w:val="28"/>
        </w:rPr>
        <w:t xml:space="preserve">"Актуальные вопросы медицины”, Баку (Азербайджан) 27-28 апреля 2023 г. </w:t>
      </w:r>
    </w:p>
    <w:p w14:paraId="1299B884" w14:textId="77777777" w:rsidR="00F51BAA" w:rsidRPr="00170B7C" w:rsidRDefault="009B7331" w:rsidP="00170B7C">
      <w:pPr>
        <w:ind w:firstLine="567"/>
        <w:jc w:val="both"/>
        <w:rPr>
          <w:color w:val="222222"/>
          <w:sz w:val="28"/>
          <w:szCs w:val="28"/>
        </w:rPr>
      </w:pPr>
      <w:r w:rsidRPr="00170B7C">
        <w:rPr>
          <w:color w:val="222222"/>
          <w:sz w:val="28"/>
          <w:szCs w:val="28"/>
        </w:rPr>
        <w:t xml:space="preserve">7. </w:t>
      </w:r>
      <w:r w:rsidR="00F51BAA" w:rsidRPr="00170B7C">
        <w:rPr>
          <w:color w:val="000000"/>
          <w:sz w:val="28"/>
          <w:szCs w:val="28"/>
        </w:rPr>
        <w:t xml:space="preserve">Калшабай Е.Е., Жолдыбай Ж.Ж. Методика оптимизации КТ- волюметрии печени при родственной трансплантации (тезис). Сборник тезисов XVI Международной научно-практической конференции им. Атчабарова Б.А. “Экология. Радиация. Здоровье”, посвященная 70-летию НАО Медицинский университет Семей 28-29 августа 2023 г. </w:t>
      </w:r>
    </w:p>
    <w:p w14:paraId="2E48621E" w14:textId="77777777" w:rsidR="00DB4044" w:rsidRPr="00C873B2" w:rsidRDefault="00F51BAA" w:rsidP="00C873B2">
      <w:pPr>
        <w:ind w:firstLine="567"/>
        <w:jc w:val="both"/>
        <w:rPr>
          <w:sz w:val="28"/>
          <w:szCs w:val="28"/>
        </w:rPr>
      </w:pPr>
      <w:r w:rsidRPr="00E8569A">
        <w:rPr>
          <w:color w:val="222222"/>
          <w:sz w:val="28"/>
          <w:szCs w:val="28"/>
          <w:lang w:val="en-US"/>
        </w:rPr>
        <w:t xml:space="preserve">8. </w:t>
      </w:r>
      <w:r w:rsidRPr="00D32828">
        <w:rPr>
          <w:color w:val="000000"/>
          <w:sz w:val="28"/>
          <w:szCs w:val="28"/>
          <w:lang w:val="en-US"/>
        </w:rPr>
        <w:t>Kalshabay</w:t>
      </w:r>
      <w:r w:rsidRPr="00E8569A">
        <w:rPr>
          <w:color w:val="000000"/>
          <w:sz w:val="28"/>
          <w:szCs w:val="28"/>
          <w:lang w:val="en-US"/>
        </w:rPr>
        <w:t xml:space="preserve"> </w:t>
      </w:r>
      <w:r w:rsidRPr="00D32828">
        <w:rPr>
          <w:color w:val="000000"/>
          <w:sz w:val="28"/>
          <w:szCs w:val="28"/>
          <w:lang w:val="en-US"/>
        </w:rPr>
        <w:t>Ye</w:t>
      </w:r>
      <w:r w:rsidRPr="00E8569A">
        <w:rPr>
          <w:color w:val="000000"/>
          <w:sz w:val="28"/>
          <w:szCs w:val="28"/>
          <w:lang w:val="en-US"/>
        </w:rPr>
        <w:t xml:space="preserve">., </w:t>
      </w:r>
      <w:r w:rsidRPr="00D32828">
        <w:rPr>
          <w:color w:val="000000"/>
          <w:sz w:val="28"/>
          <w:szCs w:val="28"/>
          <w:lang w:val="en-US"/>
        </w:rPr>
        <w:t>Zholdybay</w:t>
      </w:r>
      <w:r w:rsidRPr="00E8569A">
        <w:rPr>
          <w:color w:val="000000"/>
          <w:sz w:val="28"/>
          <w:szCs w:val="28"/>
          <w:lang w:val="en-US"/>
        </w:rPr>
        <w:t xml:space="preserve"> </w:t>
      </w:r>
      <w:r w:rsidRPr="00D32828">
        <w:rPr>
          <w:color w:val="000000"/>
          <w:sz w:val="28"/>
          <w:szCs w:val="28"/>
          <w:lang w:val="en-US"/>
        </w:rPr>
        <w:t>Zh</w:t>
      </w:r>
      <w:r w:rsidRPr="00E8569A">
        <w:rPr>
          <w:color w:val="000000"/>
          <w:sz w:val="28"/>
          <w:szCs w:val="28"/>
          <w:lang w:val="en-US"/>
        </w:rPr>
        <w:t xml:space="preserve">., </w:t>
      </w:r>
      <w:r w:rsidRPr="00D32828">
        <w:rPr>
          <w:color w:val="000000"/>
          <w:sz w:val="28"/>
          <w:szCs w:val="28"/>
          <w:lang w:val="en-US"/>
        </w:rPr>
        <w:t>Baiguissova</w:t>
      </w:r>
      <w:r w:rsidRPr="00E8569A">
        <w:rPr>
          <w:color w:val="000000"/>
          <w:sz w:val="28"/>
          <w:szCs w:val="28"/>
          <w:lang w:val="en-US"/>
        </w:rPr>
        <w:t xml:space="preserve"> </w:t>
      </w:r>
      <w:r w:rsidRPr="00D32828">
        <w:rPr>
          <w:color w:val="000000"/>
          <w:sz w:val="28"/>
          <w:szCs w:val="28"/>
          <w:lang w:val="en-US"/>
        </w:rPr>
        <w:t>D</w:t>
      </w:r>
      <w:r w:rsidRPr="00E8569A">
        <w:rPr>
          <w:color w:val="000000"/>
          <w:sz w:val="28"/>
          <w:szCs w:val="28"/>
          <w:lang w:val="en-US"/>
        </w:rPr>
        <w:t xml:space="preserve">., </w:t>
      </w:r>
      <w:r w:rsidRPr="00D32828">
        <w:rPr>
          <w:color w:val="000000"/>
          <w:sz w:val="28"/>
          <w:szCs w:val="28"/>
          <w:lang w:val="en-US"/>
        </w:rPr>
        <w:t>Akhmetov</w:t>
      </w:r>
      <w:r w:rsidRPr="00E8569A">
        <w:rPr>
          <w:color w:val="000000"/>
          <w:sz w:val="28"/>
          <w:szCs w:val="28"/>
          <w:lang w:val="en-US"/>
        </w:rPr>
        <w:t xml:space="preserve"> </w:t>
      </w:r>
      <w:r w:rsidRPr="00D32828">
        <w:rPr>
          <w:color w:val="000000"/>
          <w:sz w:val="28"/>
          <w:szCs w:val="28"/>
          <w:lang w:val="en-US"/>
        </w:rPr>
        <w:t>Ye</w:t>
      </w:r>
      <w:r w:rsidRPr="00E8569A">
        <w:rPr>
          <w:color w:val="000000"/>
          <w:sz w:val="28"/>
          <w:szCs w:val="28"/>
          <w:lang w:val="en-US"/>
        </w:rPr>
        <w:t xml:space="preserve">., </w:t>
      </w:r>
      <w:r w:rsidRPr="00D32828">
        <w:rPr>
          <w:color w:val="000000"/>
          <w:sz w:val="28"/>
          <w:szCs w:val="28"/>
          <w:lang w:val="en-US"/>
        </w:rPr>
        <w:t>Battalova</w:t>
      </w:r>
      <w:r w:rsidRPr="00E8569A">
        <w:rPr>
          <w:color w:val="000000"/>
          <w:sz w:val="28"/>
          <w:szCs w:val="28"/>
          <w:lang w:val="en-US"/>
        </w:rPr>
        <w:t xml:space="preserve"> </w:t>
      </w:r>
      <w:r w:rsidRPr="00D32828">
        <w:rPr>
          <w:color w:val="000000"/>
          <w:sz w:val="28"/>
          <w:szCs w:val="28"/>
          <w:lang w:val="en-US"/>
        </w:rPr>
        <w:t>G</w:t>
      </w:r>
      <w:r w:rsidRPr="00E8569A">
        <w:rPr>
          <w:color w:val="000000"/>
          <w:sz w:val="28"/>
          <w:szCs w:val="28"/>
          <w:lang w:val="en-US"/>
        </w:rPr>
        <w:t xml:space="preserve">., </w:t>
      </w:r>
      <w:r w:rsidRPr="00D32828">
        <w:rPr>
          <w:color w:val="000000"/>
          <w:sz w:val="28"/>
          <w:szCs w:val="28"/>
          <w:lang w:val="en-US"/>
        </w:rPr>
        <w:t>Mukhamejanova</w:t>
      </w:r>
      <w:r w:rsidRPr="00E8569A">
        <w:rPr>
          <w:color w:val="000000"/>
          <w:sz w:val="28"/>
          <w:szCs w:val="28"/>
          <w:lang w:val="en-US"/>
        </w:rPr>
        <w:t xml:space="preserve"> </w:t>
      </w:r>
      <w:r w:rsidRPr="00D32828">
        <w:rPr>
          <w:color w:val="000000"/>
          <w:sz w:val="28"/>
          <w:szCs w:val="28"/>
          <w:lang w:val="en-US"/>
        </w:rPr>
        <w:t>A</w:t>
      </w:r>
      <w:r w:rsidRPr="00E8569A">
        <w:rPr>
          <w:color w:val="000000"/>
          <w:sz w:val="28"/>
          <w:szCs w:val="28"/>
          <w:lang w:val="en-US"/>
        </w:rPr>
        <w:t xml:space="preserve">. </w:t>
      </w:r>
      <w:r w:rsidRPr="00D32828">
        <w:rPr>
          <w:color w:val="222222"/>
          <w:sz w:val="28"/>
          <w:szCs w:val="28"/>
          <w:lang w:val="en-US"/>
        </w:rPr>
        <w:t>Method</w:t>
      </w:r>
      <w:r w:rsidRPr="00E8569A">
        <w:rPr>
          <w:color w:val="222222"/>
          <w:sz w:val="28"/>
          <w:szCs w:val="28"/>
          <w:lang w:val="en-US"/>
        </w:rPr>
        <w:t xml:space="preserve"> </w:t>
      </w:r>
      <w:r w:rsidRPr="00D32828">
        <w:rPr>
          <w:color w:val="222222"/>
          <w:sz w:val="28"/>
          <w:szCs w:val="28"/>
          <w:lang w:val="en-US"/>
        </w:rPr>
        <w:t>for</w:t>
      </w:r>
      <w:r w:rsidRPr="00E8569A">
        <w:rPr>
          <w:color w:val="222222"/>
          <w:sz w:val="28"/>
          <w:szCs w:val="28"/>
          <w:lang w:val="en-US"/>
        </w:rPr>
        <w:t xml:space="preserve"> </w:t>
      </w:r>
      <w:r w:rsidRPr="00D32828">
        <w:rPr>
          <w:color w:val="222222"/>
          <w:sz w:val="28"/>
          <w:szCs w:val="28"/>
          <w:lang w:val="en-US"/>
        </w:rPr>
        <w:t>optimizing</w:t>
      </w:r>
      <w:r w:rsidRPr="00E8569A">
        <w:rPr>
          <w:color w:val="222222"/>
          <w:sz w:val="28"/>
          <w:szCs w:val="28"/>
          <w:lang w:val="en-US"/>
        </w:rPr>
        <w:t xml:space="preserve"> </w:t>
      </w:r>
      <w:r w:rsidRPr="00D32828">
        <w:rPr>
          <w:color w:val="222222"/>
          <w:sz w:val="28"/>
          <w:szCs w:val="28"/>
          <w:lang w:val="en-US"/>
        </w:rPr>
        <w:t>CT</w:t>
      </w:r>
      <w:r w:rsidRPr="00E8569A">
        <w:rPr>
          <w:color w:val="222222"/>
          <w:sz w:val="28"/>
          <w:szCs w:val="28"/>
          <w:lang w:val="en-US"/>
        </w:rPr>
        <w:t xml:space="preserve"> </w:t>
      </w:r>
      <w:r w:rsidRPr="00D32828">
        <w:rPr>
          <w:color w:val="222222"/>
          <w:sz w:val="28"/>
          <w:szCs w:val="28"/>
          <w:lang w:val="en-US"/>
        </w:rPr>
        <w:t>volumetry</w:t>
      </w:r>
      <w:r w:rsidRPr="00E8569A">
        <w:rPr>
          <w:color w:val="222222"/>
          <w:sz w:val="28"/>
          <w:szCs w:val="28"/>
          <w:lang w:val="en-US"/>
        </w:rPr>
        <w:t xml:space="preserve"> </w:t>
      </w:r>
      <w:r w:rsidRPr="00D32828">
        <w:rPr>
          <w:color w:val="222222"/>
          <w:sz w:val="28"/>
          <w:szCs w:val="28"/>
          <w:lang w:val="en-US"/>
        </w:rPr>
        <w:t>in</w:t>
      </w:r>
      <w:r w:rsidRPr="00E8569A">
        <w:rPr>
          <w:color w:val="222222"/>
          <w:sz w:val="28"/>
          <w:szCs w:val="28"/>
          <w:lang w:val="en-US"/>
        </w:rPr>
        <w:t xml:space="preserve"> </w:t>
      </w:r>
      <w:r w:rsidRPr="00D32828">
        <w:rPr>
          <w:color w:val="222222"/>
          <w:sz w:val="28"/>
          <w:szCs w:val="28"/>
          <w:lang w:val="en-US"/>
        </w:rPr>
        <w:t>related</w:t>
      </w:r>
      <w:r w:rsidRPr="00E8569A">
        <w:rPr>
          <w:color w:val="222222"/>
          <w:sz w:val="28"/>
          <w:szCs w:val="28"/>
          <w:lang w:val="en-US"/>
        </w:rPr>
        <w:t xml:space="preserve"> </w:t>
      </w:r>
      <w:r w:rsidRPr="00D32828">
        <w:rPr>
          <w:color w:val="222222"/>
          <w:sz w:val="28"/>
          <w:szCs w:val="28"/>
          <w:lang w:val="en-US"/>
        </w:rPr>
        <w:t>living</w:t>
      </w:r>
      <w:r w:rsidRPr="00E8569A">
        <w:rPr>
          <w:color w:val="222222"/>
          <w:sz w:val="28"/>
          <w:szCs w:val="28"/>
          <w:lang w:val="en-US"/>
        </w:rPr>
        <w:t xml:space="preserve"> </w:t>
      </w:r>
      <w:r w:rsidRPr="00D32828">
        <w:rPr>
          <w:color w:val="222222"/>
          <w:sz w:val="28"/>
          <w:szCs w:val="28"/>
          <w:lang w:val="en-US"/>
        </w:rPr>
        <w:t>donor</w:t>
      </w:r>
      <w:r w:rsidRPr="00E8569A">
        <w:rPr>
          <w:color w:val="222222"/>
          <w:sz w:val="28"/>
          <w:szCs w:val="28"/>
          <w:lang w:val="en-US"/>
        </w:rPr>
        <w:t xml:space="preserve"> </w:t>
      </w:r>
      <w:r w:rsidRPr="00D32828">
        <w:rPr>
          <w:color w:val="222222"/>
          <w:sz w:val="28"/>
          <w:szCs w:val="28"/>
          <w:lang w:val="en-US"/>
        </w:rPr>
        <w:t>liver</w:t>
      </w:r>
      <w:r w:rsidRPr="00E8569A">
        <w:rPr>
          <w:color w:val="222222"/>
          <w:sz w:val="28"/>
          <w:szCs w:val="28"/>
          <w:lang w:val="en-US"/>
        </w:rPr>
        <w:t xml:space="preserve"> </w:t>
      </w:r>
      <w:r w:rsidRPr="00D32828">
        <w:rPr>
          <w:color w:val="222222"/>
          <w:sz w:val="28"/>
          <w:szCs w:val="28"/>
          <w:lang w:val="en-US"/>
        </w:rPr>
        <w:t>transplantation</w:t>
      </w:r>
      <w:r w:rsidRPr="00E8569A">
        <w:rPr>
          <w:color w:val="222222"/>
          <w:sz w:val="28"/>
          <w:szCs w:val="28"/>
          <w:lang w:val="en-US"/>
        </w:rPr>
        <w:t xml:space="preserve"> (</w:t>
      </w:r>
      <w:r w:rsidRPr="00170B7C">
        <w:rPr>
          <w:color w:val="222222"/>
          <w:sz w:val="28"/>
          <w:szCs w:val="28"/>
        </w:rPr>
        <w:t>тезис</w:t>
      </w:r>
      <w:r w:rsidRPr="00E8569A">
        <w:rPr>
          <w:color w:val="222222"/>
          <w:sz w:val="28"/>
          <w:szCs w:val="28"/>
          <w:lang w:val="en-US"/>
        </w:rPr>
        <w:t xml:space="preserve">). </w:t>
      </w:r>
      <w:r w:rsidRPr="00170B7C">
        <w:rPr>
          <w:color w:val="222222"/>
          <w:sz w:val="28"/>
          <w:szCs w:val="28"/>
        </w:rPr>
        <w:t xml:space="preserve">Сборник тезисов </w:t>
      </w:r>
      <w:r w:rsidRPr="00170B7C">
        <w:rPr>
          <w:color w:val="000000"/>
          <w:sz w:val="28"/>
          <w:szCs w:val="28"/>
        </w:rPr>
        <w:t>22-й Азиатско-Тихоокеанского конгресса радиологов (AOCR 2024) в Тайбэй (Тайвань) 22-25 марта 2024 г.</w:t>
      </w:r>
    </w:p>
    <w:p w14:paraId="29E8DB49" w14:textId="77777777" w:rsidR="00821029" w:rsidRPr="00170B7C" w:rsidRDefault="00821029" w:rsidP="00170B7C">
      <w:pPr>
        <w:ind w:left="686"/>
        <w:jc w:val="both"/>
        <w:outlineLvl w:val="0"/>
        <w:rPr>
          <w:b/>
          <w:bCs/>
          <w:kern w:val="36"/>
          <w:sz w:val="28"/>
          <w:szCs w:val="28"/>
        </w:rPr>
      </w:pPr>
      <w:r w:rsidRPr="00170B7C">
        <w:rPr>
          <w:b/>
          <w:bCs/>
          <w:color w:val="000000"/>
          <w:kern w:val="36"/>
          <w:sz w:val="28"/>
          <w:szCs w:val="28"/>
        </w:rPr>
        <w:t>Личный вклад докторанта:</w:t>
      </w:r>
    </w:p>
    <w:p w14:paraId="653156CF" w14:textId="77777777" w:rsidR="00821029" w:rsidRPr="00170B7C" w:rsidRDefault="00821029" w:rsidP="00170B7C">
      <w:pPr>
        <w:ind w:left="120" w:right="176" w:firstLine="566"/>
        <w:jc w:val="both"/>
        <w:rPr>
          <w:sz w:val="28"/>
          <w:szCs w:val="28"/>
        </w:rPr>
      </w:pPr>
      <w:r w:rsidRPr="00170B7C">
        <w:rPr>
          <w:color w:val="000000"/>
          <w:sz w:val="28"/>
          <w:szCs w:val="28"/>
        </w:rPr>
        <w:t>Все результаты, представленные в диссертационной работе и имеющие научную новизну получены автором лично. Автором лично проведена КТ-волюметрия печени донора тремя методами: мануальный, полуавтоматический и автоматический, а также проведен полный статистический анализ данных. Автором получен патент РК на полезную модель «Способ оптимизации мануальной компьютерно-томографической волюметрии печени при родственной трансплантации».</w:t>
      </w:r>
    </w:p>
    <w:p w14:paraId="30DC347E" w14:textId="77777777" w:rsidR="00652741" w:rsidRPr="00F8377A" w:rsidRDefault="00821029" w:rsidP="00F8377A">
      <w:pPr>
        <w:ind w:left="120" w:right="176" w:firstLine="566"/>
        <w:jc w:val="both"/>
        <w:rPr>
          <w:sz w:val="28"/>
          <w:szCs w:val="28"/>
        </w:rPr>
      </w:pPr>
      <w:r w:rsidRPr="00170B7C">
        <w:rPr>
          <w:color w:val="000000"/>
          <w:sz w:val="28"/>
          <w:szCs w:val="28"/>
        </w:rPr>
        <w:t>Метод оптимизированной КТ-волюметрии внедрен в работу отделения лучевой диагностики АО «ННЦХ им. А.Н. Сызганова» и ГКП на ПХВ “Областная клиническая больница” Туркестанской области.</w:t>
      </w:r>
      <w:bookmarkStart w:id="0" w:name="_heading=h.gjdgxs" w:colFirst="0" w:colLast="0"/>
      <w:bookmarkEnd w:id="0"/>
    </w:p>
    <w:p w14:paraId="0AD691D4" w14:textId="77777777" w:rsidR="009471B9" w:rsidRDefault="009471B9"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64A53380" w14:textId="77777777" w:rsidR="009471B9" w:rsidRDefault="009471B9"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30B5AC43" w14:textId="77777777" w:rsidR="009471B9" w:rsidRDefault="009471B9"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449E5C5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sz w:val="28"/>
          <w:szCs w:val="28"/>
        </w:rPr>
      </w:pPr>
      <w:r w:rsidRPr="00170B7C">
        <w:rPr>
          <w:b/>
          <w:color w:val="000000"/>
          <w:sz w:val="28"/>
          <w:szCs w:val="28"/>
        </w:rPr>
        <w:lastRenderedPageBreak/>
        <w:t xml:space="preserve">Объем и </w:t>
      </w:r>
      <w:r w:rsidRPr="00170B7C">
        <w:rPr>
          <w:b/>
          <w:sz w:val="28"/>
          <w:szCs w:val="28"/>
        </w:rPr>
        <w:t>структура диссертации</w:t>
      </w:r>
      <w:r w:rsidRPr="00170B7C">
        <w:rPr>
          <w:sz w:val="28"/>
          <w:szCs w:val="28"/>
        </w:rPr>
        <w:t> </w:t>
      </w:r>
    </w:p>
    <w:p w14:paraId="0A49FCF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sz w:val="28"/>
          <w:szCs w:val="28"/>
        </w:rPr>
      </w:pPr>
      <w:r w:rsidRPr="00170B7C">
        <w:rPr>
          <w:sz w:val="28"/>
          <w:szCs w:val="28"/>
        </w:rPr>
        <w:t xml:space="preserve">Диссертационная работа изложена на </w:t>
      </w:r>
      <w:r w:rsidR="00546AB5" w:rsidRPr="00170B7C">
        <w:rPr>
          <w:sz w:val="28"/>
          <w:szCs w:val="28"/>
        </w:rPr>
        <w:t>10</w:t>
      </w:r>
      <w:r w:rsidR="0090350F" w:rsidRPr="00170B7C">
        <w:rPr>
          <w:sz w:val="28"/>
          <w:szCs w:val="28"/>
        </w:rPr>
        <w:t>2</w:t>
      </w:r>
      <w:r w:rsidRPr="00170B7C">
        <w:rPr>
          <w:sz w:val="28"/>
          <w:szCs w:val="28"/>
        </w:rPr>
        <w:t xml:space="preserve"> страницах компьютерного текста, состоит из введения, обзора литературы, описания материала и методов исследования, собственных результатов исследования, обсуждения результатов, выводов, списка литературы из 1</w:t>
      </w:r>
      <w:r w:rsidR="00D23178" w:rsidRPr="00170B7C">
        <w:rPr>
          <w:sz w:val="28"/>
          <w:szCs w:val="28"/>
        </w:rPr>
        <w:t>2</w:t>
      </w:r>
      <w:r w:rsidR="00E73B44" w:rsidRPr="00E73B44">
        <w:rPr>
          <w:sz w:val="28"/>
          <w:szCs w:val="28"/>
        </w:rPr>
        <w:t>2</w:t>
      </w:r>
      <w:r w:rsidRPr="00170B7C">
        <w:rPr>
          <w:sz w:val="28"/>
          <w:szCs w:val="28"/>
        </w:rPr>
        <w:t xml:space="preserve"> источников.  </w:t>
      </w:r>
    </w:p>
    <w:p w14:paraId="537AEE9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sz w:val="28"/>
          <w:szCs w:val="28"/>
        </w:rPr>
        <w:t xml:space="preserve">Работа иллюстрирована </w:t>
      </w:r>
      <w:r w:rsidR="00546AB5" w:rsidRPr="00170B7C">
        <w:rPr>
          <w:sz w:val="28"/>
          <w:szCs w:val="28"/>
        </w:rPr>
        <w:t>4</w:t>
      </w:r>
      <w:r w:rsidR="00496251" w:rsidRPr="00170B7C">
        <w:rPr>
          <w:sz w:val="28"/>
          <w:szCs w:val="28"/>
        </w:rPr>
        <w:t>1</w:t>
      </w:r>
      <w:r w:rsidRPr="00170B7C">
        <w:rPr>
          <w:sz w:val="28"/>
          <w:szCs w:val="28"/>
        </w:rPr>
        <w:t xml:space="preserve"> рисунками и 8 таблицами</w:t>
      </w:r>
      <w:r w:rsidR="00EA7307" w:rsidRPr="00170B7C">
        <w:rPr>
          <w:sz w:val="28"/>
          <w:szCs w:val="28"/>
        </w:rPr>
        <w:t>.</w:t>
      </w:r>
    </w:p>
    <w:p w14:paraId="2E1F1229" w14:textId="77777777" w:rsidR="00362F2D" w:rsidRPr="00170B7C" w:rsidRDefault="00362F2D"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79086E6E" w14:textId="77777777" w:rsidR="00362F2D" w:rsidRPr="00170B7C" w:rsidRDefault="00362F2D"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5381735C" w14:textId="77777777" w:rsidR="00916D7C" w:rsidRDefault="00916D7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283384F0" w14:textId="77777777" w:rsidR="00916D7C" w:rsidRDefault="00916D7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5B7FAFF8" w14:textId="77777777" w:rsidR="00916D7C" w:rsidRDefault="00916D7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4C8EB38E" w14:textId="77777777" w:rsidR="00916D7C" w:rsidRDefault="00916D7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198B2F19" w14:textId="77777777" w:rsidR="00916D7C" w:rsidRDefault="00916D7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0B9A83C3" w14:textId="77777777" w:rsidR="00916D7C" w:rsidRDefault="00916D7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41BD93BA" w14:textId="77777777" w:rsidR="00916D7C" w:rsidRDefault="00916D7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20D90FC7" w14:textId="77777777" w:rsidR="00916D7C" w:rsidRDefault="00916D7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423F0A87" w14:textId="77777777" w:rsidR="00916D7C" w:rsidRDefault="00916D7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0783B097" w14:textId="77777777" w:rsidR="00916D7C" w:rsidRDefault="00916D7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621A58A3" w14:textId="77777777" w:rsidR="00916D7C" w:rsidRDefault="00916D7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27C73F81" w14:textId="77777777" w:rsidR="00916D7C" w:rsidRDefault="00916D7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21DC0CFC" w14:textId="77777777" w:rsidR="00916D7C" w:rsidRDefault="00916D7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11EAE037" w14:textId="77777777" w:rsidR="00916D7C" w:rsidRDefault="00916D7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7AA84816" w14:textId="77777777" w:rsidR="00916D7C" w:rsidRDefault="00916D7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24E27758" w14:textId="77777777" w:rsidR="00916D7C" w:rsidRDefault="00916D7C" w:rsidP="0079656E">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1F092E7B" w14:textId="77777777" w:rsidR="00AE0F44" w:rsidRDefault="00AE0F44" w:rsidP="0079656E">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3E48F169" w14:textId="77777777" w:rsidR="00AE0F44" w:rsidRDefault="00AE0F44" w:rsidP="0079656E">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0F6222FD" w14:textId="77777777" w:rsidR="00AE0F44" w:rsidRDefault="00AE0F44" w:rsidP="0079656E">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42E4EF38" w14:textId="77777777" w:rsidR="00AE0F44" w:rsidRDefault="00AE0F44" w:rsidP="0079656E">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63BA10BB" w14:textId="77777777" w:rsidR="00AE0F44" w:rsidRDefault="00AE0F44" w:rsidP="0079656E">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7420CA85" w14:textId="77777777" w:rsidR="00AE0F44" w:rsidRDefault="00AE0F44" w:rsidP="0079656E">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2906426F" w14:textId="77777777" w:rsidR="0079656E" w:rsidRDefault="0079656E" w:rsidP="0079656E">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702F6860" w14:textId="77777777" w:rsidR="00916D7C" w:rsidRDefault="00916D7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65C412B9" w14:textId="77777777" w:rsidR="00C873B2" w:rsidRDefault="00C873B2"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2E0F3A1F" w14:textId="77777777" w:rsidR="00C873B2" w:rsidRDefault="00C873B2"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193574DB" w14:textId="77777777" w:rsidR="00C873B2" w:rsidRDefault="00C873B2"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32D0B4E0" w14:textId="77777777" w:rsidR="00C873B2" w:rsidRDefault="00C873B2"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0BB7BB83" w14:textId="77777777" w:rsidR="00C873B2" w:rsidRDefault="00C873B2"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22A144AB" w14:textId="77777777" w:rsidR="00C873B2" w:rsidRDefault="00C873B2"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1FD410D1" w14:textId="77777777" w:rsidR="00F8377A" w:rsidRDefault="00F8377A"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2595DA59" w14:textId="77777777" w:rsidR="00F8377A" w:rsidRDefault="00F8377A"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00E6598F" w14:textId="77777777" w:rsidR="009471B9" w:rsidRDefault="009471B9"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20067288" w14:textId="77777777" w:rsidR="009471B9" w:rsidRDefault="009471B9"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565B8AA4" w14:textId="77777777" w:rsidR="00E73B44" w:rsidRDefault="00E73B44" w:rsidP="00652741">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42A9BEA2" w14:textId="77777777" w:rsidR="00816116" w:rsidRPr="00170B7C" w:rsidRDefault="00816116" w:rsidP="00652741">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10E2A55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b/>
          <w:color w:val="000000"/>
          <w:sz w:val="28"/>
          <w:szCs w:val="28"/>
        </w:rPr>
        <w:lastRenderedPageBreak/>
        <w:t>1 ОБЗОР ЛИТЕРАТУРЫ</w:t>
      </w:r>
      <w:r w:rsidRPr="00170B7C">
        <w:rPr>
          <w:color w:val="000000"/>
          <w:sz w:val="28"/>
          <w:szCs w:val="28"/>
        </w:rPr>
        <w:t> </w:t>
      </w:r>
    </w:p>
    <w:p w14:paraId="61ED97A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72E0B3F7" w14:textId="77777777" w:rsidR="00C700B8" w:rsidRPr="001E1C93" w:rsidRDefault="00274D3C" w:rsidP="00170B7C">
      <w:pPr>
        <w:numPr>
          <w:ilvl w:val="1"/>
          <w:numId w:val="1"/>
        </w:num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b/>
          <w:color w:val="000000"/>
          <w:sz w:val="28"/>
          <w:szCs w:val="28"/>
        </w:rPr>
        <w:t xml:space="preserve">Роль волюметрии печени </w:t>
      </w:r>
      <w:r w:rsidR="00635FA0">
        <w:rPr>
          <w:b/>
          <w:color w:val="000000"/>
          <w:sz w:val="28"/>
          <w:szCs w:val="28"/>
        </w:rPr>
        <w:t xml:space="preserve">донора </w:t>
      </w:r>
      <w:r w:rsidRPr="00170B7C">
        <w:rPr>
          <w:b/>
          <w:color w:val="000000"/>
          <w:sz w:val="28"/>
          <w:szCs w:val="28"/>
        </w:rPr>
        <w:t>при родственной трансплантации</w:t>
      </w:r>
      <w:r w:rsidRPr="00170B7C">
        <w:rPr>
          <w:color w:val="000000"/>
          <w:sz w:val="28"/>
          <w:szCs w:val="28"/>
        </w:rPr>
        <w:t> </w:t>
      </w:r>
    </w:p>
    <w:p w14:paraId="31650F0E" w14:textId="77777777" w:rsidR="001E1C93" w:rsidRPr="00170B7C" w:rsidRDefault="001E1C93" w:rsidP="001E1C93">
      <w:pPr>
        <w:pBdr>
          <w:top w:val="none" w:sz="0" w:space="0" w:color="000000"/>
          <w:left w:val="none" w:sz="0" w:space="0" w:color="000000"/>
          <w:bottom w:val="none" w:sz="0" w:space="0" w:color="000000"/>
          <w:right w:val="none" w:sz="0" w:space="0" w:color="000000"/>
          <w:between w:val="none" w:sz="0" w:space="0" w:color="000000"/>
        </w:pBdr>
        <w:ind w:left="987"/>
        <w:jc w:val="both"/>
        <w:rPr>
          <w:rFonts w:eastAsia="Calibri"/>
          <w:color w:val="000000"/>
          <w:sz w:val="28"/>
          <w:szCs w:val="28"/>
        </w:rPr>
      </w:pPr>
    </w:p>
    <w:p w14:paraId="0CFF5D89" w14:textId="6DF356C2" w:rsidR="00C700B8" w:rsidRPr="00E73B44" w:rsidRDefault="00274D3C" w:rsidP="0079656E">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Трансплантация печени показана для </w:t>
      </w:r>
      <w:r w:rsidR="0079656E">
        <w:rPr>
          <w:color w:val="000000"/>
          <w:sz w:val="28"/>
          <w:szCs w:val="28"/>
        </w:rPr>
        <w:t>планового</w:t>
      </w:r>
      <w:r w:rsidRPr="00170B7C">
        <w:rPr>
          <w:color w:val="000000"/>
          <w:sz w:val="28"/>
          <w:szCs w:val="28"/>
        </w:rPr>
        <w:t xml:space="preserve"> и экстренного лечения злокачественных новообразований печени, включая гепатоцеллюлярную карциному (ГЦК), также является </w:t>
      </w:r>
      <w:r w:rsidRPr="00E73B44">
        <w:rPr>
          <w:color w:val="000000"/>
          <w:sz w:val="28"/>
          <w:szCs w:val="28"/>
        </w:rPr>
        <w:t>стандартной процедурой при острой печеночной недостаточности</w:t>
      </w:r>
      <w:r w:rsidR="00A267C3" w:rsidRPr="00E73B44">
        <w:rPr>
          <w:color w:val="000000"/>
          <w:sz w:val="28"/>
          <w:szCs w:val="28"/>
        </w:rPr>
        <w:t>,</w:t>
      </w:r>
      <w:r w:rsidRPr="00E73B44">
        <w:rPr>
          <w:color w:val="000000"/>
          <w:sz w:val="28"/>
          <w:szCs w:val="28"/>
        </w:rPr>
        <w:t xml:space="preserve"> </w:t>
      </w:r>
      <w:r w:rsidR="00A267C3" w:rsidRPr="00E73B44">
        <w:rPr>
          <w:color w:val="000000"/>
          <w:sz w:val="28"/>
          <w:szCs w:val="28"/>
        </w:rPr>
        <w:t xml:space="preserve">терминальной стадии заболевания печени, циррозе </w:t>
      </w:r>
      <w:r w:rsidRPr="00E73B44">
        <w:rPr>
          <w:color w:val="000000"/>
          <w:sz w:val="28"/>
          <w:szCs w:val="28"/>
        </w:rPr>
        <w:t>и врожденных анатомических и метаболических заболеваниях печени, такие как билиарная атрезия, болезнь Вильсона и гемохроматоз.</w:t>
      </w:r>
      <w:r w:rsidRPr="00E73B44">
        <w:rPr>
          <w:rFonts w:eastAsia="Calibri"/>
          <w:color w:val="000000"/>
          <w:sz w:val="28"/>
          <w:szCs w:val="28"/>
        </w:rPr>
        <w:t xml:space="preserve"> </w:t>
      </w:r>
      <w:r w:rsidRPr="00E73B44">
        <w:rPr>
          <w:color w:val="000000"/>
          <w:sz w:val="28"/>
          <w:szCs w:val="28"/>
        </w:rPr>
        <w:t>Хронические заболевания печени (ХЗП) и цирроз печени ежегодно становятся причиной около 2 миллионов смертей во всем мире, а также повышают уровень инвалидизации и увеличивают количество о</w:t>
      </w:r>
      <w:r w:rsidR="00011F25">
        <w:rPr>
          <w:color w:val="000000"/>
          <w:sz w:val="28"/>
          <w:szCs w:val="28"/>
        </w:rPr>
        <w:t>бращений за медицинской помощью</w:t>
      </w:r>
      <w:r w:rsidRPr="00E73B44">
        <w:rPr>
          <w:color w:val="000000"/>
          <w:sz w:val="28"/>
          <w:szCs w:val="28"/>
        </w:rPr>
        <w:t xml:space="preserve">. </w:t>
      </w:r>
      <w:r w:rsidR="00ED2275" w:rsidRPr="00E73B44">
        <w:rPr>
          <w:color w:val="000000"/>
          <w:sz w:val="28"/>
          <w:szCs w:val="28"/>
        </w:rPr>
        <w:t>Трансплантация печени от живого родственного донора характерна</w:t>
      </w:r>
      <w:r w:rsidRPr="00E73B44">
        <w:rPr>
          <w:color w:val="000000"/>
          <w:sz w:val="28"/>
          <w:szCs w:val="28"/>
        </w:rPr>
        <w:t xml:space="preserve"> д</w:t>
      </w:r>
      <w:r w:rsidR="00ED2275" w:rsidRPr="00E73B44">
        <w:rPr>
          <w:color w:val="000000"/>
          <w:sz w:val="28"/>
          <w:szCs w:val="28"/>
        </w:rPr>
        <w:t xml:space="preserve">ля Азиатских </w:t>
      </w:r>
      <w:r w:rsidR="002F22AE" w:rsidRPr="00E73B44">
        <w:rPr>
          <w:color w:val="000000"/>
          <w:sz w:val="28"/>
          <w:szCs w:val="28"/>
        </w:rPr>
        <w:t>стран, чем в Европейских стран</w:t>
      </w:r>
      <w:r w:rsidRPr="00E73B44">
        <w:rPr>
          <w:color w:val="000000"/>
          <w:sz w:val="28"/>
          <w:szCs w:val="28"/>
        </w:rPr>
        <w:t xml:space="preserve"> или </w:t>
      </w:r>
      <w:r w:rsidR="002F22AE" w:rsidRPr="00E73B44">
        <w:rPr>
          <w:color w:val="000000"/>
          <w:sz w:val="28"/>
          <w:szCs w:val="28"/>
        </w:rPr>
        <w:t>Соединенных Штатов</w:t>
      </w:r>
      <w:r w:rsidR="00ED2275" w:rsidRPr="00E73B44">
        <w:rPr>
          <w:color w:val="000000"/>
          <w:sz w:val="28"/>
          <w:szCs w:val="28"/>
        </w:rPr>
        <w:t xml:space="preserve"> Америки (</w:t>
      </w:r>
      <w:r w:rsidRPr="00E73B44">
        <w:rPr>
          <w:color w:val="000000"/>
          <w:sz w:val="28"/>
          <w:szCs w:val="28"/>
        </w:rPr>
        <w:t>США</w:t>
      </w:r>
      <w:r w:rsidR="00ED2275" w:rsidRPr="00E73B44">
        <w:rPr>
          <w:color w:val="000000"/>
          <w:sz w:val="28"/>
          <w:szCs w:val="28"/>
        </w:rPr>
        <w:t>)</w:t>
      </w:r>
      <w:r w:rsidR="005061C1" w:rsidRPr="00E73B44">
        <w:rPr>
          <w:color w:val="000000"/>
          <w:sz w:val="28"/>
          <w:szCs w:val="28"/>
        </w:rPr>
        <w:t xml:space="preserve"> </w:t>
      </w:r>
      <w:r w:rsidRPr="00E73B44">
        <w:rPr>
          <w:color w:val="000000"/>
          <w:sz w:val="28"/>
          <w:szCs w:val="28"/>
        </w:rPr>
        <w:t>из-за слабо</w:t>
      </w:r>
      <w:r w:rsidR="001D0821" w:rsidRPr="00E73B44">
        <w:rPr>
          <w:color w:val="000000"/>
          <w:sz w:val="28"/>
          <w:szCs w:val="28"/>
        </w:rPr>
        <w:t>й программы трупного донорства</w:t>
      </w:r>
      <w:r w:rsidRPr="00E73B44">
        <w:rPr>
          <w:color w:val="000000"/>
          <w:sz w:val="28"/>
          <w:szCs w:val="28"/>
        </w:rPr>
        <w:t>. </w:t>
      </w:r>
      <w:r w:rsidR="001D0821" w:rsidRPr="00E73B44">
        <w:rPr>
          <w:color w:val="000000"/>
          <w:sz w:val="28"/>
          <w:szCs w:val="28"/>
        </w:rPr>
        <w:t xml:space="preserve">Трансплантация печени от живого донора составляет &gt;90% от общего количества трансплантаций печени в Азии, тогда как в США составляет только 5,3%. </w:t>
      </w:r>
      <w:r w:rsidRPr="00E73B44">
        <w:rPr>
          <w:color w:val="000000"/>
          <w:sz w:val="28"/>
          <w:szCs w:val="28"/>
        </w:rPr>
        <w:t>В азиатских странах существует нехватка посмертного донорства по социальным, культурным и религиозным причинам, а уровень живого родственного донорства органов остается самым низким в мире. Трансплантация печени от живого родственного донора в Казахстане проводится с 2011 года</w:t>
      </w:r>
      <w:r w:rsidR="00B05669" w:rsidRPr="00E73B44">
        <w:rPr>
          <w:color w:val="000000"/>
          <w:sz w:val="28"/>
          <w:szCs w:val="28"/>
        </w:rPr>
        <w:t xml:space="preserve"> </w:t>
      </w:r>
      <w:r w:rsidRPr="00E73B44">
        <w:rPr>
          <w:color w:val="000000"/>
          <w:sz w:val="28"/>
          <w:szCs w:val="28"/>
        </w:rPr>
        <w:t>и стоит на втором м</w:t>
      </w:r>
      <w:r w:rsidR="00011F25">
        <w:rPr>
          <w:color w:val="000000"/>
          <w:sz w:val="28"/>
          <w:szCs w:val="28"/>
        </w:rPr>
        <w:t>есте после трансплантации почек</w:t>
      </w:r>
      <w:r w:rsidRPr="00E73B44">
        <w:rPr>
          <w:color w:val="000000"/>
          <w:sz w:val="28"/>
          <w:szCs w:val="28"/>
        </w:rPr>
        <w:t>.</w:t>
      </w:r>
      <w:r w:rsidR="001D0821" w:rsidRPr="00E73B44">
        <w:rPr>
          <w:color w:val="000000"/>
          <w:sz w:val="28"/>
          <w:szCs w:val="28"/>
        </w:rPr>
        <w:t xml:space="preserve"> Наиболее частой причиной развития цирроза печени в Республике Казахстан является гепатит В.</w:t>
      </w:r>
    </w:p>
    <w:p w14:paraId="3BB41541" w14:textId="77777777" w:rsidR="00C700B8" w:rsidRPr="00B05669" w:rsidRDefault="00274D3C" w:rsidP="00B05669">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E73B44">
        <w:rPr>
          <w:color w:val="000000"/>
          <w:sz w:val="28"/>
          <w:szCs w:val="28"/>
        </w:rPr>
        <w:t xml:space="preserve">На конец 2022 года по данным РГП на ПХВ «Республиканский центр по координации трансплантации и высокотехнологических медицинских услуг» МЗ РК в листе ожидания на трансплантацию состоит 180 пациентов, из них 170 взрослых и 10 детей.  По данным </w:t>
      </w:r>
      <w:r w:rsidRPr="00E73B44">
        <w:rPr>
          <w:color w:val="202124"/>
          <w:sz w:val="28"/>
          <w:szCs w:val="28"/>
        </w:rPr>
        <w:t>глобальной обсерватории</w:t>
      </w:r>
      <w:r w:rsidRPr="00170B7C">
        <w:rPr>
          <w:color w:val="202124"/>
          <w:sz w:val="28"/>
          <w:szCs w:val="28"/>
        </w:rPr>
        <w:t xml:space="preserve"> по донорству и трансплантации </w:t>
      </w:r>
      <w:r w:rsidRPr="00170B7C">
        <w:rPr>
          <w:color w:val="000000"/>
          <w:sz w:val="28"/>
          <w:szCs w:val="28"/>
        </w:rPr>
        <w:t>по состоянию на декабрь 2022 года в 5 центрах трансплантологии</w:t>
      </w:r>
      <w:r w:rsidR="001D0821">
        <w:rPr>
          <w:color w:val="000000"/>
          <w:sz w:val="28"/>
          <w:szCs w:val="28"/>
        </w:rPr>
        <w:t xml:space="preserve"> в Казахстане было выполнено </w:t>
      </w:r>
      <w:r w:rsidR="001D0821" w:rsidRPr="001D0821">
        <w:rPr>
          <w:color w:val="000000"/>
          <w:sz w:val="28"/>
          <w:szCs w:val="28"/>
        </w:rPr>
        <w:t>422</w:t>
      </w:r>
      <w:r w:rsidRPr="00170B7C">
        <w:rPr>
          <w:color w:val="000000"/>
          <w:sz w:val="28"/>
          <w:szCs w:val="28"/>
        </w:rPr>
        <w:t xml:space="preserve"> трансплантаций</w:t>
      </w:r>
      <w:r w:rsidRPr="00170B7C">
        <w:rPr>
          <w:color w:val="FF0000"/>
          <w:sz w:val="28"/>
          <w:szCs w:val="28"/>
        </w:rPr>
        <w:t xml:space="preserve"> </w:t>
      </w:r>
      <w:r w:rsidRPr="00170B7C">
        <w:rPr>
          <w:color w:val="000000"/>
          <w:sz w:val="28"/>
          <w:szCs w:val="28"/>
        </w:rPr>
        <w:t>печени от живого донора.</w:t>
      </w:r>
    </w:p>
    <w:p w14:paraId="06A03935" w14:textId="68AE6178" w:rsidR="00C700B8" w:rsidRPr="00E73B44" w:rsidRDefault="001D0821"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Pr>
          <w:color w:val="000000"/>
          <w:sz w:val="28"/>
          <w:szCs w:val="28"/>
        </w:rPr>
        <w:t>Трансплантация печени</w:t>
      </w:r>
      <w:r w:rsidR="00274D3C" w:rsidRPr="00170B7C">
        <w:rPr>
          <w:color w:val="000000"/>
          <w:sz w:val="28"/>
          <w:szCs w:val="28"/>
        </w:rPr>
        <w:t xml:space="preserve"> представляет собой обширное многоэтапное хирургическое вмешательство, которое справедливо считается наиболее сложным в абдоминальной хирургии и в трансплантологии в целом. Она включает в себя несколько этапов, таких как: предоперационная подготовка, операция и послеоперационный период. Первый этап включает в себя клинико-лабораторные и инструментальные исследования донора, компьютерную томографию (КТ) органов брюшной полости с введением контрастного вещества, КТ-волюметрию и магнитно-резонансную холангиопанкреатографию (МРХПГ), а такж</w:t>
      </w:r>
      <w:r>
        <w:rPr>
          <w:color w:val="000000"/>
          <w:sz w:val="28"/>
          <w:szCs w:val="28"/>
        </w:rPr>
        <w:t>е биопсию печени</w:t>
      </w:r>
      <w:r w:rsidR="00274D3C" w:rsidRPr="00170B7C">
        <w:rPr>
          <w:color w:val="000000"/>
          <w:sz w:val="28"/>
          <w:szCs w:val="28"/>
        </w:rPr>
        <w:t xml:space="preserve">.  В предоперационном периоде в дополнение к общей хирургической пригодности донора (клинико-лабораторные и инструментальные данные), донорская </w:t>
      </w:r>
      <w:r w:rsidR="002829DC">
        <w:rPr>
          <w:color w:val="000000"/>
          <w:sz w:val="28"/>
          <w:szCs w:val="28"/>
        </w:rPr>
        <w:t>резекция печени</w:t>
      </w:r>
      <w:r w:rsidR="00274D3C" w:rsidRPr="00170B7C">
        <w:rPr>
          <w:color w:val="000000"/>
          <w:sz w:val="28"/>
          <w:szCs w:val="28"/>
        </w:rPr>
        <w:t xml:space="preserve"> требует детальной оценки </w:t>
      </w:r>
      <w:r w:rsidR="00FF0781">
        <w:rPr>
          <w:color w:val="000000"/>
          <w:sz w:val="28"/>
          <w:szCs w:val="28"/>
        </w:rPr>
        <w:t xml:space="preserve">на наличие </w:t>
      </w:r>
      <w:r w:rsidR="00274D3C" w:rsidRPr="00170B7C">
        <w:rPr>
          <w:color w:val="000000"/>
          <w:sz w:val="28"/>
          <w:szCs w:val="28"/>
        </w:rPr>
        <w:t xml:space="preserve">стеатоза </w:t>
      </w:r>
      <w:r w:rsidR="00FF0781">
        <w:rPr>
          <w:color w:val="000000"/>
          <w:sz w:val="28"/>
          <w:szCs w:val="28"/>
        </w:rPr>
        <w:t xml:space="preserve">и других патологий </w:t>
      </w:r>
      <w:r w:rsidR="00274D3C" w:rsidRPr="00170B7C">
        <w:rPr>
          <w:color w:val="000000"/>
          <w:sz w:val="28"/>
          <w:szCs w:val="28"/>
        </w:rPr>
        <w:t>печени</w:t>
      </w:r>
      <w:r w:rsidR="00274D3C" w:rsidRPr="00E73B44">
        <w:rPr>
          <w:color w:val="000000"/>
          <w:sz w:val="28"/>
          <w:szCs w:val="28"/>
        </w:rPr>
        <w:t xml:space="preserve">, анатомии сосудов и </w:t>
      </w:r>
      <w:r w:rsidR="00274D3C" w:rsidRPr="00E73B44">
        <w:rPr>
          <w:color w:val="000000"/>
          <w:sz w:val="28"/>
          <w:szCs w:val="28"/>
        </w:rPr>
        <w:lastRenderedPageBreak/>
        <w:t>желчных протоков и оценки объема будущей переса</w:t>
      </w:r>
      <w:r w:rsidR="00011F25">
        <w:rPr>
          <w:color w:val="000000"/>
          <w:sz w:val="28"/>
          <w:szCs w:val="28"/>
        </w:rPr>
        <w:t>женной и остаточной доли печени</w:t>
      </w:r>
      <w:r w:rsidR="00274D3C" w:rsidRPr="00E73B44">
        <w:rPr>
          <w:color w:val="000000"/>
          <w:sz w:val="28"/>
          <w:szCs w:val="28"/>
        </w:rPr>
        <w:t>.</w:t>
      </w:r>
    </w:p>
    <w:p w14:paraId="4BBF4A85" w14:textId="5E250F61"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E73B44">
        <w:rPr>
          <w:color w:val="000000"/>
          <w:sz w:val="28"/>
          <w:szCs w:val="28"/>
        </w:rPr>
        <w:t>Существует четыре основных требования для технически</w:t>
      </w:r>
      <w:r w:rsidRPr="00170B7C">
        <w:rPr>
          <w:color w:val="000000"/>
          <w:sz w:val="28"/>
          <w:szCs w:val="28"/>
        </w:rPr>
        <w:t xml:space="preserve"> успешной</w:t>
      </w:r>
      <w:r w:rsidRPr="00170B7C">
        <w:rPr>
          <w:color w:val="FF0000"/>
          <w:sz w:val="28"/>
          <w:szCs w:val="28"/>
        </w:rPr>
        <w:t xml:space="preserve"> </w:t>
      </w:r>
      <w:r w:rsidRPr="00170B7C">
        <w:rPr>
          <w:color w:val="000000"/>
          <w:sz w:val="28"/>
          <w:szCs w:val="28"/>
        </w:rPr>
        <w:t>трансплантации печени от живого донора: достаточный объем трансплантата, чтобы избежать синдрома малого размера</w:t>
      </w:r>
      <w:r w:rsidR="00B05669">
        <w:rPr>
          <w:color w:val="000000"/>
          <w:sz w:val="28"/>
          <w:szCs w:val="28"/>
        </w:rPr>
        <w:t xml:space="preserve"> </w:t>
      </w:r>
      <w:r w:rsidR="00B05669" w:rsidRPr="00170B7C">
        <w:rPr>
          <w:color w:val="000000"/>
          <w:sz w:val="28"/>
          <w:szCs w:val="28"/>
        </w:rPr>
        <w:t>(</w:t>
      </w:r>
      <w:r w:rsidR="00607CB9" w:rsidRPr="00607CB9">
        <w:rPr>
          <w:color w:val="000000"/>
          <w:sz w:val="28"/>
          <w:szCs w:val="28"/>
        </w:rPr>
        <w:t>small - for - size syndrome</w:t>
      </w:r>
      <w:r w:rsidR="00B05669" w:rsidRPr="00170B7C">
        <w:rPr>
          <w:color w:val="000000"/>
          <w:sz w:val="28"/>
          <w:szCs w:val="28"/>
        </w:rPr>
        <w:t>)</w:t>
      </w:r>
      <w:r w:rsidRPr="00170B7C">
        <w:rPr>
          <w:color w:val="000000"/>
          <w:sz w:val="28"/>
          <w:szCs w:val="28"/>
        </w:rPr>
        <w:t>; хороший венозный отток для предотвращения застойных травм; достаточный портальный приток для быстрой регенерации трансплантата печени; и обеспеч</w:t>
      </w:r>
      <w:r w:rsidR="00BE6E5F">
        <w:rPr>
          <w:color w:val="000000"/>
          <w:sz w:val="28"/>
          <w:szCs w:val="28"/>
        </w:rPr>
        <w:t>ение</w:t>
      </w:r>
      <w:r w:rsidRPr="00170B7C">
        <w:rPr>
          <w:color w:val="000000"/>
          <w:sz w:val="28"/>
          <w:szCs w:val="28"/>
        </w:rPr>
        <w:t xml:space="preserve"> </w:t>
      </w:r>
      <w:r w:rsidR="00BE6E5F">
        <w:rPr>
          <w:color w:val="000000"/>
          <w:sz w:val="28"/>
          <w:szCs w:val="28"/>
        </w:rPr>
        <w:t xml:space="preserve">состоятельности </w:t>
      </w:r>
      <w:r w:rsidRPr="00170B7C">
        <w:rPr>
          <w:color w:val="000000"/>
          <w:sz w:val="28"/>
          <w:szCs w:val="28"/>
        </w:rPr>
        <w:t>анастомоз</w:t>
      </w:r>
      <w:r w:rsidR="00BE6E5F">
        <w:rPr>
          <w:color w:val="000000"/>
          <w:sz w:val="28"/>
          <w:szCs w:val="28"/>
        </w:rPr>
        <w:t xml:space="preserve">а </w:t>
      </w:r>
      <w:r w:rsidRPr="00170B7C">
        <w:rPr>
          <w:color w:val="000000"/>
          <w:sz w:val="28"/>
          <w:szCs w:val="28"/>
        </w:rPr>
        <w:t>желчных протоков для предотвращения утечки и стриктур желчных протоков</w:t>
      </w:r>
      <w:r w:rsidR="00977918">
        <w:rPr>
          <w:color w:val="000000"/>
          <w:sz w:val="28"/>
          <w:szCs w:val="28"/>
        </w:rPr>
        <w:t xml:space="preserve"> </w:t>
      </w:r>
      <w:r w:rsidR="00977918" w:rsidRPr="00170B7C">
        <w:rPr>
          <w:color w:val="000000"/>
          <w:sz w:val="28"/>
          <w:szCs w:val="28"/>
        </w:rPr>
        <w:t>(рисунок 1)</w:t>
      </w:r>
      <w:r w:rsidRPr="00170B7C">
        <w:rPr>
          <w:color w:val="000000"/>
          <w:sz w:val="28"/>
          <w:szCs w:val="28"/>
        </w:rPr>
        <w:t>. </w:t>
      </w:r>
    </w:p>
    <w:p w14:paraId="049AA6DD"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p>
    <w:p w14:paraId="3C0017E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0"/>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34154A95" wp14:editId="2FDAF6DE">
            <wp:extent cx="6068167" cy="2953111"/>
            <wp:effectExtent l="0" t="0" r="0" b="0"/>
            <wp:docPr id="404" name="image36.png" descr="IMG_256"/>
            <wp:cNvGraphicFramePr/>
            <a:graphic xmlns:a="http://schemas.openxmlformats.org/drawingml/2006/main">
              <a:graphicData uri="http://schemas.openxmlformats.org/drawingml/2006/picture">
                <pic:pic xmlns:pic="http://schemas.openxmlformats.org/drawingml/2006/picture">
                  <pic:nvPicPr>
                    <pic:cNvPr id="0" name="image36.png" descr="IMG_256"/>
                    <pic:cNvPicPr preferRelativeResize="0"/>
                  </pic:nvPicPr>
                  <pic:blipFill>
                    <a:blip r:embed="rId9"/>
                    <a:srcRect/>
                    <a:stretch>
                      <a:fillRect/>
                    </a:stretch>
                  </pic:blipFill>
                  <pic:spPr>
                    <a:xfrm>
                      <a:off x="0" y="0"/>
                      <a:ext cx="6068167" cy="2953111"/>
                    </a:xfrm>
                    <a:prstGeom prst="rect">
                      <a:avLst/>
                    </a:prstGeom>
                    <a:ln/>
                  </pic:spPr>
                </pic:pic>
              </a:graphicData>
            </a:graphic>
          </wp:inline>
        </w:drawing>
      </w:r>
    </w:p>
    <w:p w14:paraId="6AA17B1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4FFC057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 xml:space="preserve">Рисунок 1 – Критерии успешного проведения трансплантации печени </w:t>
      </w:r>
    </w:p>
    <w:p w14:paraId="126A4D1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131D5C28"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Как видно из рисунка 1, предоперационная оценка объема донорской печени является одним из важных факторов, влияющих на успешную хирургическую стратегию.</w:t>
      </w:r>
    </w:p>
    <w:p w14:paraId="68651F5B" w14:textId="792AD2E0" w:rsidR="00B05669" w:rsidRPr="00E73B44"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Основным мотивом поиска методов расчета объема печени служит необходимость решения вопросов пространственного и функционального соответствия донорской печени размеру печеночного ложа и печени реципиента при трансплантации. Одна </w:t>
      </w:r>
      <w:r w:rsidRPr="00E73B44">
        <w:rPr>
          <w:color w:val="000000"/>
          <w:sz w:val="28"/>
          <w:szCs w:val="28"/>
        </w:rPr>
        <w:t xml:space="preserve">из основных задач при обследовании донора - уточнение объема как всей печени, так и ее фрагмента, планируемого для использования в качестве трансплантата.  Недостаточный объем остаточной печени является основным противопоказанием к </w:t>
      </w:r>
      <w:r w:rsidR="008C2557" w:rsidRPr="00E73B44">
        <w:rPr>
          <w:color w:val="000000"/>
          <w:sz w:val="28"/>
          <w:szCs w:val="28"/>
        </w:rPr>
        <w:t>трансплантации</w:t>
      </w:r>
      <w:r w:rsidRPr="00E73B44">
        <w:rPr>
          <w:color w:val="000000"/>
          <w:sz w:val="28"/>
          <w:szCs w:val="28"/>
        </w:rPr>
        <w:t xml:space="preserve"> </w:t>
      </w:r>
      <w:r w:rsidR="00011F25">
        <w:rPr>
          <w:color w:val="000000"/>
          <w:sz w:val="28"/>
          <w:szCs w:val="28"/>
        </w:rPr>
        <w:t>от живого родственного донора</w:t>
      </w:r>
      <w:r w:rsidRPr="00E73B44">
        <w:rPr>
          <w:color w:val="000000"/>
          <w:sz w:val="28"/>
          <w:szCs w:val="28"/>
        </w:rPr>
        <w:t xml:space="preserve">. </w:t>
      </w:r>
    </w:p>
    <w:p w14:paraId="0A70C213" w14:textId="1262D709" w:rsidR="00E45AFA" w:rsidRPr="00E73B44"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E73B44">
        <w:rPr>
          <w:color w:val="000000"/>
          <w:sz w:val="28"/>
          <w:szCs w:val="28"/>
        </w:rPr>
        <w:t>Для обеспечения метаболических запросов реципиента необходимо знать стандартный объем печени</w:t>
      </w:r>
      <w:r w:rsidR="00BE6E5F" w:rsidRPr="00E73B44">
        <w:rPr>
          <w:color w:val="000000"/>
          <w:sz w:val="28"/>
          <w:szCs w:val="28"/>
        </w:rPr>
        <w:t xml:space="preserve"> донора </w:t>
      </w:r>
      <w:r w:rsidRPr="00E73B44">
        <w:rPr>
          <w:color w:val="000000"/>
          <w:sz w:val="28"/>
          <w:szCs w:val="28"/>
        </w:rPr>
        <w:t>и представляющий собой минимальный объем печени, необходимый для донора и реципиента</w:t>
      </w:r>
      <w:r w:rsidR="001A4127" w:rsidRPr="00E73B44">
        <w:rPr>
          <w:color w:val="000000"/>
          <w:sz w:val="28"/>
          <w:szCs w:val="28"/>
        </w:rPr>
        <w:t xml:space="preserve">. </w:t>
      </w:r>
      <w:r w:rsidRPr="00E73B44">
        <w:rPr>
          <w:color w:val="000000"/>
          <w:sz w:val="28"/>
          <w:szCs w:val="28"/>
        </w:rPr>
        <w:t xml:space="preserve"> Для безопасности донора объем остаточной печени должен составлять не ме</w:t>
      </w:r>
      <w:r w:rsidR="00011F25">
        <w:rPr>
          <w:color w:val="000000"/>
          <w:sz w:val="28"/>
          <w:szCs w:val="28"/>
        </w:rPr>
        <w:t>нее 30% от общего объема печени</w:t>
      </w:r>
      <w:r w:rsidRPr="00E73B44">
        <w:rPr>
          <w:color w:val="000000"/>
          <w:sz w:val="28"/>
          <w:szCs w:val="28"/>
        </w:rPr>
        <w:t xml:space="preserve">. При этом соотношение массы трансплантата </w:t>
      </w:r>
      <w:r w:rsidR="00370265">
        <w:rPr>
          <w:color w:val="000000"/>
          <w:sz w:val="28"/>
          <w:szCs w:val="28"/>
        </w:rPr>
        <w:t>к массе</w:t>
      </w:r>
      <w:r w:rsidRPr="00E73B44">
        <w:rPr>
          <w:color w:val="000000"/>
          <w:sz w:val="28"/>
          <w:szCs w:val="28"/>
        </w:rPr>
        <w:t xml:space="preserve"> </w:t>
      </w:r>
      <w:r w:rsidR="001E740B" w:rsidRPr="001E740B">
        <w:rPr>
          <w:color w:val="000000"/>
          <w:sz w:val="28"/>
          <w:szCs w:val="28"/>
        </w:rPr>
        <w:t>т</w:t>
      </w:r>
      <w:r w:rsidR="001E740B">
        <w:rPr>
          <w:color w:val="000000"/>
          <w:sz w:val="28"/>
          <w:szCs w:val="28"/>
        </w:rPr>
        <w:t xml:space="preserve">ела </w:t>
      </w:r>
      <w:r w:rsidRPr="00E73B44">
        <w:rPr>
          <w:color w:val="000000"/>
          <w:sz w:val="28"/>
          <w:szCs w:val="28"/>
        </w:rPr>
        <w:t xml:space="preserve">реципиента </w:t>
      </w:r>
      <w:r w:rsidR="00B05669" w:rsidRPr="00E73B44">
        <w:rPr>
          <w:color w:val="000000"/>
          <w:sz w:val="28"/>
          <w:szCs w:val="28"/>
        </w:rPr>
        <w:t>(graft-to-recipient weight ratio) </w:t>
      </w:r>
      <w:r w:rsidRPr="00E73B44">
        <w:rPr>
          <w:color w:val="000000"/>
          <w:sz w:val="28"/>
          <w:szCs w:val="28"/>
        </w:rPr>
        <w:t xml:space="preserve">должно быть не менее 0,8%, чтобы предотвратить </w:t>
      </w:r>
      <w:r w:rsidRPr="00E73B44">
        <w:rPr>
          <w:color w:val="000000"/>
          <w:sz w:val="28"/>
          <w:szCs w:val="28"/>
        </w:rPr>
        <w:lastRenderedPageBreak/>
        <w:t>посттрансплантационные осложнения</w:t>
      </w:r>
      <w:r w:rsidRPr="00170B7C">
        <w:rPr>
          <w:color w:val="000000"/>
          <w:sz w:val="28"/>
          <w:szCs w:val="28"/>
        </w:rPr>
        <w:t>, риск отторжени</w:t>
      </w:r>
      <w:r w:rsidR="00B40748">
        <w:rPr>
          <w:color w:val="000000"/>
          <w:sz w:val="28"/>
          <w:szCs w:val="28"/>
        </w:rPr>
        <w:t>я, вызыв</w:t>
      </w:r>
      <w:r w:rsidR="001D7F9F">
        <w:rPr>
          <w:color w:val="000000"/>
          <w:sz w:val="28"/>
          <w:szCs w:val="28"/>
        </w:rPr>
        <w:t>ающий</w:t>
      </w:r>
      <w:r w:rsidR="00B40748">
        <w:rPr>
          <w:color w:val="000000"/>
          <w:sz w:val="28"/>
          <w:szCs w:val="28"/>
        </w:rPr>
        <w:t xml:space="preserve"> </w:t>
      </w:r>
      <w:r w:rsidRPr="00170B7C">
        <w:rPr>
          <w:color w:val="000000"/>
          <w:sz w:val="28"/>
          <w:szCs w:val="28"/>
        </w:rPr>
        <w:t>small</w:t>
      </w:r>
      <w:r w:rsidR="00B40748">
        <w:rPr>
          <w:color w:val="000000"/>
          <w:sz w:val="28"/>
          <w:szCs w:val="28"/>
        </w:rPr>
        <w:t xml:space="preserve"> -</w:t>
      </w:r>
      <w:r w:rsidRPr="00170B7C">
        <w:rPr>
          <w:color w:val="000000"/>
          <w:sz w:val="28"/>
          <w:szCs w:val="28"/>
        </w:rPr>
        <w:t xml:space="preserve"> for</w:t>
      </w:r>
      <w:r w:rsidR="00B40748">
        <w:rPr>
          <w:color w:val="000000"/>
          <w:sz w:val="28"/>
          <w:szCs w:val="28"/>
        </w:rPr>
        <w:t xml:space="preserve"> -</w:t>
      </w:r>
      <w:r w:rsidRPr="00170B7C">
        <w:rPr>
          <w:color w:val="000000"/>
          <w:sz w:val="28"/>
          <w:szCs w:val="28"/>
        </w:rPr>
        <w:t xml:space="preserve"> </w:t>
      </w:r>
      <w:r w:rsidR="00B40748">
        <w:rPr>
          <w:color w:val="000000"/>
          <w:sz w:val="28"/>
          <w:szCs w:val="28"/>
        </w:rPr>
        <w:t>size syndrome</w:t>
      </w:r>
      <w:r w:rsidR="002D36E8">
        <w:rPr>
          <w:color w:val="000000"/>
          <w:sz w:val="28"/>
          <w:szCs w:val="28"/>
        </w:rPr>
        <w:t>. П</w:t>
      </w:r>
      <w:r w:rsidR="003942B7">
        <w:rPr>
          <w:color w:val="000000"/>
          <w:sz w:val="28"/>
          <w:szCs w:val="28"/>
        </w:rPr>
        <w:t xml:space="preserve">ри </w:t>
      </w:r>
      <w:r w:rsidR="00CA6F46">
        <w:rPr>
          <w:color w:val="000000"/>
          <w:sz w:val="28"/>
          <w:szCs w:val="28"/>
        </w:rPr>
        <w:t xml:space="preserve">большом объеме пересаженной печени развивается </w:t>
      </w:r>
      <w:r w:rsidR="00CA6F46">
        <w:rPr>
          <w:color w:val="000000"/>
          <w:sz w:val="28"/>
          <w:szCs w:val="28"/>
          <w:lang w:val="en-US"/>
        </w:rPr>
        <w:t>l</w:t>
      </w:r>
      <w:r w:rsidR="00CA6F46" w:rsidRPr="00CA6F46">
        <w:rPr>
          <w:color w:val="000000"/>
          <w:sz w:val="28"/>
          <w:szCs w:val="28"/>
        </w:rPr>
        <w:t>arge - for - size syndrome</w:t>
      </w:r>
      <w:r w:rsidRPr="00E73B44">
        <w:rPr>
          <w:color w:val="000000"/>
          <w:sz w:val="28"/>
          <w:szCs w:val="28"/>
        </w:rPr>
        <w:t xml:space="preserve">. </w:t>
      </w:r>
    </w:p>
    <w:p w14:paraId="22D2087A" w14:textId="36D45332" w:rsidR="00C700B8" w:rsidRPr="00CA6F46" w:rsidRDefault="00E975C7"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CA6F46">
        <w:rPr>
          <w:color w:val="000000"/>
          <w:sz w:val="28"/>
          <w:szCs w:val="28"/>
          <w:lang w:val="en-US"/>
        </w:rPr>
        <w:t>L</w:t>
      </w:r>
      <w:r w:rsidRPr="00CA6F46">
        <w:rPr>
          <w:color w:val="000000"/>
          <w:sz w:val="28"/>
          <w:szCs w:val="28"/>
        </w:rPr>
        <w:t>arge - for - size syndrome</w:t>
      </w:r>
      <w:r w:rsidR="00274D3C" w:rsidRPr="00CA6F46">
        <w:rPr>
          <w:color w:val="000000"/>
          <w:sz w:val="28"/>
          <w:szCs w:val="28"/>
        </w:rPr>
        <w:t xml:space="preserve"> представляет собой несоответствие между большим объемом печеночного трансплантата и малым </w:t>
      </w:r>
      <w:r w:rsidR="00274D3C" w:rsidRPr="001E740B">
        <w:rPr>
          <w:color w:val="000000" w:themeColor="text1"/>
          <w:sz w:val="28"/>
          <w:szCs w:val="28"/>
        </w:rPr>
        <w:t xml:space="preserve">объемом </w:t>
      </w:r>
      <w:r w:rsidR="001E740B" w:rsidRPr="001E740B">
        <w:rPr>
          <w:color w:val="000000" w:themeColor="text1"/>
          <w:sz w:val="28"/>
          <w:szCs w:val="28"/>
        </w:rPr>
        <w:t>ложа печени</w:t>
      </w:r>
      <w:r w:rsidR="00274D3C" w:rsidRPr="00CA6F46">
        <w:rPr>
          <w:color w:val="000000"/>
          <w:sz w:val="28"/>
          <w:szCs w:val="28"/>
        </w:rPr>
        <w:t xml:space="preserve"> реципиента, может приводить к возникновению до 40% послеоперационной летальности и</w:t>
      </w:r>
      <w:r w:rsidR="00011F25">
        <w:rPr>
          <w:color w:val="000000"/>
          <w:sz w:val="28"/>
          <w:szCs w:val="28"/>
        </w:rPr>
        <w:t xml:space="preserve"> снижению функции трансплантата</w:t>
      </w:r>
      <w:r w:rsidR="00274D3C" w:rsidRPr="00CA6F46">
        <w:rPr>
          <w:color w:val="000000"/>
          <w:sz w:val="28"/>
          <w:szCs w:val="28"/>
        </w:rPr>
        <w:t xml:space="preserve">. </w:t>
      </w:r>
    </w:p>
    <w:p w14:paraId="6E9C0549" w14:textId="3EACB026" w:rsidR="00C700B8" w:rsidRPr="00CA6F46" w:rsidRDefault="00274D3C" w:rsidP="00170B7C">
      <w:pPr>
        <w:pBdr>
          <w:top w:val="none" w:sz="0" w:space="0" w:color="000000"/>
          <w:left w:val="none" w:sz="0" w:space="0" w:color="000000"/>
          <w:bottom w:val="none" w:sz="0" w:space="0" w:color="000000"/>
          <w:right w:val="none" w:sz="0" w:space="0" w:color="000000"/>
          <w:between w:val="none" w:sz="0" w:space="0" w:color="000000"/>
        </w:pBdr>
        <w:tabs>
          <w:tab w:val="left" w:pos="567"/>
        </w:tabs>
        <w:jc w:val="both"/>
        <w:rPr>
          <w:color w:val="000000"/>
          <w:sz w:val="28"/>
          <w:szCs w:val="28"/>
        </w:rPr>
      </w:pPr>
      <w:r w:rsidRPr="00CA6F46">
        <w:rPr>
          <w:color w:val="000000"/>
          <w:sz w:val="28"/>
          <w:szCs w:val="28"/>
        </w:rPr>
        <w:tab/>
        <w:t>Addeo P. и соавт</w:t>
      </w:r>
      <w:r w:rsidRPr="00CA6F46">
        <w:rPr>
          <w:sz w:val="28"/>
          <w:szCs w:val="28"/>
        </w:rPr>
        <w:t xml:space="preserve">. </w:t>
      </w:r>
      <w:r w:rsidR="00F20AA4" w:rsidRPr="00CA6F46">
        <w:rPr>
          <w:sz w:val="28"/>
          <w:szCs w:val="28"/>
        </w:rPr>
        <w:t>в</w:t>
      </w:r>
      <w:r w:rsidRPr="00CA6F46">
        <w:rPr>
          <w:sz w:val="28"/>
          <w:szCs w:val="28"/>
        </w:rPr>
        <w:t xml:space="preserve"> систематическом </w:t>
      </w:r>
      <w:r w:rsidRPr="00CA6F46">
        <w:rPr>
          <w:color w:val="000000"/>
          <w:sz w:val="28"/>
          <w:szCs w:val="28"/>
        </w:rPr>
        <w:t>о</w:t>
      </w:r>
      <w:r w:rsidR="00FB1C3C" w:rsidRPr="00CA6F46">
        <w:rPr>
          <w:color w:val="000000"/>
          <w:sz w:val="28"/>
          <w:szCs w:val="28"/>
        </w:rPr>
        <w:t xml:space="preserve">бзоре подтвердили, что </w:t>
      </w:r>
      <w:r w:rsidR="00485DC9" w:rsidRPr="00CA6F46">
        <w:rPr>
          <w:color w:val="000000"/>
          <w:sz w:val="28"/>
          <w:szCs w:val="28"/>
          <w:lang w:val="en-US"/>
        </w:rPr>
        <w:t>large</w:t>
      </w:r>
      <w:r w:rsidR="00485DC9" w:rsidRPr="00CA6F46">
        <w:rPr>
          <w:color w:val="000000"/>
          <w:sz w:val="28"/>
          <w:szCs w:val="28"/>
        </w:rPr>
        <w:t xml:space="preserve"> - for- size syndrome</w:t>
      </w:r>
      <w:r w:rsidRPr="00CA6F46">
        <w:rPr>
          <w:color w:val="000000"/>
          <w:sz w:val="28"/>
          <w:szCs w:val="28"/>
        </w:rPr>
        <w:t xml:space="preserve"> у взрослых </w:t>
      </w:r>
      <w:r w:rsidR="00262D12">
        <w:rPr>
          <w:color w:val="000000"/>
          <w:sz w:val="28"/>
          <w:szCs w:val="28"/>
        </w:rPr>
        <w:t>реципиентов</w:t>
      </w:r>
      <w:r w:rsidRPr="00CA6F46">
        <w:rPr>
          <w:color w:val="000000"/>
          <w:sz w:val="28"/>
          <w:szCs w:val="28"/>
        </w:rPr>
        <w:t xml:space="preserve"> с пересаженной печенью встречается реже, чем при детской трансплантации, но имеет высокую связанную с этим смертность, несмотря на адаптированные хирургические решения, такие как открытая лапаротомия и репозиция трансплантата. По данным систематического обзора, </w:t>
      </w:r>
      <w:r w:rsidR="001E740B">
        <w:rPr>
          <w:color w:val="000000"/>
          <w:sz w:val="28"/>
          <w:szCs w:val="28"/>
        </w:rPr>
        <w:t>данный синдром</w:t>
      </w:r>
      <w:r w:rsidRPr="00CA6F46">
        <w:rPr>
          <w:color w:val="000000"/>
          <w:sz w:val="28"/>
          <w:szCs w:val="28"/>
        </w:rPr>
        <w:t xml:space="preserve"> чаще возникал у маленьких реципиентов (средний рост 165 см) с большими трансплантатами. Редкое возникновение этого состояния среди взрослой трансплантации печени по сравнению с таковым у детей связано с большей податливостью брюшной полости у взрослых и состояния реципиентов, адаптированный к их объему брюшной полости. Однако, острая необходимость в трансплантации печени, например, при острой печеночной недостаточности, может подтолкнуть команду трансплантологов к выбору в пользу использования</w:t>
      </w:r>
      <w:r w:rsidR="00011F25">
        <w:rPr>
          <w:color w:val="000000"/>
          <w:sz w:val="28"/>
          <w:szCs w:val="28"/>
        </w:rPr>
        <w:t xml:space="preserve"> трансплантата большего размера</w:t>
      </w:r>
      <w:r w:rsidRPr="00CA6F46">
        <w:rPr>
          <w:color w:val="000000"/>
          <w:sz w:val="28"/>
          <w:szCs w:val="28"/>
        </w:rPr>
        <w:t xml:space="preserve">. </w:t>
      </w:r>
    </w:p>
    <w:p w14:paraId="7283C0F8" w14:textId="6D68A9FE" w:rsidR="00F20AA4" w:rsidRPr="00CA6F46" w:rsidRDefault="00274D3C" w:rsidP="00013921">
      <w:pPr>
        <w:pBdr>
          <w:top w:val="none" w:sz="0" w:space="0" w:color="000000"/>
          <w:left w:val="none" w:sz="0" w:space="0" w:color="000000"/>
          <w:bottom w:val="none" w:sz="0" w:space="0" w:color="000000"/>
          <w:right w:val="none" w:sz="0" w:space="0" w:color="000000"/>
          <w:between w:val="none" w:sz="0" w:space="0" w:color="000000"/>
        </w:pBdr>
        <w:tabs>
          <w:tab w:val="left" w:pos="567"/>
        </w:tabs>
        <w:jc w:val="both"/>
        <w:rPr>
          <w:color w:val="000000"/>
          <w:sz w:val="28"/>
          <w:szCs w:val="28"/>
        </w:rPr>
      </w:pPr>
      <w:r w:rsidRPr="00CA6F46">
        <w:rPr>
          <w:sz w:val="28"/>
          <w:szCs w:val="28"/>
        </w:rPr>
        <w:tab/>
        <w:t>Allard M. и соавт</w:t>
      </w:r>
      <w:r w:rsidR="00011F25">
        <w:rPr>
          <w:color w:val="000000"/>
          <w:sz w:val="28"/>
          <w:szCs w:val="28"/>
        </w:rPr>
        <w:t>.</w:t>
      </w:r>
      <w:r w:rsidRPr="00CA6F46">
        <w:rPr>
          <w:color w:val="000000"/>
          <w:sz w:val="28"/>
          <w:szCs w:val="28"/>
        </w:rPr>
        <w:t xml:space="preserve"> провели исследование, которое выявило корреляцию между клиническим проявлением неспособности закрытия брюшной стенки в конце трансплантации печени и морфологическим несоответствием между донором и реципиентом. Они нашли, что сочетание женщины-реципиента и мужчины-донора с соотношением веса графта и переднезаднего размера ложа правой доли печени &gt; 100 был связан с</w:t>
      </w:r>
      <w:r w:rsidR="005C5BF2" w:rsidRPr="00CA6F46">
        <w:rPr>
          <w:color w:val="000000"/>
          <w:sz w:val="28"/>
          <w:szCs w:val="28"/>
        </w:rPr>
        <w:t xml:space="preserve"> самым высоким риском </w:t>
      </w:r>
      <w:r w:rsidR="001D356F" w:rsidRPr="00CA6F46">
        <w:rPr>
          <w:color w:val="000000"/>
          <w:sz w:val="28"/>
          <w:szCs w:val="28"/>
          <w:lang w:val="en-US"/>
        </w:rPr>
        <w:t>large</w:t>
      </w:r>
      <w:r w:rsidR="001D356F" w:rsidRPr="00CA6F46">
        <w:rPr>
          <w:color w:val="000000"/>
          <w:sz w:val="28"/>
          <w:szCs w:val="28"/>
        </w:rPr>
        <w:t xml:space="preserve"> </w:t>
      </w:r>
      <w:r w:rsidR="001E740B">
        <w:rPr>
          <w:color w:val="000000"/>
          <w:sz w:val="28"/>
          <w:szCs w:val="28"/>
        </w:rPr>
        <w:t>-</w:t>
      </w:r>
      <w:r w:rsidR="001D356F" w:rsidRPr="00CA6F46">
        <w:rPr>
          <w:color w:val="000000"/>
          <w:sz w:val="28"/>
          <w:szCs w:val="28"/>
        </w:rPr>
        <w:t xml:space="preserve"> for</w:t>
      </w:r>
      <w:r w:rsidR="001D7F9F">
        <w:rPr>
          <w:color w:val="000000"/>
          <w:sz w:val="28"/>
          <w:szCs w:val="28"/>
        </w:rPr>
        <w:t xml:space="preserve"> </w:t>
      </w:r>
      <w:r w:rsidR="001D356F" w:rsidRPr="00CA6F46">
        <w:rPr>
          <w:color w:val="000000"/>
          <w:sz w:val="28"/>
          <w:szCs w:val="28"/>
        </w:rPr>
        <w:t>- size syndrome</w:t>
      </w:r>
      <w:r w:rsidRPr="00CA6F46">
        <w:rPr>
          <w:color w:val="000000"/>
          <w:sz w:val="28"/>
          <w:szCs w:val="28"/>
        </w:rPr>
        <w:t>, который характеризуется наибольшей смертностью.</w:t>
      </w:r>
      <w:r w:rsidRPr="00170B7C">
        <w:rPr>
          <w:color w:val="000000"/>
          <w:sz w:val="28"/>
          <w:szCs w:val="28"/>
        </w:rPr>
        <w:t xml:space="preserve">  </w:t>
      </w:r>
    </w:p>
    <w:p w14:paraId="438EE93F" w14:textId="1B602C28" w:rsidR="00C700B8" w:rsidRPr="009D1A44" w:rsidRDefault="009D1A44" w:rsidP="009D1A44">
      <w:pPr>
        <w:pBdr>
          <w:top w:val="none" w:sz="0" w:space="0" w:color="000000"/>
          <w:left w:val="none" w:sz="0" w:space="0" w:color="000000"/>
          <w:bottom w:val="none" w:sz="0" w:space="0" w:color="000000"/>
          <w:right w:val="none" w:sz="0" w:space="0" w:color="000000"/>
          <w:between w:val="none" w:sz="0" w:space="0" w:color="000000"/>
        </w:pBdr>
        <w:ind w:firstLine="567"/>
        <w:jc w:val="both"/>
        <w:rPr>
          <w:sz w:val="28"/>
          <w:szCs w:val="28"/>
        </w:rPr>
      </w:pPr>
      <w:r w:rsidRPr="009D1A44">
        <w:rPr>
          <w:sz w:val="28"/>
          <w:szCs w:val="28"/>
          <w:lang w:val="en-US"/>
        </w:rPr>
        <w:t>L</w:t>
      </w:r>
      <w:r w:rsidRPr="009D1A44">
        <w:rPr>
          <w:sz w:val="28"/>
          <w:szCs w:val="28"/>
        </w:rPr>
        <w:t xml:space="preserve">arge - for - size syndrome встречается преимущественно при детской </w:t>
      </w:r>
      <w:r w:rsidR="001E740B" w:rsidRPr="009D1A44">
        <w:rPr>
          <w:sz w:val="28"/>
          <w:szCs w:val="28"/>
        </w:rPr>
        <w:t>трансплантации</w:t>
      </w:r>
      <w:r w:rsidRPr="009D1A44">
        <w:rPr>
          <w:sz w:val="28"/>
          <w:szCs w:val="28"/>
        </w:rPr>
        <w:t xml:space="preserve"> от живого родственного донора при пересадке левого латерального сектора в исходе терминальной стадии заболевания печени или гепатобластомы. Получение соответствующих  по размеру трансплантатов, которые достаточно малы для детей - реципиентов, остается  актуальной задачей. Трансплантаты большого размера представляют повышенный риск </w:t>
      </w:r>
      <w:r w:rsidR="005D4D56">
        <w:rPr>
          <w:sz w:val="28"/>
          <w:szCs w:val="28"/>
        </w:rPr>
        <w:t xml:space="preserve">развития </w:t>
      </w:r>
      <w:r w:rsidRPr="009D1A44">
        <w:rPr>
          <w:sz w:val="28"/>
          <w:szCs w:val="28"/>
        </w:rPr>
        <w:t>абдоминального компартмент - синдрома, сосудистых осложнений трансплантата, дисфункции трансплантата и почек среди прочих осложнений.</w:t>
      </w:r>
    </w:p>
    <w:p w14:paraId="5C96F92A" w14:textId="34F8AF1C" w:rsidR="00C700B8" w:rsidRPr="00684BB8" w:rsidRDefault="00006FAC" w:rsidP="00684BB8">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Gungsuh"/>
          <w:color w:val="FF0000"/>
          <w:sz w:val="28"/>
          <w:szCs w:val="28"/>
        </w:rPr>
      </w:pPr>
      <w:r w:rsidRPr="00684BB8">
        <w:rPr>
          <w:rFonts w:eastAsia="Gungsuh"/>
          <w:sz w:val="28"/>
          <w:szCs w:val="28"/>
        </w:rPr>
        <w:t>Маленький объем пере</w:t>
      </w:r>
      <w:r w:rsidR="00F13465">
        <w:rPr>
          <w:rFonts w:eastAsia="Gungsuh"/>
          <w:sz w:val="28"/>
          <w:szCs w:val="28"/>
        </w:rPr>
        <w:t>с</w:t>
      </w:r>
      <w:r w:rsidRPr="00684BB8">
        <w:rPr>
          <w:rFonts w:eastAsia="Gungsuh"/>
          <w:sz w:val="28"/>
          <w:szCs w:val="28"/>
        </w:rPr>
        <w:t xml:space="preserve">аженной печени вызывает </w:t>
      </w:r>
      <w:r w:rsidR="00607CB9" w:rsidRPr="00607CB9">
        <w:rPr>
          <w:rFonts w:eastAsia="Gungsuh"/>
          <w:sz w:val="28"/>
          <w:szCs w:val="28"/>
        </w:rPr>
        <w:t>small - for - size syndrome</w:t>
      </w:r>
      <w:r w:rsidR="00AD3049" w:rsidRPr="00684BB8">
        <w:rPr>
          <w:rFonts w:eastAsia="Gungsuh"/>
          <w:sz w:val="28"/>
          <w:szCs w:val="28"/>
        </w:rPr>
        <w:t xml:space="preserve">. </w:t>
      </w:r>
      <w:r w:rsidRPr="00684BB8">
        <w:rPr>
          <w:rFonts w:eastAsia="Gungsuh"/>
          <w:sz w:val="28"/>
          <w:szCs w:val="28"/>
        </w:rPr>
        <w:t>При развитии данного синдрома</w:t>
      </w:r>
      <w:r w:rsidR="00AD3049" w:rsidRPr="00684BB8">
        <w:rPr>
          <w:rFonts w:eastAsia="Gungsuh"/>
          <w:sz w:val="28"/>
          <w:szCs w:val="28"/>
        </w:rPr>
        <w:t xml:space="preserve"> у некоторых реципиентов могут </w:t>
      </w:r>
      <w:r w:rsidRPr="00684BB8">
        <w:rPr>
          <w:rFonts w:eastAsia="Gungsuh"/>
          <w:sz w:val="28"/>
          <w:szCs w:val="28"/>
        </w:rPr>
        <w:t>развиться постоперационные осложнения.</w:t>
      </w:r>
      <w:r w:rsidR="00AD3049" w:rsidRPr="00684BB8">
        <w:rPr>
          <w:rFonts w:eastAsia="Gungsuh"/>
          <w:sz w:val="28"/>
          <w:szCs w:val="28"/>
        </w:rPr>
        <w:t xml:space="preserve"> </w:t>
      </w:r>
      <w:r w:rsidRPr="00684BB8">
        <w:rPr>
          <w:rFonts w:eastAsia="Gungsuh"/>
          <w:sz w:val="28"/>
          <w:szCs w:val="28"/>
        </w:rPr>
        <w:t>П</w:t>
      </w:r>
      <w:r w:rsidR="00AD3049" w:rsidRPr="00684BB8">
        <w:rPr>
          <w:rFonts w:eastAsia="Gungsuh"/>
          <w:sz w:val="28"/>
          <w:szCs w:val="28"/>
        </w:rPr>
        <w:t xml:space="preserve">ересаженная </w:t>
      </w:r>
      <w:r w:rsidRPr="00684BB8">
        <w:rPr>
          <w:rFonts w:eastAsia="Gungsuh"/>
          <w:sz w:val="28"/>
          <w:szCs w:val="28"/>
        </w:rPr>
        <w:t xml:space="preserve">печень недостаточного объема </w:t>
      </w:r>
      <w:r w:rsidR="00AD3049" w:rsidRPr="00684BB8">
        <w:rPr>
          <w:rFonts w:eastAsia="Gungsuh"/>
          <w:sz w:val="28"/>
          <w:szCs w:val="28"/>
        </w:rPr>
        <w:t xml:space="preserve">не может удовлетворить метаболические потребности реципиента или может быть склонна к перегрузке из-за чрезмерного портального притока до регенерации трансплантата, что приводит к необратимой потере трансплантата и смерти </w:t>
      </w:r>
      <w:r w:rsidRPr="00684BB8">
        <w:rPr>
          <w:rFonts w:eastAsia="Gungsuh"/>
          <w:sz w:val="28"/>
          <w:szCs w:val="28"/>
        </w:rPr>
        <w:t>реципиента</w:t>
      </w:r>
      <w:r w:rsidR="00AD3049" w:rsidRPr="00684BB8">
        <w:rPr>
          <w:rFonts w:eastAsia="Gungsuh"/>
          <w:sz w:val="28"/>
          <w:szCs w:val="28"/>
        </w:rPr>
        <w:t xml:space="preserve">, если нет доступного органа для повторной трансплантации. </w:t>
      </w:r>
      <w:r w:rsidRPr="00684BB8">
        <w:rPr>
          <w:rFonts w:eastAsia="Gungsuh"/>
          <w:sz w:val="28"/>
          <w:szCs w:val="28"/>
        </w:rPr>
        <w:t xml:space="preserve">Развитие осложнений </w:t>
      </w:r>
      <w:r w:rsidR="00AD3049" w:rsidRPr="00684BB8">
        <w:rPr>
          <w:rFonts w:eastAsia="Gungsuh"/>
          <w:sz w:val="28"/>
          <w:szCs w:val="28"/>
        </w:rPr>
        <w:t>может быть связано с нехваткой массы пар</w:t>
      </w:r>
      <w:r w:rsidRPr="00684BB8">
        <w:rPr>
          <w:rFonts w:eastAsia="Gungsuh"/>
          <w:sz w:val="28"/>
          <w:szCs w:val="28"/>
        </w:rPr>
        <w:t>енхиматозных клеток, необходимых</w:t>
      </w:r>
      <w:r w:rsidR="00AD3049" w:rsidRPr="00684BB8">
        <w:rPr>
          <w:rFonts w:eastAsia="Gungsuh"/>
          <w:sz w:val="28"/>
          <w:szCs w:val="28"/>
        </w:rPr>
        <w:t xml:space="preserve"> для метаболизма, и постоянным повышением давления</w:t>
      </w:r>
      <w:r w:rsidRPr="00684BB8">
        <w:rPr>
          <w:rFonts w:eastAsia="Gungsuh"/>
          <w:sz w:val="28"/>
          <w:szCs w:val="28"/>
        </w:rPr>
        <w:t xml:space="preserve"> </w:t>
      </w:r>
      <w:r w:rsidR="00AD3049" w:rsidRPr="00684BB8">
        <w:rPr>
          <w:rFonts w:eastAsia="Gungsuh"/>
          <w:sz w:val="28"/>
          <w:szCs w:val="28"/>
        </w:rPr>
        <w:lastRenderedPageBreak/>
        <w:t>портального</w:t>
      </w:r>
      <w:r w:rsidRPr="00684BB8">
        <w:rPr>
          <w:rFonts w:eastAsia="Gungsuh"/>
          <w:sz w:val="28"/>
          <w:szCs w:val="28"/>
        </w:rPr>
        <w:t xml:space="preserve"> кровотока</w:t>
      </w:r>
      <w:r w:rsidR="00AD3049" w:rsidRPr="00684BB8">
        <w:rPr>
          <w:rFonts w:eastAsia="Gungsuh"/>
          <w:sz w:val="28"/>
          <w:szCs w:val="28"/>
        </w:rPr>
        <w:t>, что вызывает гиперперфузио</w:t>
      </w:r>
      <w:r w:rsidRPr="00684BB8">
        <w:rPr>
          <w:rFonts w:eastAsia="Gungsuh"/>
          <w:sz w:val="28"/>
          <w:szCs w:val="28"/>
        </w:rPr>
        <w:t>нное повреждение трансплантата.</w:t>
      </w:r>
      <w:r w:rsidR="00AD3049" w:rsidRPr="00684BB8">
        <w:rPr>
          <w:rFonts w:eastAsia="Gungsuh"/>
          <w:sz w:val="28"/>
          <w:szCs w:val="28"/>
        </w:rPr>
        <w:t xml:space="preserve"> Более того, поскольку у реципиентов с циррозом наблюдается более высокий портальный </w:t>
      </w:r>
      <w:r w:rsidR="001E740B">
        <w:rPr>
          <w:rFonts w:eastAsia="Gungsuh"/>
          <w:sz w:val="28"/>
          <w:szCs w:val="28"/>
        </w:rPr>
        <w:t>кровоток</w:t>
      </w:r>
      <w:r w:rsidR="00AD3049" w:rsidRPr="00684BB8">
        <w:rPr>
          <w:rFonts w:eastAsia="Gungsuh"/>
          <w:sz w:val="28"/>
          <w:szCs w:val="28"/>
        </w:rPr>
        <w:t xml:space="preserve">, </w:t>
      </w:r>
      <w:r w:rsidRPr="00684BB8">
        <w:rPr>
          <w:rFonts w:eastAsia="Gungsuh"/>
          <w:sz w:val="28"/>
          <w:szCs w:val="28"/>
        </w:rPr>
        <w:t>данный факт также важно учитывать</w:t>
      </w:r>
      <w:r w:rsidR="00AD3049" w:rsidRPr="00684BB8">
        <w:rPr>
          <w:rFonts w:eastAsia="Gungsuh"/>
          <w:sz w:val="28"/>
          <w:szCs w:val="28"/>
        </w:rPr>
        <w:t xml:space="preserve"> в условиях трансплантации. Эта ситуация может привести к эндотелиальному повреждению печеночных синусоидов и повреждению гепатоцитов. </w:t>
      </w:r>
      <w:r w:rsidR="005E7FEE" w:rsidRPr="00684BB8">
        <w:rPr>
          <w:sz w:val="28"/>
          <w:szCs w:val="28"/>
        </w:rPr>
        <w:t xml:space="preserve">По данным исследования у 80% </w:t>
      </w:r>
      <w:r w:rsidR="00262D12">
        <w:rPr>
          <w:sz w:val="28"/>
          <w:szCs w:val="28"/>
        </w:rPr>
        <w:t>реципиентов</w:t>
      </w:r>
      <w:r w:rsidR="005E7FEE" w:rsidRPr="00684BB8">
        <w:rPr>
          <w:sz w:val="28"/>
          <w:szCs w:val="28"/>
        </w:rPr>
        <w:t xml:space="preserve">, у которых объем трансплантата был </w:t>
      </w:r>
      <w:r w:rsidR="005E7FEE" w:rsidRPr="00170B7C">
        <w:rPr>
          <w:color w:val="000000"/>
          <w:sz w:val="28"/>
          <w:szCs w:val="28"/>
        </w:rPr>
        <w:t xml:space="preserve">менее 40% </w:t>
      </w:r>
      <w:r w:rsidR="005E7FEE" w:rsidRPr="00E73B44">
        <w:rPr>
          <w:color w:val="000000"/>
          <w:sz w:val="28"/>
          <w:szCs w:val="28"/>
        </w:rPr>
        <w:t>были обнаружены морфологические признаки, сопровождающиеся разрывами в эндотелиальной выстилке синусоидов и набуханием митохондрий, а также вакуолярными изменениями в гепатоцитах по</w:t>
      </w:r>
      <w:r w:rsidR="00011F25">
        <w:rPr>
          <w:color w:val="000000"/>
          <w:sz w:val="28"/>
          <w:szCs w:val="28"/>
        </w:rPr>
        <w:t xml:space="preserve"> данным электронной микроскопии</w:t>
      </w:r>
      <w:r w:rsidR="005E7FEE" w:rsidRPr="00E73B44">
        <w:rPr>
          <w:color w:val="000000"/>
          <w:sz w:val="28"/>
          <w:szCs w:val="28"/>
        </w:rPr>
        <w:t>.</w:t>
      </w:r>
    </w:p>
    <w:p w14:paraId="26E1B3F3" w14:textId="5843FBD5" w:rsidR="00EE2183" w:rsidRDefault="002937C0" w:rsidP="00C36745">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E73B44">
        <w:rPr>
          <w:color w:val="000000"/>
          <w:sz w:val="28"/>
          <w:szCs w:val="28"/>
        </w:rPr>
        <w:t xml:space="preserve">Также авторы предложили другое определение: дисфункция </w:t>
      </w:r>
      <w:r w:rsidR="00FD46CD">
        <w:rPr>
          <w:color w:val="000000"/>
          <w:sz w:val="28"/>
          <w:szCs w:val="28"/>
        </w:rPr>
        <w:t xml:space="preserve">на фоне </w:t>
      </w:r>
      <w:r w:rsidR="00805A25">
        <w:rPr>
          <w:color w:val="000000"/>
          <w:sz w:val="28"/>
          <w:szCs w:val="28"/>
        </w:rPr>
        <w:t xml:space="preserve">синдрома </w:t>
      </w:r>
      <w:r w:rsidRPr="00E73B44">
        <w:rPr>
          <w:color w:val="000000"/>
          <w:sz w:val="28"/>
          <w:szCs w:val="28"/>
        </w:rPr>
        <w:t xml:space="preserve">малого размера и </w:t>
      </w:r>
      <w:r w:rsidR="00D1029C">
        <w:rPr>
          <w:color w:val="000000"/>
          <w:sz w:val="28"/>
          <w:szCs w:val="28"/>
        </w:rPr>
        <w:t>первичный нефункционирующий трансплантат на фоне синдрома</w:t>
      </w:r>
      <w:r w:rsidRPr="00E73B44">
        <w:rPr>
          <w:color w:val="000000"/>
          <w:sz w:val="28"/>
          <w:szCs w:val="28"/>
        </w:rPr>
        <w:t xml:space="preserve"> малого размера, возникающ</w:t>
      </w:r>
      <w:r w:rsidR="00D1029C">
        <w:rPr>
          <w:color w:val="000000"/>
          <w:sz w:val="28"/>
          <w:szCs w:val="28"/>
        </w:rPr>
        <w:t>и</w:t>
      </w:r>
      <w:r w:rsidRPr="00E73B44">
        <w:rPr>
          <w:color w:val="000000"/>
          <w:sz w:val="28"/>
          <w:szCs w:val="28"/>
        </w:rPr>
        <w:t>й в течение первой послеоперационной недели. Реципиенты, имеющие технические (тромбоз сосудов, обструкцию венозного оттока и, следовательно, застой или утечку желчи), иммунологические (отторжение) и инфекционные</w:t>
      </w:r>
      <w:r w:rsidRPr="00170B7C">
        <w:rPr>
          <w:color w:val="000000"/>
          <w:sz w:val="28"/>
          <w:szCs w:val="28"/>
        </w:rPr>
        <w:t xml:space="preserve"> (холангит и сепсис) проблемы, были исключены. Дисфункция </w:t>
      </w:r>
      <w:r w:rsidR="007C7ED5">
        <w:rPr>
          <w:color w:val="000000"/>
          <w:sz w:val="28"/>
          <w:szCs w:val="28"/>
        </w:rPr>
        <w:t xml:space="preserve">на фоне </w:t>
      </w:r>
      <w:r w:rsidRPr="00170B7C">
        <w:rPr>
          <w:color w:val="000000"/>
          <w:sz w:val="28"/>
          <w:szCs w:val="28"/>
        </w:rPr>
        <w:t>синдрома малого размера была определена тем, кто получил трансплантат с соотношением веса графт-реципиент &lt;0,8% («маленький» трансплантат печени) и имел две из следующих клинических проявлений в течение трех дней подряд: общий билирубин &gt;100 мкмоль/л; международное нормализованное отношение (МНО) &gt;2; и энцефалопатия 3 или 4 степени</w:t>
      </w:r>
      <w:r w:rsidRPr="002F19F1">
        <w:rPr>
          <w:sz w:val="28"/>
          <w:szCs w:val="28"/>
        </w:rPr>
        <w:t xml:space="preserve">. </w:t>
      </w:r>
      <w:r w:rsidR="000A6D7D">
        <w:rPr>
          <w:sz w:val="28"/>
          <w:szCs w:val="28"/>
        </w:rPr>
        <w:t>П</w:t>
      </w:r>
      <w:r w:rsidR="000A6D7D" w:rsidRPr="000A6D7D">
        <w:rPr>
          <w:sz w:val="28"/>
          <w:szCs w:val="28"/>
        </w:rPr>
        <w:t xml:space="preserve">ервичный нефункционирующий трансплантат </w:t>
      </w:r>
      <w:r w:rsidR="000A6D7D">
        <w:rPr>
          <w:sz w:val="28"/>
          <w:szCs w:val="28"/>
        </w:rPr>
        <w:t xml:space="preserve">на фоне синдрома </w:t>
      </w:r>
      <w:r w:rsidRPr="002F19F1">
        <w:rPr>
          <w:sz w:val="28"/>
          <w:szCs w:val="28"/>
        </w:rPr>
        <w:t>малого р</w:t>
      </w:r>
      <w:r w:rsidR="000A6D7D">
        <w:rPr>
          <w:color w:val="000000"/>
          <w:sz w:val="28"/>
          <w:szCs w:val="28"/>
        </w:rPr>
        <w:t>азмера определен</w:t>
      </w:r>
      <w:r w:rsidRPr="00170B7C">
        <w:rPr>
          <w:color w:val="000000"/>
          <w:sz w:val="28"/>
          <w:szCs w:val="28"/>
        </w:rPr>
        <w:t xml:space="preserve"> тем, кто получил трансплантат с соотношением веса графт-реципиент &lt;0,8%, и нуждался в повторной трансплантации или умер (</w:t>
      </w:r>
      <w:r w:rsidRPr="00E73B44">
        <w:rPr>
          <w:color w:val="000000"/>
          <w:sz w:val="28"/>
          <w:szCs w:val="28"/>
        </w:rPr>
        <w:t>таблица 3)</w:t>
      </w:r>
      <w:r w:rsidR="00E73B44" w:rsidRPr="00E73B44">
        <w:rPr>
          <w:color w:val="000000"/>
          <w:sz w:val="28"/>
          <w:szCs w:val="28"/>
        </w:rPr>
        <w:t>.</w:t>
      </w:r>
    </w:p>
    <w:p w14:paraId="3BC13623" w14:textId="77777777" w:rsidR="00C36745" w:rsidRPr="00170B7C" w:rsidRDefault="00C36745" w:rsidP="00C36745">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p>
    <w:p w14:paraId="7E46B3C7" w14:textId="77777777" w:rsidR="002937C0" w:rsidRPr="00170B7C" w:rsidRDefault="002937C0" w:rsidP="00CF13A1">
      <w:pPr>
        <w:pBdr>
          <w:top w:val="none" w:sz="0" w:space="0" w:color="000000"/>
          <w:left w:val="none" w:sz="0" w:space="0" w:color="000000"/>
          <w:bottom w:val="none" w:sz="0" w:space="0" w:color="000000"/>
          <w:right w:val="none" w:sz="0" w:space="0" w:color="000000"/>
          <w:between w:val="none" w:sz="0" w:space="0" w:color="000000"/>
        </w:pBdr>
        <w:ind w:firstLine="567"/>
        <w:jc w:val="center"/>
        <w:rPr>
          <w:rFonts w:eastAsia="Calibri"/>
          <w:color w:val="000000"/>
          <w:sz w:val="28"/>
          <w:szCs w:val="28"/>
        </w:rPr>
      </w:pPr>
      <w:r w:rsidRPr="00170B7C">
        <w:rPr>
          <w:color w:val="000000"/>
          <w:sz w:val="28"/>
          <w:szCs w:val="28"/>
        </w:rPr>
        <w:t>Таблица 3 – Диагностические критерии посттрансплантационного синдрома малого размера</w:t>
      </w:r>
    </w:p>
    <w:p w14:paraId="796BDC0A" w14:textId="77777777" w:rsidR="002937C0" w:rsidRPr="00170B7C" w:rsidRDefault="002937C0" w:rsidP="002937C0">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tbl>
      <w:tblPr>
        <w:tblpPr w:leftFromText="180" w:rightFromText="180" w:vertAnchor="text" w:tblpY="1"/>
        <w:tblOverlap w:val="never"/>
        <w:tblW w:w="9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673"/>
        <w:gridCol w:w="850"/>
        <w:gridCol w:w="2410"/>
        <w:gridCol w:w="4090"/>
      </w:tblGrid>
      <w:tr w:rsidR="00652741" w:rsidRPr="00170B7C" w14:paraId="02D6152E" w14:textId="77777777" w:rsidTr="0055712F">
        <w:trPr>
          <w:trHeight w:val="460"/>
        </w:trPr>
        <w:tc>
          <w:tcPr>
            <w:tcW w:w="562" w:type="dxa"/>
          </w:tcPr>
          <w:p w14:paraId="39E56A7D" w14:textId="77777777" w:rsidR="00652741" w:rsidRPr="00F0116E" w:rsidRDefault="00652741" w:rsidP="00C36745">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w:t>
            </w:r>
          </w:p>
        </w:tc>
        <w:tc>
          <w:tcPr>
            <w:tcW w:w="1673" w:type="dxa"/>
          </w:tcPr>
          <w:p w14:paraId="313304D1" w14:textId="77777777" w:rsidR="00652741" w:rsidRPr="00F0116E" w:rsidRDefault="0065274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F0116E">
              <w:rPr>
                <w:color w:val="000000"/>
                <w:sz w:val="28"/>
                <w:szCs w:val="28"/>
              </w:rPr>
              <w:t>Авторы </w:t>
            </w:r>
          </w:p>
        </w:tc>
        <w:tc>
          <w:tcPr>
            <w:tcW w:w="850" w:type="dxa"/>
          </w:tcPr>
          <w:p w14:paraId="0D4CA3BD" w14:textId="77777777" w:rsidR="00652741" w:rsidRPr="00F0116E" w:rsidRDefault="0065274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F0116E">
              <w:rPr>
                <w:color w:val="000000"/>
                <w:sz w:val="28"/>
                <w:szCs w:val="28"/>
              </w:rPr>
              <w:t>Год </w:t>
            </w:r>
          </w:p>
        </w:tc>
        <w:tc>
          <w:tcPr>
            <w:tcW w:w="2410" w:type="dxa"/>
          </w:tcPr>
          <w:p w14:paraId="50324D05" w14:textId="77777777" w:rsidR="00652741" w:rsidRPr="00F0116E" w:rsidRDefault="0065274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F0116E">
              <w:rPr>
                <w:color w:val="000000"/>
                <w:sz w:val="28"/>
                <w:szCs w:val="28"/>
              </w:rPr>
              <w:t>Термин </w:t>
            </w:r>
          </w:p>
        </w:tc>
        <w:tc>
          <w:tcPr>
            <w:tcW w:w="4090" w:type="dxa"/>
          </w:tcPr>
          <w:p w14:paraId="34C19DF8" w14:textId="77777777" w:rsidR="00652741" w:rsidRPr="00F0116E" w:rsidRDefault="00652741" w:rsidP="0055712F">
            <w:pPr>
              <w:pBdr>
                <w:top w:val="none" w:sz="0" w:space="0" w:color="000000"/>
                <w:left w:val="none" w:sz="0" w:space="0" w:color="000000"/>
                <w:bottom w:val="none" w:sz="0" w:space="0" w:color="000000"/>
                <w:right w:val="none" w:sz="0" w:space="0" w:color="000000"/>
                <w:between w:val="none" w:sz="0" w:space="0" w:color="000000"/>
              </w:pBdr>
              <w:ind w:right="13"/>
              <w:jc w:val="center"/>
              <w:rPr>
                <w:rFonts w:eastAsia="Calibri"/>
                <w:color w:val="000000"/>
                <w:sz w:val="28"/>
                <w:szCs w:val="28"/>
              </w:rPr>
            </w:pPr>
            <w:r w:rsidRPr="00F0116E">
              <w:rPr>
                <w:color w:val="000000"/>
                <w:sz w:val="28"/>
                <w:szCs w:val="28"/>
              </w:rPr>
              <w:t>Диагностические критерии </w:t>
            </w:r>
          </w:p>
        </w:tc>
      </w:tr>
      <w:tr w:rsidR="00652741" w:rsidRPr="00170B7C" w14:paraId="60D63AD3" w14:textId="77777777" w:rsidTr="0055712F">
        <w:trPr>
          <w:trHeight w:val="645"/>
        </w:trPr>
        <w:tc>
          <w:tcPr>
            <w:tcW w:w="562" w:type="dxa"/>
          </w:tcPr>
          <w:p w14:paraId="69F73045"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Pr>
                <w:color w:val="000000"/>
                <w:sz w:val="28"/>
                <w:szCs w:val="28"/>
              </w:rPr>
              <w:t>1</w:t>
            </w:r>
          </w:p>
        </w:tc>
        <w:tc>
          <w:tcPr>
            <w:tcW w:w="1673" w:type="dxa"/>
          </w:tcPr>
          <w:p w14:paraId="4B03A780"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Maehara</w:t>
            </w:r>
            <w:r>
              <w:rPr>
                <w:color w:val="000000"/>
                <w:sz w:val="28"/>
                <w:szCs w:val="28"/>
              </w:rPr>
              <w:t xml:space="preserve"> </w:t>
            </w:r>
            <w:r>
              <w:rPr>
                <w:color w:val="000000"/>
                <w:sz w:val="28"/>
                <w:szCs w:val="28"/>
                <w:lang w:val="en-US"/>
              </w:rPr>
              <w:t>Y</w:t>
            </w:r>
            <w:r w:rsidRPr="00114742">
              <w:rPr>
                <w:color w:val="000000"/>
                <w:sz w:val="28"/>
                <w:szCs w:val="28"/>
              </w:rPr>
              <w:t xml:space="preserve">. </w:t>
            </w:r>
            <w:r>
              <w:rPr>
                <w:color w:val="000000"/>
                <w:sz w:val="28"/>
                <w:szCs w:val="28"/>
                <w:lang w:val="kk-KZ"/>
              </w:rPr>
              <w:t>и соавт</w:t>
            </w:r>
            <w:r>
              <w:rPr>
                <w:color w:val="000000"/>
                <w:sz w:val="28"/>
                <w:szCs w:val="28"/>
              </w:rPr>
              <w:t>.</w:t>
            </w:r>
            <w:r w:rsidRPr="00170B7C">
              <w:rPr>
                <w:color w:val="000000"/>
                <w:sz w:val="28"/>
                <w:szCs w:val="28"/>
              </w:rPr>
              <w:t> </w:t>
            </w:r>
          </w:p>
        </w:tc>
        <w:tc>
          <w:tcPr>
            <w:tcW w:w="850" w:type="dxa"/>
          </w:tcPr>
          <w:p w14:paraId="663DC193" w14:textId="77777777" w:rsidR="00652741" w:rsidRPr="00170B7C" w:rsidRDefault="0065274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2003 </w:t>
            </w:r>
          </w:p>
        </w:tc>
        <w:tc>
          <w:tcPr>
            <w:tcW w:w="2410" w:type="dxa"/>
          </w:tcPr>
          <w:p w14:paraId="6A3809B4" w14:textId="77777777" w:rsidR="00652741" w:rsidRPr="00170B7C" w:rsidRDefault="0065274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синдром малого размера </w:t>
            </w:r>
          </w:p>
        </w:tc>
        <w:tc>
          <w:tcPr>
            <w:tcW w:w="4090" w:type="dxa"/>
          </w:tcPr>
          <w:p w14:paraId="02D92E6A" w14:textId="77777777" w:rsidR="00652741" w:rsidRPr="00170B7C" w:rsidRDefault="00652741" w:rsidP="0055712F">
            <w:pPr>
              <w:pBdr>
                <w:top w:val="none" w:sz="0" w:space="0" w:color="000000"/>
                <w:left w:val="none" w:sz="0" w:space="0" w:color="000000"/>
                <w:bottom w:val="none" w:sz="0" w:space="0" w:color="000000"/>
                <w:right w:val="none" w:sz="0" w:space="0" w:color="000000"/>
                <w:between w:val="none" w:sz="0" w:space="0" w:color="000000"/>
              </w:pBdr>
              <w:ind w:right="13"/>
              <w:jc w:val="both"/>
              <w:rPr>
                <w:rFonts w:eastAsia="Calibri"/>
                <w:color w:val="000000"/>
                <w:sz w:val="28"/>
                <w:szCs w:val="28"/>
              </w:rPr>
            </w:pPr>
            <w:r w:rsidRPr="00170B7C">
              <w:rPr>
                <w:color w:val="000000"/>
                <w:sz w:val="28"/>
                <w:szCs w:val="28"/>
              </w:rPr>
              <w:t>общий билирубин &gt;5 мг/дл, асцит &gt;1 л (ПОД 14) или асцит &gt;0,5 л (ПОД 28)</w:t>
            </w:r>
          </w:p>
        </w:tc>
      </w:tr>
      <w:tr w:rsidR="00652741" w:rsidRPr="00170B7C" w14:paraId="7493B9F6" w14:textId="77777777" w:rsidTr="0055712F">
        <w:trPr>
          <w:trHeight w:val="1264"/>
        </w:trPr>
        <w:tc>
          <w:tcPr>
            <w:tcW w:w="562" w:type="dxa"/>
          </w:tcPr>
          <w:p w14:paraId="159B91D7" w14:textId="77777777" w:rsidR="00652741" w:rsidRPr="00652741" w:rsidRDefault="00652741" w:rsidP="005E4D06">
            <w:pPr>
              <w:pStyle w:val="ab"/>
              <w:rPr>
                <w:rFonts w:ascii="Times New Roman" w:hAnsi="Times New Roman" w:cs="Times New Roman"/>
                <w:sz w:val="28"/>
                <w:szCs w:val="28"/>
                <w:lang w:val="ru-RU"/>
              </w:rPr>
            </w:pPr>
            <w:r>
              <w:rPr>
                <w:rFonts w:ascii="Times New Roman" w:hAnsi="Times New Roman" w:cs="Times New Roman"/>
                <w:sz w:val="28"/>
                <w:szCs w:val="28"/>
                <w:lang w:val="ru-RU"/>
              </w:rPr>
              <w:t>2</w:t>
            </w:r>
          </w:p>
        </w:tc>
        <w:tc>
          <w:tcPr>
            <w:tcW w:w="1673" w:type="dxa"/>
          </w:tcPr>
          <w:p w14:paraId="0C369FC7" w14:textId="77777777" w:rsidR="00652741" w:rsidRPr="00CF13A1" w:rsidRDefault="00652741" w:rsidP="005E4D06">
            <w:pPr>
              <w:pStyle w:val="ab"/>
              <w:rPr>
                <w:rFonts w:ascii="Times New Roman" w:eastAsia="Calibri" w:hAnsi="Times New Roman" w:cs="Times New Roman"/>
                <w:sz w:val="28"/>
                <w:szCs w:val="28"/>
              </w:rPr>
            </w:pPr>
            <w:r w:rsidRPr="00CF13A1">
              <w:rPr>
                <w:rFonts w:ascii="Times New Roman" w:hAnsi="Times New Roman" w:cs="Times New Roman"/>
                <w:sz w:val="28"/>
                <w:szCs w:val="28"/>
              </w:rPr>
              <w:t>Maehara Y</w:t>
            </w:r>
            <w:r w:rsidRPr="00CF13A1">
              <w:rPr>
                <w:rFonts w:ascii="Times New Roman" w:hAnsi="Times New Roman" w:cs="Times New Roman"/>
                <w:sz w:val="28"/>
                <w:szCs w:val="28"/>
                <w:lang w:val="ru-RU"/>
              </w:rPr>
              <w:t xml:space="preserve">. </w:t>
            </w:r>
            <w:r>
              <w:rPr>
                <w:rFonts w:ascii="Times New Roman" w:hAnsi="Times New Roman" w:cs="Times New Roman"/>
                <w:sz w:val="28"/>
                <w:szCs w:val="28"/>
                <w:lang w:val="kk-KZ"/>
              </w:rPr>
              <w:t>и</w:t>
            </w:r>
            <w:r w:rsidRPr="00CF13A1">
              <w:rPr>
                <w:rFonts w:ascii="Times New Roman" w:hAnsi="Times New Roman" w:cs="Times New Roman"/>
                <w:sz w:val="28"/>
                <w:szCs w:val="28"/>
                <w:lang w:val="kk-KZ"/>
              </w:rPr>
              <w:t xml:space="preserve"> соавт</w:t>
            </w:r>
            <w:r w:rsidRPr="00CF13A1">
              <w:rPr>
                <w:rFonts w:ascii="Times New Roman" w:hAnsi="Times New Roman" w:cs="Times New Roman"/>
                <w:sz w:val="28"/>
                <w:szCs w:val="28"/>
              </w:rPr>
              <w:t>.  </w:t>
            </w:r>
          </w:p>
        </w:tc>
        <w:tc>
          <w:tcPr>
            <w:tcW w:w="850" w:type="dxa"/>
          </w:tcPr>
          <w:p w14:paraId="269C5163" w14:textId="77777777" w:rsidR="00652741" w:rsidRPr="00170B7C" w:rsidRDefault="0065274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2005 </w:t>
            </w:r>
          </w:p>
        </w:tc>
        <w:tc>
          <w:tcPr>
            <w:tcW w:w="2410" w:type="dxa"/>
          </w:tcPr>
          <w:p w14:paraId="55EB105D" w14:textId="77777777" w:rsidR="00652741" w:rsidRPr="00170B7C" w:rsidRDefault="0065274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 xml:space="preserve">синдром малого размера; </w:t>
            </w:r>
            <w:r w:rsidR="007621C1" w:rsidRPr="007621C1">
              <w:rPr>
                <w:sz w:val="28"/>
                <w:szCs w:val="28"/>
              </w:rPr>
              <w:t xml:space="preserve"> </w:t>
            </w:r>
            <w:r w:rsidR="007621C1">
              <w:rPr>
                <w:color w:val="000000"/>
                <w:sz w:val="28"/>
                <w:szCs w:val="28"/>
              </w:rPr>
              <w:t>п</w:t>
            </w:r>
            <w:r w:rsidR="007621C1" w:rsidRPr="007621C1">
              <w:rPr>
                <w:color w:val="000000"/>
                <w:sz w:val="28"/>
                <w:szCs w:val="28"/>
              </w:rPr>
              <w:t>ервичный нефункционирующий трансплантат на фоне синдрома малого размера</w:t>
            </w:r>
          </w:p>
        </w:tc>
        <w:tc>
          <w:tcPr>
            <w:tcW w:w="4090" w:type="dxa"/>
          </w:tcPr>
          <w:p w14:paraId="35DFB1FA" w14:textId="77777777" w:rsidR="00652741" w:rsidRPr="00170B7C" w:rsidRDefault="00652741" w:rsidP="0055712F">
            <w:pPr>
              <w:pBdr>
                <w:top w:val="none" w:sz="0" w:space="0" w:color="000000"/>
                <w:left w:val="none" w:sz="0" w:space="0" w:color="000000"/>
                <w:bottom w:val="none" w:sz="0" w:space="0" w:color="000000"/>
                <w:right w:val="none" w:sz="0" w:space="0" w:color="000000"/>
                <w:between w:val="none" w:sz="0" w:space="0" w:color="000000"/>
              </w:pBdr>
              <w:ind w:right="13"/>
              <w:jc w:val="both"/>
              <w:rPr>
                <w:rFonts w:eastAsia="Calibri"/>
                <w:color w:val="000000"/>
                <w:sz w:val="28"/>
                <w:szCs w:val="28"/>
              </w:rPr>
            </w:pPr>
            <w:r>
              <w:rPr>
                <w:color w:val="000000"/>
                <w:sz w:val="28"/>
                <w:szCs w:val="28"/>
              </w:rPr>
              <w:t>о</w:t>
            </w:r>
            <w:r w:rsidRPr="00170B7C">
              <w:rPr>
                <w:color w:val="000000"/>
                <w:sz w:val="28"/>
                <w:szCs w:val="28"/>
              </w:rPr>
              <w:t>бщий</w:t>
            </w:r>
            <w:r>
              <w:rPr>
                <w:color w:val="000000"/>
                <w:sz w:val="28"/>
                <w:szCs w:val="28"/>
              </w:rPr>
              <w:t xml:space="preserve"> </w:t>
            </w:r>
            <w:r w:rsidRPr="00170B7C">
              <w:rPr>
                <w:color w:val="000000"/>
                <w:sz w:val="28"/>
                <w:szCs w:val="28"/>
              </w:rPr>
              <w:t>билирубин&gt;100 мкмоль/л; МНО &gt;2; энцефалопатия III-IVстепени, </w:t>
            </w:r>
          </w:p>
          <w:p w14:paraId="61BB96C4" w14:textId="77777777" w:rsidR="00652741" w:rsidRPr="00170B7C" w:rsidRDefault="00652741" w:rsidP="0055712F">
            <w:pPr>
              <w:pBdr>
                <w:top w:val="none" w:sz="0" w:space="0" w:color="000000"/>
                <w:left w:val="none" w:sz="0" w:space="0" w:color="000000"/>
                <w:bottom w:val="none" w:sz="0" w:space="0" w:color="000000"/>
                <w:right w:val="none" w:sz="0" w:space="0" w:color="000000"/>
                <w:between w:val="none" w:sz="0" w:space="0" w:color="000000"/>
              </w:pBdr>
              <w:ind w:right="13"/>
              <w:jc w:val="both"/>
              <w:rPr>
                <w:rFonts w:eastAsia="Calibri"/>
                <w:color w:val="000000"/>
                <w:sz w:val="28"/>
                <w:szCs w:val="28"/>
              </w:rPr>
            </w:pPr>
            <w:r w:rsidRPr="00170B7C">
              <w:rPr>
                <w:color w:val="000000"/>
                <w:sz w:val="28"/>
                <w:szCs w:val="28"/>
              </w:rPr>
              <w:t>ретрансплантация или смерть в течение первой послеоперационной недели </w:t>
            </w:r>
          </w:p>
        </w:tc>
      </w:tr>
      <w:tr w:rsidR="00652741" w:rsidRPr="00170B7C" w14:paraId="3831C1ED" w14:textId="77777777" w:rsidTr="0055712F">
        <w:trPr>
          <w:trHeight w:val="942"/>
        </w:trPr>
        <w:tc>
          <w:tcPr>
            <w:tcW w:w="562" w:type="dxa"/>
          </w:tcPr>
          <w:p w14:paraId="62520D9F" w14:textId="77777777" w:rsidR="00652741" w:rsidRPr="00652741" w:rsidRDefault="00652741" w:rsidP="005E4D06">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Pr>
                <w:color w:val="000000"/>
                <w:sz w:val="28"/>
                <w:szCs w:val="28"/>
              </w:rPr>
              <w:t>3</w:t>
            </w:r>
          </w:p>
        </w:tc>
        <w:tc>
          <w:tcPr>
            <w:tcW w:w="1673" w:type="dxa"/>
          </w:tcPr>
          <w:p w14:paraId="00E18553" w14:textId="77777777" w:rsidR="00652741" w:rsidRPr="00114742"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lang w:val="en-US"/>
              </w:rPr>
            </w:pPr>
            <w:r w:rsidRPr="00114742">
              <w:rPr>
                <w:color w:val="000000"/>
                <w:sz w:val="28"/>
                <w:szCs w:val="28"/>
                <w:lang w:val="en-US"/>
              </w:rPr>
              <w:t xml:space="preserve">Clavien </w:t>
            </w:r>
            <w:r>
              <w:rPr>
                <w:color w:val="000000"/>
                <w:sz w:val="28"/>
                <w:szCs w:val="28"/>
                <w:lang w:val="en-US"/>
              </w:rPr>
              <w:t>P</w:t>
            </w:r>
            <w:r w:rsidRPr="00114742">
              <w:rPr>
                <w:color w:val="000000"/>
                <w:sz w:val="28"/>
                <w:szCs w:val="28"/>
                <w:lang w:val="en-US"/>
              </w:rPr>
              <w:t>.</w:t>
            </w:r>
            <w:r>
              <w:rPr>
                <w:color w:val="000000"/>
                <w:sz w:val="28"/>
                <w:szCs w:val="28"/>
                <w:lang w:val="en-US"/>
              </w:rPr>
              <w:t xml:space="preserve"> </w:t>
            </w:r>
            <w:r>
              <w:rPr>
                <w:color w:val="000000"/>
                <w:sz w:val="28"/>
                <w:szCs w:val="28"/>
                <w:lang w:val="kk-KZ"/>
              </w:rPr>
              <w:t>и соавт</w:t>
            </w:r>
            <w:r w:rsidRPr="00114742">
              <w:rPr>
                <w:color w:val="000000"/>
                <w:sz w:val="28"/>
                <w:szCs w:val="28"/>
                <w:lang w:val="en-US"/>
              </w:rPr>
              <w:t>.</w:t>
            </w:r>
          </w:p>
        </w:tc>
        <w:tc>
          <w:tcPr>
            <w:tcW w:w="850" w:type="dxa"/>
          </w:tcPr>
          <w:p w14:paraId="66C47E97" w14:textId="77777777" w:rsidR="00652741" w:rsidRPr="00170B7C" w:rsidRDefault="0065274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2006 </w:t>
            </w:r>
          </w:p>
        </w:tc>
        <w:tc>
          <w:tcPr>
            <w:tcW w:w="2410" w:type="dxa"/>
          </w:tcPr>
          <w:p w14:paraId="1B3964F7" w14:textId="77777777" w:rsidR="00652741" w:rsidRPr="00170B7C" w:rsidRDefault="0065274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синдром малого размера </w:t>
            </w:r>
          </w:p>
        </w:tc>
        <w:tc>
          <w:tcPr>
            <w:tcW w:w="4090" w:type="dxa"/>
          </w:tcPr>
          <w:p w14:paraId="03E30B36" w14:textId="77777777" w:rsidR="00652741" w:rsidRPr="00170B7C" w:rsidRDefault="00652741" w:rsidP="0055712F">
            <w:pPr>
              <w:pBdr>
                <w:top w:val="none" w:sz="0" w:space="0" w:color="000000"/>
                <w:left w:val="none" w:sz="0" w:space="0" w:color="000000"/>
                <w:bottom w:val="none" w:sz="0" w:space="0" w:color="000000"/>
                <w:right w:val="none" w:sz="0" w:space="0" w:color="000000"/>
                <w:between w:val="none" w:sz="0" w:space="0" w:color="000000"/>
              </w:pBdr>
              <w:ind w:right="13"/>
              <w:jc w:val="both"/>
              <w:rPr>
                <w:rFonts w:eastAsia="Calibri"/>
                <w:color w:val="000000"/>
                <w:sz w:val="28"/>
                <w:szCs w:val="28"/>
              </w:rPr>
            </w:pPr>
            <w:r w:rsidRPr="00170B7C">
              <w:rPr>
                <w:color w:val="000000"/>
                <w:sz w:val="28"/>
                <w:szCs w:val="28"/>
              </w:rPr>
              <w:t>общий билирубин&gt;10 мг/дл (ПОД 14); асцит &gt;1 л (ПОД 14) или асцит &gt;0,5 л (ПОД 28) </w:t>
            </w:r>
          </w:p>
        </w:tc>
      </w:tr>
      <w:tr w:rsidR="00652741" w:rsidRPr="00170B7C" w14:paraId="00278532" w14:textId="77777777" w:rsidTr="0055712F">
        <w:trPr>
          <w:trHeight w:val="659"/>
        </w:trPr>
        <w:tc>
          <w:tcPr>
            <w:tcW w:w="562" w:type="dxa"/>
          </w:tcPr>
          <w:p w14:paraId="67E97A7C"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Pr>
                <w:color w:val="000000"/>
                <w:sz w:val="28"/>
                <w:szCs w:val="28"/>
              </w:rPr>
              <w:lastRenderedPageBreak/>
              <w:t>4</w:t>
            </w:r>
          </w:p>
        </w:tc>
        <w:tc>
          <w:tcPr>
            <w:tcW w:w="1673" w:type="dxa"/>
          </w:tcPr>
          <w:p w14:paraId="030CDBA4"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Everhart</w:t>
            </w:r>
            <w:r>
              <w:rPr>
                <w:color w:val="000000"/>
                <w:sz w:val="28"/>
                <w:szCs w:val="28"/>
              </w:rPr>
              <w:t xml:space="preserve"> </w:t>
            </w:r>
            <w:r>
              <w:rPr>
                <w:color w:val="000000"/>
                <w:sz w:val="28"/>
                <w:szCs w:val="28"/>
                <w:lang w:val="en-US"/>
              </w:rPr>
              <w:t>E</w:t>
            </w:r>
            <w:r w:rsidRPr="00525EA8">
              <w:rPr>
                <w:color w:val="000000"/>
                <w:sz w:val="28"/>
                <w:szCs w:val="28"/>
              </w:rPr>
              <w:t>.</w:t>
            </w:r>
            <w:r w:rsidRPr="002E2445">
              <w:rPr>
                <w:color w:val="000000"/>
                <w:sz w:val="28"/>
                <w:szCs w:val="28"/>
              </w:rPr>
              <w:t xml:space="preserve"> </w:t>
            </w:r>
            <w:r>
              <w:rPr>
                <w:color w:val="000000"/>
                <w:sz w:val="28"/>
                <w:szCs w:val="28"/>
                <w:lang w:val="kk-KZ"/>
              </w:rPr>
              <w:t>и соавт.</w:t>
            </w:r>
            <w:r w:rsidRPr="00170B7C">
              <w:rPr>
                <w:color w:val="000000"/>
                <w:sz w:val="28"/>
                <w:szCs w:val="28"/>
              </w:rPr>
              <w:t> </w:t>
            </w:r>
          </w:p>
        </w:tc>
        <w:tc>
          <w:tcPr>
            <w:tcW w:w="850" w:type="dxa"/>
          </w:tcPr>
          <w:p w14:paraId="1F52C7F8" w14:textId="77777777" w:rsidR="00652741" w:rsidRPr="00170B7C" w:rsidRDefault="0065274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2014 </w:t>
            </w:r>
          </w:p>
        </w:tc>
        <w:tc>
          <w:tcPr>
            <w:tcW w:w="2410" w:type="dxa"/>
          </w:tcPr>
          <w:p w14:paraId="45CE4113" w14:textId="77777777" w:rsidR="003D4383" w:rsidRDefault="003D4383" w:rsidP="00C36745">
            <w:pPr>
              <w:pBdr>
                <w:top w:val="none" w:sz="0" w:space="0" w:color="000000"/>
                <w:left w:val="none" w:sz="0" w:space="0" w:color="000000"/>
                <w:bottom w:val="none" w:sz="0" w:space="0" w:color="000000"/>
                <w:right w:val="none" w:sz="0" w:space="0" w:color="000000"/>
                <w:between w:val="none" w:sz="0" w:space="0" w:color="000000"/>
              </w:pBdr>
              <w:ind w:left="-140" w:right="-140"/>
              <w:jc w:val="center"/>
              <w:rPr>
                <w:color w:val="000000"/>
                <w:sz w:val="28"/>
                <w:szCs w:val="28"/>
              </w:rPr>
            </w:pPr>
            <w:r w:rsidRPr="003D4383">
              <w:rPr>
                <w:color w:val="000000"/>
                <w:sz w:val="28"/>
                <w:szCs w:val="28"/>
              </w:rPr>
              <w:t>дисфункция на</w:t>
            </w:r>
          </w:p>
          <w:p w14:paraId="14A3476D" w14:textId="77777777" w:rsidR="00652741" w:rsidRPr="00170B7C" w:rsidRDefault="003D4383" w:rsidP="00C36745">
            <w:pPr>
              <w:pBdr>
                <w:top w:val="none" w:sz="0" w:space="0" w:color="000000"/>
                <w:left w:val="none" w:sz="0" w:space="0" w:color="000000"/>
                <w:bottom w:val="none" w:sz="0" w:space="0" w:color="000000"/>
                <w:right w:val="none" w:sz="0" w:space="0" w:color="000000"/>
                <w:between w:val="none" w:sz="0" w:space="0" w:color="000000"/>
              </w:pBdr>
              <w:ind w:left="-140" w:right="-140"/>
              <w:jc w:val="center"/>
              <w:rPr>
                <w:rFonts w:eastAsia="Calibri"/>
                <w:color w:val="000000"/>
                <w:sz w:val="28"/>
                <w:szCs w:val="28"/>
              </w:rPr>
            </w:pPr>
            <w:r w:rsidRPr="003D4383">
              <w:rPr>
                <w:color w:val="000000"/>
                <w:sz w:val="28"/>
                <w:szCs w:val="28"/>
              </w:rPr>
              <w:t xml:space="preserve"> фоне синдрома малого размера </w:t>
            </w:r>
          </w:p>
        </w:tc>
        <w:tc>
          <w:tcPr>
            <w:tcW w:w="4090" w:type="dxa"/>
          </w:tcPr>
          <w:p w14:paraId="56F7EC0D" w14:textId="77777777" w:rsidR="00652741" w:rsidRPr="00170B7C" w:rsidRDefault="00652741" w:rsidP="0055712F">
            <w:pPr>
              <w:pBdr>
                <w:top w:val="none" w:sz="0" w:space="0" w:color="000000"/>
                <w:left w:val="none" w:sz="0" w:space="0" w:color="000000"/>
                <w:bottom w:val="none" w:sz="0" w:space="0" w:color="000000"/>
                <w:right w:val="none" w:sz="0" w:space="0" w:color="000000"/>
                <w:between w:val="none" w:sz="0" w:space="0" w:color="000000"/>
              </w:pBdr>
              <w:ind w:right="13"/>
              <w:jc w:val="both"/>
              <w:rPr>
                <w:rFonts w:eastAsia="Calibri"/>
                <w:color w:val="000000"/>
                <w:sz w:val="28"/>
                <w:szCs w:val="28"/>
              </w:rPr>
            </w:pPr>
            <w:r w:rsidRPr="00170B7C">
              <w:rPr>
                <w:color w:val="000000"/>
                <w:sz w:val="28"/>
                <w:szCs w:val="28"/>
              </w:rPr>
              <w:t>общий билирубин&gt;10 мг/дл (ПОД 7) или МНО &gt;1,6 (ПОД 7)  </w:t>
            </w:r>
          </w:p>
        </w:tc>
      </w:tr>
      <w:tr w:rsidR="00652741" w:rsidRPr="00170B7C" w14:paraId="4C901651" w14:textId="77777777" w:rsidTr="0055712F">
        <w:tblPrEx>
          <w:tblLook w:val="0000" w:firstRow="0" w:lastRow="0" w:firstColumn="0" w:lastColumn="0" w:noHBand="0" w:noVBand="0"/>
        </w:tblPrEx>
        <w:trPr>
          <w:trHeight w:val="2326"/>
          <w:tblHeader/>
        </w:trPr>
        <w:tc>
          <w:tcPr>
            <w:tcW w:w="562" w:type="dxa"/>
          </w:tcPr>
          <w:p w14:paraId="072D73CF"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Pr>
                <w:color w:val="000000"/>
                <w:sz w:val="28"/>
                <w:szCs w:val="28"/>
              </w:rPr>
              <w:t>5</w:t>
            </w:r>
          </w:p>
        </w:tc>
        <w:tc>
          <w:tcPr>
            <w:tcW w:w="1673" w:type="dxa"/>
            <w:shd w:val="clear" w:color="auto" w:fill="auto"/>
          </w:tcPr>
          <w:p w14:paraId="75C078DB"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Sharma</w:t>
            </w:r>
            <w:r>
              <w:rPr>
                <w:color w:val="000000"/>
                <w:sz w:val="28"/>
                <w:szCs w:val="28"/>
                <w:lang w:val="kk-KZ"/>
              </w:rPr>
              <w:t xml:space="preserve"> </w:t>
            </w:r>
            <w:r>
              <w:rPr>
                <w:color w:val="000000"/>
                <w:sz w:val="28"/>
                <w:szCs w:val="28"/>
                <w:lang w:val="en-US"/>
              </w:rPr>
              <w:t>S</w:t>
            </w:r>
            <w:r w:rsidRPr="002E2445">
              <w:rPr>
                <w:color w:val="000000"/>
                <w:sz w:val="28"/>
                <w:szCs w:val="28"/>
              </w:rPr>
              <w:t>.</w:t>
            </w:r>
            <w:r>
              <w:rPr>
                <w:color w:val="000000"/>
                <w:sz w:val="28"/>
                <w:szCs w:val="28"/>
              </w:rPr>
              <w:t xml:space="preserve"> </w:t>
            </w:r>
            <w:r>
              <w:rPr>
                <w:color w:val="000000"/>
                <w:sz w:val="28"/>
                <w:szCs w:val="28"/>
                <w:lang w:val="kk-KZ"/>
              </w:rPr>
              <w:t>и соавт.</w:t>
            </w:r>
          </w:p>
        </w:tc>
        <w:tc>
          <w:tcPr>
            <w:tcW w:w="850" w:type="dxa"/>
            <w:shd w:val="clear" w:color="auto" w:fill="auto"/>
          </w:tcPr>
          <w:p w14:paraId="73E95BAA" w14:textId="77777777" w:rsidR="00652741" w:rsidRPr="00170B7C" w:rsidRDefault="0065274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2019 </w:t>
            </w:r>
          </w:p>
        </w:tc>
        <w:tc>
          <w:tcPr>
            <w:tcW w:w="2410" w:type="dxa"/>
            <w:shd w:val="clear" w:color="auto" w:fill="auto"/>
          </w:tcPr>
          <w:p w14:paraId="5A6E6BE3" w14:textId="77777777" w:rsidR="00652741" w:rsidRPr="00170B7C" w:rsidRDefault="0065274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синдром малого размера </w:t>
            </w:r>
          </w:p>
        </w:tc>
        <w:tc>
          <w:tcPr>
            <w:tcW w:w="4090" w:type="dxa"/>
            <w:shd w:val="clear" w:color="auto" w:fill="auto"/>
          </w:tcPr>
          <w:p w14:paraId="592DC94B" w14:textId="77777777" w:rsidR="00652741" w:rsidRPr="00170B7C" w:rsidRDefault="00652741" w:rsidP="0055712F">
            <w:pPr>
              <w:pBdr>
                <w:top w:val="none" w:sz="0" w:space="0" w:color="000000"/>
                <w:left w:val="none" w:sz="0" w:space="0" w:color="000000"/>
                <w:bottom w:val="none" w:sz="0" w:space="0" w:color="000000"/>
                <w:right w:val="none" w:sz="0" w:space="0" w:color="000000"/>
                <w:between w:val="none" w:sz="0" w:space="0" w:color="000000"/>
              </w:pBdr>
              <w:ind w:right="13"/>
              <w:jc w:val="both"/>
              <w:rPr>
                <w:rFonts w:eastAsia="Calibri"/>
                <w:color w:val="000000"/>
                <w:sz w:val="28"/>
                <w:szCs w:val="28"/>
              </w:rPr>
            </w:pPr>
            <w:r w:rsidRPr="00170B7C">
              <w:rPr>
                <w:color w:val="000000"/>
                <w:sz w:val="28"/>
                <w:szCs w:val="28"/>
              </w:rPr>
              <w:t>общий билирубин&gt;5 мг/дл (длится 3 дня подряд в течение первого ПОД или на ПОД 14) МНО 2 (длится 3 дня подряд в течение первого ПОН) Асцит &gt;1 л (длится 3 дня подряд в течение первого ПОД или на ПОД 14) или асцит &gt;0,5 л (ПОД 28) Энцефалопатия III-IV степени </w:t>
            </w:r>
          </w:p>
        </w:tc>
      </w:tr>
      <w:tr w:rsidR="00652741" w:rsidRPr="00170B7C" w14:paraId="17B64222" w14:textId="77777777" w:rsidTr="0055712F">
        <w:tblPrEx>
          <w:tblLook w:val="0000" w:firstRow="0" w:lastRow="0" w:firstColumn="0" w:lastColumn="0" w:noHBand="0" w:noVBand="0"/>
        </w:tblPrEx>
        <w:trPr>
          <w:trHeight w:val="2246"/>
          <w:tblHeader/>
        </w:trPr>
        <w:tc>
          <w:tcPr>
            <w:tcW w:w="562" w:type="dxa"/>
          </w:tcPr>
          <w:p w14:paraId="4EB4F39F"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Pr>
                <w:color w:val="000000"/>
                <w:sz w:val="28"/>
                <w:szCs w:val="28"/>
              </w:rPr>
              <w:t>6</w:t>
            </w:r>
          </w:p>
        </w:tc>
        <w:tc>
          <w:tcPr>
            <w:tcW w:w="1673" w:type="dxa"/>
            <w:shd w:val="clear" w:color="auto" w:fill="auto"/>
          </w:tcPr>
          <w:p w14:paraId="0EF2FE92" w14:textId="77777777" w:rsidR="00652741" w:rsidRDefault="00652741" w:rsidP="005E4D06">
            <w:pPr>
              <w:pBdr>
                <w:top w:val="none" w:sz="0" w:space="0" w:color="000000"/>
                <w:left w:val="none" w:sz="0" w:space="0" w:color="000000"/>
                <w:bottom w:val="none" w:sz="0" w:space="0" w:color="000000"/>
                <w:right w:val="none" w:sz="0" w:space="0" w:color="000000"/>
                <w:between w:val="none" w:sz="0" w:space="0" w:color="000000"/>
              </w:pBdr>
              <w:rPr>
                <w:color w:val="000000"/>
                <w:sz w:val="28"/>
                <w:szCs w:val="28"/>
                <w:lang w:val="en-US"/>
              </w:rPr>
            </w:pPr>
            <w:r w:rsidRPr="00170B7C">
              <w:rPr>
                <w:color w:val="000000"/>
                <w:sz w:val="28"/>
                <w:szCs w:val="28"/>
              </w:rPr>
              <w:t>Lerut  </w:t>
            </w:r>
            <w:r>
              <w:rPr>
                <w:color w:val="000000"/>
                <w:sz w:val="28"/>
                <w:szCs w:val="28"/>
                <w:lang w:val="en-US"/>
              </w:rPr>
              <w:t xml:space="preserve">J. </w:t>
            </w:r>
          </w:p>
          <w:p w14:paraId="1B1CD86B"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и соавт.</w:t>
            </w:r>
            <w:r w:rsidRPr="00170B7C">
              <w:rPr>
                <w:color w:val="000000"/>
                <w:sz w:val="28"/>
                <w:szCs w:val="28"/>
              </w:rPr>
              <w:t> </w:t>
            </w:r>
          </w:p>
        </w:tc>
        <w:tc>
          <w:tcPr>
            <w:tcW w:w="850" w:type="dxa"/>
            <w:shd w:val="clear" w:color="auto" w:fill="auto"/>
          </w:tcPr>
          <w:p w14:paraId="3CA74F3F" w14:textId="77777777" w:rsidR="00652741" w:rsidRPr="00170B7C" w:rsidRDefault="0065274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2019 </w:t>
            </w:r>
          </w:p>
        </w:tc>
        <w:tc>
          <w:tcPr>
            <w:tcW w:w="2410" w:type="dxa"/>
            <w:shd w:val="clear" w:color="auto" w:fill="auto"/>
          </w:tcPr>
          <w:p w14:paraId="7997FD93" w14:textId="77777777" w:rsidR="00652741" w:rsidRPr="00170B7C" w:rsidRDefault="0065274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синдром малого размера </w:t>
            </w:r>
          </w:p>
        </w:tc>
        <w:tc>
          <w:tcPr>
            <w:tcW w:w="4090" w:type="dxa"/>
            <w:shd w:val="clear" w:color="auto" w:fill="auto"/>
          </w:tcPr>
          <w:p w14:paraId="56E7DA80" w14:textId="77777777" w:rsidR="00652741" w:rsidRPr="00170B7C" w:rsidRDefault="00652741" w:rsidP="0055712F">
            <w:pPr>
              <w:pBdr>
                <w:top w:val="none" w:sz="0" w:space="0" w:color="000000"/>
                <w:left w:val="none" w:sz="0" w:space="0" w:color="000000"/>
                <w:bottom w:val="none" w:sz="0" w:space="0" w:color="000000"/>
                <w:right w:val="none" w:sz="0" w:space="0" w:color="000000"/>
                <w:between w:val="none" w:sz="0" w:space="0" w:color="000000"/>
              </w:pBdr>
              <w:ind w:right="13"/>
              <w:jc w:val="both"/>
              <w:rPr>
                <w:rFonts w:eastAsia="Calibri"/>
                <w:color w:val="000000"/>
                <w:sz w:val="28"/>
                <w:szCs w:val="28"/>
              </w:rPr>
            </w:pPr>
            <w:r w:rsidRPr="00170B7C">
              <w:rPr>
                <w:color w:val="000000"/>
                <w:sz w:val="28"/>
                <w:szCs w:val="28"/>
              </w:rPr>
              <w:t>общий билирубин&gt;20 мг/дл (длится 7 дней подряд после ПОД 7) МНО &gt;2 (длится 3 дня подряд в течении первого ПОН) Асцит &gt;1 л (длится 3 дня подряд в течение первого ПОД или в течение 14 ПОД) или асцит &gt;0,5 л (ПОД 28) Энцефалопатия III-IV степени </w:t>
            </w:r>
          </w:p>
        </w:tc>
      </w:tr>
    </w:tbl>
    <w:p w14:paraId="1367FA36" w14:textId="77777777" w:rsidR="00991695" w:rsidRDefault="00991695" w:rsidP="00526B4F">
      <w:pPr>
        <w:ind w:firstLine="567"/>
        <w:jc w:val="both"/>
        <w:rPr>
          <w:color w:val="000000"/>
          <w:sz w:val="28"/>
          <w:szCs w:val="28"/>
        </w:rPr>
      </w:pPr>
    </w:p>
    <w:p w14:paraId="4613DFD4" w14:textId="77777777" w:rsidR="001D56DA" w:rsidRDefault="002E2445" w:rsidP="00526B4F">
      <w:pPr>
        <w:ind w:firstLine="567"/>
        <w:jc w:val="both"/>
        <w:rPr>
          <w:color w:val="000000"/>
          <w:sz w:val="28"/>
          <w:szCs w:val="28"/>
        </w:rPr>
      </w:pPr>
      <w:r>
        <w:rPr>
          <w:color w:val="000000"/>
          <w:sz w:val="28"/>
          <w:szCs w:val="28"/>
        </w:rPr>
        <w:lastRenderedPageBreak/>
        <w:t>Примечания</w:t>
      </w:r>
    </w:p>
    <w:p w14:paraId="037E9AD1" w14:textId="77777777" w:rsidR="001D56DA" w:rsidRPr="00E562CB" w:rsidRDefault="00E562CB" w:rsidP="00A418E6">
      <w:pPr>
        <w:pStyle w:val="ab"/>
        <w:jc w:val="both"/>
        <w:rPr>
          <w:rFonts w:ascii="Times New Roman" w:hAnsi="Times New Roman" w:cs="Times New Roman"/>
          <w:sz w:val="28"/>
          <w:szCs w:val="28"/>
          <w:lang w:val="ru-RU"/>
        </w:rPr>
      </w:pPr>
      <w:r w:rsidRPr="00E562CB">
        <w:rPr>
          <w:rFonts w:ascii="Times New Roman" w:hAnsi="Times New Roman" w:cs="Times New Roman"/>
          <w:sz w:val="28"/>
          <w:szCs w:val="28"/>
          <w:lang w:val="ru-RU"/>
        </w:rPr>
        <w:t>1 И</w:t>
      </w:r>
      <w:r w:rsidR="002937C0" w:rsidRPr="00E562CB">
        <w:rPr>
          <w:rFonts w:ascii="Times New Roman" w:hAnsi="Times New Roman" w:cs="Times New Roman"/>
          <w:sz w:val="28"/>
          <w:szCs w:val="28"/>
          <w:lang w:val="ru-RU"/>
        </w:rPr>
        <w:t>сключены реципиенты с техническими и инфекционными</w:t>
      </w:r>
      <w:r w:rsidR="00A418E6" w:rsidRPr="00A418E6">
        <w:rPr>
          <w:rFonts w:ascii="Times New Roman" w:hAnsi="Times New Roman" w:cs="Times New Roman"/>
          <w:sz w:val="28"/>
          <w:szCs w:val="28"/>
          <w:lang w:val="ru-RU"/>
        </w:rPr>
        <w:t xml:space="preserve"> </w:t>
      </w:r>
      <w:r w:rsidR="002937C0" w:rsidRPr="00E562CB">
        <w:rPr>
          <w:rFonts w:ascii="Times New Roman" w:hAnsi="Times New Roman" w:cs="Times New Roman"/>
          <w:sz w:val="28"/>
          <w:szCs w:val="28"/>
          <w:lang w:val="ru-RU"/>
        </w:rPr>
        <w:t>осложнениями;</w:t>
      </w:r>
      <w:r w:rsidR="002937C0" w:rsidRPr="00E562CB">
        <w:rPr>
          <w:rFonts w:ascii="Times New Roman" w:hAnsi="Times New Roman" w:cs="Times New Roman"/>
          <w:sz w:val="28"/>
          <w:szCs w:val="28"/>
        </w:rPr>
        <w:t> </w:t>
      </w:r>
    </w:p>
    <w:p w14:paraId="2B05EC63" w14:textId="77777777" w:rsidR="001D56DA" w:rsidRDefault="00E562CB" w:rsidP="00C60723">
      <w:pPr>
        <w:jc w:val="both"/>
        <w:rPr>
          <w:color w:val="000000"/>
          <w:sz w:val="28"/>
          <w:szCs w:val="28"/>
        </w:rPr>
      </w:pPr>
      <w:r>
        <w:rPr>
          <w:color w:val="000000"/>
          <w:sz w:val="28"/>
          <w:szCs w:val="28"/>
        </w:rPr>
        <w:t xml:space="preserve">2 </w:t>
      </w:r>
      <w:r w:rsidR="002937C0" w:rsidRPr="00170B7C">
        <w:rPr>
          <w:color w:val="000000"/>
          <w:sz w:val="28"/>
          <w:szCs w:val="28"/>
        </w:rPr>
        <w:t>ПОД - послеоперационный день; </w:t>
      </w:r>
    </w:p>
    <w:p w14:paraId="1D4A6F1A" w14:textId="77777777" w:rsidR="001D56DA" w:rsidRDefault="00E562CB" w:rsidP="00C60723">
      <w:pPr>
        <w:jc w:val="both"/>
        <w:rPr>
          <w:color w:val="000000"/>
          <w:sz w:val="28"/>
          <w:szCs w:val="28"/>
        </w:rPr>
      </w:pPr>
      <w:r>
        <w:rPr>
          <w:color w:val="000000"/>
          <w:sz w:val="28"/>
          <w:szCs w:val="28"/>
        </w:rPr>
        <w:t xml:space="preserve">3 </w:t>
      </w:r>
      <w:r w:rsidR="002937C0" w:rsidRPr="00170B7C">
        <w:rPr>
          <w:color w:val="000000"/>
          <w:sz w:val="28"/>
          <w:szCs w:val="28"/>
        </w:rPr>
        <w:t>ПОН - послеоперационная неделя; </w:t>
      </w:r>
    </w:p>
    <w:p w14:paraId="4B9509D1" w14:textId="77777777" w:rsidR="006313E3" w:rsidRDefault="002937C0" w:rsidP="006313E3">
      <w:pPr>
        <w:pStyle w:val="ac"/>
        <w:numPr>
          <w:ilvl w:val="0"/>
          <w:numId w:val="15"/>
        </w:numPr>
        <w:jc w:val="both"/>
        <w:rPr>
          <w:color w:val="000000"/>
          <w:sz w:val="28"/>
          <w:szCs w:val="28"/>
        </w:rPr>
      </w:pPr>
      <w:r w:rsidRPr="006313E3">
        <w:rPr>
          <w:color w:val="000000"/>
          <w:sz w:val="28"/>
          <w:szCs w:val="28"/>
        </w:rPr>
        <w:t>по крайней мере два симптома в течение 3 дней подряд в теч</w:t>
      </w:r>
      <w:r w:rsidR="006313E3">
        <w:rPr>
          <w:color w:val="000000"/>
          <w:sz w:val="28"/>
          <w:szCs w:val="28"/>
        </w:rPr>
        <w:t>ение первой</w:t>
      </w:r>
    </w:p>
    <w:p w14:paraId="2FA67ACE" w14:textId="77777777" w:rsidR="002937C0" w:rsidRPr="006313E3" w:rsidRDefault="002937C0" w:rsidP="006313E3">
      <w:pPr>
        <w:jc w:val="both"/>
        <w:rPr>
          <w:color w:val="000000"/>
          <w:sz w:val="28"/>
          <w:szCs w:val="28"/>
        </w:rPr>
      </w:pPr>
      <w:r w:rsidRPr="006313E3">
        <w:rPr>
          <w:color w:val="000000"/>
          <w:sz w:val="28"/>
          <w:szCs w:val="28"/>
        </w:rPr>
        <w:t>недели после трансплантации. </w:t>
      </w:r>
    </w:p>
    <w:p w14:paraId="20C20F8C" w14:textId="77777777" w:rsidR="006313E3" w:rsidRPr="006313E3" w:rsidRDefault="006313E3" w:rsidP="006313E3">
      <w:pPr>
        <w:pStyle w:val="ac"/>
        <w:ind w:left="360"/>
        <w:jc w:val="both"/>
        <w:rPr>
          <w:sz w:val="28"/>
          <w:szCs w:val="28"/>
        </w:rPr>
      </w:pPr>
    </w:p>
    <w:p w14:paraId="4FDB381D" w14:textId="77777777" w:rsidR="002937C0" w:rsidRPr="00E73B44" w:rsidRDefault="00262D12" w:rsidP="002937C0">
      <w:pPr>
        <w:ind w:firstLine="567"/>
        <w:jc w:val="both"/>
        <w:rPr>
          <w:sz w:val="28"/>
          <w:szCs w:val="28"/>
        </w:rPr>
      </w:pPr>
      <w:r>
        <w:rPr>
          <w:color w:val="000000"/>
          <w:sz w:val="28"/>
          <w:szCs w:val="28"/>
        </w:rPr>
        <w:t>Реципиенты</w:t>
      </w:r>
      <w:r w:rsidR="002937C0" w:rsidRPr="00170B7C">
        <w:rPr>
          <w:color w:val="000000"/>
          <w:sz w:val="28"/>
          <w:szCs w:val="28"/>
        </w:rPr>
        <w:t xml:space="preserve"> </w:t>
      </w:r>
      <w:r w:rsidR="002937C0" w:rsidRPr="00805A25">
        <w:rPr>
          <w:sz w:val="28"/>
          <w:szCs w:val="28"/>
        </w:rPr>
        <w:t xml:space="preserve">с </w:t>
      </w:r>
      <w:r w:rsidR="00805A25" w:rsidRPr="00805A25">
        <w:rPr>
          <w:sz w:val="28"/>
          <w:szCs w:val="28"/>
        </w:rPr>
        <w:t>small - for - size syndrome</w:t>
      </w:r>
      <w:r w:rsidR="00805A25" w:rsidRPr="00805A25">
        <w:rPr>
          <w:color w:val="FF0000"/>
          <w:sz w:val="28"/>
          <w:szCs w:val="28"/>
        </w:rPr>
        <w:t xml:space="preserve"> </w:t>
      </w:r>
      <w:r w:rsidR="002937C0" w:rsidRPr="00170B7C">
        <w:rPr>
          <w:color w:val="000000"/>
          <w:sz w:val="28"/>
          <w:szCs w:val="28"/>
        </w:rPr>
        <w:t xml:space="preserve">имеют более длительный период восстановления по сравнению с </w:t>
      </w:r>
      <w:r>
        <w:rPr>
          <w:color w:val="000000"/>
          <w:sz w:val="28"/>
          <w:szCs w:val="28"/>
        </w:rPr>
        <w:t>реципиентами</w:t>
      </w:r>
      <w:r w:rsidR="002937C0" w:rsidRPr="00170B7C">
        <w:rPr>
          <w:color w:val="000000"/>
          <w:sz w:val="28"/>
          <w:szCs w:val="28"/>
        </w:rPr>
        <w:t xml:space="preserve"> без синдрома. Эти симптомы могут регрессировать при оптимальном консервативном лечении в </w:t>
      </w:r>
      <w:r w:rsidR="002937C0" w:rsidRPr="00E73B44">
        <w:rPr>
          <w:color w:val="000000"/>
          <w:sz w:val="28"/>
          <w:szCs w:val="28"/>
        </w:rPr>
        <w:t>послеоперационном периоде. </w:t>
      </w:r>
    </w:p>
    <w:p w14:paraId="28048A9A" w14:textId="4D365AD5" w:rsidR="002937C0" w:rsidRPr="00EE2183" w:rsidRDefault="002937C0" w:rsidP="00EE2183">
      <w:pPr>
        <w:ind w:firstLine="567"/>
        <w:jc w:val="both"/>
        <w:rPr>
          <w:sz w:val="28"/>
          <w:szCs w:val="28"/>
        </w:rPr>
      </w:pPr>
      <w:r w:rsidRPr="00E73B44">
        <w:rPr>
          <w:color w:val="000000"/>
          <w:sz w:val="28"/>
          <w:szCs w:val="28"/>
        </w:rPr>
        <w:t xml:space="preserve">Bell R. и соавт. </w:t>
      </w:r>
      <w:r w:rsidR="00502C41" w:rsidRPr="00E73B44">
        <w:rPr>
          <w:color w:val="000000"/>
          <w:sz w:val="28"/>
          <w:szCs w:val="28"/>
        </w:rPr>
        <w:t xml:space="preserve"> </w:t>
      </w:r>
      <w:r w:rsidRPr="00E73B44">
        <w:rPr>
          <w:color w:val="000000"/>
          <w:sz w:val="28"/>
          <w:szCs w:val="28"/>
        </w:rPr>
        <w:t xml:space="preserve">​провели мета-анализ 8-ми исследований, включающие в себя 1833 пациентов, где получили обратные результаты. </w:t>
      </w:r>
      <w:r w:rsidRPr="00E73B44">
        <w:rPr>
          <w:color w:val="202124"/>
          <w:sz w:val="28"/>
          <w:szCs w:val="28"/>
        </w:rPr>
        <w:t>В данном исследовании проводился сравнительный</w:t>
      </w:r>
      <w:r w:rsidRPr="00170B7C">
        <w:rPr>
          <w:color w:val="202124"/>
          <w:sz w:val="28"/>
          <w:szCs w:val="28"/>
        </w:rPr>
        <w:t xml:space="preserve"> анализ развития </w:t>
      </w:r>
      <w:r w:rsidR="00805A25" w:rsidRPr="00805A25">
        <w:rPr>
          <w:color w:val="202124"/>
          <w:sz w:val="28"/>
          <w:szCs w:val="28"/>
        </w:rPr>
        <w:t>small - for - size syndrome</w:t>
      </w:r>
      <w:r w:rsidR="00805A25">
        <w:rPr>
          <w:color w:val="202124"/>
          <w:sz w:val="28"/>
          <w:szCs w:val="28"/>
        </w:rPr>
        <w:t xml:space="preserve"> </w:t>
      </w:r>
      <w:r w:rsidRPr="00170B7C">
        <w:rPr>
          <w:color w:val="202124"/>
          <w:sz w:val="28"/>
          <w:szCs w:val="28"/>
        </w:rPr>
        <w:t xml:space="preserve"> у </w:t>
      </w:r>
      <w:r w:rsidR="003C101E">
        <w:rPr>
          <w:color w:val="202124"/>
          <w:sz w:val="28"/>
          <w:szCs w:val="28"/>
        </w:rPr>
        <w:t>реципиентов</w:t>
      </w:r>
      <w:r w:rsidRPr="00170B7C">
        <w:rPr>
          <w:color w:val="202124"/>
          <w:sz w:val="28"/>
          <w:szCs w:val="28"/>
        </w:rPr>
        <w:t xml:space="preserve"> с соотношением массы трансплантата и реципиента больше и меньше 0,8%. Авторами было получено, что </w:t>
      </w:r>
      <w:r w:rsidR="00805A25" w:rsidRPr="00805A25">
        <w:rPr>
          <w:color w:val="202124"/>
          <w:sz w:val="28"/>
          <w:szCs w:val="28"/>
        </w:rPr>
        <w:t>small - for - size syndrome</w:t>
      </w:r>
      <w:r w:rsidRPr="00170B7C">
        <w:rPr>
          <w:color w:val="202124"/>
          <w:sz w:val="28"/>
          <w:szCs w:val="28"/>
        </w:rPr>
        <w:t xml:space="preserve"> составил 10% в группе &lt;0,8 и 5% в группе ≥0,</w:t>
      </w:r>
      <w:r w:rsidR="007B2F82">
        <w:rPr>
          <w:color w:val="202124"/>
          <w:sz w:val="28"/>
          <w:szCs w:val="28"/>
        </w:rPr>
        <w:t>8 (отношение шансов: 1,69 (1,09;</w:t>
      </w:r>
      <w:r w:rsidRPr="00170B7C">
        <w:rPr>
          <w:color w:val="202124"/>
          <w:sz w:val="28"/>
          <w:szCs w:val="28"/>
        </w:rPr>
        <w:t xml:space="preserve"> 2,61) (р=0,020)). Между двумя группами не было отмечено статистически значимой разницы в отношении выживаемость трансплантата до 5 лет (отношение рисков: 1,31 (0,88</w:t>
      </w:r>
      <w:r w:rsidR="007B2F82">
        <w:rPr>
          <w:color w:val="202124"/>
          <w:sz w:val="28"/>
          <w:szCs w:val="28"/>
        </w:rPr>
        <w:t>;</w:t>
      </w:r>
      <w:r w:rsidRPr="00170B7C">
        <w:rPr>
          <w:color w:val="202124"/>
          <w:sz w:val="28"/>
          <w:szCs w:val="28"/>
        </w:rPr>
        <w:t xml:space="preserve"> 1,94) (р=0,190)). Также, не было выявлено статистически значимых различий в общих осложнениях (р=0,06), желчных (р=0,290), сосудистых осложнений (р=0,190), операционные кровотечения (р=0,150), послеоперационная смертность (р=0,810) и отторжение трансплантата </w:t>
      </w:r>
      <w:r w:rsidRPr="00170B7C">
        <w:rPr>
          <w:color w:val="202124"/>
          <w:sz w:val="28"/>
          <w:szCs w:val="28"/>
        </w:rPr>
        <w:lastRenderedPageBreak/>
        <w:t xml:space="preserve">(р=0,160). Таким образом, частота развития </w:t>
      </w:r>
      <w:r w:rsidR="00805A25" w:rsidRPr="00805A25">
        <w:rPr>
          <w:color w:val="202124"/>
          <w:sz w:val="28"/>
          <w:szCs w:val="28"/>
        </w:rPr>
        <w:t>small - for - size syndrome</w:t>
      </w:r>
      <w:r w:rsidRPr="00170B7C">
        <w:rPr>
          <w:color w:val="202124"/>
          <w:sz w:val="28"/>
          <w:szCs w:val="28"/>
        </w:rPr>
        <w:t xml:space="preserve"> с соотношением массы трансплантата и реципиента &lt;0,8 выше, чем в группе с соотношением ≥0,8; однако низкий показатель соотношения, не повлиял на периоперационные результаты и выживаемость трансплантата.</w:t>
      </w:r>
    </w:p>
    <w:p w14:paraId="5145F628" w14:textId="77777777" w:rsidR="005E4D06" w:rsidRPr="00E73B44" w:rsidRDefault="00274D3C" w:rsidP="00170B7C">
      <w:pPr>
        <w:pBdr>
          <w:top w:val="none" w:sz="0" w:space="0" w:color="000000"/>
          <w:left w:val="none" w:sz="0" w:space="0" w:color="000000"/>
          <w:bottom w:val="none" w:sz="0" w:space="0" w:color="000000"/>
          <w:right w:val="none" w:sz="0" w:space="0" w:color="000000"/>
          <w:between w:val="none" w:sz="0" w:space="0" w:color="000000"/>
        </w:pBdr>
        <w:tabs>
          <w:tab w:val="left" w:pos="567"/>
        </w:tabs>
        <w:jc w:val="both"/>
        <w:rPr>
          <w:color w:val="000000"/>
          <w:sz w:val="28"/>
          <w:szCs w:val="28"/>
        </w:rPr>
      </w:pPr>
      <w:r w:rsidRPr="00170B7C">
        <w:rPr>
          <w:color w:val="000000"/>
          <w:sz w:val="28"/>
          <w:szCs w:val="28"/>
        </w:rPr>
        <w:tab/>
        <w:t xml:space="preserve">Одним из признаков дисфункции аллотрансплантанта как следствие </w:t>
      </w:r>
      <w:r w:rsidR="00805A25" w:rsidRPr="00805A25">
        <w:rPr>
          <w:color w:val="000000"/>
          <w:sz w:val="28"/>
          <w:szCs w:val="28"/>
        </w:rPr>
        <w:t xml:space="preserve">small - for - size syndrome </w:t>
      </w:r>
      <w:r w:rsidRPr="00170B7C">
        <w:rPr>
          <w:color w:val="000000"/>
          <w:sz w:val="28"/>
          <w:szCs w:val="28"/>
        </w:rPr>
        <w:t xml:space="preserve">является развитие гиперперфузионного синдрома (overflow syndrome). Данный синдром обычно вызывается чрезмерным портальным потоком, передаваемым на аллотрансплантат в постперфузионном режиме, что приводит к синусоидальному застою и кровоизлиянию. Переполнение воротной вены </w:t>
      </w:r>
      <w:r w:rsidRPr="00E73B44">
        <w:rPr>
          <w:color w:val="000000"/>
          <w:sz w:val="28"/>
          <w:szCs w:val="28"/>
        </w:rPr>
        <w:t xml:space="preserve">повреждает печень напрямую за счет избытка питательных веществ, активации эндотелия и синусоидального напряжения сдвига, а также косвенно за счет артериальной вазоконстрикции. Эти условия могут быть смягчены модуляцией портального потока </w:t>
      </w:r>
      <w:sdt>
        <w:sdtPr>
          <w:rPr>
            <w:color w:val="000000"/>
            <w:sz w:val="28"/>
            <w:szCs w:val="28"/>
          </w:rPr>
          <w:tag w:val="MENDELEY_CITATION_v3_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"/>
          <w:id w:val="67617031"/>
          <w:placeholder>
            <w:docPart w:val="DefaultPlaceholder_-1854013440"/>
          </w:placeholder>
        </w:sdtPr>
        <w:sdtContent>
          <w:r w:rsidR="001D0D81" w:rsidRPr="00E73B44">
            <w:rPr>
              <w:color w:val="000000"/>
              <w:sz w:val="28"/>
              <w:szCs w:val="28"/>
            </w:rPr>
            <w:t>[30]</w:t>
          </w:r>
        </w:sdtContent>
      </w:sdt>
      <w:r w:rsidRPr="00E73B44">
        <w:rPr>
          <w:color w:val="000000"/>
          <w:sz w:val="28"/>
          <w:szCs w:val="28"/>
        </w:rPr>
        <w:t xml:space="preserve">. С целью купирования данного синдрома данным </w:t>
      </w:r>
      <w:r w:rsidR="00221231">
        <w:rPr>
          <w:color w:val="000000"/>
          <w:sz w:val="28"/>
          <w:szCs w:val="28"/>
        </w:rPr>
        <w:t>реципиентам</w:t>
      </w:r>
      <w:r w:rsidRPr="00E73B44">
        <w:rPr>
          <w:color w:val="000000"/>
          <w:sz w:val="28"/>
          <w:szCs w:val="28"/>
        </w:rPr>
        <w:t xml:space="preserve"> проведена спленэктомия. В представленном авторами исследовании в когорту не вошли реципиенты с циррозом печени, что тоже является важным фактором, повышающим риск развития печеночной недостаточности трансплантата в послеоперационном периоде.  </w:t>
      </w:r>
    </w:p>
    <w:p w14:paraId="04014FED" w14:textId="5217484A" w:rsidR="005E4D06" w:rsidRDefault="005E4D06" w:rsidP="00C60723">
      <w:pPr>
        <w:pBdr>
          <w:top w:val="none" w:sz="0" w:space="0" w:color="000000"/>
          <w:left w:val="none" w:sz="0" w:space="0" w:color="000000"/>
          <w:bottom w:val="none" w:sz="0" w:space="0" w:color="000000"/>
          <w:right w:val="none" w:sz="0" w:space="0" w:color="000000"/>
          <w:between w:val="none" w:sz="0" w:space="0" w:color="000000"/>
        </w:pBdr>
        <w:tabs>
          <w:tab w:val="left" w:pos="567"/>
        </w:tabs>
        <w:jc w:val="both"/>
        <w:rPr>
          <w:color w:val="000000"/>
          <w:sz w:val="28"/>
          <w:szCs w:val="28"/>
        </w:rPr>
      </w:pPr>
      <w:r w:rsidRPr="00E73B44">
        <w:rPr>
          <w:color w:val="000000"/>
          <w:sz w:val="28"/>
          <w:szCs w:val="28"/>
        </w:rPr>
        <w:tab/>
      </w:r>
      <w:r w:rsidR="00274D3C" w:rsidRPr="00E73B44">
        <w:rPr>
          <w:color w:val="000000"/>
          <w:sz w:val="28"/>
          <w:szCs w:val="28"/>
        </w:rPr>
        <w:t>Профилактика печеночной недостаточности после ге</w:t>
      </w:r>
      <w:r w:rsidR="00D92D8D">
        <w:rPr>
          <w:color w:val="000000"/>
          <w:sz w:val="28"/>
          <w:szCs w:val="28"/>
        </w:rPr>
        <w:t>миге</w:t>
      </w:r>
      <w:r w:rsidR="00274D3C" w:rsidRPr="00E73B44">
        <w:rPr>
          <w:color w:val="000000"/>
          <w:sz w:val="28"/>
          <w:szCs w:val="28"/>
        </w:rPr>
        <w:t xml:space="preserve">патэктомии имеет важное значение, и, основываясь на результатах исследований, стоит подчеркнуть важность предоперационной оценки объема печени донора, особенно у </w:t>
      </w:r>
      <w:r w:rsidR="00262D12">
        <w:rPr>
          <w:color w:val="000000"/>
          <w:sz w:val="28"/>
          <w:szCs w:val="28"/>
        </w:rPr>
        <w:t>доноров</w:t>
      </w:r>
      <w:r w:rsidR="00274D3C" w:rsidRPr="00E73B44">
        <w:rPr>
          <w:color w:val="000000"/>
          <w:sz w:val="28"/>
          <w:szCs w:val="28"/>
        </w:rPr>
        <w:t xml:space="preserve"> с правосторонней ге</w:t>
      </w:r>
      <w:r w:rsidR="00221231">
        <w:rPr>
          <w:color w:val="000000"/>
          <w:sz w:val="28"/>
          <w:szCs w:val="28"/>
        </w:rPr>
        <w:t>миге</w:t>
      </w:r>
      <w:r w:rsidR="00274D3C" w:rsidRPr="00E73B44">
        <w:rPr>
          <w:color w:val="000000"/>
          <w:sz w:val="28"/>
          <w:szCs w:val="28"/>
        </w:rPr>
        <w:t>патэктомией,</w:t>
      </w:r>
      <w:r w:rsidR="00274D3C" w:rsidRPr="00170B7C">
        <w:rPr>
          <w:color w:val="000000"/>
          <w:sz w:val="28"/>
          <w:szCs w:val="28"/>
        </w:rPr>
        <w:t xml:space="preserve"> при которой пересаживается большая часть печени. </w:t>
      </w:r>
    </w:p>
    <w:p w14:paraId="4163E015" w14:textId="77777777" w:rsidR="006313E3" w:rsidRPr="00170B7C" w:rsidRDefault="006313E3" w:rsidP="00C60723">
      <w:pPr>
        <w:pBdr>
          <w:top w:val="none" w:sz="0" w:space="0" w:color="000000"/>
          <w:left w:val="none" w:sz="0" w:space="0" w:color="000000"/>
          <w:bottom w:val="none" w:sz="0" w:space="0" w:color="000000"/>
          <w:right w:val="none" w:sz="0" w:space="0" w:color="000000"/>
          <w:between w:val="none" w:sz="0" w:space="0" w:color="000000"/>
        </w:pBdr>
        <w:tabs>
          <w:tab w:val="left" w:pos="567"/>
        </w:tabs>
        <w:jc w:val="both"/>
        <w:rPr>
          <w:rFonts w:eastAsia="Calibri"/>
          <w:color w:val="000000"/>
          <w:sz w:val="28"/>
          <w:szCs w:val="28"/>
        </w:rPr>
      </w:pPr>
    </w:p>
    <w:p w14:paraId="2F986D2E" w14:textId="77777777" w:rsidR="00C700B8" w:rsidRPr="005E4D06" w:rsidRDefault="00274D3C" w:rsidP="00170B7C">
      <w:pPr>
        <w:numPr>
          <w:ilvl w:val="1"/>
          <w:numId w:val="1"/>
        </w:num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b/>
          <w:color w:val="000000"/>
          <w:sz w:val="28"/>
          <w:szCs w:val="28"/>
        </w:rPr>
        <w:t>Методы расчета объема печени</w:t>
      </w:r>
      <w:r w:rsidRPr="00170B7C">
        <w:rPr>
          <w:color w:val="000000"/>
          <w:sz w:val="28"/>
          <w:szCs w:val="28"/>
        </w:rPr>
        <w:t> </w:t>
      </w:r>
    </w:p>
    <w:p w14:paraId="05A1589A" w14:textId="77777777" w:rsidR="005E4D06" w:rsidRPr="00170B7C" w:rsidRDefault="005E4D06" w:rsidP="005E4D06">
      <w:pPr>
        <w:pBdr>
          <w:top w:val="none" w:sz="0" w:space="0" w:color="000000"/>
          <w:left w:val="none" w:sz="0" w:space="0" w:color="000000"/>
          <w:bottom w:val="none" w:sz="0" w:space="0" w:color="000000"/>
          <w:right w:val="none" w:sz="0" w:space="0" w:color="000000"/>
          <w:between w:val="none" w:sz="0" w:space="0" w:color="000000"/>
        </w:pBdr>
        <w:ind w:left="987"/>
        <w:jc w:val="both"/>
        <w:rPr>
          <w:rFonts w:eastAsia="Calibri"/>
          <w:color w:val="000000"/>
          <w:sz w:val="28"/>
          <w:szCs w:val="28"/>
        </w:rPr>
      </w:pPr>
    </w:p>
    <w:p w14:paraId="19D0CC16" w14:textId="17DB6097" w:rsidR="0023451E" w:rsidRPr="00262D12" w:rsidRDefault="00646511"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FF0000"/>
          <w:sz w:val="28"/>
          <w:szCs w:val="28"/>
        </w:rPr>
      </w:pPr>
      <w:r w:rsidRPr="00646511">
        <w:rPr>
          <w:color w:val="000000" w:themeColor="text1"/>
          <w:sz w:val="28"/>
          <w:szCs w:val="28"/>
        </w:rPr>
        <w:t xml:space="preserve">Оценка объема печени проводится в ходе предоперационного обследования </w:t>
      </w:r>
      <w:r w:rsidR="00262D12">
        <w:rPr>
          <w:color w:val="000000" w:themeColor="text1"/>
          <w:sz w:val="28"/>
          <w:szCs w:val="28"/>
        </w:rPr>
        <w:t>доноров</w:t>
      </w:r>
      <w:r w:rsidRPr="00646511">
        <w:rPr>
          <w:color w:val="000000" w:themeColor="text1"/>
          <w:sz w:val="28"/>
          <w:szCs w:val="28"/>
        </w:rPr>
        <w:t xml:space="preserve">, которым предстоит резекция печени. При оценке пригодности к </w:t>
      </w:r>
      <w:r w:rsidR="009C439E">
        <w:rPr>
          <w:color w:val="000000" w:themeColor="text1"/>
          <w:sz w:val="28"/>
          <w:szCs w:val="28"/>
        </w:rPr>
        <w:t>трансплантации</w:t>
      </w:r>
      <w:r w:rsidRPr="00646511">
        <w:rPr>
          <w:color w:val="000000" w:themeColor="text1"/>
          <w:sz w:val="28"/>
          <w:szCs w:val="28"/>
        </w:rPr>
        <w:t xml:space="preserve"> ключевыми факторами являются предоперационный исходный объем печени и послеоперационный остаточный объем печени. </w:t>
      </w:r>
      <w:r w:rsidR="00325B6A">
        <w:rPr>
          <w:color w:val="000000" w:themeColor="text1"/>
          <w:sz w:val="28"/>
          <w:szCs w:val="28"/>
        </w:rPr>
        <w:t>Предоперационная оценка объема печени также проводится у пациентов перед обширной резекцией печени</w:t>
      </w:r>
      <w:r w:rsidR="001E740B">
        <w:rPr>
          <w:color w:val="000000" w:themeColor="text1"/>
          <w:sz w:val="28"/>
          <w:szCs w:val="28"/>
        </w:rPr>
        <w:t xml:space="preserve">; </w:t>
      </w:r>
      <w:r w:rsidR="00E37110" w:rsidRPr="00A95B76">
        <w:rPr>
          <w:sz w:val="28"/>
          <w:szCs w:val="28"/>
        </w:rPr>
        <w:t>пациентам</w:t>
      </w:r>
      <w:r w:rsidRPr="00A95B76">
        <w:rPr>
          <w:sz w:val="28"/>
          <w:szCs w:val="28"/>
        </w:rPr>
        <w:t xml:space="preserve">, которым может потребоваться эмболизация воротной вены для увеличения будущего остаточного объема печени </w:t>
      </w:r>
      <w:r w:rsidR="001151F5" w:rsidRPr="00A95B76">
        <w:rPr>
          <w:sz w:val="28"/>
          <w:szCs w:val="28"/>
        </w:rPr>
        <w:t>либо</w:t>
      </w:r>
      <w:r w:rsidRPr="00A95B76">
        <w:rPr>
          <w:sz w:val="28"/>
          <w:szCs w:val="28"/>
        </w:rPr>
        <w:t xml:space="preserve"> </w:t>
      </w:r>
      <w:r w:rsidR="00E37110" w:rsidRPr="00A95B76">
        <w:rPr>
          <w:sz w:val="28"/>
          <w:szCs w:val="28"/>
        </w:rPr>
        <w:t>для</w:t>
      </w:r>
      <w:r w:rsidRPr="00A95B76">
        <w:rPr>
          <w:sz w:val="28"/>
          <w:szCs w:val="28"/>
        </w:rPr>
        <w:t xml:space="preserve"> оценки </w:t>
      </w:r>
      <w:r w:rsidR="001E740B">
        <w:rPr>
          <w:sz w:val="28"/>
          <w:szCs w:val="28"/>
        </w:rPr>
        <w:t xml:space="preserve">объема образования в </w:t>
      </w:r>
      <w:r w:rsidR="00A95B76" w:rsidRPr="00A95B76">
        <w:rPr>
          <w:sz w:val="28"/>
          <w:szCs w:val="28"/>
        </w:rPr>
        <w:t>динамик</w:t>
      </w:r>
      <w:r w:rsidR="001E740B">
        <w:rPr>
          <w:sz w:val="28"/>
          <w:szCs w:val="28"/>
        </w:rPr>
        <w:t>е</w:t>
      </w:r>
      <w:r w:rsidRPr="00A95B76">
        <w:rPr>
          <w:sz w:val="28"/>
          <w:szCs w:val="28"/>
        </w:rPr>
        <w:t xml:space="preserve"> </w:t>
      </w:r>
      <w:r w:rsidR="001E740B">
        <w:rPr>
          <w:sz w:val="28"/>
          <w:szCs w:val="28"/>
        </w:rPr>
        <w:t>при</w:t>
      </w:r>
      <w:r w:rsidRPr="00A95B76">
        <w:rPr>
          <w:sz w:val="28"/>
          <w:szCs w:val="28"/>
        </w:rPr>
        <w:t xml:space="preserve"> лечени</w:t>
      </w:r>
      <w:r w:rsidR="001E740B">
        <w:rPr>
          <w:sz w:val="28"/>
          <w:szCs w:val="28"/>
        </w:rPr>
        <w:t>и</w:t>
      </w:r>
      <w:r w:rsidRPr="00A95B76">
        <w:rPr>
          <w:sz w:val="28"/>
          <w:szCs w:val="28"/>
        </w:rPr>
        <w:t xml:space="preserve"> злокачественных новообразований печени.</w:t>
      </w:r>
      <w:r w:rsidR="00502C41" w:rsidRPr="00262D12">
        <w:rPr>
          <w:color w:val="FF0000"/>
          <w:sz w:val="28"/>
          <w:szCs w:val="28"/>
        </w:rPr>
        <w:t xml:space="preserve"> </w:t>
      </w:r>
      <w:r w:rsidR="0023451E" w:rsidRPr="00262D12">
        <w:rPr>
          <w:color w:val="FF0000"/>
          <w:sz w:val="28"/>
          <w:szCs w:val="28"/>
        </w:rPr>
        <w:t xml:space="preserve"> </w:t>
      </w:r>
    </w:p>
    <w:p w14:paraId="7A322E0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themeColor="text1"/>
          <w:sz w:val="28"/>
          <w:szCs w:val="28"/>
        </w:rPr>
      </w:pPr>
      <w:r w:rsidRPr="00170B7C">
        <w:rPr>
          <w:color w:val="000000" w:themeColor="text1"/>
          <w:sz w:val="28"/>
          <w:szCs w:val="28"/>
        </w:rPr>
        <w:t>Оценка объема печени с использованием методов пальпации и перкуссии имеет недостатки, связанные с надежностью и точностью исследования.  </w:t>
      </w:r>
    </w:p>
    <w:p w14:paraId="721D7C31" w14:textId="6592F5F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По литературным данным, для оценки объема печени </w:t>
      </w:r>
      <w:r w:rsidR="00A95B76">
        <w:rPr>
          <w:color w:val="000000"/>
          <w:sz w:val="28"/>
          <w:szCs w:val="28"/>
        </w:rPr>
        <w:t xml:space="preserve">при родственной трансплантации </w:t>
      </w:r>
      <w:r w:rsidRPr="00170B7C">
        <w:rPr>
          <w:color w:val="000000"/>
          <w:sz w:val="28"/>
          <w:szCs w:val="28"/>
        </w:rPr>
        <w:t xml:space="preserve">использовались различные формулы, в которых учитывались возраст, рост, пол, масса тела </w:t>
      </w:r>
      <w:r w:rsidR="00262D12">
        <w:rPr>
          <w:color w:val="000000"/>
          <w:sz w:val="28"/>
          <w:szCs w:val="28"/>
        </w:rPr>
        <w:t>донора</w:t>
      </w:r>
      <w:r w:rsidRPr="00170B7C">
        <w:rPr>
          <w:color w:val="000000"/>
          <w:sz w:val="28"/>
          <w:szCs w:val="28"/>
        </w:rPr>
        <w:t xml:space="preserve"> и даже максимальный диаметр </w:t>
      </w:r>
      <w:r w:rsidRPr="00170B7C">
        <w:rPr>
          <w:sz w:val="28"/>
          <w:szCs w:val="28"/>
        </w:rPr>
        <w:t>воротно</w:t>
      </w:r>
      <w:r w:rsidR="00991695">
        <w:rPr>
          <w:sz w:val="28"/>
          <w:szCs w:val="28"/>
        </w:rPr>
        <w:t>й вены</w:t>
      </w:r>
      <w:r w:rsidR="00502C41" w:rsidRPr="00502C41">
        <w:rPr>
          <w:sz w:val="28"/>
          <w:szCs w:val="28"/>
        </w:rPr>
        <w:t xml:space="preserve">. </w:t>
      </w:r>
      <w:r w:rsidRPr="00170B7C">
        <w:rPr>
          <w:sz w:val="28"/>
          <w:szCs w:val="28"/>
        </w:rPr>
        <w:t xml:space="preserve">Существуют </w:t>
      </w:r>
      <w:r w:rsidRPr="00170B7C">
        <w:rPr>
          <w:color w:val="000000"/>
          <w:sz w:val="28"/>
          <w:szCs w:val="28"/>
        </w:rPr>
        <w:t>основные формулы определения общего объема печени, разработанные при обследовании различных этнических популяций</w:t>
      </w:r>
      <w:r w:rsidR="006007D1" w:rsidRPr="006007D1">
        <w:rPr>
          <w:color w:val="000000"/>
          <w:sz w:val="28"/>
          <w:szCs w:val="28"/>
        </w:rPr>
        <w:t>.</w:t>
      </w:r>
      <w:r w:rsidRPr="00170B7C">
        <w:rPr>
          <w:color w:val="000000"/>
          <w:sz w:val="28"/>
          <w:szCs w:val="28"/>
        </w:rPr>
        <w:t xml:space="preserve"> В 1995 г. Urata K. и соавт</w:t>
      </w:r>
      <w:r w:rsidR="00991695">
        <w:rPr>
          <w:color w:val="000000"/>
          <w:sz w:val="28"/>
          <w:szCs w:val="28"/>
        </w:rPr>
        <w:t>.</w:t>
      </w:r>
      <w:r w:rsidRPr="00170B7C">
        <w:rPr>
          <w:color w:val="000000"/>
          <w:sz w:val="28"/>
          <w:szCs w:val="28"/>
        </w:rPr>
        <w:t xml:space="preserve"> предложили две формулы расчета стандартного общего объема печени (СО</w:t>
      </w:r>
      <w:r w:rsidR="00D737A7">
        <w:rPr>
          <w:color w:val="000000"/>
          <w:sz w:val="28"/>
          <w:szCs w:val="28"/>
        </w:rPr>
        <w:t>О</w:t>
      </w:r>
      <w:r w:rsidRPr="00170B7C">
        <w:rPr>
          <w:color w:val="000000"/>
          <w:sz w:val="28"/>
          <w:szCs w:val="28"/>
        </w:rPr>
        <w:t>П) у детей и взрослых при обследовании японской популяции: </w:t>
      </w:r>
    </w:p>
    <w:p w14:paraId="70324B20" w14:textId="77777777" w:rsidR="001E740B"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lastRenderedPageBreak/>
        <w:t>1) СО</w:t>
      </w:r>
      <w:r w:rsidR="00D737A7">
        <w:rPr>
          <w:color w:val="000000"/>
          <w:sz w:val="28"/>
          <w:szCs w:val="28"/>
        </w:rPr>
        <w:t>О</w:t>
      </w:r>
      <w:r w:rsidRPr="00170B7C">
        <w:rPr>
          <w:color w:val="000000"/>
          <w:sz w:val="28"/>
          <w:szCs w:val="28"/>
        </w:rPr>
        <w:t>П (мл) = 706,2 × ППТ(м</w:t>
      </w:r>
      <w:r w:rsidRPr="00C60723">
        <w:rPr>
          <w:color w:val="000000"/>
          <w:sz w:val="28"/>
          <w:szCs w:val="28"/>
          <w:vertAlign w:val="superscript"/>
        </w:rPr>
        <w:t>2</w:t>
      </w:r>
      <w:r w:rsidRPr="00170B7C">
        <w:rPr>
          <w:color w:val="000000"/>
          <w:sz w:val="28"/>
          <w:szCs w:val="28"/>
        </w:rPr>
        <w:t>) + 2,4, где ППТ — площадь поверхности тела; </w:t>
      </w:r>
    </w:p>
    <w:p w14:paraId="5478F70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2) СО</w:t>
      </w:r>
      <w:r w:rsidR="00D737A7">
        <w:rPr>
          <w:color w:val="000000"/>
          <w:sz w:val="28"/>
          <w:szCs w:val="28"/>
        </w:rPr>
        <w:t>О</w:t>
      </w:r>
      <w:r w:rsidRPr="00170B7C">
        <w:rPr>
          <w:color w:val="000000"/>
          <w:sz w:val="28"/>
          <w:szCs w:val="28"/>
        </w:rPr>
        <w:t>П (мл) = 2,223 × вес (кг) × 0,426 × рост (cм) × 0,682. </w:t>
      </w:r>
    </w:p>
    <w:p w14:paraId="3FAA5AE8" w14:textId="48EA0915" w:rsidR="00B60540" w:rsidRPr="00170B7C" w:rsidRDefault="00CC7BF1" w:rsidP="006313E3">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D32828">
        <w:rPr>
          <w:sz w:val="28"/>
          <w:szCs w:val="28"/>
          <w:lang w:val="en-US"/>
        </w:rPr>
        <w:t>Lin</w:t>
      </w:r>
      <w:r w:rsidRPr="0066289B">
        <w:rPr>
          <w:sz w:val="28"/>
          <w:szCs w:val="28"/>
        </w:rPr>
        <w:t xml:space="preserve"> </w:t>
      </w:r>
      <w:r w:rsidRPr="00D32828">
        <w:rPr>
          <w:sz w:val="28"/>
          <w:szCs w:val="28"/>
          <w:lang w:val="en-US"/>
        </w:rPr>
        <w:t>X</w:t>
      </w:r>
      <w:r w:rsidR="00991695">
        <w:rPr>
          <w:color w:val="000000"/>
          <w:sz w:val="28"/>
          <w:szCs w:val="28"/>
        </w:rPr>
        <w:t>. и соавт.</w:t>
      </w:r>
      <w:r w:rsidR="00274D3C" w:rsidRPr="00170B7C">
        <w:rPr>
          <w:color w:val="000000"/>
          <w:sz w:val="28"/>
          <w:szCs w:val="28"/>
        </w:rPr>
        <w:t xml:space="preserve"> в своей работе приводят 15 наиболее известных формул из современной научной литературы, </w:t>
      </w:r>
      <w:r w:rsidR="00652741">
        <w:rPr>
          <w:color w:val="000000"/>
          <w:sz w:val="28"/>
          <w:szCs w:val="28"/>
        </w:rPr>
        <w:t xml:space="preserve">все из которых </w:t>
      </w:r>
      <w:r w:rsidR="00274D3C" w:rsidRPr="00170B7C">
        <w:rPr>
          <w:color w:val="000000"/>
          <w:sz w:val="28"/>
          <w:szCs w:val="28"/>
        </w:rPr>
        <w:t>представлены в таблице 1. </w:t>
      </w:r>
    </w:p>
    <w:p w14:paraId="056E3E11" w14:textId="77777777" w:rsidR="006E6AE6" w:rsidRDefault="00274D3C" w:rsidP="00B60540">
      <w:pPr>
        <w:pBdr>
          <w:top w:val="none" w:sz="0" w:space="0" w:color="000000"/>
          <w:left w:val="none" w:sz="0" w:space="0" w:color="000000"/>
          <w:bottom w:val="none" w:sz="0" w:space="0" w:color="000000"/>
          <w:right w:val="none" w:sz="0" w:space="0" w:color="000000"/>
          <w:between w:val="none" w:sz="0" w:space="0" w:color="000000"/>
        </w:pBdr>
        <w:ind w:firstLine="567"/>
        <w:jc w:val="center"/>
        <w:rPr>
          <w:color w:val="000000"/>
          <w:sz w:val="28"/>
          <w:szCs w:val="28"/>
        </w:rPr>
      </w:pPr>
      <w:r w:rsidRPr="00170B7C">
        <w:rPr>
          <w:color w:val="000000"/>
          <w:sz w:val="28"/>
          <w:szCs w:val="28"/>
        </w:rPr>
        <w:t>Таблица 1 – Формулы для расчета общего объема печени</w:t>
      </w:r>
    </w:p>
    <w:p w14:paraId="714FC619" w14:textId="77777777" w:rsidR="00B60540" w:rsidRPr="00170B7C" w:rsidRDefault="00B60540" w:rsidP="00B60540">
      <w:pPr>
        <w:pBdr>
          <w:top w:val="none" w:sz="0" w:space="0" w:color="000000"/>
          <w:left w:val="none" w:sz="0" w:space="0" w:color="000000"/>
          <w:bottom w:val="none" w:sz="0" w:space="0" w:color="000000"/>
          <w:right w:val="none" w:sz="0" w:space="0" w:color="000000"/>
          <w:between w:val="none" w:sz="0" w:space="0" w:color="000000"/>
        </w:pBdr>
        <w:ind w:firstLine="567"/>
        <w:jc w:val="center"/>
        <w:rPr>
          <w:color w:val="000000"/>
          <w:sz w:val="28"/>
          <w:szCs w:val="28"/>
        </w:rPr>
      </w:pPr>
    </w:p>
    <w:tbl>
      <w:tblPr>
        <w:tblStyle w:val="af9"/>
        <w:tblW w:w="963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402"/>
        <w:gridCol w:w="5670"/>
      </w:tblGrid>
      <w:tr w:rsidR="00652741" w:rsidRPr="00170B7C" w14:paraId="131FE942" w14:textId="77777777" w:rsidTr="00652741">
        <w:trPr>
          <w:trHeight w:val="360"/>
        </w:trPr>
        <w:tc>
          <w:tcPr>
            <w:tcW w:w="562" w:type="dxa"/>
          </w:tcPr>
          <w:p w14:paraId="1C6FA891" w14:textId="77777777" w:rsidR="00652741" w:rsidRPr="00170B7C" w:rsidRDefault="00652741"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w:t>
            </w:r>
          </w:p>
        </w:tc>
        <w:tc>
          <w:tcPr>
            <w:tcW w:w="3402" w:type="dxa"/>
          </w:tcPr>
          <w:p w14:paraId="02A28358" w14:textId="77777777" w:rsidR="00652741" w:rsidRPr="00170B7C" w:rsidRDefault="00652741"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Автор (</w:t>
            </w:r>
            <w:r>
              <w:rPr>
                <w:color w:val="000000"/>
                <w:sz w:val="28"/>
                <w:szCs w:val="28"/>
              </w:rPr>
              <w:t xml:space="preserve">страна, </w:t>
            </w:r>
            <w:r w:rsidRPr="00170B7C">
              <w:rPr>
                <w:color w:val="000000"/>
                <w:sz w:val="28"/>
                <w:szCs w:val="28"/>
              </w:rPr>
              <w:t>год) </w:t>
            </w:r>
          </w:p>
        </w:tc>
        <w:tc>
          <w:tcPr>
            <w:tcW w:w="5670" w:type="dxa"/>
          </w:tcPr>
          <w:p w14:paraId="2F957114" w14:textId="77777777" w:rsidR="00652741" w:rsidRPr="00170B7C" w:rsidRDefault="00652741"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Формула </w:t>
            </w:r>
          </w:p>
        </w:tc>
      </w:tr>
      <w:tr w:rsidR="00652741" w:rsidRPr="00170B7C" w14:paraId="76BB8B7C" w14:textId="77777777" w:rsidTr="00652741">
        <w:trPr>
          <w:trHeight w:val="360"/>
        </w:trPr>
        <w:tc>
          <w:tcPr>
            <w:tcW w:w="562" w:type="dxa"/>
          </w:tcPr>
          <w:p w14:paraId="4A443D0D" w14:textId="77777777" w:rsidR="00652741" w:rsidRDefault="00652741" w:rsidP="00652741">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1</w:t>
            </w:r>
          </w:p>
        </w:tc>
        <w:tc>
          <w:tcPr>
            <w:tcW w:w="3402" w:type="dxa"/>
          </w:tcPr>
          <w:p w14:paraId="36E6FEC7"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DeLand </w:t>
            </w:r>
            <w:r w:rsidRPr="00170B7C">
              <w:rPr>
                <w:color w:val="000000"/>
                <w:sz w:val="28"/>
                <w:szCs w:val="28"/>
              </w:rPr>
              <w:t>(</w:t>
            </w:r>
            <w:r>
              <w:rPr>
                <w:color w:val="000000"/>
                <w:sz w:val="28"/>
                <w:szCs w:val="28"/>
              </w:rPr>
              <w:t>США,</w:t>
            </w:r>
            <w:r w:rsidRPr="00170B7C">
              <w:rPr>
                <w:color w:val="000000"/>
                <w:sz w:val="28"/>
                <w:szCs w:val="28"/>
              </w:rPr>
              <w:t xml:space="preserve"> 1968)</w:t>
            </w:r>
          </w:p>
        </w:tc>
        <w:tc>
          <w:tcPr>
            <w:tcW w:w="5670" w:type="dxa"/>
          </w:tcPr>
          <w:p w14:paraId="56C8F714" w14:textId="77777777" w:rsidR="00652741" w:rsidRPr="00170B7C" w:rsidRDefault="00652741"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1020 (BSA)-220 </w:t>
            </w:r>
          </w:p>
        </w:tc>
      </w:tr>
      <w:tr w:rsidR="00652741" w:rsidRPr="00170B7C" w14:paraId="14F4C033" w14:textId="77777777" w:rsidTr="00652741">
        <w:trPr>
          <w:trHeight w:val="340"/>
        </w:trPr>
        <w:tc>
          <w:tcPr>
            <w:tcW w:w="562" w:type="dxa"/>
          </w:tcPr>
          <w:p w14:paraId="13E3105B" w14:textId="77777777" w:rsidR="00652741" w:rsidRDefault="00652741" w:rsidP="00652741">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2</w:t>
            </w:r>
          </w:p>
        </w:tc>
        <w:tc>
          <w:tcPr>
            <w:tcW w:w="3402" w:type="dxa"/>
          </w:tcPr>
          <w:p w14:paraId="08F733BA"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w:t>
            </w:r>
            <w:r w:rsidRPr="00170B7C">
              <w:rPr>
                <w:color w:val="000000"/>
                <w:sz w:val="28"/>
                <w:szCs w:val="28"/>
              </w:rPr>
              <w:t>Urata (</w:t>
            </w:r>
            <w:r>
              <w:rPr>
                <w:color w:val="000000"/>
                <w:sz w:val="28"/>
                <w:szCs w:val="28"/>
              </w:rPr>
              <w:t xml:space="preserve">Япония, </w:t>
            </w:r>
            <w:r w:rsidRPr="00170B7C">
              <w:rPr>
                <w:color w:val="000000"/>
                <w:sz w:val="28"/>
                <w:szCs w:val="28"/>
              </w:rPr>
              <w:t>1995)</w:t>
            </w:r>
          </w:p>
        </w:tc>
        <w:tc>
          <w:tcPr>
            <w:tcW w:w="5670" w:type="dxa"/>
          </w:tcPr>
          <w:p w14:paraId="0E8810AF" w14:textId="77777777" w:rsidR="00652741" w:rsidRPr="00170B7C" w:rsidRDefault="00652741"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Pr>
                <w:color w:val="000000"/>
                <w:sz w:val="28"/>
                <w:szCs w:val="28"/>
              </w:rPr>
              <w:t>706,2 х BSA+2,</w:t>
            </w:r>
            <w:r w:rsidRPr="00170B7C">
              <w:rPr>
                <w:color w:val="000000"/>
                <w:sz w:val="28"/>
                <w:szCs w:val="28"/>
              </w:rPr>
              <w:t>4 </w:t>
            </w:r>
          </w:p>
        </w:tc>
      </w:tr>
      <w:tr w:rsidR="00652741" w:rsidRPr="00170B7C" w14:paraId="2AB636D0" w14:textId="77777777" w:rsidTr="00652741">
        <w:trPr>
          <w:trHeight w:val="340"/>
        </w:trPr>
        <w:tc>
          <w:tcPr>
            <w:tcW w:w="562" w:type="dxa"/>
          </w:tcPr>
          <w:p w14:paraId="0C7E27F7" w14:textId="77777777" w:rsidR="00652741" w:rsidRDefault="00652741" w:rsidP="00652741">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3</w:t>
            </w:r>
          </w:p>
        </w:tc>
        <w:tc>
          <w:tcPr>
            <w:tcW w:w="3402" w:type="dxa"/>
          </w:tcPr>
          <w:p w14:paraId="5ECFF47D"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w:t>
            </w:r>
            <w:r w:rsidRPr="00D32828">
              <w:rPr>
                <w:color w:val="000000"/>
                <w:sz w:val="28"/>
                <w:szCs w:val="28"/>
              </w:rPr>
              <w:t>Feng</w:t>
            </w:r>
            <w:r w:rsidRPr="00170B7C">
              <w:rPr>
                <w:color w:val="000000"/>
                <w:sz w:val="28"/>
                <w:szCs w:val="28"/>
              </w:rPr>
              <w:t xml:space="preserve"> (</w:t>
            </w:r>
            <w:r>
              <w:rPr>
                <w:color w:val="000000"/>
                <w:sz w:val="28"/>
                <w:szCs w:val="28"/>
              </w:rPr>
              <w:t xml:space="preserve">Китай, </w:t>
            </w:r>
            <w:r w:rsidRPr="00170B7C">
              <w:rPr>
                <w:color w:val="000000"/>
                <w:sz w:val="28"/>
                <w:szCs w:val="28"/>
              </w:rPr>
              <w:t>1997)</w:t>
            </w:r>
          </w:p>
        </w:tc>
        <w:tc>
          <w:tcPr>
            <w:tcW w:w="5670" w:type="dxa"/>
          </w:tcPr>
          <w:p w14:paraId="6AE33D5E" w14:textId="77777777" w:rsidR="00652741" w:rsidRPr="00170B7C" w:rsidRDefault="00652741"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Pr>
                <w:color w:val="000000"/>
                <w:sz w:val="28"/>
                <w:szCs w:val="28"/>
              </w:rPr>
              <w:t>758,259 х BSA – 124,</w:t>
            </w:r>
            <w:r w:rsidRPr="00D32828">
              <w:rPr>
                <w:color w:val="000000"/>
                <w:sz w:val="28"/>
                <w:szCs w:val="28"/>
              </w:rPr>
              <w:t>272</w:t>
            </w:r>
          </w:p>
        </w:tc>
      </w:tr>
      <w:tr w:rsidR="00652741" w:rsidRPr="00170B7C" w14:paraId="6A87A54F" w14:textId="77777777" w:rsidTr="00652741">
        <w:trPr>
          <w:trHeight w:val="360"/>
        </w:trPr>
        <w:tc>
          <w:tcPr>
            <w:tcW w:w="562" w:type="dxa"/>
          </w:tcPr>
          <w:p w14:paraId="2B618030" w14:textId="77777777" w:rsidR="00652741" w:rsidRDefault="00652741" w:rsidP="00652741">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4</w:t>
            </w:r>
          </w:p>
        </w:tc>
        <w:tc>
          <w:tcPr>
            <w:tcW w:w="3402" w:type="dxa"/>
          </w:tcPr>
          <w:p w14:paraId="567F74DF"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w:t>
            </w:r>
            <w:r w:rsidRPr="00170B7C">
              <w:rPr>
                <w:color w:val="000000"/>
                <w:sz w:val="28"/>
                <w:szCs w:val="28"/>
              </w:rPr>
              <w:t>Lin (</w:t>
            </w:r>
            <w:r>
              <w:rPr>
                <w:color w:val="000000"/>
                <w:sz w:val="28"/>
                <w:szCs w:val="28"/>
              </w:rPr>
              <w:t xml:space="preserve">Китай, </w:t>
            </w:r>
            <w:r w:rsidRPr="00170B7C">
              <w:rPr>
                <w:color w:val="000000"/>
                <w:sz w:val="28"/>
                <w:szCs w:val="28"/>
              </w:rPr>
              <w:t>1998)</w:t>
            </w:r>
          </w:p>
        </w:tc>
        <w:tc>
          <w:tcPr>
            <w:tcW w:w="5670" w:type="dxa"/>
          </w:tcPr>
          <w:p w14:paraId="72B37B21" w14:textId="77777777" w:rsidR="00652741" w:rsidRPr="00170B7C" w:rsidRDefault="00652741"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13 х BH+12 х BW-1530 </w:t>
            </w:r>
          </w:p>
        </w:tc>
      </w:tr>
      <w:tr w:rsidR="00652741" w:rsidRPr="00170B7C" w14:paraId="74B64424" w14:textId="77777777" w:rsidTr="00652741">
        <w:trPr>
          <w:trHeight w:val="360"/>
        </w:trPr>
        <w:tc>
          <w:tcPr>
            <w:tcW w:w="562" w:type="dxa"/>
          </w:tcPr>
          <w:p w14:paraId="70DDBF82" w14:textId="77777777" w:rsidR="00652741" w:rsidRDefault="00652741" w:rsidP="00652741">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5</w:t>
            </w:r>
          </w:p>
        </w:tc>
        <w:tc>
          <w:tcPr>
            <w:tcW w:w="3402" w:type="dxa"/>
          </w:tcPr>
          <w:p w14:paraId="0608C914"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Heinemann </w:t>
            </w:r>
            <w:r w:rsidRPr="00170B7C">
              <w:rPr>
                <w:color w:val="000000"/>
                <w:sz w:val="28"/>
                <w:szCs w:val="28"/>
              </w:rPr>
              <w:t>(</w:t>
            </w:r>
            <w:r>
              <w:rPr>
                <w:color w:val="000000"/>
                <w:sz w:val="28"/>
                <w:szCs w:val="28"/>
              </w:rPr>
              <w:t xml:space="preserve">Германия,  </w:t>
            </w:r>
            <w:r w:rsidRPr="00170B7C">
              <w:rPr>
                <w:color w:val="000000"/>
                <w:sz w:val="28"/>
                <w:szCs w:val="28"/>
              </w:rPr>
              <w:t>1999)</w:t>
            </w:r>
          </w:p>
        </w:tc>
        <w:tc>
          <w:tcPr>
            <w:tcW w:w="5670" w:type="dxa"/>
          </w:tcPr>
          <w:p w14:paraId="1A16B8A5" w14:textId="77777777" w:rsidR="00652741" w:rsidRPr="00170B7C" w:rsidRDefault="00652741"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Pr>
                <w:color w:val="000000"/>
                <w:sz w:val="28"/>
                <w:szCs w:val="28"/>
              </w:rPr>
              <w:t>1072,8 х BSA-345,</w:t>
            </w:r>
            <w:r w:rsidRPr="00170B7C">
              <w:rPr>
                <w:color w:val="000000"/>
                <w:sz w:val="28"/>
                <w:szCs w:val="28"/>
              </w:rPr>
              <w:t>7 </w:t>
            </w:r>
          </w:p>
        </w:tc>
      </w:tr>
      <w:tr w:rsidR="00652741" w:rsidRPr="00170B7C" w14:paraId="278924AC" w14:textId="77777777" w:rsidTr="00652741">
        <w:trPr>
          <w:trHeight w:val="360"/>
        </w:trPr>
        <w:tc>
          <w:tcPr>
            <w:tcW w:w="562" w:type="dxa"/>
          </w:tcPr>
          <w:p w14:paraId="0F610DBF" w14:textId="77777777" w:rsidR="00652741" w:rsidRDefault="00652741" w:rsidP="00652741">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6</w:t>
            </w:r>
          </w:p>
        </w:tc>
        <w:tc>
          <w:tcPr>
            <w:tcW w:w="3402" w:type="dxa"/>
          </w:tcPr>
          <w:p w14:paraId="195904D2"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w:t>
            </w:r>
            <w:r w:rsidRPr="00170B7C">
              <w:rPr>
                <w:color w:val="000000"/>
                <w:sz w:val="28"/>
                <w:szCs w:val="28"/>
              </w:rPr>
              <w:t>Vauthey (</w:t>
            </w:r>
            <w:r>
              <w:rPr>
                <w:color w:val="000000"/>
                <w:sz w:val="28"/>
                <w:szCs w:val="28"/>
              </w:rPr>
              <w:t xml:space="preserve">Швейцария, </w:t>
            </w:r>
            <w:r w:rsidRPr="00170B7C">
              <w:rPr>
                <w:color w:val="000000"/>
                <w:sz w:val="28"/>
                <w:szCs w:val="28"/>
              </w:rPr>
              <w:t>2002)</w:t>
            </w:r>
          </w:p>
        </w:tc>
        <w:tc>
          <w:tcPr>
            <w:tcW w:w="5670" w:type="dxa"/>
          </w:tcPr>
          <w:p w14:paraId="071ABB1E" w14:textId="77777777" w:rsidR="00652741" w:rsidRPr="00170B7C" w:rsidRDefault="00652741"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Pr>
                <w:color w:val="000000"/>
                <w:sz w:val="28"/>
                <w:szCs w:val="28"/>
              </w:rPr>
              <w:t>1267,28 х BSA-794,</w:t>
            </w:r>
            <w:r w:rsidRPr="00170B7C">
              <w:rPr>
                <w:color w:val="000000"/>
                <w:sz w:val="28"/>
                <w:szCs w:val="28"/>
              </w:rPr>
              <w:t>41 </w:t>
            </w:r>
          </w:p>
        </w:tc>
      </w:tr>
      <w:tr w:rsidR="00652741" w:rsidRPr="00170B7C" w14:paraId="135B3250" w14:textId="77777777" w:rsidTr="00652741">
        <w:trPr>
          <w:trHeight w:val="360"/>
        </w:trPr>
        <w:tc>
          <w:tcPr>
            <w:tcW w:w="562" w:type="dxa"/>
          </w:tcPr>
          <w:p w14:paraId="5350ABDB" w14:textId="77777777" w:rsidR="00652741" w:rsidRDefault="00652741" w:rsidP="00652741">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7</w:t>
            </w:r>
          </w:p>
        </w:tc>
        <w:tc>
          <w:tcPr>
            <w:tcW w:w="3402" w:type="dxa"/>
          </w:tcPr>
          <w:p w14:paraId="58DDD470"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w:t>
            </w:r>
            <w:r w:rsidRPr="00170B7C">
              <w:rPr>
                <w:color w:val="000000"/>
                <w:sz w:val="28"/>
                <w:szCs w:val="28"/>
              </w:rPr>
              <w:t>Yoshizumi (</w:t>
            </w:r>
            <w:r>
              <w:rPr>
                <w:color w:val="000000"/>
                <w:sz w:val="28"/>
                <w:szCs w:val="28"/>
              </w:rPr>
              <w:t xml:space="preserve">Япония, </w:t>
            </w:r>
            <w:r w:rsidRPr="00170B7C">
              <w:rPr>
                <w:color w:val="000000"/>
                <w:sz w:val="28"/>
                <w:szCs w:val="28"/>
              </w:rPr>
              <w:t>2003)</w:t>
            </w:r>
          </w:p>
        </w:tc>
        <w:tc>
          <w:tcPr>
            <w:tcW w:w="5670" w:type="dxa"/>
          </w:tcPr>
          <w:p w14:paraId="512BAB65" w14:textId="77777777" w:rsidR="00652741" w:rsidRPr="00170B7C" w:rsidRDefault="00652741"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772 х BSA </w:t>
            </w:r>
          </w:p>
        </w:tc>
      </w:tr>
      <w:tr w:rsidR="00652741" w:rsidRPr="00170B7C" w14:paraId="69C940E7" w14:textId="77777777" w:rsidTr="00652741">
        <w:trPr>
          <w:trHeight w:val="360"/>
        </w:trPr>
        <w:tc>
          <w:tcPr>
            <w:tcW w:w="562" w:type="dxa"/>
          </w:tcPr>
          <w:p w14:paraId="2CA5DAC4" w14:textId="77777777" w:rsidR="00652741" w:rsidRDefault="00652741" w:rsidP="00652741">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8</w:t>
            </w:r>
          </w:p>
        </w:tc>
        <w:tc>
          <w:tcPr>
            <w:tcW w:w="3402" w:type="dxa"/>
          </w:tcPr>
          <w:p w14:paraId="71C6516A"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w:t>
            </w:r>
            <w:r w:rsidRPr="00170B7C">
              <w:rPr>
                <w:color w:val="000000"/>
                <w:sz w:val="28"/>
                <w:szCs w:val="28"/>
              </w:rPr>
              <w:t>Yu (</w:t>
            </w:r>
            <w:r>
              <w:rPr>
                <w:color w:val="000000"/>
                <w:sz w:val="28"/>
                <w:szCs w:val="28"/>
              </w:rPr>
              <w:t xml:space="preserve">Корея, </w:t>
            </w:r>
            <w:r w:rsidRPr="00170B7C">
              <w:rPr>
                <w:color w:val="000000"/>
                <w:sz w:val="28"/>
                <w:szCs w:val="28"/>
              </w:rPr>
              <w:t>2004)</w:t>
            </w:r>
          </w:p>
        </w:tc>
        <w:tc>
          <w:tcPr>
            <w:tcW w:w="5670" w:type="dxa"/>
          </w:tcPr>
          <w:p w14:paraId="602E42E5" w14:textId="77777777" w:rsidR="00652741" w:rsidRPr="00170B7C" w:rsidRDefault="00652741"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Pr>
                <w:color w:val="000000"/>
                <w:sz w:val="28"/>
                <w:szCs w:val="28"/>
              </w:rPr>
              <w:t>21,585 х BW 0,732х BH0,</w:t>
            </w:r>
            <w:r w:rsidRPr="00170B7C">
              <w:rPr>
                <w:color w:val="000000"/>
                <w:sz w:val="28"/>
                <w:szCs w:val="28"/>
              </w:rPr>
              <w:t>225 </w:t>
            </w:r>
          </w:p>
        </w:tc>
      </w:tr>
      <w:tr w:rsidR="00652741" w:rsidRPr="00170B7C" w14:paraId="722AB77E" w14:textId="77777777" w:rsidTr="00652741">
        <w:tblPrEx>
          <w:tblLook w:val="0000" w:firstRow="0" w:lastRow="0" w:firstColumn="0" w:lastColumn="0" w:noHBand="0" w:noVBand="0"/>
        </w:tblPrEx>
        <w:trPr>
          <w:cantSplit/>
          <w:trHeight w:val="655"/>
          <w:tblHeader/>
        </w:trPr>
        <w:tc>
          <w:tcPr>
            <w:tcW w:w="562" w:type="dxa"/>
          </w:tcPr>
          <w:p w14:paraId="68CBC577" w14:textId="77777777" w:rsidR="00652741" w:rsidRDefault="00652741" w:rsidP="00652741">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9</w:t>
            </w:r>
          </w:p>
        </w:tc>
        <w:tc>
          <w:tcPr>
            <w:tcW w:w="3402" w:type="dxa"/>
            <w:shd w:val="clear" w:color="auto" w:fill="auto"/>
          </w:tcPr>
          <w:p w14:paraId="6C63677B"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w:t>
            </w:r>
            <w:r w:rsidRPr="00170B7C">
              <w:rPr>
                <w:color w:val="000000"/>
                <w:sz w:val="28"/>
                <w:szCs w:val="28"/>
              </w:rPr>
              <w:t>Chouker (</w:t>
            </w:r>
            <w:r>
              <w:rPr>
                <w:color w:val="000000"/>
                <w:sz w:val="28"/>
                <w:szCs w:val="28"/>
              </w:rPr>
              <w:t xml:space="preserve">Германия, </w:t>
            </w:r>
            <w:r w:rsidRPr="00170B7C">
              <w:rPr>
                <w:color w:val="000000"/>
                <w:sz w:val="28"/>
                <w:szCs w:val="28"/>
              </w:rPr>
              <w:t>2004)</w:t>
            </w:r>
          </w:p>
        </w:tc>
        <w:tc>
          <w:tcPr>
            <w:tcW w:w="5670" w:type="dxa"/>
            <w:shd w:val="clear" w:color="auto" w:fill="auto"/>
          </w:tcPr>
          <w:p w14:paraId="3C85C030" w14:textId="77777777" w:rsidR="00652741" w:rsidRPr="00170B7C" w:rsidRDefault="00652741"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Pr>
                <w:color w:val="000000"/>
                <w:sz w:val="28"/>
                <w:szCs w:val="28"/>
              </w:rPr>
              <w:t>16,343 BW + 11,</w:t>
            </w:r>
            <w:r w:rsidRPr="00170B7C">
              <w:rPr>
                <w:color w:val="000000"/>
                <w:sz w:val="28"/>
                <w:szCs w:val="28"/>
              </w:rPr>
              <w:t>85 х возраст -166х пол (1=жен,0=муж)+ 452 </w:t>
            </w:r>
          </w:p>
        </w:tc>
      </w:tr>
      <w:tr w:rsidR="00652741" w:rsidRPr="00170B7C" w14:paraId="481F6EE6" w14:textId="77777777" w:rsidTr="00652741">
        <w:tblPrEx>
          <w:tblLook w:val="0000" w:firstRow="0" w:lastRow="0" w:firstColumn="0" w:lastColumn="0" w:noHBand="0" w:noVBand="0"/>
        </w:tblPrEx>
        <w:trPr>
          <w:cantSplit/>
          <w:trHeight w:val="253"/>
          <w:tblHeader/>
        </w:trPr>
        <w:tc>
          <w:tcPr>
            <w:tcW w:w="562" w:type="dxa"/>
          </w:tcPr>
          <w:p w14:paraId="6BCE569B" w14:textId="77777777" w:rsidR="00652741" w:rsidRDefault="00652741" w:rsidP="00652741">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10</w:t>
            </w:r>
          </w:p>
        </w:tc>
        <w:tc>
          <w:tcPr>
            <w:tcW w:w="3402" w:type="dxa"/>
            <w:shd w:val="clear" w:color="auto" w:fill="auto"/>
          </w:tcPr>
          <w:p w14:paraId="65DD5FA2"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w:t>
            </w:r>
            <w:r w:rsidRPr="00170B7C">
              <w:rPr>
                <w:color w:val="000000"/>
                <w:sz w:val="28"/>
                <w:szCs w:val="28"/>
              </w:rPr>
              <w:t>Johnson (</w:t>
            </w:r>
            <w:r>
              <w:rPr>
                <w:color w:val="000000"/>
                <w:sz w:val="28"/>
                <w:szCs w:val="28"/>
              </w:rPr>
              <w:t xml:space="preserve">Бельгия, </w:t>
            </w:r>
            <w:r w:rsidRPr="00170B7C">
              <w:rPr>
                <w:color w:val="000000"/>
                <w:sz w:val="28"/>
                <w:szCs w:val="28"/>
              </w:rPr>
              <w:t>2005)</w:t>
            </w:r>
          </w:p>
        </w:tc>
        <w:tc>
          <w:tcPr>
            <w:tcW w:w="5670" w:type="dxa"/>
            <w:shd w:val="clear" w:color="auto" w:fill="auto"/>
          </w:tcPr>
          <w:p w14:paraId="78AAB645" w14:textId="77777777" w:rsidR="00652741" w:rsidRPr="00170B7C" w:rsidRDefault="00652741"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Pr>
                <w:color w:val="000000"/>
                <w:sz w:val="28"/>
                <w:szCs w:val="28"/>
              </w:rPr>
              <w:t>1000 (0,</w:t>
            </w:r>
            <w:r w:rsidRPr="00170B7C">
              <w:rPr>
                <w:color w:val="000000"/>
                <w:sz w:val="28"/>
                <w:szCs w:val="28"/>
              </w:rPr>
              <w:t xml:space="preserve">72 </w:t>
            </w:r>
            <w:r w:rsidRPr="00170B7C">
              <w:rPr>
                <w:rFonts w:eastAsia="Cambria Math"/>
                <w:color w:val="000000"/>
                <w:sz w:val="28"/>
                <w:szCs w:val="28"/>
              </w:rPr>
              <w:t>BSA</w:t>
            </w:r>
            <w:r>
              <w:rPr>
                <w:color w:val="000000"/>
                <w:sz w:val="28"/>
                <w:szCs w:val="28"/>
              </w:rPr>
              <w:t>+0,</w:t>
            </w:r>
            <w:r w:rsidRPr="00170B7C">
              <w:rPr>
                <w:color w:val="000000"/>
                <w:sz w:val="28"/>
                <w:szCs w:val="28"/>
              </w:rPr>
              <w:t>171) </w:t>
            </w:r>
          </w:p>
        </w:tc>
      </w:tr>
      <w:tr w:rsidR="00652741" w:rsidRPr="00170B7C" w14:paraId="4088ACD0" w14:textId="77777777" w:rsidTr="00652741">
        <w:tblPrEx>
          <w:tblLook w:val="0000" w:firstRow="0" w:lastRow="0" w:firstColumn="0" w:lastColumn="0" w:noHBand="0" w:noVBand="0"/>
        </w:tblPrEx>
        <w:trPr>
          <w:cantSplit/>
          <w:trHeight w:val="360"/>
          <w:tblHeader/>
        </w:trPr>
        <w:tc>
          <w:tcPr>
            <w:tcW w:w="562" w:type="dxa"/>
          </w:tcPr>
          <w:p w14:paraId="78EE54E1" w14:textId="77777777" w:rsidR="00652741" w:rsidRDefault="00652741" w:rsidP="00652741">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11</w:t>
            </w:r>
          </w:p>
        </w:tc>
        <w:tc>
          <w:tcPr>
            <w:tcW w:w="3402" w:type="dxa"/>
            <w:shd w:val="clear" w:color="auto" w:fill="auto"/>
          </w:tcPr>
          <w:p w14:paraId="6A3B2815"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w:t>
            </w:r>
            <w:r w:rsidRPr="00170B7C">
              <w:rPr>
                <w:color w:val="000000"/>
                <w:sz w:val="28"/>
                <w:szCs w:val="28"/>
              </w:rPr>
              <w:t>Hashimoto (2006)</w:t>
            </w:r>
          </w:p>
        </w:tc>
        <w:tc>
          <w:tcPr>
            <w:tcW w:w="5670" w:type="dxa"/>
            <w:shd w:val="clear" w:color="auto" w:fill="auto"/>
          </w:tcPr>
          <w:p w14:paraId="7A7DA0A4" w14:textId="77777777" w:rsidR="00652741" w:rsidRPr="00170B7C" w:rsidRDefault="00652741"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Pr>
                <w:color w:val="000000"/>
                <w:sz w:val="28"/>
                <w:szCs w:val="28"/>
              </w:rPr>
              <w:t>961,3 х BSA-404,</w:t>
            </w:r>
            <w:r w:rsidRPr="00170B7C">
              <w:rPr>
                <w:color w:val="000000"/>
                <w:sz w:val="28"/>
                <w:szCs w:val="28"/>
              </w:rPr>
              <w:t>8 </w:t>
            </w:r>
          </w:p>
        </w:tc>
      </w:tr>
      <w:tr w:rsidR="00652741" w:rsidRPr="00170B7C" w14:paraId="0B6EF012" w14:textId="77777777" w:rsidTr="00652741">
        <w:tblPrEx>
          <w:tblLook w:val="0000" w:firstRow="0" w:lastRow="0" w:firstColumn="0" w:lastColumn="0" w:noHBand="0" w:noVBand="0"/>
        </w:tblPrEx>
        <w:trPr>
          <w:cantSplit/>
          <w:trHeight w:val="360"/>
          <w:tblHeader/>
        </w:trPr>
        <w:tc>
          <w:tcPr>
            <w:tcW w:w="562" w:type="dxa"/>
          </w:tcPr>
          <w:p w14:paraId="565A7D81" w14:textId="77777777" w:rsidR="00652741" w:rsidRDefault="00652741" w:rsidP="00652741">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12</w:t>
            </w:r>
          </w:p>
        </w:tc>
        <w:tc>
          <w:tcPr>
            <w:tcW w:w="3402" w:type="dxa"/>
            <w:shd w:val="clear" w:color="auto" w:fill="auto"/>
          </w:tcPr>
          <w:p w14:paraId="688DA4D0"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w:t>
            </w:r>
            <w:r w:rsidRPr="00170B7C">
              <w:rPr>
                <w:color w:val="000000"/>
                <w:sz w:val="28"/>
                <w:szCs w:val="28"/>
              </w:rPr>
              <w:t>Chan (</w:t>
            </w:r>
            <w:r>
              <w:rPr>
                <w:color w:val="000000"/>
                <w:sz w:val="28"/>
                <w:szCs w:val="28"/>
              </w:rPr>
              <w:t xml:space="preserve">Китай, </w:t>
            </w:r>
            <w:r w:rsidRPr="00170B7C">
              <w:rPr>
                <w:color w:val="000000"/>
                <w:sz w:val="28"/>
                <w:szCs w:val="28"/>
              </w:rPr>
              <w:t>2006)</w:t>
            </w:r>
          </w:p>
        </w:tc>
        <w:tc>
          <w:tcPr>
            <w:tcW w:w="5670" w:type="dxa"/>
            <w:shd w:val="clear" w:color="auto" w:fill="auto"/>
          </w:tcPr>
          <w:p w14:paraId="1CF8AF6F" w14:textId="77777777" w:rsidR="00652741" w:rsidRPr="00170B7C" w:rsidRDefault="00652741"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Pr>
                <w:color w:val="000000"/>
                <w:sz w:val="28"/>
                <w:szCs w:val="28"/>
              </w:rPr>
              <w:t>12,</w:t>
            </w:r>
            <w:r w:rsidRPr="00170B7C">
              <w:rPr>
                <w:color w:val="000000"/>
                <w:sz w:val="28"/>
                <w:szCs w:val="28"/>
              </w:rPr>
              <w:t>29 х BW+5</w:t>
            </w:r>
            <w:r>
              <w:rPr>
                <w:color w:val="000000"/>
                <w:sz w:val="28"/>
                <w:szCs w:val="28"/>
              </w:rPr>
              <w:t>0,74 х пол+218,</w:t>
            </w:r>
            <w:r w:rsidRPr="00170B7C">
              <w:rPr>
                <w:color w:val="000000"/>
                <w:sz w:val="28"/>
                <w:szCs w:val="28"/>
              </w:rPr>
              <w:t>32 </w:t>
            </w:r>
          </w:p>
        </w:tc>
      </w:tr>
      <w:tr w:rsidR="00652741" w:rsidRPr="00170B7C" w14:paraId="509C73DA" w14:textId="77777777" w:rsidTr="00652741">
        <w:tblPrEx>
          <w:tblLook w:val="0000" w:firstRow="0" w:lastRow="0" w:firstColumn="0" w:lastColumn="0" w:noHBand="0" w:noVBand="0"/>
        </w:tblPrEx>
        <w:trPr>
          <w:cantSplit/>
          <w:trHeight w:val="720"/>
          <w:tblHeader/>
        </w:trPr>
        <w:tc>
          <w:tcPr>
            <w:tcW w:w="562" w:type="dxa"/>
          </w:tcPr>
          <w:p w14:paraId="39FCA59A" w14:textId="77777777" w:rsidR="00652741" w:rsidRDefault="00652741" w:rsidP="00652741">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13</w:t>
            </w:r>
          </w:p>
        </w:tc>
        <w:tc>
          <w:tcPr>
            <w:tcW w:w="3402" w:type="dxa"/>
            <w:shd w:val="clear" w:color="auto" w:fill="auto"/>
          </w:tcPr>
          <w:p w14:paraId="2C69CE3A"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w:t>
            </w:r>
            <w:r w:rsidRPr="00170B7C">
              <w:rPr>
                <w:color w:val="000000"/>
                <w:sz w:val="28"/>
                <w:szCs w:val="28"/>
              </w:rPr>
              <w:t>Yuan (</w:t>
            </w:r>
            <w:r>
              <w:rPr>
                <w:color w:val="000000"/>
                <w:sz w:val="28"/>
                <w:szCs w:val="28"/>
              </w:rPr>
              <w:t xml:space="preserve">Китай, </w:t>
            </w:r>
            <w:r w:rsidRPr="00170B7C">
              <w:rPr>
                <w:color w:val="000000"/>
                <w:sz w:val="28"/>
                <w:szCs w:val="28"/>
              </w:rPr>
              <w:t>2006)</w:t>
            </w:r>
          </w:p>
        </w:tc>
        <w:tc>
          <w:tcPr>
            <w:tcW w:w="5670" w:type="dxa"/>
            <w:shd w:val="clear" w:color="auto" w:fill="auto"/>
          </w:tcPr>
          <w:p w14:paraId="72195345" w14:textId="77777777" w:rsidR="00652741" w:rsidRPr="00485C62" w:rsidRDefault="00652741"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949,7 х BSA-247,</w:t>
            </w:r>
            <w:r w:rsidRPr="00170B7C">
              <w:rPr>
                <w:color w:val="000000"/>
                <w:sz w:val="28"/>
                <w:szCs w:val="28"/>
              </w:rPr>
              <w:t>4-48.3 х возраст (1;&lt;40;</w:t>
            </w:r>
            <w:r>
              <w:rPr>
                <w:color w:val="000000"/>
                <w:sz w:val="28"/>
                <w:szCs w:val="28"/>
              </w:rPr>
              <w:t xml:space="preserve"> </w:t>
            </w:r>
            <w:r w:rsidRPr="00170B7C">
              <w:rPr>
                <w:color w:val="000000"/>
                <w:sz w:val="28"/>
                <w:szCs w:val="28"/>
              </w:rPr>
              <w:t>2;41-60;</w:t>
            </w:r>
            <w:r>
              <w:rPr>
                <w:color w:val="000000"/>
                <w:sz w:val="28"/>
                <w:szCs w:val="28"/>
              </w:rPr>
              <w:t xml:space="preserve"> </w:t>
            </w:r>
            <w:r w:rsidRPr="00170B7C">
              <w:rPr>
                <w:color w:val="000000"/>
                <w:sz w:val="28"/>
                <w:szCs w:val="28"/>
              </w:rPr>
              <w:t>3;&gt;60) </w:t>
            </w:r>
          </w:p>
        </w:tc>
      </w:tr>
      <w:tr w:rsidR="00652741" w:rsidRPr="00170B7C" w14:paraId="30B037BE" w14:textId="77777777" w:rsidTr="00652741">
        <w:tblPrEx>
          <w:tblLook w:val="0000" w:firstRow="0" w:lastRow="0" w:firstColumn="0" w:lastColumn="0" w:noHBand="0" w:noVBand="0"/>
        </w:tblPrEx>
        <w:trPr>
          <w:cantSplit/>
          <w:trHeight w:val="360"/>
          <w:tblHeader/>
        </w:trPr>
        <w:tc>
          <w:tcPr>
            <w:tcW w:w="562" w:type="dxa"/>
          </w:tcPr>
          <w:p w14:paraId="1D1560B8" w14:textId="77777777" w:rsidR="00652741" w:rsidRDefault="00652741" w:rsidP="00652741">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14</w:t>
            </w:r>
          </w:p>
        </w:tc>
        <w:tc>
          <w:tcPr>
            <w:tcW w:w="3402" w:type="dxa"/>
            <w:shd w:val="clear" w:color="auto" w:fill="auto"/>
          </w:tcPr>
          <w:p w14:paraId="582C233F"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w:t>
            </w:r>
            <w:r w:rsidRPr="00170B7C">
              <w:rPr>
                <w:color w:val="000000"/>
                <w:sz w:val="28"/>
                <w:szCs w:val="28"/>
              </w:rPr>
              <w:t>Fu-Gui (</w:t>
            </w:r>
            <w:r>
              <w:rPr>
                <w:color w:val="000000"/>
                <w:sz w:val="28"/>
                <w:szCs w:val="28"/>
              </w:rPr>
              <w:t xml:space="preserve">Китай, </w:t>
            </w:r>
            <w:r w:rsidRPr="00170B7C">
              <w:rPr>
                <w:color w:val="000000"/>
                <w:sz w:val="28"/>
                <w:szCs w:val="28"/>
              </w:rPr>
              <w:t>2009)</w:t>
            </w:r>
          </w:p>
        </w:tc>
        <w:tc>
          <w:tcPr>
            <w:tcW w:w="5670" w:type="dxa"/>
            <w:shd w:val="clear" w:color="auto" w:fill="auto"/>
          </w:tcPr>
          <w:p w14:paraId="30510EC4" w14:textId="77777777" w:rsidR="00652741" w:rsidRPr="00170B7C" w:rsidRDefault="00652741"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Pr>
                <w:color w:val="000000"/>
                <w:sz w:val="28"/>
                <w:szCs w:val="28"/>
              </w:rPr>
              <w:t>11,508 х BW+334,</w:t>
            </w:r>
            <w:r w:rsidRPr="00170B7C">
              <w:rPr>
                <w:color w:val="000000"/>
                <w:sz w:val="28"/>
                <w:szCs w:val="28"/>
              </w:rPr>
              <w:t>024 </w:t>
            </w:r>
          </w:p>
        </w:tc>
      </w:tr>
      <w:tr w:rsidR="00652741" w:rsidRPr="00170B7C" w14:paraId="31925FBD" w14:textId="77777777" w:rsidTr="00652741">
        <w:tblPrEx>
          <w:tblLook w:val="0000" w:firstRow="0" w:lastRow="0" w:firstColumn="0" w:lastColumn="0" w:noHBand="0" w:noVBand="0"/>
        </w:tblPrEx>
        <w:trPr>
          <w:cantSplit/>
          <w:trHeight w:val="360"/>
          <w:tblHeader/>
        </w:trPr>
        <w:tc>
          <w:tcPr>
            <w:tcW w:w="562" w:type="dxa"/>
          </w:tcPr>
          <w:p w14:paraId="735732E3" w14:textId="77777777" w:rsidR="00652741" w:rsidRDefault="00652741" w:rsidP="00652741">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Pr>
                <w:color w:val="000000"/>
                <w:sz w:val="28"/>
                <w:szCs w:val="28"/>
              </w:rPr>
              <w:t>15</w:t>
            </w:r>
          </w:p>
        </w:tc>
        <w:tc>
          <w:tcPr>
            <w:tcW w:w="3402" w:type="dxa"/>
            <w:shd w:val="clear" w:color="auto" w:fill="auto"/>
          </w:tcPr>
          <w:p w14:paraId="73481783"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w:t>
            </w:r>
            <w:r w:rsidRPr="00170B7C">
              <w:rPr>
                <w:color w:val="000000"/>
                <w:sz w:val="28"/>
                <w:szCs w:val="28"/>
              </w:rPr>
              <w:t xml:space="preserve">Poovathumkadavil </w:t>
            </w:r>
            <w:r>
              <w:rPr>
                <w:color w:val="000000"/>
                <w:sz w:val="28"/>
                <w:szCs w:val="28"/>
              </w:rPr>
              <w:t xml:space="preserve"> </w:t>
            </w:r>
            <w:r w:rsidRPr="00170B7C">
              <w:rPr>
                <w:color w:val="000000"/>
                <w:sz w:val="28"/>
                <w:szCs w:val="28"/>
              </w:rPr>
              <w:t>(</w:t>
            </w:r>
            <w:r>
              <w:rPr>
                <w:color w:val="000000"/>
                <w:sz w:val="28"/>
                <w:szCs w:val="28"/>
              </w:rPr>
              <w:t xml:space="preserve">Саудовская Аравия, </w:t>
            </w:r>
            <w:r w:rsidRPr="00170B7C">
              <w:rPr>
                <w:color w:val="000000"/>
                <w:sz w:val="28"/>
                <w:szCs w:val="28"/>
              </w:rPr>
              <w:t>2010)</w:t>
            </w:r>
          </w:p>
        </w:tc>
        <w:tc>
          <w:tcPr>
            <w:tcW w:w="5670" w:type="dxa"/>
            <w:shd w:val="clear" w:color="auto" w:fill="auto"/>
          </w:tcPr>
          <w:p w14:paraId="2FBAEFE8" w14:textId="77777777" w:rsidR="00652741" w:rsidRPr="00170B7C" w:rsidRDefault="00652741" w:rsidP="005E4D06">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Pr>
                <w:color w:val="000000"/>
                <w:sz w:val="28"/>
                <w:szCs w:val="28"/>
              </w:rPr>
              <w:t>12,26 х BW+555,</w:t>
            </w:r>
            <w:r w:rsidRPr="00170B7C">
              <w:rPr>
                <w:color w:val="000000"/>
                <w:sz w:val="28"/>
                <w:szCs w:val="28"/>
              </w:rPr>
              <w:t>65</w:t>
            </w:r>
          </w:p>
        </w:tc>
      </w:tr>
    </w:tbl>
    <w:p w14:paraId="576FA1F0" w14:textId="77777777" w:rsidR="00B21912" w:rsidRDefault="00B21912" w:rsidP="00526B4F">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Pr>
          <w:color w:val="000000"/>
          <w:sz w:val="28"/>
          <w:szCs w:val="28"/>
        </w:rPr>
        <w:t xml:space="preserve">Примечания </w:t>
      </w:r>
    </w:p>
    <w:p w14:paraId="70A44A94" w14:textId="77777777" w:rsidR="00B21912" w:rsidRDefault="00B21912" w:rsidP="00C60723">
      <w:pPr>
        <w:pBdr>
          <w:top w:val="none" w:sz="0" w:space="0" w:color="000000"/>
          <w:left w:val="none" w:sz="0" w:space="0" w:color="000000"/>
          <w:bottom w:val="none" w:sz="0" w:space="0" w:color="000000"/>
          <w:right w:val="none" w:sz="0" w:space="0" w:color="000000"/>
          <w:between w:val="none" w:sz="0" w:space="0" w:color="000000"/>
        </w:pBdr>
        <w:jc w:val="both"/>
        <w:rPr>
          <w:color w:val="000000"/>
          <w:sz w:val="28"/>
          <w:szCs w:val="28"/>
        </w:rPr>
      </w:pPr>
      <w:r>
        <w:rPr>
          <w:color w:val="000000"/>
          <w:sz w:val="28"/>
          <w:szCs w:val="28"/>
        </w:rPr>
        <w:t>1</w:t>
      </w:r>
      <w:r w:rsidR="00274D3C" w:rsidRPr="00170B7C">
        <w:rPr>
          <w:color w:val="000000"/>
          <w:sz w:val="28"/>
          <w:szCs w:val="28"/>
        </w:rPr>
        <w:t xml:space="preserve"> BSA (Body Surface Area) - площадь поверхности </w:t>
      </w:r>
      <w:r w:rsidR="00501188" w:rsidRPr="00170B7C">
        <w:rPr>
          <w:color w:val="000000"/>
          <w:sz w:val="28"/>
          <w:szCs w:val="28"/>
        </w:rPr>
        <w:t>тела; </w:t>
      </w:r>
    </w:p>
    <w:p w14:paraId="69CDFA29" w14:textId="77777777" w:rsidR="00B21912" w:rsidRPr="00B21912" w:rsidRDefault="00B21912" w:rsidP="00C60723">
      <w:pPr>
        <w:pBdr>
          <w:top w:val="none" w:sz="0" w:space="0" w:color="000000"/>
          <w:left w:val="none" w:sz="0" w:space="0" w:color="000000"/>
          <w:bottom w:val="none" w:sz="0" w:space="0" w:color="000000"/>
          <w:right w:val="none" w:sz="0" w:space="0" w:color="000000"/>
          <w:between w:val="none" w:sz="0" w:space="0" w:color="000000"/>
        </w:pBdr>
        <w:jc w:val="both"/>
        <w:rPr>
          <w:color w:val="000000"/>
          <w:sz w:val="28"/>
          <w:szCs w:val="28"/>
          <w:lang w:val="en-US"/>
        </w:rPr>
      </w:pPr>
      <w:r w:rsidRPr="00B21912">
        <w:rPr>
          <w:color w:val="000000"/>
          <w:sz w:val="28"/>
          <w:szCs w:val="28"/>
          <w:lang w:val="en-US"/>
        </w:rPr>
        <w:t xml:space="preserve">2 </w:t>
      </w:r>
      <w:r w:rsidR="00501188" w:rsidRPr="00B21912">
        <w:rPr>
          <w:color w:val="000000"/>
          <w:sz w:val="28"/>
          <w:szCs w:val="28"/>
          <w:lang w:val="en-US"/>
        </w:rPr>
        <w:t>BH</w:t>
      </w:r>
      <w:r w:rsidR="00274D3C" w:rsidRPr="00B21912">
        <w:rPr>
          <w:color w:val="000000"/>
          <w:sz w:val="28"/>
          <w:szCs w:val="28"/>
          <w:lang w:val="en-US"/>
        </w:rPr>
        <w:t xml:space="preserve"> (body height) – </w:t>
      </w:r>
      <w:r w:rsidR="00274D3C" w:rsidRPr="00170B7C">
        <w:rPr>
          <w:color w:val="000000"/>
          <w:sz w:val="28"/>
          <w:szCs w:val="28"/>
        </w:rPr>
        <w:t>рост</w:t>
      </w:r>
      <w:r w:rsidR="00274D3C" w:rsidRPr="00B21912">
        <w:rPr>
          <w:color w:val="000000"/>
          <w:sz w:val="28"/>
          <w:szCs w:val="28"/>
          <w:lang w:val="en-US"/>
        </w:rPr>
        <w:t xml:space="preserve">; </w:t>
      </w:r>
    </w:p>
    <w:p w14:paraId="1E02F467" w14:textId="77777777" w:rsidR="00C700B8" w:rsidRPr="00B21912" w:rsidRDefault="00B21912" w:rsidP="00C60723">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lang w:val="en-US"/>
        </w:rPr>
      </w:pPr>
      <w:r w:rsidRPr="00B21912">
        <w:rPr>
          <w:color w:val="000000"/>
          <w:sz w:val="28"/>
          <w:szCs w:val="28"/>
          <w:lang w:val="en-US"/>
        </w:rPr>
        <w:t xml:space="preserve">3 </w:t>
      </w:r>
      <w:r w:rsidR="00274D3C" w:rsidRPr="00B21912">
        <w:rPr>
          <w:color w:val="000000"/>
          <w:sz w:val="28"/>
          <w:szCs w:val="28"/>
          <w:lang w:val="en-US"/>
        </w:rPr>
        <w:t xml:space="preserve">BW (body weight) - </w:t>
      </w:r>
      <w:r w:rsidR="00274D3C" w:rsidRPr="00170B7C">
        <w:rPr>
          <w:color w:val="000000"/>
          <w:sz w:val="28"/>
          <w:szCs w:val="28"/>
        </w:rPr>
        <w:t>вес</w:t>
      </w:r>
      <w:r w:rsidR="00274D3C" w:rsidRPr="00B21912">
        <w:rPr>
          <w:color w:val="000000"/>
          <w:sz w:val="28"/>
          <w:szCs w:val="28"/>
          <w:lang w:val="en-US"/>
        </w:rPr>
        <w:t> </w:t>
      </w:r>
    </w:p>
    <w:p w14:paraId="7266D068" w14:textId="77777777" w:rsidR="00C700B8" w:rsidRPr="00B21912"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lang w:val="en-US"/>
        </w:rPr>
      </w:pPr>
      <w:r w:rsidRPr="00B21912">
        <w:rPr>
          <w:rFonts w:eastAsia="Calibri"/>
          <w:color w:val="000000"/>
          <w:sz w:val="28"/>
          <w:szCs w:val="28"/>
          <w:lang w:val="en-US"/>
        </w:rPr>
        <w:t> </w:t>
      </w:r>
    </w:p>
    <w:p w14:paraId="6D562070" w14:textId="679A02D7" w:rsidR="00C700B8" w:rsidRPr="00E73B44"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sz w:val="28"/>
          <w:szCs w:val="28"/>
        </w:rPr>
      </w:pPr>
      <w:r w:rsidRPr="00170B7C">
        <w:rPr>
          <w:sz w:val="28"/>
          <w:szCs w:val="28"/>
        </w:rPr>
        <w:t>В 2016 г. Chaubal G. и соавт.</w:t>
      </w:r>
      <w:r w:rsidR="00991695">
        <w:rPr>
          <w:sz w:val="28"/>
          <w:szCs w:val="28"/>
        </w:rPr>
        <w:t xml:space="preserve"> </w:t>
      </w:r>
      <w:r w:rsidRPr="00170B7C">
        <w:rPr>
          <w:sz w:val="28"/>
          <w:szCs w:val="28"/>
        </w:rPr>
        <w:t xml:space="preserve">применили вышеуказанные </w:t>
      </w:r>
      <w:r w:rsidRPr="00170B7C">
        <w:rPr>
          <w:color w:val="000000"/>
          <w:sz w:val="28"/>
          <w:szCs w:val="28"/>
        </w:rPr>
        <w:t xml:space="preserve">формулы к западноиндийской популяции. Авторы обнаружили, что большинство из приведенных формул не являются точными для указанной популяции. Было изучено, что, помимо антропометрических и возрастных факторов, на объем и размеры печени влияют географические и этнические факторы. В связи с этим предложены формулы вычисления общего объема печени для населения различных географических регионов и этнических популяций. Эта тема представляет особый интерес для стран Восточной Азии, где широко распространены вызванные гепатитом цирроз печени и гепатоцеллюлярная </w:t>
      </w:r>
      <w:r w:rsidRPr="00170B7C">
        <w:rPr>
          <w:sz w:val="28"/>
          <w:szCs w:val="28"/>
        </w:rPr>
        <w:lastRenderedPageBreak/>
        <w:t>карцинома (</w:t>
      </w:r>
      <w:r w:rsidRPr="00E73B44">
        <w:rPr>
          <w:sz w:val="28"/>
          <w:szCs w:val="28"/>
        </w:rPr>
        <w:t>ГЦК), и как следствие трансплантация печени</w:t>
      </w:r>
      <w:r w:rsidR="00B1288C" w:rsidRPr="00E73B44">
        <w:rPr>
          <w:sz w:val="28"/>
          <w:szCs w:val="28"/>
        </w:rPr>
        <w:t xml:space="preserve"> от живого родственного донора</w:t>
      </w:r>
      <w:r w:rsidRPr="00E73B44">
        <w:rPr>
          <w:sz w:val="28"/>
          <w:szCs w:val="28"/>
        </w:rPr>
        <w:t>.  </w:t>
      </w:r>
    </w:p>
    <w:p w14:paraId="1C274FDE" w14:textId="2E60901A" w:rsidR="00B1288C" w:rsidRPr="00E73B44" w:rsidRDefault="00B1288C" w:rsidP="00B1288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E73B44">
        <w:rPr>
          <w:sz w:val="28"/>
          <w:szCs w:val="28"/>
          <w:lang w:val="en-US"/>
        </w:rPr>
        <w:t>Lin</w:t>
      </w:r>
      <w:r w:rsidRPr="00E73B44">
        <w:rPr>
          <w:sz w:val="28"/>
          <w:szCs w:val="28"/>
        </w:rPr>
        <w:t xml:space="preserve"> </w:t>
      </w:r>
      <w:r w:rsidRPr="00E73B44">
        <w:rPr>
          <w:sz w:val="28"/>
          <w:szCs w:val="28"/>
          <w:lang w:val="en-US"/>
        </w:rPr>
        <w:t>X</w:t>
      </w:r>
      <w:r w:rsidR="00991695">
        <w:rPr>
          <w:sz w:val="28"/>
          <w:szCs w:val="28"/>
        </w:rPr>
        <w:t xml:space="preserve">. и соавт. </w:t>
      </w:r>
      <w:r w:rsidRPr="00E73B44">
        <w:rPr>
          <w:sz w:val="28"/>
          <w:szCs w:val="28"/>
        </w:rPr>
        <w:t xml:space="preserve">разработал формулу для </w:t>
      </w:r>
      <w:r w:rsidRPr="00E73B44">
        <w:rPr>
          <w:color w:val="000000"/>
          <w:sz w:val="28"/>
          <w:szCs w:val="28"/>
        </w:rPr>
        <w:t xml:space="preserve">Китайской популяции, однако расчет объема печени сравнивался с весом печени посмертного донора, авторы выявили расхождения </w:t>
      </w:r>
      <w:r w:rsidR="003D21CE" w:rsidRPr="00E73B44">
        <w:rPr>
          <w:color w:val="000000"/>
          <w:sz w:val="28"/>
          <w:szCs w:val="28"/>
        </w:rPr>
        <w:t xml:space="preserve">с весом трансплантата </w:t>
      </w:r>
      <w:r w:rsidRPr="00E73B44">
        <w:rPr>
          <w:color w:val="000000"/>
          <w:sz w:val="28"/>
          <w:szCs w:val="28"/>
        </w:rPr>
        <w:t>в 15%. </w:t>
      </w:r>
    </w:p>
    <w:p w14:paraId="2B2FAFC5" w14:textId="465FF115" w:rsidR="00C700B8" w:rsidRPr="00E73B44" w:rsidRDefault="00991695"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Pr>
          <w:sz w:val="28"/>
          <w:szCs w:val="28"/>
        </w:rPr>
        <w:t>Ма К. и соавт.</w:t>
      </w:r>
      <w:r w:rsidR="001E740B">
        <w:rPr>
          <w:color w:val="000000"/>
          <w:sz w:val="28"/>
          <w:szCs w:val="28"/>
        </w:rPr>
        <w:t xml:space="preserve"> </w:t>
      </w:r>
      <w:r w:rsidR="00274D3C" w:rsidRPr="00E73B44">
        <w:rPr>
          <w:sz w:val="28"/>
          <w:szCs w:val="28"/>
        </w:rPr>
        <w:t xml:space="preserve">сравнили </w:t>
      </w:r>
      <w:r w:rsidR="00274D3C" w:rsidRPr="00E73B44">
        <w:rPr>
          <w:color w:val="000000"/>
          <w:sz w:val="28"/>
          <w:szCs w:val="28"/>
        </w:rPr>
        <w:t xml:space="preserve">предложенные формулы с интраоперационным объемом печени и выявили их </w:t>
      </w:r>
      <w:r w:rsidR="00821122" w:rsidRPr="00E73B44">
        <w:rPr>
          <w:color w:val="000000"/>
          <w:sz w:val="28"/>
          <w:szCs w:val="28"/>
        </w:rPr>
        <w:t>слабую</w:t>
      </w:r>
      <w:r w:rsidR="00274D3C" w:rsidRPr="00E73B44">
        <w:rPr>
          <w:color w:val="000000"/>
          <w:sz w:val="28"/>
          <w:szCs w:val="28"/>
        </w:rPr>
        <w:t xml:space="preserve"> корреляцию, положительные показатели были лишь у формулы Урата</w:t>
      </w:r>
      <w:r w:rsidR="00B1288C" w:rsidRPr="00E73B44">
        <w:rPr>
          <w:color w:val="000000"/>
          <w:sz w:val="28"/>
          <w:szCs w:val="28"/>
        </w:rPr>
        <w:t xml:space="preserve">, авторы предложили </w:t>
      </w:r>
      <w:r w:rsidR="00501188" w:rsidRPr="00E73B44">
        <w:rPr>
          <w:color w:val="000000"/>
          <w:sz w:val="28"/>
          <w:szCs w:val="28"/>
        </w:rPr>
        <w:t>свою формулу,</w:t>
      </w:r>
      <w:r w:rsidR="00B1288C" w:rsidRPr="00E73B44">
        <w:rPr>
          <w:color w:val="000000"/>
          <w:sz w:val="28"/>
          <w:szCs w:val="28"/>
        </w:rPr>
        <w:t xml:space="preserve"> основанную на размерах печени по данным КТ-исследований</w:t>
      </w:r>
      <w:r w:rsidR="00274D3C" w:rsidRPr="00E73B44">
        <w:rPr>
          <w:color w:val="000000"/>
          <w:sz w:val="28"/>
          <w:szCs w:val="28"/>
        </w:rPr>
        <w:t>.  </w:t>
      </w:r>
    </w:p>
    <w:p w14:paraId="5F76F447" w14:textId="282F9099"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E73B44">
        <w:rPr>
          <w:sz w:val="28"/>
          <w:szCs w:val="28"/>
        </w:rPr>
        <w:t xml:space="preserve">Yasukawa K. и соавт. </w:t>
      </w:r>
      <w:r w:rsidR="00991695">
        <w:rPr>
          <w:sz w:val="28"/>
          <w:szCs w:val="28"/>
        </w:rPr>
        <w:t xml:space="preserve"> </w:t>
      </w:r>
      <w:r w:rsidRPr="00E73B44">
        <w:rPr>
          <w:sz w:val="28"/>
          <w:szCs w:val="28"/>
        </w:rPr>
        <w:t xml:space="preserve">в своей работе </w:t>
      </w:r>
      <w:r w:rsidRPr="00E73B44">
        <w:rPr>
          <w:color w:val="000000"/>
          <w:sz w:val="28"/>
          <w:szCs w:val="28"/>
        </w:rPr>
        <w:t xml:space="preserve">также предлагает формулу для расчета объема печени, авторы рассуждают что вышеуказанные формулы мало применимы для </w:t>
      </w:r>
      <w:r w:rsidR="00262D12">
        <w:rPr>
          <w:color w:val="000000"/>
          <w:sz w:val="28"/>
          <w:szCs w:val="28"/>
        </w:rPr>
        <w:t>доноров</w:t>
      </w:r>
      <w:r w:rsidRPr="00E73B44">
        <w:rPr>
          <w:color w:val="000000"/>
          <w:sz w:val="28"/>
          <w:szCs w:val="28"/>
        </w:rPr>
        <w:t xml:space="preserve"> с индексом</w:t>
      </w:r>
      <w:r w:rsidRPr="00170B7C">
        <w:rPr>
          <w:color w:val="000000"/>
          <w:sz w:val="28"/>
          <w:szCs w:val="28"/>
        </w:rPr>
        <w:t xml:space="preserve"> массы тела &gt;30, а также для печени с жировой дегенерацией.  </w:t>
      </w:r>
    </w:p>
    <w:p w14:paraId="71862E38" w14:textId="37E90ECA"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Хотя </w:t>
      </w:r>
      <w:r w:rsidR="00CB0DA3">
        <w:rPr>
          <w:color w:val="000000"/>
          <w:sz w:val="28"/>
          <w:szCs w:val="28"/>
        </w:rPr>
        <w:t xml:space="preserve">в научных публикациях чаще представлены </w:t>
      </w:r>
      <w:r w:rsidRPr="00170B7C">
        <w:rPr>
          <w:color w:val="000000"/>
          <w:sz w:val="28"/>
          <w:szCs w:val="28"/>
        </w:rPr>
        <w:t>формулы д</w:t>
      </w:r>
      <w:r w:rsidR="00CB0DA3">
        <w:rPr>
          <w:color w:val="000000"/>
          <w:sz w:val="28"/>
          <w:szCs w:val="28"/>
        </w:rPr>
        <w:t xml:space="preserve">ля расчета общего объема печени </w:t>
      </w:r>
      <w:r w:rsidR="00CB0DA3" w:rsidRPr="00170B7C">
        <w:rPr>
          <w:color w:val="000000"/>
          <w:sz w:val="28"/>
          <w:szCs w:val="28"/>
        </w:rPr>
        <w:t>основанные на площади поверхности тела</w:t>
      </w:r>
      <w:r w:rsidR="00CB0DA3">
        <w:rPr>
          <w:color w:val="000000"/>
          <w:sz w:val="28"/>
          <w:szCs w:val="28"/>
        </w:rPr>
        <w:t>,</w:t>
      </w:r>
      <w:r w:rsidR="00CB0DA3" w:rsidRPr="00170B7C">
        <w:rPr>
          <w:color w:val="000000"/>
          <w:sz w:val="28"/>
          <w:szCs w:val="28"/>
        </w:rPr>
        <w:t xml:space="preserve"> </w:t>
      </w:r>
      <w:r w:rsidRPr="00170B7C">
        <w:rPr>
          <w:color w:val="000000"/>
          <w:sz w:val="28"/>
          <w:szCs w:val="28"/>
        </w:rPr>
        <w:t xml:space="preserve">для трансплантации печени от живого донора </w:t>
      </w:r>
      <w:r w:rsidR="00CB0DA3">
        <w:rPr>
          <w:color w:val="000000"/>
          <w:sz w:val="28"/>
          <w:szCs w:val="28"/>
        </w:rPr>
        <w:t>также требуется</w:t>
      </w:r>
      <w:r w:rsidRPr="00170B7C">
        <w:rPr>
          <w:color w:val="000000"/>
          <w:sz w:val="28"/>
          <w:szCs w:val="28"/>
        </w:rPr>
        <w:t xml:space="preserve"> расчет резецированного объема печени</w:t>
      </w:r>
      <w:r w:rsidRPr="00170B7C">
        <w:rPr>
          <w:sz w:val="28"/>
          <w:szCs w:val="28"/>
        </w:rPr>
        <w:t xml:space="preserve">. Kim S. </w:t>
      </w:r>
      <w:r w:rsidR="00CB0DA3">
        <w:rPr>
          <w:sz w:val="28"/>
          <w:szCs w:val="28"/>
        </w:rPr>
        <w:t>и</w:t>
      </w:r>
      <w:r w:rsidR="00491444" w:rsidRPr="00170B7C">
        <w:rPr>
          <w:sz w:val="28"/>
          <w:szCs w:val="28"/>
        </w:rPr>
        <w:t xml:space="preserve"> соавт.</w:t>
      </w:r>
      <w:r w:rsidRPr="00170B7C">
        <w:rPr>
          <w:sz w:val="28"/>
          <w:szCs w:val="28"/>
        </w:rPr>
        <w:t xml:space="preserve"> </w:t>
      </w:r>
      <w:r w:rsidR="00E73B44" w:rsidRPr="00E73B44">
        <w:rPr>
          <w:color w:val="000000"/>
          <w:sz w:val="28"/>
          <w:szCs w:val="28"/>
        </w:rPr>
        <w:t xml:space="preserve"> </w:t>
      </w:r>
      <w:r w:rsidRPr="00170B7C">
        <w:rPr>
          <w:sz w:val="28"/>
          <w:szCs w:val="28"/>
        </w:rPr>
        <w:t>в</w:t>
      </w:r>
      <w:r w:rsidRPr="00170B7C">
        <w:rPr>
          <w:rFonts w:eastAsia="Calibri"/>
          <w:sz w:val="28"/>
          <w:szCs w:val="28"/>
        </w:rPr>
        <w:t xml:space="preserve"> </w:t>
      </w:r>
      <w:r w:rsidRPr="00170B7C">
        <w:rPr>
          <w:color w:val="000000"/>
          <w:sz w:val="28"/>
          <w:szCs w:val="28"/>
        </w:rPr>
        <w:t>своем исследовании предлагает расчет объема резецированной печени на основе диаметра правой или левой воротной вены.  Этот метод оценки теоретически может быть использован для предоперационной оценки объема печени. Однако, из-за технического прогресса в КТ-волюметрии нет конкретной причины использовать такую грубую оценку в клинической практике. Уже продемонстрирована корреляция между КТ-волюметрией и фактическим весом трансплантата печени. Авторы отмечают, что этот метод оценки может применяться как часть первоначального процесса скрининга доноров, требующего грубой оценки размера трансплантата печени. </w:t>
      </w:r>
    </w:p>
    <w:p w14:paraId="43A7FFCC" w14:textId="46F48780" w:rsidR="00C700B8" w:rsidRPr="00170B7C" w:rsidRDefault="005300E1"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Pr>
          <w:sz w:val="28"/>
          <w:szCs w:val="28"/>
          <w:lang w:val="en-US"/>
        </w:rPr>
        <w:t>Gundog</w:t>
      </w:r>
      <w:r w:rsidRPr="00D32828">
        <w:rPr>
          <w:sz w:val="28"/>
          <w:szCs w:val="28"/>
          <w:lang w:val="en-US"/>
        </w:rPr>
        <w:t>du</w:t>
      </w:r>
      <w:r w:rsidRPr="0066289B">
        <w:rPr>
          <w:sz w:val="28"/>
          <w:szCs w:val="28"/>
        </w:rPr>
        <w:t xml:space="preserve"> </w:t>
      </w:r>
      <w:r w:rsidRPr="00D32828">
        <w:rPr>
          <w:sz w:val="28"/>
          <w:szCs w:val="28"/>
          <w:lang w:val="en-US"/>
        </w:rPr>
        <w:t>E</w:t>
      </w:r>
      <w:r w:rsidRPr="0066289B">
        <w:rPr>
          <w:sz w:val="28"/>
          <w:szCs w:val="28"/>
        </w:rPr>
        <w:t>.</w:t>
      </w:r>
      <w:r w:rsidRPr="00170B7C">
        <w:rPr>
          <w:sz w:val="28"/>
          <w:szCs w:val="28"/>
        </w:rPr>
        <w:t xml:space="preserve"> </w:t>
      </w:r>
      <w:r w:rsidR="00BE05A3">
        <w:rPr>
          <w:sz w:val="28"/>
          <w:szCs w:val="28"/>
        </w:rPr>
        <w:t>и соавт.</w:t>
      </w:r>
      <w:r w:rsidR="00274D3C" w:rsidRPr="00170B7C">
        <w:rPr>
          <w:sz w:val="28"/>
          <w:szCs w:val="28"/>
        </w:rPr>
        <w:t xml:space="preserve"> ​в своей </w:t>
      </w:r>
      <w:r w:rsidR="00274D3C" w:rsidRPr="00170B7C">
        <w:rPr>
          <w:color w:val="000000"/>
          <w:sz w:val="28"/>
          <w:szCs w:val="28"/>
        </w:rPr>
        <w:t>работе выявили слаб</w:t>
      </w:r>
      <w:r w:rsidR="006F5F67">
        <w:rPr>
          <w:color w:val="000000"/>
          <w:sz w:val="28"/>
          <w:szCs w:val="28"/>
        </w:rPr>
        <w:t xml:space="preserve">ую </w:t>
      </w:r>
      <w:r w:rsidR="00274D3C" w:rsidRPr="00170B7C">
        <w:rPr>
          <w:color w:val="000000"/>
          <w:sz w:val="28"/>
          <w:szCs w:val="28"/>
        </w:rPr>
        <w:t>корреляцию (0</w:t>
      </w:r>
      <w:r w:rsidR="006F5F67">
        <w:rPr>
          <w:color w:val="000000"/>
          <w:sz w:val="28"/>
          <w:szCs w:val="28"/>
        </w:rPr>
        <w:t>,</w:t>
      </w:r>
      <w:r w:rsidR="00274D3C" w:rsidRPr="00170B7C">
        <w:rPr>
          <w:color w:val="000000"/>
          <w:sz w:val="28"/>
          <w:szCs w:val="28"/>
        </w:rPr>
        <w:t>250, p=0</w:t>
      </w:r>
      <w:r w:rsidR="006F5F67">
        <w:rPr>
          <w:color w:val="000000"/>
          <w:sz w:val="28"/>
          <w:szCs w:val="28"/>
        </w:rPr>
        <w:t>,</w:t>
      </w:r>
      <w:r w:rsidR="00274D3C" w:rsidRPr="00170B7C">
        <w:rPr>
          <w:color w:val="000000"/>
          <w:sz w:val="28"/>
          <w:szCs w:val="28"/>
        </w:rPr>
        <w:t xml:space="preserve">05) между диаметром </w:t>
      </w:r>
      <w:r w:rsidR="00D638FE">
        <w:rPr>
          <w:color w:val="000000"/>
          <w:sz w:val="28"/>
          <w:szCs w:val="28"/>
        </w:rPr>
        <w:t>правой печеночной вен</w:t>
      </w:r>
      <w:r w:rsidR="001E740B">
        <w:rPr>
          <w:color w:val="000000"/>
          <w:sz w:val="28"/>
          <w:szCs w:val="28"/>
        </w:rPr>
        <w:t>ы</w:t>
      </w:r>
      <w:r w:rsidR="00274D3C" w:rsidRPr="00170B7C">
        <w:rPr>
          <w:color w:val="000000"/>
          <w:sz w:val="28"/>
          <w:szCs w:val="28"/>
        </w:rPr>
        <w:t xml:space="preserve"> и весом графта. Авторы утверждают, что объем правой доли будет больше у доноров с большим диаметром правой </w:t>
      </w:r>
      <w:r w:rsidR="00D638FE">
        <w:rPr>
          <w:color w:val="000000"/>
          <w:sz w:val="28"/>
          <w:szCs w:val="28"/>
        </w:rPr>
        <w:t>печеночной вены</w:t>
      </w:r>
      <w:r w:rsidR="00274D3C" w:rsidRPr="00170B7C">
        <w:rPr>
          <w:color w:val="000000"/>
          <w:sz w:val="28"/>
          <w:szCs w:val="28"/>
        </w:rPr>
        <w:t>, однако стоит отметить, что данный параметр является не надежным предиктором веса трансплантата. </w:t>
      </w:r>
    </w:p>
    <w:p w14:paraId="1F0D0CDA" w14:textId="52765D24"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Точная неинвазивная оценка объема печени у </w:t>
      </w:r>
      <w:r w:rsidR="00262D12">
        <w:rPr>
          <w:color w:val="000000"/>
          <w:sz w:val="28"/>
          <w:szCs w:val="28"/>
        </w:rPr>
        <w:t xml:space="preserve">потенциальных доноров </w:t>
      </w:r>
      <w:r w:rsidRPr="00170B7C">
        <w:rPr>
          <w:color w:val="000000"/>
          <w:sz w:val="28"/>
          <w:szCs w:val="28"/>
        </w:rPr>
        <w:t xml:space="preserve"> может быть выполнена с помощью визуальных техник. Описываются методики измерения объема с помощью компьютерной томографии (КТ), магнитно-резонансной томографии (МРТ) и ультразвукового </w:t>
      </w:r>
      <w:r w:rsidR="00BE05A3">
        <w:rPr>
          <w:color w:val="000000"/>
          <w:sz w:val="28"/>
          <w:szCs w:val="28"/>
        </w:rPr>
        <w:t>исследования (УЗИ)</w:t>
      </w:r>
      <w:r w:rsidRPr="00E73B44">
        <w:rPr>
          <w:color w:val="000000"/>
          <w:sz w:val="28"/>
          <w:szCs w:val="28"/>
        </w:rPr>
        <w:t>.</w:t>
      </w:r>
      <w:r w:rsidRPr="00170B7C">
        <w:rPr>
          <w:color w:val="000000"/>
          <w:sz w:val="28"/>
          <w:szCs w:val="28"/>
        </w:rPr>
        <w:t>  </w:t>
      </w:r>
    </w:p>
    <w:p w14:paraId="52B2D592" w14:textId="3FB6510C" w:rsidR="00C700B8" w:rsidRPr="00E73B44"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Существует положительная корреляция при измерении объема печени с помощью </w:t>
      </w:r>
      <w:r w:rsidRPr="00E73B44">
        <w:rPr>
          <w:color w:val="000000"/>
          <w:sz w:val="28"/>
          <w:szCs w:val="28"/>
        </w:rPr>
        <w:t xml:space="preserve">КТ, МРТ и УЗИ.  МРТ имеет дополнительное преимущество в виде превосходной визуализации мягких тканей. Теоретически это может позволить более точно сегментировать границы печени, а также определить очаговые </w:t>
      </w:r>
      <w:r w:rsidR="001E740B">
        <w:rPr>
          <w:color w:val="000000"/>
          <w:sz w:val="28"/>
          <w:szCs w:val="28"/>
        </w:rPr>
        <w:t>образования</w:t>
      </w:r>
      <w:r w:rsidR="00BE05A3">
        <w:rPr>
          <w:color w:val="000000"/>
          <w:sz w:val="28"/>
          <w:szCs w:val="28"/>
        </w:rPr>
        <w:t xml:space="preserve"> печени</w:t>
      </w:r>
      <w:r w:rsidRPr="00E73B44">
        <w:rPr>
          <w:color w:val="000000"/>
          <w:sz w:val="28"/>
          <w:szCs w:val="28"/>
        </w:rPr>
        <w:t>.</w:t>
      </w:r>
      <w:r w:rsidRPr="00E73B44">
        <w:rPr>
          <w:rFonts w:eastAsia="Calibri"/>
          <w:color w:val="000000"/>
          <w:sz w:val="28"/>
          <w:szCs w:val="28"/>
        </w:rPr>
        <w:t xml:space="preserve"> </w:t>
      </w:r>
    </w:p>
    <w:p w14:paraId="31B81BBB" w14:textId="76DF4637" w:rsidR="00C700B8" w:rsidRPr="00E73B44"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E73B44">
        <w:rPr>
          <w:color w:val="000000"/>
          <w:sz w:val="28"/>
          <w:szCs w:val="28"/>
        </w:rPr>
        <w:t xml:space="preserve">Знание нормальной и вариантной сосудистой и желчевыводящей анатомии и их хирургической значимости для трансплантации печени имеет первостепенное значение для радиолога. МРТ является золотым стандартом для оценки анатомии желчевыводящих путей и позволяет количественно оценить </w:t>
      </w:r>
      <w:r w:rsidRPr="00E73B44">
        <w:rPr>
          <w:color w:val="000000"/>
          <w:sz w:val="28"/>
          <w:szCs w:val="28"/>
        </w:rPr>
        <w:lastRenderedPageBreak/>
        <w:t>стеатоз печени по сравнению с КТ. Однако, метод требует относительно сложн</w:t>
      </w:r>
      <w:r w:rsidR="002579BE" w:rsidRPr="00E73B44">
        <w:rPr>
          <w:color w:val="000000"/>
          <w:sz w:val="28"/>
          <w:szCs w:val="28"/>
        </w:rPr>
        <w:t xml:space="preserve">ого протокола, в то время как </w:t>
      </w:r>
      <w:r w:rsidRPr="00E73B44">
        <w:rPr>
          <w:color w:val="000000"/>
          <w:sz w:val="28"/>
          <w:szCs w:val="28"/>
        </w:rPr>
        <w:t>КТ может обеспечить количественную оценку жировой дистрофии печени с аналогичной точностью при обнаружении умеренного и тяжелого стеатоза печени и при меньших затратах. МРТ не подходит для пациентов с клаустрофобией, наличием металлических имплантов. Более того, качество изображений МРТ легко ухудшается из-за артефактов движения, которые препятствуют точной оценке.</w:t>
      </w:r>
    </w:p>
    <w:p w14:paraId="7F0C98AA" w14:textId="01C6BB28" w:rsidR="00F95D68"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E73B44">
        <w:rPr>
          <w:color w:val="000000"/>
          <w:sz w:val="28"/>
          <w:szCs w:val="28"/>
        </w:rPr>
        <w:t xml:space="preserve">УЗИ - доступный и недорогой способ быстрой оценки размеров печени. Кроме того, ультразвук не подвергает пациента </w:t>
      </w:r>
      <w:r w:rsidR="00733D80" w:rsidRPr="00E73B44">
        <w:rPr>
          <w:color w:val="000000"/>
          <w:sz w:val="28"/>
          <w:szCs w:val="28"/>
        </w:rPr>
        <w:t>радиационному</w:t>
      </w:r>
      <w:r w:rsidR="00733D80">
        <w:rPr>
          <w:color w:val="000000"/>
          <w:sz w:val="28"/>
          <w:szCs w:val="28"/>
        </w:rPr>
        <w:t xml:space="preserve"> </w:t>
      </w:r>
      <w:r w:rsidRPr="00170B7C">
        <w:rPr>
          <w:color w:val="000000"/>
          <w:sz w:val="28"/>
          <w:szCs w:val="28"/>
        </w:rPr>
        <w:t>облучению и поэтому может использоваться, когда это необходимо. Однако данный метод сильно зависит от субъективных измерений специалиста, часто возникают технические сложности, например, если у пациента высокое расположение печени, артефакты, также отсутствуют единые УЗ-</w:t>
      </w:r>
      <w:r w:rsidR="00BE05A3">
        <w:rPr>
          <w:color w:val="000000"/>
          <w:sz w:val="28"/>
          <w:szCs w:val="28"/>
        </w:rPr>
        <w:t>параметры расчета объема печени</w:t>
      </w:r>
      <w:r w:rsidR="00DA21B7" w:rsidRPr="00DA21B7">
        <w:rPr>
          <w:color w:val="000000"/>
          <w:sz w:val="28"/>
          <w:szCs w:val="28"/>
        </w:rPr>
        <w:t>.</w:t>
      </w:r>
    </w:p>
    <w:p w14:paraId="2149B9C1" w14:textId="773C4828" w:rsidR="00F95D68" w:rsidRPr="00C60723" w:rsidRDefault="00F95D68" w:rsidP="00E7500F">
      <w:pPr>
        <w:autoSpaceDE w:val="0"/>
        <w:autoSpaceDN w:val="0"/>
        <w:ind w:firstLine="567"/>
        <w:jc w:val="both"/>
        <w:rPr>
          <w:color w:val="000000" w:themeColor="text1"/>
          <w:sz w:val="28"/>
          <w:szCs w:val="28"/>
        </w:rPr>
      </w:pPr>
      <w:r w:rsidRPr="00170B7C">
        <w:rPr>
          <w:color w:val="000000"/>
          <w:sz w:val="28"/>
          <w:szCs w:val="28"/>
        </w:rPr>
        <w:t xml:space="preserve">В предоперационном этапе потенциальным донорам печени обязательно проводится КТ с болюсным введением контрастного вещества </w:t>
      </w:r>
      <w:r w:rsidR="00E7500F" w:rsidRPr="00170B7C">
        <w:rPr>
          <w:color w:val="000000"/>
          <w:sz w:val="28"/>
          <w:szCs w:val="28"/>
        </w:rPr>
        <w:t>в четыре фазы: нативная, артериальная, порто-венозная и отсроченная</w:t>
      </w:r>
      <w:r w:rsidR="00E7500F" w:rsidRPr="00F95D68">
        <w:rPr>
          <w:color w:val="000000"/>
          <w:sz w:val="28"/>
          <w:szCs w:val="28"/>
        </w:rPr>
        <w:t xml:space="preserve"> </w:t>
      </w:r>
      <w:r w:rsidRPr="00170B7C">
        <w:rPr>
          <w:color w:val="000000"/>
          <w:sz w:val="28"/>
          <w:szCs w:val="28"/>
        </w:rPr>
        <w:t xml:space="preserve">для исключения патологий органов брюшной полости, а также для оценки архитектоники сосудов и определения типов их </w:t>
      </w:r>
      <w:r w:rsidRPr="00C60723">
        <w:rPr>
          <w:color w:val="000000" w:themeColor="text1"/>
          <w:sz w:val="28"/>
          <w:szCs w:val="28"/>
        </w:rPr>
        <w:t>ветвления</w:t>
      </w:r>
      <w:r w:rsidR="00DA21B7" w:rsidRPr="00C60723">
        <w:rPr>
          <w:color w:val="000000" w:themeColor="text1"/>
          <w:sz w:val="28"/>
          <w:szCs w:val="28"/>
        </w:rPr>
        <w:t>.</w:t>
      </w:r>
      <w:r w:rsidRPr="00C60723">
        <w:rPr>
          <w:color w:val="000000" w:themeColor="text1"/>
          <w:sz w:val="28"/>
          <w:szCs w:val="28"/>
        </w:rPr>
        <w:t xml:space="preserve"> </w:t>
      </w:r>
    </w:p>
    <w:p w14:paraId="2467EEAB" w14:textId="0A0AE1A5"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Компьютерная томография позволяет получить сведения об анатомии печени, </w:t>
      </w:r>
      <w:r w:rsidRPr="00E73B44">
        <w:rPr>
          <w:color w:val="000000"/>
          <w:sz w:val="28"/>
          <w:szCs w:val="28"/>
        </w:rPr>
        <w:t xml:space="preserve">сосудистом строении печеночных артерий и вен, разветвлений воротной вены, что важно для хирургического планирования резекции и обеспечивает </w:t>
      </w:r>
      <w:r w:rsidR="00927DF1" w:rsidRPr="00E73B44">
        <w:rPr>
          <w:color w:val="000000"/>
          <w:sz w:val="28"/>
          <w:szCs w:val="28"/>
        </w:rPr>
        <w:t>положительную</w:t>
      </w:r>
      <w:r w:rsidRPr="00E73B44">
        <w:rPr>
          <w:color w:val="000000"/>
          <w:sz w:val="28"/>
          <w:szCs w:val="28"/>
        </w:rPr>
        <w:t xml:space="preserve"> корреляцию измеренного объема печени с</w:t>
      </w:r>
      <w:r w:rsidR="00BE05A3">
        <w:rPr>
          <w:color w:val="000000"/>
          <w:sz w:val="28"/>
          <w:szCs w:val="28"/>
        </w:rPr>
        <w:t xml:space="preserve"> полученным весом трансплантата</w:t>
      </w:r>
      <w:r w:rsidRPr="00E73B44">
        <w:rPr>
          <w:color w:val="000000"/>
          <w:sz w:val="28"/>
          <w:szCs w:val="28"/>
        </w:rPr>
        <w:t>.</w:t>
      </w:r>
      <w:r w:rsidRPr="00170B7C">
        <w:rPr>
          <w:color w:val="000000"/>
          <w:sz w:val="28"/>
          <w:szCs w:val="28"/>
        </w:rPr>
        <w:t>  </w:t>
      </w:r>
    </w:p>
    <w:p w14:paraId="423BC986" w14:textId="3A6DE357" w:rsidR="00927DF1" w:rsidRPr="00170B7C" w:rsidRDefault="00927DF1"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На сегодняшний день, компьютерно-томографическая (КТ) волюметрия является стандартным методом предоп</w:t>
      </w:r>
      <w:r w:rsidR="00BE05A3">
        <w:rPr>
          <w:color w:val="000000"/>
          <w:sz w:val="28"/>
          <w:szCs w:val="28"/>
        </w:rPr>
        <w:t>ерационной оценки объема печени</w:t>
      </w:r>
      <w:r w:rsidRPr="00DA21B7">
        <w:rPr>
          <w:color w:val="000000"/>
          <w:sz w:val="28"/>
          <w:szCs w:val="28"/>
        </w:rPr>
        <w:t>.</w:t>
      </w:r>
    </w:p>
    <w:p w14:paraId="0AAEE463" w14:textId="72048689"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КТ-волюметрия печени проводится как на рабочей станции самого аппарата, так и </w:t>
      </w:r>
      <w:r w:rsidR="001A5139" w:rsidRPr="00E73B44">
        <w:rPr>
          <w:color w:val="000000"/>
          <w:sz w:val="28"/>
          <w:szCs w:val="28"/>
        </w:rPr>
        <w:t>специальных коммерческих программах</w:t>
      </w:r>
      <w:r w:rsidRPr="00E73B44">
        <w:rPr>
          <w:color w:val="000000"/>
          <w:sz w:val="28"/>
          <w:szCs w:val="28"/>
        </w:rPr>
        <w:t xml:space="preserve">. В традиционном методе расчета для вычисления объема печени используются анатомические ориентиры в соответствии с классификацией Куино. Расчет проводится в порто-венозную фазу, где хорошо визуализируются печеночные вены. Сначала проводится расчет общего объема печени, затем остаточного объема печени. Ветвь средней печеночной </w:t>
      </w:r>
      <w:r w:rsidR="00DD2268">
        <w:rPr>
          <w:color w:val="000000"/>
          <w:sz w:val="28"/>
          <w:szCs w:val="28"/>
        </w:rPr>
        <w:t xml:space="preserve">вены </w:t>
      </w:r>
      <w:r w:rsidRPr="00E73B44">
        <w:rPr>
          <w:color w:val="000000"/>
          <w:sz w:val="28"/>
          <w:szCs w:val="28"/>
        </w:rPr>
        <w:t>используется в</w:t>
      </w:r>
      <w:r w:rsidRPr="00170B7C">
        <w:rPr>
          <w:color w:val="000000"/>
          <w:sz w:val="28"/>
          <w:szCs w:val="28"/>
        </w:rPr>
        <w:t xml:space="preserve"> качестве ориентира для линии пересечения виртуальной резекции печени. Проводится воображаемая плоскость между средней печеночной веной и ямкой желчного пузыря и делит печен</w:t>
      </w:r>
      <w:r w:rsidR="00BE05A3">
        <w:rPr>
          <w:color w:val="000000"/>
          <w:sz w:val="28"/>
          <w:szCs w:val="28"/>
        </w:rPr>
        <w:t>ь на два полушария</w:t>
      </w:r>
      <w:r w:rsidRPr="00170B7C">
        <w:rPr>
          <w:color w:val="000000"/>
          <w:sz w:val="28"/>
          <w:szCs w:val="28"/>
        </w:rPr>
        <w:t xml:space="preserve">. Полученная на рабочей станции компьютерного томографа 3D-реконструкция печени предоставляет дополнительные данные о пространственном расположении и индивидуальной трехмерной модели печени, строении сосудов и их разветвлений. Для хирургов так же предоставляется возможность </w:t>
      </w:r>
      <w:r w:rsidR="00697165">
        <w:rPr>
          <w:color w:val="000000"/>
          <w:sz w:val="28"/>
          <w:szCs w:val="28"/>
        </w:rPr>
        <w:t xml:space="preserve">интерактивного </w:t>
      </w:r>
      <w:r w:rsidRPr="00170B7C">
        <w:rPr>
          <w:color w:val="000000"/>
          <w:sz w:val="28"/>
          <w:szCs w:val="28"/>
        </w:rPr>
        <w:t>планирования трансплантации и проведения виртуальной резекции вдоль средней печеночной вены.  </w:t>
      </w:r>
    </w:p>
    <w:p w14:paraId="727C611C" w14:textId="625D7ECE" w:rsidR="00325B6A"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В 197</w:t>
      </w:r>
      <w:r w:rsidR="00E5612E" w:rsidRPr="00E5612E">
        <w:rPr>
          <w:color w:val="000000"/>
          <w:sz w:val="28"/>
          <w:szCs w:val="28"/>
        </w:rPr>
        <w:t>9</w:t>
      </w:r>
      <w:r w:rsidRPr="00170B7C">
        <w:rPr>
          <w:color w:val="000000"/>
          <w:sz w:val="28"/>
          <w:szCs w:val="28"/>
        </w:rPr>
        <w:t xml:space="preserve"> году Heymsfield S. и соавт.</w:t>
      </w:r>
      <w:r w:rsidRPr="00170B7C">
        <w:rPr>
          <w:color w:val="FF0000"/>
          <w:sz w:val="28"/>
          <w:szCs w:val="28"/>
        </w:rPr>
        <w:t xml:space="preserve"> </w:t>
      </w:r>
      <w:r w:rsidRPr="00170B7C">
        <w:rPr>
          <w:color w:val="000000"/>
          <w:sz w:val="28"/>
          <w:szCs w:val="28"/>
        </w:rPr>
        <w:t>были первым</w:t>
      </w:r>
      <w:r w:rsidR="00E5612E">
        <w:rPr>
          <w:color w:val="000000"/>
          <w:sz w:val="28"/>
          <w:szCs w:val="28"/>
        </w:rPr>
        <w:t>и, кто рассчитал объем печени, с</w:t>
      </w:r>
      <w:r w:rsidRPr="00170B7C">
        <w:rPr>
          <w:color w:val="000000"/>
          <w:sz w:val="28"/>
          <w:szCs w:val="28"/>
        </w:rPr>
        <w:t xml:space="preserve"> тех пор было разработано множество </w:t>
      </w:r>
      <w:r w:rsidR="00697165">
        <w:rPr>
          <w:color w:val="000000"/>
          <w:sz w:val="28"/>
          <w:szCs w:val="28"/>
        </w:rPr>
        <w:t>программ</w:t>
      </w:r>
      <w:r w:rsidRPr="00170B7C">
        <w:rPr>
          <w:color w:val="000000"/>
          <w:sz w:val="28"/>
          <w:szCs w:val="28"/>
        </w:rPr>
        <w:t xml:space="preserve">, использующих мануальные, автоматические и полуавтоматические методы измерения объема </w:t>
      </w:r>
      <w:r w:rsidRPr="00170B7C">
        <w:rPr>
          <w:color w:val="000000"/>
          <w:sz w:val="28"/>
          <w:szCs w:val="28"/>
        </w:rPr>
        <w:lastRenderedPageBreak/>
        <w:t xml:space="preserve">печени. На сегодняшний день существуют: мануальный метод, наиболее известные коммерческие полуавтоматические (OsiriX - Швейцария; Doctor Liver - Южная Корея) и автоматические </w:t>
      </w:r>
      <w:r w:rsidR="001A5139">
        <w:rPr>
          <w:color w:val="000000"/>
          <w:sz w:val="28"/>
          <w:szCs w:val="28"/>
        </w:rPr>
        <w:t>программы</w:t>
      </w:r>
      <w:r w:rsidR="001A5139" w:rsidRPr="00170B7C">
        <w:rPr>
          <w:color w:val="000000"/>
          <w:sz w:val="28"/>
          <w:szCs w:val="28"/>
        </w:rPr>
        <w:t xml:space="preserve"> </w:t>
      </w:r>
      <w:r w:rsidRPr="00170B7C">
        <w:rPr>
          <w:color w:val="000000"/>
          <w:sz w:val="28"/>
          <w:szCs w:val="28"/>
        </w:rPr>
        <w:t>(Voxar 3D - Япония; Syngo.via - Германия; IQQA Liver - Кита</w:t>
      </w:r>
      <w:r w:rsidR="00A66619">
        <w:rPr>
          <w:color w:val="000000"/>
          <w:sz w:val="28"/>
          <w:szCs w:val="28"/>
        </w:rPr>
        <w:t>й-США; Synapse Vincent -Япония)</w:t>
      </w:r>
      <w:r w:rsidRPr="00170B7C">
        <w:rPr>
          <w:color w:val="000000"/>
          <w:sz w:val="28"/>
          <w:szCs w:val="28"/>
        </w:rPr>
        <w:t xml:space="preserve">. </w:t>
      </w:r>
      <w:r w:rsidR="002B0EBF" w:rsidRPr="002B0EBF">
        <w:rPr>
          <w:color w:val="000000"/>
          <w:sz w:val="28"/>
          <w:szCs w:val="28"/>
        </w:rPr>
        <w:t>Однако,</w:t>
      </w:r>
      <w:r w:rsidR="00043FC9">
        <w:rPr>
          <w:color w:val="000000"/>
          <w:sz w:val="28"/>
          <w:szCs w:val="28"/>
        </w:rPr>
        <w:t xml:space="preserve"> у каждой из программ </w:t>
      </w:r>
      <w:r w:rsidR="002B0EBF" w:rsidRPr="002B0EBF">
        <w:rPr>
          <w:color w:val="000000"/>
          <w:sz w:val="28"/>
          <w:szCs w:val="28"/>
        </w:rPr>
        <w:t>есть свои сильные и слабые стороны</w:t>
      </w:r>
      <w:r w:rsidR="00325B6A">
        <w:rPr>
          <w:color w:val="000000"/>
          <w:sz w:val="28"/>
          <w:szCs w:val="28"/>
        </w:rPr>
        <w:t>.</w:t>
      </w:r>
    </w:p>
    <w:p w14:paraId="28A6636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Подробные параметры каждого технического подхода представлены в таблице 2.  </w:t>
      </w:r>
    </w:p>
    <w:p w14:paraId="123F9C5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170B7C">
        <w:rPr>
          <w:rFonts w:eastAsia="Calibri"/>
          <w:color w:val="000000"/>
          <w:sz w:val="28"/>
          <w:szCs w:val="28"/>
        </w:rPr>
        <w:t> </w:t>
      </w:r>
    </w:p>
    <w:p w14:paraId="2D5C909D" w14:textId="4906F1E2" w:rsidR="00C700B8" w:rsidRDefault="00274D3C" w:rsidP="00043FC9">
      <w:pPr>
        <w:pBdr>
          <w:top w:val="none" w:sz="0" w:space="0" w:color="000000"/>
          <w:left w:val="none" w:sz="0" w:space="0" w:color="000000"/>
          <w:bottom w:val="none" w:sz="0" w:space="0" w:color="000000"/>
          <w:right w:val="none" w:sz="0" w:space="0" w:color="000000"/>
          <w:between w:val="none" w:sz="0" w:space="0" w:color="000000"/>
        </w:pBdr>
        <w:ind w:firstLine="567"/>
        <w:jc w:val="center"/>
        <w:rPr>
          <w:color w:val="FF0000"/>
          <w:sz w:val="28"/>
          <w:szCs w:val="28"/>
        </w:rPr>
      </w:pPr>
      <w:r w:rsidRPr="00170B7C">
        <w:rPr>
          <w:color w:val="000000"/>
          <w:sz w:val="28"/>
          <w:szCs w:val="28"/>
        </w:rPr>
        <w:t>Таблица 2 - Преимущества и недостатки методов</w:t>
      </w:r>
      <w:r w:rsidR="00A66619">
        <w:rPr>
          <w:color w:val="000000"/>
          <w:sz w:val="28"/>
          <w:szCs w:val="28"/>
        </w:rPr>
        <w:t xml:space="preserve"> КТ-волюметрии печени донора</w:t>
      </w:r>
    </w:p>
    <w:p w14:paraId="5324B1EC" w14:textId="77777777" w:rsidR="00043FC9" w:rsidRPr="002B0EBF" w:rsidRDefault="00043FC9" w:rsidP="00043FC9">
      <w:pPr>
        <w:pBdr>
          <w:top w:val="none" w:sz="0" w:space="0" w:color="000000"/>
          <w:left w:val="none" w:sz="0" w:space="0" w:color="000000"/>
          <w:bottom w:val="none" w:sz="0" w:space="0" w:color="000000"/>
          <w:right w:val="none" w:sz="0" w:space="0" w:color="000000"/>
          <w:between w:val="none" w:sz="0" w:space="0" w:color="000000"/>
        </w:pBdr>
        <w:ind w:firstLine="567"/>
        <w:jc w:val="center"/>
        <w:rPr>
          <w:rFonts w:eastAsia="Calibri"/>
          <w:color w:val="000000"/>
          <w:sz w:val="28"/>
          <w:szCs w:val="28"/>
        </w:rPr>
      </w:pPr>
    </w:p>
    <w:tbl>
      <w:tblPr>
        <w:tblStyle w:val="afa"/>
        <w:tblW w:w="9639" w:type="dxa"/>
        <w:tblInd w:w="-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694"/>
        <w:gridCol w:w="1559"/>
        <w:gridCol w:w="992"/>
        <w:gridCol w:w="992"/>
        <w:gridCol w:w="1418"/>
        <w:gridCol w:w="1984"/>
      </w:tblGrid>
      <w:tr w:rsidR="00C700B8" w:rsidRPr="00170B7C" w14:paraId="204F9279" w14:textId="77777777">
        <w:trPr>
          <w:cantSplit/>
          <w:trHeight w:val="840"/>
          <w:tblHeader/>
        </w:trPr>
        <w:tc>
          <w:tcPr>
            <w:tcW w:w="2694" w:type="dxa"/>
            <w:tcBorders>
              <w:top w:val="single" w:sz="8" w:space="0" w:color="000000"/>
              <w:left w:val="single" w:sz="8" w:space="0" w:color="000000"/>
              <w:bottom w:val="single" w:sz="8" w:space="0" w:color="000000"/>
              <w:right w:val="single" w:sz="8" w:space="0" w:color="000000"/>
            </w:tcBorders>
            <w:shd w:val="clear" w:color="auto" w:fill="auto"/>
          </w:tcPr>
          <w:p w14:paraId="41CA913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color w:val="000000"/>
                <w:sz w:val="28"/>
                <w:szCs w:val="28"/>
              </w:rPr>
              <w:t>Методы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Pr>
          <w:p w14:paraId="1332973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color w:val="000000"/>
                <w:sz w:val="28"/>
                <w:szCs w:val="28"/>
              </w:rPr>
              <w:t>Воспроизво- димость </w:t>
            </w:r>
          </w:p>
        </w:tc>
        <w:tc>
          <w:tcPr>
            <w:tcW w:w="992" w:type="dxa"/>
            <w:tcBorders>
              <w:top w:val="single" w:sz="8" w:space="0" w:color="000000"/>
              <w:left w:val="single" w:sz="8" w:space="0" w:color="000000"/>
              <w:bottom w:val="single" w:sz="8" w:space="0" w:color="000000"/>
              <w:right w:val="single" w:sz="8" w:space="0" w:color="000000"/>
            </w:tcBorders>
            <w:shd w:val="clear" w:color="auto" w:fill="auto"/>
          </w:tcPr>
          <w:p w14:paraId="16E012D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color w:val="000000"/>
                <w:sz w:val="28"/>
                <w:szCs w:val="28"/>
              </w:rPr>
              <w:t>Надеж- ность </w:t>
            </w:r>
          </w:p>
        </w:tc>
        <w:tc>
          <w:tcPr>
            <w:tcW w:w="992" w:type="dxa"/>
            <w:tcBorders>
              <w:top w:val="single" w:sz="8" w:space="0" w:color="000000"/>
              <w:left w:val="single" w:sz="8" w:space="0" w:color="000000"/>
              <w:bottom w:val="single" w:sz="8" w:space="0" w:color="000000"/>
              <w:right w:val="single" w:sz="8" w:space="0" w:color="000000"/>
            </w:tcBorders>
            <w:shd w:val="clear" w:color="auto" w:fill="auto"/>
          </w:tcPr>
          <w:p w14:paraId="2D3E9CB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color w:val="000000"/>
                <w:sz w:val="28"/>
                <w:szCs w:val="28"/>
              </w:rPr>
              <w:t>Время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14:paraId="560FDD1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160" w:right="-160"/>
              <w:jc w:val="center"/>
              <w:rPr>
                <w:rFonts w:eastAsia="Calibri"/>
                <w:color w:val="000000"/>
                <w:sz w:val="28"/>
                <w:szCs w:val="28"/>
              </w:rPr>
            </w:pPr>
            <w:r w:rsidRPr="00170B7C">
              <w:rPr>
                <w:color w:val="000000"/>
                <w:sz w:val="28"/>
                <w:szCs w:val="28"/>
              </w:rPr>
              <w:t>Интерак- тивность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Pr>
          <w:p w14:paraId="39A0D04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color w:val="000000"/>
                <w:sz w:val="28"/>
                <w:szCs w:val="28"/>
              </w:rPr>
              <w:t>Сложность </w:t>
            </w:r>
          </w:p>
          <w:p w14:paraId="696344B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right="-160"/>
              <w:jc w:val="center"/>
              <w:rPr>
                <w:rFonts w:eastAsia="Calibri"/>
                <w:color w:val="000000"/>
                <w:sz w:val="28"/>
                <w:szCs w:val="28"/>
              </w:rPr>
            </w:pPr>
            <w:r w:rsidRPr="00170B7C">
              <w:rPr>
                <w:color w:val="000000"/>
                <w:sz w:val="28"/>
                <w:szCs w:val="28"/>
              </w:rPr>
              <w:t>реализации </w:t>
            </w:r>
          </w:p>
        </w:tc>
      </w:tr>
      <w:tr w:rsidR="00C700B8" w:rsidRPr="00170B7C" w14:paraId="16E0CCCA" w14:textId="77777777">
        <w:trPr>
          <w:cantSplit/>
          <w:trHeight w:val="540"/>
          <w:tblHeader/>
        </w:trPr>
        <w:tc>
          <w:tcPr>
            <w:tcW w:w="2694" w:type="dxa"/>
            <w:tcBorders>
              <w:top w:val="single" w:sz="8" w:space="0" w:color="000000"/>
              <w:left w:val="single" w:sz="8" w:space="0" w:color="000000"/>
              <w:bottom w:val="single" w:sz="8" w:space="0" w:color="000000"/>
              <w:right w:val="single" w:sz="8" w:space="0" w:color="000000"/>
            </w:tcBorders>
            <w:shd w:val="clear" w:color="auto" w:fill="auto"/>
          </w:tcPr>
          <w:p w14:paraId="27B2E0B5" w14:textId="77777777" w:rsidR="00C700B8" w:rsidRPr="00170B7C" w:rsidRDefault="00C60723" w:rsidP="00170B7C">
            <w:pPr>
              <w:pBdr>
                <w:top w:val="none" w:sz="0" w:space="0" w:color="000000"/>
                <w:left w:val="none" w:sz="0" w:space="0" w:color="000000"/>
                <w:bottom w:val="none" w:sz="0" w:space="0" w:color="000000"/>
                <w:right w:val="none" w:sz="0" w:space="0" w:color="000000"/>
                <w:between w:val="none" w:sz="0" w:space="0" w:color="000000"/>
              </w:pBdr>
              <w:ind w:left="-20"/>
              <w:rPr>
                <w:rFonts w:eastAsia="Calibri"/>
                <w:color w:val="000000"/>
                <w:sz w:val="28"/>
                <w:szCs w:val="28"/>
              </w:rPr>
            </w:pPr>
            <w:r>
              <w:rPr>
                <w:color w:val="000000"/>
                <w:sz w:val="28"/>
                <w:szCs w:val="28"/>
              </w:rPr>
              <w:t xml:space="preserve"> </w:t>
            </w:r>
            <w:r w:rsidR="00EE2183">
              <w:rPr>
                <w:color w:val="000000"/>
                <w:sz w:val="28"/>
                <w:szCs w:val="28"/>
              </w:rPr>
              <w:t>Мануальный</w:t>
            </w:r>
          </w:p>
        </w:tc>
        <w:tc>
          <w:tcPr>
            <w:tcW w:w="1559" w:type="dxa"/>
            <w:tcBorders>
              <w:top w:val="single" w:sz="8" w:space="0" w:color="000000"/>
              <w:left w:val="single" w:sz="8" w:space="0" w:color="000000"/>
              <w:bottom w:val="single" w:sz="8" w:space="0" w:color="000000"/>
              <w:right w:val="single" w:sz="8" w:space="0" w:color="000000"/>
            </w:tcBorders>
            <w:shd w:val="clear" w:color="auto" w:fill="00B050"/>
          </w:tcPr>
          <w:p w14:paraId="146354C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rFonts w:eastAsia="Cardo"/>
                <w:color w:val="000000"/>
                <w:sz w:val="28"/>
                <w:szCs w:val="28"/>
              </w:rPr>
              <w:t>↑ </w:t>
            </w:r>
          </w:p>
        </w:tc>
        <w:tc>
          <w:tcPr>
            <w:tcW w:w="992" w:type="dxa"/>
            <w:tcBorders>
              <w:top w:val="single" w:sz="8" w:space="0" w:color="000000"/>
              <w:left w:val="single" w:sz="8" w:space="0" w:color="000000"/>
              <w:bottom w:val="single" w:sz="8" w:space="0" w:color="000000"/>
              <w:right w:val="single" w:sz="8" w:space="0" w:color="000000"/>
            </w:tcBorders>
            <w:shd w:val="clear" w:color="auto" w:fill="00B050"/>
          </w:tcPr>
          <w:p w14:paraId="41B8F62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rFonts w:eastAsia="Cardo"/>
                <w:color w:val="000000"/>
                <w:sz w:val="28"/>
                <w:szCs w:val="28"/>
              </w:rPr>
              <w:t>↑ </w:t>
            </w:r>
          </w:p>
        </w:tc>
        <w:tc>
          <w:tcPr>
            <w:tcW w:w="992" w:type="dxa"/>
            <w:tcBorders>
              <w:top w:val="single" w:sz="8" w:space="0" w:color="000000"/>
              <w:left w:val="single" w:sz="8" w:space="0" w:color="000000"/>
              <w:bottom w:val="single" w:sz="8" w:space="0" w:color="000000"/>
              <w:right w:val="single" w:sz="8" w:space="0" w:color="000000"/>
            </w:tcBorders>
            <w:shd w:val="clear" w:color="auto" w:fill="FF0000"/>
          </w:tcPr>
          <w:p w14:paraId="6FC8A43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rFonts w:eastAsia="Cardo"/>
                <w:color w:val="000000"/>
                <w:sz w:val="28"/>
                <w:szCs w:val="28"/>
              </w:rPr>
              <w:t>↑↑ </w:t>
            </w:r>
          </w:p>
        </w:tc>
        <w:tc>
          <w:tcPr>
            <w:tcW w:w="1418" w:type="dxa"/>
            <w:tcBorders>
              <w:top w:val="single" w:sz="8" w:space="0" w:color="000000"/>
              <w:left w:val="single" w:sz="8" w:space="0" w:color="000000"/>
              <w:bottom w:val="single" w:sz="8" w:space="0" w:color="000000"/>
              <w:right w:val="single" w:sz="8" w:space="0" w:color="000000"/>
            </w:tcBorders>
            <w:shd w:val="clear" w:color="auto" w:fill="FF0000"/>
          </w:tcPr>
          <w:p w14:paraId="7F50AE9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rFonts w:eastAsia="Cardo"/>
                <w:color w:val="000000"/>
                <w:sz w:val="28"/>
                <w:szCs w:val="28"/>
              </w:rPr>
              <w:t>↓ </w:t>
            </w:r>
          </w:p>
        </w:tc>
        <w:tc>
          <w:tcPr>
            <w:tcW w:w="1984" w:type="dxa"/>
            <w:tcBorders>
              <w:top w:val="single" w:sz="8" w:space="0" w:color="000000"/>
              <w:left w:val="single" w:sz="8" w:space="0" w:color="000000"/>
              <w:bottom w:val="single" w:sz="8" w:space="0" w:color="000000"/>
              <w:right w:val="single" w:sz="8" w:space="0" w:color="000000"/>
            </w:tcBorders>
            <w:shd w:val="clear" w:color="auto" w:fill="00B050"/>
          </w:tcPr>
          <w:p w14:paraId="5546C42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rFonts w:eastAsia="Cardo"/>
                <w:color w:val="000000"/>
                <w:sz w:val="28"/>
                <w:szCs w:val="28"/>
              </w:rPr>
              <w:t>↓↓ </w:t>
            </w:r>
          </w:p>
        </w:tc>
      </w:tr>
      <w:tr w:rsidR="00C700B8" w:rsidRPr="00170B7C" w14:paraId="39E124BB" w14:textId="77777777">
        <w:trPr>
          <w:cantSplit/>
          <w:trHeight w:val="480"/>
          <w:tblHeader/>
        </w:trPr>
        <w:tc>
          <w:tcPr>
            <w:tcW w:w="2694" w:type="dxa"/>
            <w:tcBorders>
              <w:top w:val="single" w:sz="8" w:space="0" w:color="000000"/>
              <w:left w:val="single" w:sz="8" w:space="0" w:color="000000"/>
              <w:bottom w:val="single" w:sz="8" w:space="0" w:color="000000"/>
              <w:right w:val="single" w:sz="8" w:space="0" w:color="000000"/>
            </w:tcBorders>
            <w:shd w:val="clear" w:color="auto" w:fill="auto"/>
          </w:tcPr>
          <w:p w14:paraId="491D1E1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rPr>
                <w:rFonts w:eastAsia="Calibri"/>
                <w:color w:val="000000"/>
                <w:sz w:val="28"/>
                <w:szCs w:val="28"/>
              </w:rPr>
            </w:pPr>
            <w:r w:rsidRPr="00170B7C">
              <w:rPr>
                <w:color w:val="000000"/>
                <w:sz w:val="28"/>
                <w:szCs w:val="28"/>
              </w:rPr>
              <w:t>Полуавтоматический   </w:t>
            </w:r>
          </w:p>
        </w:tc>
        <w:tc>
          <w:tcPr>
            <w:tcW w:w="1559" w:type="dxa"/>
            <w:tcBorders>
              <w:top w:val="single" w:sz="8" w:space="0" w:color="000000"/>
              <w:left w:val="single" w:sz="8" w:space="0" w:color="000000"/>
              <w:bottom w:val="single" w:sz="8" w:space="0" w:color="000000"/>
              <w:right w:val="single" w:sz="8" w:space="0" w:color="000000"/>
            </w:tcBorders>
            <w:shd w:val="clear" w:color="auto" w:fill="00B050"/>
          </w:tcPr>
          <w:p w14:paraId="7D179DA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rFonts w:eastAsia="Cardo"/>
                <w:color w:val="000000"/>
                <w:sz w:val="28"/>
                <w:szCs w:val="28"/>
              </w:rPr>
              <w:t>↑ </w:t>
            </w:r>
          </w:p>
        </w:tc>
        <w:tc>
          <w:tcPr>
            <w:tcW w:w="992" w:type="dxa"/>
            <w:tcBorders>
              <w:top w:val="single" w:sz="8" w:space="0" w:color="000000"/>
              <w:left w:val="single" w:sz="8" w:space="0" w:color="000000"/>
              <w:bottom w:val="single" w:sz="8" w:space="0" w:color="000000"/>
              <w:right w:val="single" w:sz="8" w:space="0" w:color="000000"/>
            </w:tcBorders>
            <w:shd w:val="clear" w:color="auto" w:fill="FF0000"/>
          </w:tcPr>
          <w:p w14:paraId="0E093A2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rFonts w:eastAsia="Cardo"/>
                <w:color w:val="000000"/>
                <w:sz w:val="28"/>
                <w:szCs w:val="28"/>
              </w:rPr>
              <w:t>↓ </w:t>
            </w:r>
          </w:p>
        </w:tc>
        <w:tc>
          <w:tcPr>
            <w:tcW w:w="992" w:type="dxa"/>
            <w:tcBorders>
              <w:top w:val="single" w:sz="8" w:space="0" w:color="000000"/>
              <w:left w:val="single" w:sz="8" w:space="0" w:color="000000"/>
              <w:bottom w:val="single" w:sz="8" w:space="0" w:color="000000"/>
              <w:right w:val="single" w:sz="8" w:space="0" w:color="000000"/>
            </w:tcBorders>
            <w:shd w:val="clear" w:color="auto" w:fill="FF0000"/>
          </w:tcPr>
          <w:p w14:paraId="13090CD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rFonts w:eastAsia="Cardo"/>
                <w:color w:val="000000"/>
                <w:sz w:val="28"/>
                <w:szCs w:val="28"/>
              </w:rPr>
              <w:t>↓ </w:t>
            </w:r>
          </w:p>
        </w:tc>
        <w:tc>
          <w:tcPr>
            <w:tcW w:w="1418" w:type="dxa"/>
            <w:tcBorders>
              <w:top w:val="single" w:sz="8" w:space="0" w:color="000000"/>
              <w:left w:val="single" w:sz="8" w:space="0" w:color="000000"/>
              <w:bottom w:val="single" w:sz="8" w:space="0" w:color="000000"/>
              <w:right w:val="single" w:sz="8" w:space="0" w:color="000000"/>
            </w:tcBorders>
            <w:shd w:val="clear" w:color="auto" w:fill="FF0000"/>
          </w:tcPr>
          <w:p w14:paraId="5D3E54B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rFonts w:eastAsia="Cardo"/>
                <w:color w:val="000000"/>
                <w:sz w:val="28"/>
                <w:szCs w:val="28"/>
              </w:rPr>
              <w:t>↑ </w:t>
            </w:r>
          </w:p>
        </w:tc>
        <w:tc>
          <w:tcPr>
            <w:tcW w:w="1984" w:type="dxa"/>
            <w:tcBorders>
              <w:top w:val="single" w:sz="8" w:space="0" w:color="000000"/>
              <w:left w:val="single" w:sz="8" w:space="0" w:color="000000"/>
              <w:bottom w:val="single" w:sz="8" w:space="0" w:color="000000"/>
              <w:right w:val="single" w:sz="8" w:space="0" w:color="000000"/>
            </w:tcBorders>
            <w:shd w:val="clear" w:color="auto" w:fill="FF0000"/>
          </w:tcPr>
          <w:p w14:paraId="3B43FA2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rFonts w:eastAsia="Cardo"/>
                <w:color w:val="000000"/>
                <w:sz w:val="28"/>
                <w:szCs w:val="28"/>
              </w:rPr>
              <w:t>↑ </w:t>
            </w:r>
          </w:p>
        </w:tc>
      </w:tr>
      <w:tr w:rsidR="00C700B8" w:rsidRPr="00170B7C" w14:paraId="23726780" w14:textId="77777777">
        <w:trPr>
          <w:cantSplit/>
          <w:trHeight w:val="540"/>
          <w:tblHeader/>
        </w:trPr>
        <w:tc>
          <w:tcPr>
            <w:tcW w:w="2694" w:type="dxa"/>
            <w:tcBorders>
              <w:top w:val="single" w:sz="8" w:space="0" w:color="000000"/>
              <w:left w:val="single" w:sz="8" w:space="0" w:color="000000"/>
              <w:bottom w:val="single" w:sz="8" w:space="0" w:color="000000"/>
              <w:right w:val="single" w:sz="8" w:space="0" w:color="000000"/>
            </w:tcBorders>
            <w:shd w:val="clear" w:color="auto" w:fill="auto"/>
          </w:tcPr>
          <w:p w14:paraId="0D4ADCFF" w14:textId="77777777" w:rsidR="00C700B8" w:rsidRPr="00170B7C" w:rsidRDefault="00C60723" w:rsidP="00170B7C">
            <w:pPr>
              <w:pBdr>
                <w:top w:val="none" w:sz="0" w:space="0" w:color="000000"/>
                <w:left w:val="none" w:sz="0" w:space="0" w:color="000000"/>
                <w:bottom w:val="none" w:sz="0" w:space="0" w:color="000000"/>
                <w:right w:val="none" w:sz="0" w:space="0" w:color="000000"/>
                <w:between w:val="none" w:sz="0" w:space="0" w:color="000000"/>
              </w:pBdr>
              <w:ind w:left="-20"/>
              <w:rPr>
                <w:rFonts w:eastAsia="Calibri"/>
                <w:color w:val="000000"/>
                <w:sz w:val="28"/>
                <w:szCs w:val="28"/>
              </w:rPr>
            </w:pPr>
            <w:r>
              <w:rPr>
                <w:color w:val="000000"/>
                <w:sz w:val="28"/>
                <w:szCs w:val="28"/>
              </w:rPr>
              <w:t xml:space="preserve"> </w:t>
            </w:r>
            <w:r w:rsidR="00274D3C" w:rsidRPr="00170B7C">
              <w:rPr>
                <w:color w:val="000000"/>
                <w:sz w:val="28"/>
                <w:szCs w:val="28"/>
              </w:rPr>
              <w:t>Автоматический </w:t>
            </w:r>
          </w:p>
        </w:tc>
        <w:tc>
          <w:tcPr>
            <w:tcW w:w="1559" w:type="dxa"/>
            <w:tcBorders>
              <w:top w:val="single" w:sz="8" w:space="0" w:color="000000"/>
              <w:left w:val="single" w:sz="8" w:space="0" w:color="000000"/>
              <w:bottom w:val="single" w:sz="8" w:space="0" w:color="000000"/>
              <w:right w:val="single" w:sz="8" w:space="0" w:color="000000"/>
            </w:tcBorders>
            <w:shd w:val="clear" w:color="auto" w:fill="00B050"/>
          </w:tcPr>
          <w:p w14:paraId="0C0CEBE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rFonts w:eastAsia="Cardo"/>
                <w:color w:val="000000"/>
                <w:sz w:val="28"/>
                <w:szCs w:val="28"/>
              </w:rPr>
              <w:t>↑↑ </w:t>
            </w:r>
          </w:p>
        </w:tc>
        <w:tc>
          <w:tcPr>
            <w:tcW w:w="992" w:type="dxa"/>
            <w:tcBorders>
              <w:top w:val="single" w:sz="8" w:space="0" w:color="000000"/>
              <w:left w:val="single" w:sz="8" w:space="0" w:color="000000"/>
              <w:bottom w:val="single" w:sz="8" w:space="0" w:color="000000"/>
              <w:right w:val="single" w:sz="8" w:space="0" w:color="000000"/>
            </w:tcBorders>
            <w:shd w:val="clear" w:color="auto" w:fill="FF0000"/>
          </w:tcPr>
          <w:p w14:paraId="66C3629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rFonts w:eastAsia="Cardo"/>
                <w:color w:val="000000"/>
                <w:sz w:val="28"/>
                <w:szCs w:val="28"/>
              </w:rPr>
              <w:t>↓↓ </w:t>
            </w:r>
          </w:p>
        </w:tc>
        <w:tc>
          <w:tcPr>
            <w:tcW w:w="992" w:type="dxa"/>
            <w:tcBorders>
              <w:top w:val="single" w:sz="8" w:space="0" w:color="000000"/>
              <w:left w:val="single" w:sz="8" w:space="0" w:color="000000"/>
              <w:bottom w:val="single" w:sz="8" w:space="0" w:color="000000"/>
              <w:right w:val="single" w:sz="8" w:space="0" w:color="000000"/>
            </w:tcBorders>
            <w:shd w:val="clear" w:color="auto" w:fill="00B050"/>
          </w:tcPr>
          <w:p w14:paraId="70A970D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rFonts w:eastAsia="Cardo"/>
                <w:color w:val="000000"/>
                <w:sz w:val="28"/>
                <w:szCs w:val="28"/>
              </w:rPr>
              <w:t>↓↓ </w:t>
            </w:r>
          </w:p>
        </w:tc>
        <w:tc>
          <w:tcPr>
            <w:tcW w:w="1418" w:type="dxa"/>
            <w:tcBorders>
              <w:top w:val="single" w:sz="8" w:space="0" w:color="000000"/>
              <w:left w:val="single" w:sz="8" w:space="0" w:color="000000"/>
              <w:bottom w:val="single" w:sz="8" w:space="0" w:color="000000"/>
              <w:right w:val="single" w:sz="8" w:space="0" w:color="000000"/>
            </w:tcBorders>
            <w:shd w:val="clear" w:color="auto" w:fill="00B050"/>
          </w:tcPr>
          <w:p w14:paraId="2F5A3D2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rFonts w:eastAsia="Cardo"/>
                <w:color w:val="000000"/>
                <w:sz w:val="28"/>
                <w:szCs w:val="28"/>
              </w:rPr>
              <w:t>↑↑ </w:t>
            </w:r>
          </w:p>
        </w:tc>
        <w:tc>
          <w:tcPr>
            <w:tcW w:w="1984" w:type="dxa"/>
            <w:tcBorders>
              <w:top w:val="single" w:sz="8" w:space="0" w:color="000000"/>
              <w:left w:val="single" w:sz="8" w:space="0" w:color="000000"/>
              <w:bottom w:val="single" w:sz="8" w:space="0" w:color="000000"/>
              <w:right w:val="single" w:sz="8" w:space="0" w:color="000000"/>
            </w:tcBorders>
            <w:shd w:val="clear" w:color="auto" w:fill="FF0000"/>
          </w:tcPr>
          <w:p w14:paraId="33E997D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20"/>
              <w:jc w:val="center"/>
              <w:rPr>
                <w:rFonts w:eastAsia="Calibri"/>
                <w:color w:val="000000"/>
                <w:sz w:val="28"/>
                <w:szCs w:val="28"/>
              </w:rPr>
            </w:pPr>
            <w:r w:rsidRPr="00170B7C">
              <w:rPr>
                <w:rFonts w:eastAsia="Cardo"/>
                <w:color w:val="000000"/>
                <w:sz w:val="28"/>
                <w:szCs w:val="28"/>
              </w:rPr>
              <w:t>↑↑ </w:t>
            </w:r>
          </w:p>
        </w:tc>
      </w:tr>
    </w:tbl>
    <w:p w14:paraId="76F957EA" w14:textId="77777777" w:rsidR="00C700B8" w:rsidRPr="00170B7C" w:rsidRDefault="00274D3C" w:rsidP="00526B4F">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Примечание</w:t>
      </w:r>
      <w:r w:rsidR="00E5612E">
        <w:rPr>
          <w:color w:val="000000"/>
          <w:sz w:val="28"/>
          <w:szCs w:val="28"/>
        </w:rPr>
        <w:t xml:space="preserve"> - </w:t>
      </w:r>
      <w:r w:rsidRPr="00170B7C">
        <w:rPr>
          <w:color w:val="000000"/>
          <w:sz w:val="28"/>
          <w:szCs w:val="28"/>
        </w:rPr>
        <w:t xml:space="preserve">зеленые ячейки обозначают </w:t>
      </w:r>
      <w:r w:rsidR="00E5612E">
        <w:rPr>
          <w:color w:val="000000"/>
          <w:sz w:val="28"/>
          <w:szCs w:val="28"/>
        </w:rPr>
        <w:t xml:space="preserve">наличие </w:t>
      </w:r>
      <w:r w:rsidRPr="00170B7C">
        <w:rPr>
          <w:color w:val="000000"/>
          <w:sz w:val="28"/>
          <w:szCs w:val="28"/>
        </w:rPr>
        <w:t>функции, красн</w:t>
      </w:r>
      <w:r w:rsidR="00E5612E">
        <w:rPr>
          <w:color w:val="000000"/>
          <w:sz w:val="28"/>
          <w:szCs w:val="28"/>
        </w:rPr>
        <w:t>ые ячейки обозначают ограничение функции</w:t>
      </w:r>
      <w:r w:rsidRPr="00170B7C">
        <w:rPr>
          <w:color w:val="000000"/>
          <w:sz w:val="28"/>
          <w:szCs w:val="28"/>
        </w:rPr>
        <w:t xml:space="preserve">. Одна стрелка указывает на </w:t>
      </w:r>
      <w:r w:rsidR="00E5612E">
        <w:rPr>
          <w:color w:val="000000"/>
          <w:sz w:val="28"/>
          <w:szCs w:val="28"/>
        </w:rPr>
        <w:t>второстепенный признак</w:t>
      </w:r>
      <w:r w:rsidRPr="00170B7C">
        <w:rPr>
          <w:color w:val="000000"/>
          <w:sz w:val="28"/>
          <w:szCs w:val="28"/>
        </w:rPr>
        <w:t>, д</w:t>
      </w:r>
      <w:r w:rsidR="00E5612E">
        <w:rPr>
          <w:color w:val="000000"/>
          <w:sz w:val="28"/>
          <w:szCs w:val="28"/>
        </w:rPr>
        <w:t>ве стрелки указывают на основной признак</w:t>
      </w:r>
      <w:r w:rsidRPr="00170B7C">
        <w:rPr>
          <w:color w:val="000000"/>
          <w:sz w:val="28"/>
          <w:szCs w:val="28"/>
        </w:rPr>
        <w:t>. Направление стрелки относится к увеличению или уменьшению конкретного параметра. </w:t>
      </w:r>
    </w:p>
    <w:p w14:paraId="56AE919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0214F334" w14:textId="326B2091" w:rsidR="00C700B8" w:rsidRPr="00E73B44" w:rsidRDefault="00274D3C" w:rsidP="00662447">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Благодаря использованию пороговых значений, морфологической фильтрации, роста области, вероятностных коэффициентов преобразования, эти программы обеспечивали хорошую оценку объемов печени за более короткий период времени. Создание и развитие </w:t>
      </w:r>
      <w:r w:rsidRPr="00E73B44">
        <w:rPr>
          <w:color w:val="000000"/>
          <w:sz w:val="28"/>
          <w:szCs w:val="28"/>
        </w:rPr>
        <w:t xml:space="preserve">специальных </w:t>
      </w:r>
      <w:r w:rsidR="00043FC9" w:rsidRPr="00E73B44">
        <w:rPr>
          <w:color w:val="000000"/>
          <w:sz w:val="28"/>
          <w:szCs w:val="28"/>
        </w:rPr>
        <w:t xml:space="preserve">программ </w:t>
      </w:r>
      <w:r w:rsidRPr="00E73B44">
        <w:rPr>
          <w:color w:val="000000"/>
          <w:sz w:val="28"/>
          <w:szCs w:val="28"/>
        </w:rPr>
        <w:t xml:space="preserve">различных стран производителей позволило упростить, ускорить и усовершенствовать процесс вычисления объема </w:t>
      </w:r>
      <w:r w:rsidR="0099794E" w:rsidRPr="00E73B44">
        <w:rPr>
          <w:color w:val="000000"/>
          <w:sz w:val="28"/>
          <w:szCs w:val="28"/>
        </w:rPr>
        <w:t>пе</w:t>
      </w:r>
      <w:r w:rsidR="00A66619">
        <w:rPr>
          <w:color w:val="000000"/>
          <w:sz w:val="28"/>
          <w:szCs w:val="28"/>
        </w:rPr>
        <w:t>чени в предоперационном периоде</w:t>
      </w:r>
      <w:r w:rsidRPr="00E73B44">
        <w:rPr>
          <w:color w:val="000000"/>
          <w:sz w:val="28"/>
          <w:szCs w:val="28"/>
        </w:rPr>
        <w:t xml:space="preserve">. </w:t>
      </w:r>
    </w:p>
    <w:p w14:paraId="78C2CA15" w14:textId="2BB040CC" w:rsidR="003F3482" w:rsidRPr="00E73B44" w:rsidRDefault="003F3482" w:rsidP="00662447">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E73B44">
        <w:rPr>
          <w:sz w:val="28"/>
          <w:szCs w:val="28"/>
        </w:rPr>
        <w:t>Yoon J. и соавт.</w:t>
      </w:r>
      <w:r w:rsidR="00A66619">
        <w:rPr>
          <w:sz w:val="28"/>
          <w:szCs w:val="28"/>
        </w:rPr>
        <w:t xml:space="preserve"> </w:t>
      </w:r>
      <w:r w:rsidRPr="00E73B44">
        <w:rPr>
          <w:sz w:val="28"/>
          <w:szCs w:val="28"/>
        </w:rPr>
        <w:t xml:space="preserve">​использовали </w:t>
      </w:r>
      <w:r w:rsidRPr="00E73B44">
        <w:rPr>
          <w:color w:val="000000"/>
          <w:sz w:val="28"/>
          <w:szCs w:val="28"/>
        </w:rPr>
        <w:t>фактический вес трансплантата в качестве эталона у живых доноров печени для определения точности, воспроизводимости при оценке методов КТ-волюметрии.  </w:t>
      </w:r>
    </w:p>
    <w:p w14:paraId="63CF90AC" w14:textId="77777777" w:rsidR="0015384E" w:rsidRPr="0017495C" w:rsidRDefault="0099794E" w:rsidP="007767BD">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themeColor="text1"/>
          <w:sz w:val="28"/>
          <w:szCs w:val="28"/>
        </w:rPr>
      </w:pPr>
      <w:r w:rsidRPr="00E73B44">
        <w:rPr>
          <w:color w:val="000000" w:themeColor="text1"/>
          <w:sz w:val="28"/>
          <w:szCs w:val="28"/>
        </w:rPr>
        <w:t>На сегодняшний день с</w:t>
      </w:r>
      <w:r w:rsidR="00662447" w:rsidRPr="00E73B44">
        <w:rPr>
          <w:color w:val="000000" w:themeColor="text1"/>
          <w:sz w:val="28"/>
          <w:szCs w:val="28"/>
        </w:rPr>
        <w:t>уществует ограниченное</w:t>
      </w:r>
      <w:r w:rsidR="00662447" w:rsidRPr="0017495C">
        <w:rPr>
          <w:color w:val="000000" w:themeColor="text1"/>
          <w:sz w:val="28"/>
          <w:szCs w:val="28"/>
        </w:rPr>
        <w:t xml:space="preserve"> количество исследований, изучающие точность данных методов. Большинство вышеперечисленных методов демонстрируют положительную корреляцию</w:t>
      </w:r>
      <w:r>
        <w:rPr>
          <w:color w:val="000000" w:themeColor="text1"/>
          <w:sz w:val="28"/>
          <w:szCs w:val="28"/>
        </w:rPr>
        <w:t xml:space="preserve"> с весом графта</w:t>
      </w:r>
      <w:r w:rsidR="00662447" w:rsidRPr="0017495C">
        <w:rPr>
          <w:color w:val="000000" w:themeColor="text1"/>
          <w:sz w:val="28"/>
          <w:szCs w:val="28"/>
        </w:rPr>
        <w:t>, однако каждый из них имеет коэффициент ошибки (таблица 4).</w:t>
      </w:r>
    </w:p>
    <w:p w14:paraId="2CEE0FCB" w14:textId="77777777" w:rsidR="002937C0" w:rsidRDefault="002937C0" w:rsidP="0015384E">
      <w:pPr>
        <w:ind w:firstLine="567"/>
        <w:jc w:val="center"/>
        <w:rPr>
          <w:color w:val="000000" w:themeColor="text1"/>
          <w:sz w:val="28"/>
          <w:szCs w:val="28"/>
        </w:rPr>
      </w:pPr>
    </w:p>
    <w:p w14:paraId="43E0BB82" w14:textId="77777777" w:rsidR="009471B9" w:rsidRDefault="009471B9" w:rsidP="005E4D06">
      <w:pPr>
        <w:ind w:firstLine="567"/>
        <w:jc w:val="center"/>
        <w:rPr>
          <w:color w:val="000000" w:themeColor="text1"/>
          <w:sz w:val="28"/>
          <w:szCs w:val="28"/>
        </w:rPr>
      </w:pPr>
    </w:p>
    <w:p w14:paraId="1F863F1F" w14:textId="77777777" w:rsidR="009471B9" w:rsidRDefault="009471B9" w:rsidP="005E4D06">
      <w:pPr>
        <w:ind w:firstLine="567"/>
        <w:jc w:val="center"/>
        <w:rPr>
          <w:color w:val="000000" w:themeColor="text1"/>
          <w:sz w:val="28"/>
          <w:szCs w:val="28"/>
        </w:rPr>
      </w:pPr>
    </w:p>
    <w:p w14:paraId="7C305A61" w14:textId="77777777" w:rsidR="009471B9" w:rsidRDefault="009471B9" w:rsidP="005E4D06">
      <w:pPr>
        <w:ind w:firstLine="567"/>
        <w:jc w:val="center"/>
        <w:rPr>
          <w:color w:val="000000" w:themeColor="text1"/>
          <w:sz w:val="28"/>
          <w:szCs w:val="28"/>
        </w:rPr>
      </w:pPr>
    </w:p>
    <w:p w14:paraId="23B29D0A" w14:textId="77777777" w:rsidR="00A66619" w:rsidRDefault="00A66619" w:rsidP="005E4D06">
      <w:pPr>
        <w:ind w:firstLine="567"/>
        <w:jc w:val="center"/>
        <w:rPr>
          <w:color w:val="000000" w:themeColor="text1"/>
          <w:sz w:val="28"/>
          <w:szCs w:val="28"/>
        </w:rPr>
      </w:pPr>
    </w:p>
    <w:p w14:paraId="66083E70" w14:textId="77777777" w:rsidR="009471B9" w:rsidRDefault="009471B9" w:rsidP="005E4D06">
      <w:pPr>
        <w:ind w:firstLine="567"/>
        <w:jc w:val="center"/>
        <w:rPr>
          <w:color w:val="000000" w:themeColor="text1"/>
          <w:sz w:val="28"/>
          <w:szCs w:val="28"/>
        </w:rPr>
      </w:pPr>
    </w:p>
    <w:p w14:paraId="65502A9F" w14:textId="77777777" w:rsidR="0015384E" w:rsidRPr="0017495C" w:rsidRDefault="0015384E" w:rsidP="005E4D06">
      <w:pPr>
        <w:ind w:firstLine="567"/>
        <w:jc w:val="center"/>
        <w:rPr>
          <w:color w:val="000000" w:themeColor="text1"/>
          <w:sz w:val="28"/>
          <w:szCs w:val="28"/>
        </w:rPr>
      </w:pPr>
      <w:r w:rsidRPr="0017495C">
        <w:rPr>
          <w:color w:val="000000" w:themeColor="text1"/>
          <w:sz w:val="28"/>
          <w:szCs w:val="28"/>
        </w:rPr>
        <w:lastRenderedPageBreak/>
        <w:t>Таблица 4 - Возможности методик КТ-волюметрии печени</w:t>
      </w:r>
    </w:p>
    <w:p w14:paraId="4F801118" w14:textId="77777777" w:rsidR="0015384E" w:rsidRPr="0017495C" w:rsidRDefault="0015384E" w:rsidP="005E4D06">
      <w:pPr>
        <w:ind w:firstLine="567"/>
        <w:jc w:val="center"/>
        <w:rPr>
          <w:color w:val="000000" w:themeColor="text1"/>
          <w:sz w:val="28"/>
          <w:szCs w:val="28"/>
        </w:rPr>
      </w:pPr>
    </w:p>
    <w:tbl>
      <w:tblPr>
        <w:tblpPr w:leftFromText="181" w:rightFromText="181" w:vertAnchor="text" w:tblpXSpec="center" w:tblpY="1"/>
        <w:tblOverlap w:val="never"/>
        <w:tblW w:w="0" w:type="auto"/>
        <w:tblCellMar>
          <w:top w:w="15" w:type="dxa"/>
          <w:left w:w="15" w:type="dxa"/>
          <w:bottom w:w="15" w:type="dxa"/>
          <w:right w:w="15" w:type="dxa"/>
        </w:tblCellMar>
        <w:tblLook w:val="04A0" w:firstRow="1" w:lastRow="0" w:firstColumn="1" w:lastColumn="0" w:noHBand="0" w:noVBand="1"/>
      </w:tblPr>
      <w:tblGrid>
        <w:gridCol w:w="530"/>
        <w:gridCol w:w="3035"/>
        <w:gridCol w:w="2358"/>
        <w:gridCol w:w="3695"/>
      </w:tblGrid>
      <w:tr w:rsidR="0017495C" w:rsidRPr="0017495C" w14:paraId="7E3C1353" w14:textId="77777777" w:rsidTr="0017495C">
        <w:trPr>
          <w:cantSplit/>
          <w:trHeight w:val="1400"/>
        </w:trPr>
        <w:tc>
          <w:tcPr>
            <w:tcW w:w="0" w:type="auto"/>
            <w:tcBorders>
              <w:top w:val="single" w:sz="8" w:space="0" w:color="000000"/>
              <w:left w:val="single" w:sz="8" w:space="0" w:color="000000"/>
              <w:bottom w:val="single" w:sz="8" w:space="0" w:color="000000"/>
              <w:right w:val="single" w:sz="8" w:space="0" w:color="000000"/>
            </w:tcBorders>
            <w:hideMark/>
          </w:tcPr>
          <w:p w14:paraId="7F1C9ECE" w14:textId="77777777" w:rsidR="0015384E" w:rsidRPr="0017495C" w:rsidRDefault="0015384E" w:rsidP="007767BD">
            <w:pPr>
              <w:jc w:val="center"/>
              <w:rPr>
                <w:b/>
                <w:bCs/>
                <w:color w:val="000000" w:themeColor="text1"/>
                <w:sz w:val="28"/>
                <w:szCs w:val="28"/>
              </w:rPr>
            </w:pPr>
            <w:r w:rsidRPr="0017495C">
              <w:rPr>
                <w:color w:val="000000" w:themeColor="text1"/>
                <w:sz w:val="28"/>
                <w:szCs w:val="28"/>
              </w:rPr>
              <w:t>№ </w:t>
            </w:r>
          </w:p>
        </w:tc>
        <w:tc>
          <w:tcPr>
            <w:tcW w:w="0" w:type="auto"/>
            <w:tcBorders>
              <w:top w:val="single" w:sz="8" w:space="0" w:color="000000"/>
              <w:left w:val="single" w:sz="8" w:space="0" w:color="000000"/>
              <w:bottom w:val="single" w:sz="8" w:space="0" w:color="000000"/>
              <w:right w:val="single" w:sz="8" w:space="0" w:color="000000"/>
            </w:tcBorders>
            <w:hideMark/>
          </w:tcPr>
          <w:p w14:paraId="080543EB" w14:textId="77777777" w:rsidR="0015384E" w:rsidRPr="0017495C" w:rsidRDefault="0015384E" w:rsidP="00170181">
            <w:pPr>
              <w:ind w:left="180"/>
              <w:jc w:val="center"/>
              <w:rPr>
                <w:b/>
                <w:bCs/>
                <w:color w:val="000000" w:themeColor="text1"/>
                <w:sz w:val="28"/>
                <w:szCs w:val="28"/>
              </w:rPr>
            </w:pPr>
            <w:r w:rsidRPr="0017495C">
              <w:rPr>
                <w:color w:val="000000" w:themeColor="text1"/>
                <w:sz w:val="28"/>
                <w:szCs w:val="28"/>
              </w:rPr>
              <w:t>Автор статьи (респондент), год публикации, (страна)</w:t>
            </w:r>
          </w:p>
        </w:tc>
        <w:tc>
          <w:tcPr>
            <w:tcW w:w="0" w:type="auto"/>
            <w:tcBorders>
              <w:top w:val="single" w:sz="8" w:space="0" w:color="000000"/>
              <w:left w:val="single" w:sz="8" w:space="0" w:color="000000"/>
              <w:bottom w:val="single" w:sz="8" w:space="0" w:color="000000"/>
              <w:right w:val="single" w:sz="8" w:space="0" w:color="000000"/>
            </w:tcBorders>
            <w:hideMark/>
          </w:tcPr>
          <w:p w14:paraId="4D0B443E" w14:textId="77777777" w:rsidR="0015384E" w:rsidRPr="00526B4F" w:rsidRDefault="00526B4F" w:rsidP="00170181">
            <w:pPr>
              <w:ind w:left="180" w:right="180"/>
              <w:jc w:val="center"/>
              <w:rPr>
                <w:b/>
                <w:bCs/>
                <w:color w:val="000000" w:themeColor="text1"/>
                <w:sz w:val="28"/>
                <w:szCs w:val="28"/>
                <w:lang w:val="kk-KZ"/>
              </w:rPr>
            </w:pPr>
            <w:r>
              <w:rPr>
                <w:color w:val="000000" w:themeColor="text1"/>
                <w:sz w:val="28"/>
                <w:szCs w:val="28"/>
                <w:lang w:val="kk-KZ"/>
              </w:rPr>
              <w:t>Программа</w:t>
            </w:r>
          </w:p>
          <w:p w14:paraId="4445EF5E" w14:textId="77777777" w:rsidR="0015384E" w:rsidRPr="0017495C" w:rsidRDefault="0015384E" w:rsidP="00170181">
            <w:pPr>
              <w:ind w:right="180"/>
              <w:jc w:val="center"/>
              <w:rPr>
                <w:b/>
                <w:bCs/>
                <w:color w:val="000000" w:themeColor="text1"/>
                <w:sz w:val="28"/>
                <w:szCs w:val="28"/>
              </w:rPr>
            </w:pPr>
            <w:r w:rsidRPr="0017495C">
              <w:rPr>
                <w:color w:val="000000" w:themeColor="text1"/>
                <w:sz w:val="28"/>
                <w:szCs w:val="28"/>
              </w:rPr>
              <w:t>(страна производителя)</w:t>
            </w:r>
          </w:p>
        </w:tc>
        <w:tc>
          <w:tcPr>
            <w:tcW w:w="0" w:type="auto"/>
            <w:tcBorders>
              <w:top w:val="single" w:sz="8" w:space="0" w:color="000000"/>
              <w:left w:val="single" w:sz="8" w:space="0" w:color="000000"/>
              <w:bottom w:val="single" w:sz="8" w:space="0" w:color="000000"/>
              <w:right w:val="single" w:sz="8" w:space="0" w:color="000000"/>
            </w:tcBorders>
            <w:hideMark/>
          </w:tcPr>
          <w:p w14:paraId="49FCB1C1" w14:textId="77777777" w:rsidR="0015384E" w:rsidRPr="0017495C" w:rsidRDefault="0015384E" w:rsidP="00170181">
            <w:pPr>
              <w:jc w:val="center"/>
              <w:rPr>
                <w:b/>
                <w:bCs/>
                <w:color w:val="000000" w:themeColor="text1"/>
                <w:sz w:val="28"/>
                <w:szCs w:val="28"/>
              </w:rPr>
            </w:pPr>
            <w:r w:rsidRPr="0017495C">
              <w:rPr>
                <w:color w:val="000000" w:themeColor="text1"/>
                <w:sz w:val="28"/>
                <w:szCs w:val="28"/>
              </w:rPr>
              <w:t xml:space="preserve">Среднее значение </w:t>
            </w:r>
            <w:r w:rsidR="00526B4F">
              <w:rPr>
                <w:color w:val="000000" w:themeColor="text1"/>
                <w:sz w:val="28"/>
                <w:szCs w:val="28"/>
                <w:lang w:val="kk-KZ"/>
              </w:rPr>
              <w:t>ошибки</w:t>
            </w:r>
            <w:r w:rsidRPr="0017495C">
              <w:rPr>
                <w:color w:val="000000" w:themeColor="text1"/>
                <w:sz w:val="28"/>
                <w:szCs w:val="28"/>
              </w:rPr>
              <w:t xml:space="preserve"> между рассчитанным объемом правой доли печени и </w:t>
            </w:r>
            <w:r w:rsidR="00526B4F">
              <w:rPr>
                <w:color w:val="000000" w:themeColor="text1"/>
                <w:sz w:val="28"/>
                <w:szCs w:val="28"/>
                <w:lang w:val="kk-KZ"/>
              </w:rPr>
              <w:t xml:space="preserve">весом </w:t>
            </w:r>
            <w:r w:rsidRPr="0017495C">
              <w:rPr>
                <w:color w:val="000000" w:themeColor="text1"/>
                <w:sz w:val="28"/>
                <w:szCs w:val="28"/>
              </w:rPr>
              <w:t>графт</w:t>
            </w:r>
            <w:r w:rsidR="00526B4F">
              <w:rPr>
                <w:color w:val="000000" w:themeColor="text1"/>
                <w:sz w:val="28"/>
                <w:szCs w:val="28"/>
                <w:lang w:val="kk-KZ"/>
              </w:rPr>
              <w:t>а</w:t>
            </w:r>
            <w:r w:rsidRPr="0017495C">
              <w:rPr>
                <w:color w:val="000000" w:themeColor="text1"/>
                <w:sz w:val="28"/>
                <w:szCs w:val="28"/>
              </w:rPr>
              <w:t> (%)</w:t>
            </w:r>
          </w:p>
        </w:tc>
      </w:tr>
      <w:tr w:rsidR="007767BD" w:rsidRPr="0017495C" w14:paraId="0C6BAAF2" w14:textId="77777777" w:rsidTr="0017495C">
        <w:trPr>
          <w:cantSplit/>
          <w:trHeight w:val="720"/>
        </w:trPr>
        <w:tc>
          <w:tcPr>
            <w:tcW w:w="0" w:type="auto"/>
            <w:tcBorders>
              <w:top w:val="single" w:sz="8" w:space="0" w:color="000000"/>
              <w:left w:val="single" w:sz="8" w:space="0" w:color="000000"/>
              <w:bottom w:val="single" w:sz="8" w:space="0" w:color="000000"/>
              <w:right w:val="single" w:sz="8" w:space="0" w:color="000000"/>
            </w:tcBorders>
          </w:tcPr>
          <w:p w14:paraId="61BE4BAA" w14:textId="77777777" w:rsidR="007767BD" w:rsidRPr="007767BD" w:rsidRDefault="007767BD" w:rsidP="007767BD">
            <w:pPr>
              <w:ind w:left="180" w:right="180"/>
              <w:jc w:val="center"/>
              <w:rPr>
                <w:color w:val="000000" w:themeColor="text1"/>
                <w:sz w:val="28"/>
                <w:szCs w:val="28"/>
              </w:rPr>
            </w:pPr>
            <w:r>
              <w:rPr>
                <w:color w:val="000000" w:themeColor="text1"/>
                <w:sz w:val="28"/>
                <w:szCs w:val="28"/>
                <w:lang w:val="kk-KZ"/>
              </w:rPr>
              <w:t>1</w:t>
            </w:r>
          </w:p>
        </w:tc>
        <w:tc>
          <w:tcPr>
            <w:tcW w:w="0" w:type="auto"/>
            <w:tcBorders>
              <w:top w:val="single" w:sz="8" w:space="0" w:color="000000"/>
              <w:left w:val="single" w:sz="8" w:space="0" w:color="000000"/>
              <w:bottom w:val="single" w:sz="8" w:space="0" w:color="000000"/>
              <w:right w:val="single" w:sz="8" w:space="0" w:color="000000"/>
            </w:tcBorders>
          </w:tcPr>
          <w:p w14:paraId="5C69A3FB" w14:textId="77777777" w:rsidR="007767BD" w:rsidRDefault="00746A80" w:rsidP="005E4D06">
            <w:pPr>
              <w:ind w:right="180"/>
              <w:rPr>
                <w:color w:val="000000" w:themeColor="text1"/>
                <w:sz w:val="28"/>
                <w:szCs w:val="28"/>
                <w:lang w:val="en-US"/>
              </w:rPr>
            </w:pPr>
            <w:r>
              <w:rPr>
                <w:color w:val="000000" w:themeColor="text1"/>
                <w:sz w:val="28"/>
                <w:szCs w:val="28"/>
              </w:rPr>
              <w:t xml:space="preserve"> </w:t>
            </w:r>
            <w:r w:rsidR="007767BD">
              <w:rPr>
                <w:color w:val="000000" w:themeColor="text1"/>
                <w:sz w:val="28"/>
                <w:szCs w:val="28"/>
                <w:lang w:val="en-US"/>
              </w:rPr>
              <w:t>Mokry T., 2014</w:t>
            </w:r>
            <w:r w:rsidR="0085740A">
              <w:rPr>
                <w:color w:val="000000" w:themeColor="text1"/>
                <w:sz w:val="28"/>
                <w:szCs w:val="28"/>
                <w:lang w:val="en-US"/>
              </w:rPr>
              <w:t xml:space="preserve"> </w:t>
            </w:r>
            <w:sdt>
              <w:sdtPr>
                <w:rPr>
                  <w:color w:val="000000"/>
                  <w:sz w:val="28"/>
                  <w:szCs w:val="28"/>
                  <w:lang w:val="en-US"/>
                </w:rPr>
                <w:tag w:val="MENDELEY_CITATION_v3_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"/>
                <w:id w:val="2078850695"/>
                <w:placeholder>
                  <w:docPart w:val="DefaultPlaceholder_-1854013440"/>
                </w:placeholder>
              </w:sdtPr>
              <w:sdtContent>
                <w:r w:rsidR="001D0D81" w:rsidRPr="001D0D81">
                  <w:rPr>
                    <w:color w:val="000000"/>
                    <w:sz w:val="28"/>
                    <w:szCs w:val="28"/>
                    <w:lang w:val="en-US"/>
                  </w:rPr>
                  <w:t>[51]</w:t>
                </w:r>
              </w:sdtContent>
            </w:sdt>
          </w:p>
          <w:p w14:paraId="5BC4AB40" w14:textId="77777777" w:rsidR="007767BD" w:rsidRPr="007767BD" w:rsidRDefault="00746A80" w:rsidP="005E4D06">
            <w:pPr>
              <w:ind w:right="180"/>
              <w:rPr>
                <w:color w:val="000000" w:themeColor="text1"/>
                <w:sz w:val="28"/>
                <w:szCs w:val="28"/>
                <w:lang w:val="en-US"/>
              </w:rPr>
            </w:pPr>
            <w:r>
              <w:rPr>
                <w:color w:val="000000" w:themeColor="text1"/>
                <w:sz w:val="28"/>
                <w:szCs w:val="28"/>
              </w:rPr>
              <w:t xml:space="preserve"> </w:t>
            </w:r>
            <w:r w:rsidR="007767BD" w:rsidRPr="0017495C">
              <w:rPr>
                <w:color w:val="000000" w:themeColor="text1"/>
                <w:sz w:val="28"/>
                <w:szCs w:val="28"/>
              </w:rPr>
              <w:t>(Германия)</w:t>
            </w:r>
          </w:p>
        </w:tc>
        <w:tc>
          <w:tcPr>
            <w:tcW w:w="0" w:type="auto"/>
            <w:tcBorders>
              <w:top w:val="single" w:sz="8" w:space="0" w:color="000000"/>
              <w:left w:val="single" w:sz="8" w:space="0" w:color="000000"/>
              <w:bottom w:val="single" w:sz="8" w:space="0" w:color="000000"/>
              <w:right w:val="single" w:sz="8" w:space="0" w:color="000000"/>
            </w:tcBorders>
          </w:tcPr>
          <w:p w14:paraId="22EA92A4" w14:textId="77777777" w:rsidR="007767BD" w:rsidRPr="0017495C" w:rsidRDefault="007767BD" w:rsidP="00D91942">
            <w:pPr>
              <w:jc w:val="center"/>
              <w:rPr>
                <w:b/>
                <w:bCs/>
                <w:color w:val="000000" w:themeColor="text1"/>
                <w:sz w:val="28"/>
                <w:szCs w:val="28"/>
              </w:rPr>
            </w:pPr>
            <w:r w:rsidRPr="0017495C">
              <w:rPr>
                <w:color w:val="000000" w:themeColor="text1"/>
                <w:sz w:val="28"/>
                <w:szCs w:val="28"/>
              </w:rPr>
              <w:t>Siemens</w:t>
            </w:r>
          </w:p>
          <w:p w14:paraId="1C084FA2" w14:textId="77777777" w:rsidR="007767BD" w:rsidRDefault="007767BD" w:rsidP="00D91942">
            <w:pPr>
              <w:ind w:right="180"/>
              <w:jc w:val="center"/>
              <w:rPr>
                <w:color w:val="000000" w:themeColor="text1"/>
                <w:sz w:val="28"/>
                <w:szCs w:val="28"/>
                <w:lang w:val="en-US"/>
              </w:rPr>
            </w:pPr>
            <w:r w:rsidRPr="0017495C">
              <w:rPr>
                <w:color w:val="000000" w:themeColor="text1"/>
                <w:sz w:val="28"/>
                <w:szCs w:val="28"/>
              </w:rPr>
              <w:t>(Германия)</w:t>
            </w:r>
          </w:p>
        </w:tc>
        <w:tc>
          <w:tcPr>
            <w:tcW w:w="0" w:type="auto"/>
            <w:tcBorders>
              <w:top w:val="single" w:sz="8" w:space="0" w:color="000000"/>
              <w:left w:val="single" w:sz="8" w:space="0" w:color="000000"/>
              <w:bottom w:val="single" w:sz="8" w:space="0" w:color="000000"/>
              <w:right w:val="single" w:sz="8" w:space="0" w:color="000000"/>
            </w:tcBorders>
          </w:tcPr>
          <w:p w14:paraId="05E3BA38" w14:textId="77777777" w:rsidR="007767BD" w:rsidRPr="007767BD" w:rsidRDefault="007767BD" w:rsidP="00D91942">
            <w:pPr>
              <w:ind w:left="-60"/>
              <w:jc w:val="center"/>
              <w:rPr>
                <w:bCs/>
                <w:color w:val="000000" w:themeColor="text1"/>
                <w:sz w:val="28"/>
                <w:szCs w:val="28"/>
                <w:lang w:val="en-US"/>
              </w:rPr>
            </w:pPr>
            <w:r w:rsidRPr="007767BD">
              <w:rPr>
                <w:bCs/>
                <w:color w:val="000000" w:themeColor="text1"/>
                <w:sz w:val="28"/>
                <w:szCs w:val="28"/>
                <w:lang w:val="en-US"/>
              </w:rPr>
              <w:t>14,2%</w:t>
            </w:r>
          </w:p>
        </w:tc>
      </w:tr>
      <w:tr w:rsidR="0017495C" w:rsidRPr="0017495C" w14:paraId="24A28012" w14:textId="77777777" w:rsidTr="0017495C">
        <w:trPr>
          <w:cantSplit/>
          <w:trHeight w:val="720"/>
        </w:trPr>
        <w:tc>
          <w:tcPr>
            <w:tcW w:w="0" w:type="auto"/>
            <w:tcBorders>
              <w:top w:val="single" w:sz="8" w:space="0" w:color="000000"/>
              <w:left w:val="single" w:sz="8" w:space="0" w:color="000000"/>
              <w:bottom w:val="single" w:sz="8" w:space="0" w:color="000000"/>
              <w:right w:val="single" w:sz="8" w:space="0" w:color="000000"/>
            </w:tcBorders>
            <w:hideMark/>
          </w:tcPr>
          <w:p w14:paraId="1989CD06" w14:textId="77777777" w:rsidR="0015384E" w:rsidRPr="007767BD" w:rsidRDefault="007767BD" w:rsidP="007767BD">
            <w:pPr>
              <w:ind w:left="180" w:right="180"/>
              <w:jc w:val="center"/>
              <w:rPr>
                <w:color w:val="000000" w:themeColor="text1"/>
                <w:sz w:val="28"/>
                <w:szCs w:val="28"/>
              </w:rPr>
            </w:pPr>
            <w:r>
              <w:rPr>
                <w:color w:val="000000" w:themeColor="text1"/>
                <w:sz w:val="28"/>
                <w:szCs w:val="28"/>
              </w:rPr>
              <w:t>2</w:t>
            </w:r>
          </w:p>
        </w:tc>
        <w:tc>
          <w:tcPr>
            <w:tcW w:w="0" w:type="auto"/>
            <w:tcBorders>
              <w:top w:val="single" w:sz="8" w:space="0" w:color="000000"/>
              <w:left w:val="single" w:sz="8" w:space="0" w:color="000000"/>
              <w:bottom w:val="single" w:sz="8" w:space="0" w:color="000000"/>
              <w:right w:val="single" w:sz="8" w:space="0" w:color="000000"/>
            </w:tcBorders>
            <w:hideMark/>
          </w:tcPr>
          <w:p w14:paraId="568B211E" w14:textId="77777777" w:rsidR="0015384E" w:rsidRPr="0017495C" w:rsidRDefault="00746A80" w:rsidP="005E4D06">
            <w:pPr>
              <w:ind w:right="180"/>
              <w:rPr>
                <w:b/>
                <w:bCs/>
                <w:color w:val="000000" w:themeColor="text1"/>
                <w:sz w:val="28"/>
                <w:szCs w:val="28"/>
              </w:rPr>
            </w:pPr>
            <w:r>
              <w:rPr>
                <w:color w:val="000000" w:themeColor="text1"/>
                <w:sz w:val="28"/>
                <w:szCs w:val="28"/>
              </w:rPr>
              <w:t xml:space="preserve"> </w:t>
            </w:r>
            <w:r w:rsidR="0015384E" w:rsidRPr="0017495C">
              <w:rPr>
                <w:color w:val="000000" w:themeColor="text1"/>
                <w:sz w:val="28"/>
                <w:szCs w:val="28"/>
              </w:rPr>
              <w:t>Lodewick</w:t>
            </w:r>
            <w:r w:rsidR="00C83DBB">
              <w:rPr>
                <w:color w:val="000000" w:themeColor="text1"/>
                <w:sz w:val="28"/>
                <w:szCs w:val="28"/>
              </w:rPr>
              <w:t xml:space="preserve"> Т.</w:t>
            </w:r>
            <w:r w:rsidR="0015384E" w:rsidRPr="0017495C">
              <w:rPr>
                <w:color w:val="000000" w:themeColor="text1"/>
                <w:sz w:val="28"/>
                <w:szCs w:val="28"/>
              </w:rPr>
              <w:t xml:space="preserve">, 2016 </w:t>
            </w:r>
            <w:sdt>
              <w:sdtPr>
                <w:rPr>
                  <w:color w:val="000000"/>
                  <w:sz w:val="28"/>
                  <w:szCs w:val="28"/>
                </w:rPr>
                <w:tag w:val="MENDELEY_CITATION_v3_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"/>
                <w:id w:val="-128864911"/>
                <w:placeholder>
                  <w:docPart w:val="DefaultPlaceholder_-1854013440"/>
                </w:placeholder>
              </w:sdtPr>
              <w:sdtContent>
                <w:r w:rsidR="001D0D81" w:rsidRPr="001D0D81">
                  <w:rPr>
                    <w:color w:val="000000"/>
                    <w:sz w:val="28"/>
                    <w:szCs w:val="28"/>
                  </w:rPr>
                  <w:t>[52]</w:t>
                </w:r>
                <w:r>
                  <w:rPr>
                    <w:color w:val="000000"/>
                    <w:sz w:val="28"/>
                    <w:szCs w:val="28"/>
                  </w:rPr>
                  <w:t xml:space="preserve">    </w:t>
                </w:r>
              </w:sdtContent>
            </w:sdt>
            <w:r w:rsidR="0015384E" w:rsidRPr="0017495C">
              <w:rPr>
                <w:color w:val="000000" w:themeColor="text1"/>
                <w:sz w:val="28"/>
                <w:szCs w:val="28"/>
              </w:rPr>
              <w:t>(Нидерланды)</w:t>
            </w:r>
          </w:p>
        </w:tc>
        <w:tc>
          <w:tcPr>
            <w:tcW w:w="0" w:type="auto"/>
            <w:tcBorders>
              <w:top w:val="single" w:sz="8" w:space="0" w:color="000000"/>
              <w:left w:val="single" w:sz="8" w:space="0" w:color="000000"/>
              <w:bottom w:val="single" w:sz="8" w:space="0" w:color="000000"/>
              <w:right w:val="single" w:sz="8" w:space="0" w:color="000000"/>
            </w:tcBorders>
            <w:hideMark/>
          </w:tcPr>
          <w:p w14:paraId="32824FBF" w14:textId="77777777" w:rsidR="0015384E" w:rsidRPr="0017495C" w:rsidRDefault="0015384E" w:rsidP="00D91942">
            <w:pPr>
              <w:ind w:right="180"/>
              <w:jc w:val="center"/>
              <w:rPr>
                <w:b/>
                <w:bCs/>
                <w:color w:val="000000" w:themeColor="text1"/>
                <w:sz w:val="28"/>
                <w:szCs w:val="28"/>
              </w:rPr>
            </w:pPr>
            <w:r w:rsidRPr="0017495C">
              <w:rPr>
                <w:color w:val="000000" w:themeColor="text1"/>
                <w:sz w:val="28"/>
                <w:szCs w:val="28"/>
              </w:rPr>
              <w:t>OsiriX</w:t>
            </w:r>
          </w:p>
          <w:p w14:paraId="4C3A0FAD" w14:textId="77777777" w:rsidR="0015384E" w:rsidRPr="0017495C" w:rsidRDefault="0015384E" w:rsidP="00D91942">
            <w:pPr>
              <w:ind w:right="180"/>
              <w:jc w:val="center"/>
              <w:rPr>
                <w:b/>
                <w:bCs/>
                <w:color w:val="000000" w:themeColor="text1"/>
                <w:sz w:val="28"/>
                <w:szCs w:val="28"/>
              </w:rPr>
            </w:pPr>
            <w:r w:rsidRPr="0017495C">
              <w:rPr>
                <w:color w:val="000000" w:themeColor="text1"/>
                <w:sz w:val="28"/>
                <w:szCs w:val="28"/>
              </w:rPr>
              <w:t>(Швейцария)</w:t>
            </w:r>
          </w:p>
        </w:tc>
        <w:tc>
          <w:tcPr>
            <w:tcW w:w="0" w:type="auto"/>
            <w:tcBorders>
              <w:top w:val="single" w:sz="8" w:space="0" w:color="000000"/>
              <w:left w:val="single" w:sz="8" w:space="0" w:color="000000"/>
              <w:bottom w:val="single" w:sz="8" w:space="0" w:color="000000"/>
              <w:right w:val="single" w:sz="8" w:space="0" w:color="000000"/>
            </w:tcBorders>
            <w:hideMark/>
          </w:tcPr>
          <w:p w14:paraId="6A785003" w14:textId="77777777" w:rsidR="0015384E" w:rsidRPr="0017495C" w:rsidRDefault="005276F1" w:rsidP="00D91942">
            <w:pPr>
              <w:jc w:val="center"/>
              <w:rPr>
                <w:b/>
                <w:bCs/>
                <w:color w:val="000000" w:themeColor="text1"/>
                <w:sz w:val="28"/>
                <w:szCs w:val="28"/>
              </w:rPr>
            </w:pPr>
            <w:r w:rsidRPr="0017495C">
              <w:rPr>
                <w:color w:val="000000" w:themeColor="text1"/>
                <w:sz w:val="28"/>
                <w:szCs w:val="28"/>
              </w:rPr>
              <w:t>19,9</w:t>
            </w:r>
            <w:r w:rsidR="0015384E" w:rsidRPr="0017495C">
              <w:rPr>
                <w:color w:val="000000" w:themeColor="text1"/>
                <w:sz w:val="28"/>
                <w:szCs w:val="28"/>
              </w:rPr>
              <w:t>%</w:t>
            </w:r>
          </w:p>
        </w:tc>
      </w:tr>
      <w:tr w:rsidR="0017495C" w:rsidRPr="0017495C" w14:paraId="061FEDD3" w14:textId="77777777" w:rsidTr="0017495C">
        <w:trPr>
          <w:cantSplit/>
          <w:trHeight w:val="720"/>
        </w:trPr>
        <w:tc>
          <w:tcPr>
            <w:tcW w:w="0" w:type="auto"/>
            <w:tcBorders>
              <w:top w:val="single" w:sz="8" w:space="0" w:color="000000"/>
              <w:left w:val="single" w:sz="8" w:space="0" w:color="000000"/>
              <w:bottom w:val="single" w:sz="8" w:space="0" w:color="000000"/>
              <w:right w:val="single" w:sz="8" w:space="0" w:color="000000"/>
            </w:tcBorders>
            <w:hideMark/>
          </w:tcPr>
          <w:p w14:paraId="09180B7C" w14:textId="77777777" w:rsidR="0015384E" w:rsidRPr="007767BD" w:rsidRDefault="007767BD" w:rsidP="007767BD">
            <w:pPr>
              <w:jc w:val="center"/>
              <w:rPr>
                <w:color w:val="000000" w:themeColor="text1"/>
                <w:sz w:val="28"/>
                <w:szCs w:val="28"/>
              </w:rPr>
            </w:pPr>
            <w:r>
              <w:rPr>
                <w:color w:val="000000" w:themeColor="text1"/>
                <w:sz w:val="28"/>
                <w:szCs w:val="28"/>
              </w:rPr>
              <w:t>3</w:t>
            </w:r>
          </w:p>
        </w:tc>
        <w:tc>
          <w:tcPr>
            <w:tcW w:w="0" w:type="auto"/>
            <w:tcBorders>
              <w:top w:val="single" w:sz="8" w:space="0" w:color="000000"/>
              <w:left w:val="single" w:sz="8" w:space="0" w:color="000000"/>
              <w:bottom w:val="single" w:sz="8" w:space="0" w:color="000000"/>
              <w:right w:val="single" w:sz="8" w:space="0" w:color="000000"/>
            </w:tcBorders>
            <w:hideMark/>
          </w:tcPr>
          <w:p w14:paraId="7A7D3875" w14:textId="77777777" w:rsidR="0015384E" w:rsidRPr="0017495C" w:rsidRDefault="00746A80" w:rsidP="005E4D06">
            <w:pPr>
              <w:ind w:right="180"/>
              <w:rPr>
                <w:b/>
                <w:bCs/>
                <w:color w:val="000000" w:themeColor="text1"/>
                <w:sz w:val="28"/>
                <w:szCs w:val="28"/>
              </w:rPr>
            </w:pPr>
            <w:r>
              <w:rPr>
                <w:color w:val="000000" w:themeColor="text1"/>
                <w:sz w:val="28"/>
                <w:szCs w:val="28"/>
              </w:rPr>
              <w:t xml:space="preserve"> </w:t>
            </w:r>
            <w:r w:rsidR="0015384E" w:rsidRPr="0017495C">
              <w:rPr>
                <w:color w:val="000000" w:themeColor="text1"/>
                <w:sz w:val="28"/>
                <w:szCs w:val="28"/>
              </w:rPr>
              <w:t>Lodewick</w:t>
            </w:r>
            <w:r w:rsidR="00C83DBB">
              <w:rPr>
                <w:color w:val="000000" w:themeColor="text1"/>
                <w:sz w:val="28"/>
                <w:szCs w:val="28"/>
              </w:rPr>
              <w:t xml:space="preserve"> Т.</w:t>
            </w:r>
            <w:r w:rsidR="0015384E" w:rsidRPr="0017495C">
              <w:rPr>
                <w:color w:val="000000" w:themeColor="text1"/>
                <w:sz w:val="28"/>
                <w:szCs w:val="28"/>
              </w:rPr>
              <w:t xml:space="preserve">, 2016 </w:t>
            </w:r>
            <w:sdt>
              <w:sdtPr>
                <w:rPr>
                  <w:color w:val="000000"/>
                  <w:sz w:val="28"/>
                  <w:szCs w:val="28"/>
                </w:rPr>
                <w:tag w:val="MENDELEY_CITATION_v3_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"/>
                <w:id w:val="-1293280099"/>
                <w:placeholder>
                  <w:docPart w:val="DefaultPlaceholder_-1854013440"/>
                </w:placeholder>
              </w:sdtPr>
              <w:sdtContent>
                <w:r>
                  <w:rPr>
                    <w:color w:val="000000"/>
                    <w:sz w:val="28"/>
                    <w:szCs w:val="28"/>
                  </w:rPr>
                  <w:t xml:space="preserve"> </w:t>
                </w:r>
                <w:r w:rsidR="001D0D81" w:rsidRPr="001D0D81">
                  <w:rPr>
                    <w:color w:val="000000"/>
                    <w:sz w:val="28"/>
                    <w:szCs w:val="28"/>
                  </w:rPr>
                  <w:t>[52]</w:t>
                </w:r>
                <w:r>
                  <w:rPr>
                    <w:color w:val="000000"/>
                    <w:sz w:val="28"/>
                    <w:szCs w:val="28"/>
                  </w:rPr>
                  <w:t xml:space="preserve">  </w:t>
                </w:r>
              </w:sdtContent>
            </w:sdt>
            <w:r>
              <w:rPr>
                <w:color w:val="000000"/>
                <w:sz w:val="28"/>
                <w:szCs w:val="28"/>
              </w:rPr>
              <w:t xml:space="preserve">  </w:t>
            </w:r>
            <w:r w:rsidR="0015384E" w:rsidRPr="0017495C">
              <w:rPr>
                <w:color w:val="000000" w:themeColor="text1"/>
                <w:sz w:val="28"/>
                <w:szCs w:val="28"/>
              </w:rPr>
              <w:t>(Нидерланды)</w:t>
            </w:r>
          </w:p>
        </w:tc>
        <w:tc>
          <w:tcPr>
            <w:tcW w:w="0" w:type="auto"/>
            <w:tcBorders>
              <w:top w:val="single" w:sz="8" w:space="0" w:color="000000"/>
              <w:left w:val="single" w:sz="8" w:space="0" w:color="000000"/>
              <w:bottom w:val="single" w:sz="8" w:space="0" w:color="000000"/>
              <w:right w:val="single" w:sz="8" w:space="0" w:color="000000"/>
            </w:tcBorders>
            <w:hideMark/>
          </w:tcPr>
          <w:p w14:paraId="30EBEB59" w14:textId="77777777" w:rsidR="0015384E" w:rsidRPr="0017495C" w:rsidRDefault="0015384E" w:rsidP="00D91942">
            <w:pPr>
              <w:ind w:right="180"/>
              <w:jc w:val="center"/>
              <w:rPr>
                <w:b/>
                <w:bCs/>
                <w:color w:val="000000" w:themeColor="text1"/>
                <w:sz w:val="28"/>
                <w:szCs w:val="28"/>
              </w:rPr>
            </w:pPr>
            <w:r w:rsidRPr="0017495C">
              <w:rPr>
                <w:color w:val="000000" w:themeColor="text1"/>
                <w:sz w:val="28"/>
                <w:szCs w:val="28"/>
              </w:rPr>
              <w:t>iNtuition</w:t>
            </w:r>
          </w:p>
          <w:p w14:paraId="65B07F22" w14:textId="77777777" w:rsidR="0015384E" w:rsidRPr="0017495C" w:rsidRDefault="0015384E" w:rsidP="00D91942">
            <w:pPr>
              <w:ind w:right="180"/>
              <w:jc w:val="center"/>
              <w:rPr>
                <w:b/>
                <w:bCs/>
                <w:color w:val="000000" w:themeColor="text1"/>
                <w:sz w:val="28"/>
                <w:szCs w:val="28"/>
              </w:rPr>
            </w:pPr>
            <w:r w:rsidRPr="0017495C">
              <w:rPr>
                <w:color w:val="000000" w:themeColor="text1"/>
                <w:sz w:val="28"/>
                <w:szCs w:val="28"/>
              </w:rPr>
              <w:t>(США)</w:t>
            </w:r>
          </w:p>
        </w:tc>
        <w:tc>
          <w:tcPr>
            <w:tcW w:w="0" w:type="auto"/>
            <w:tcBorders>
              <w:top w:val="single" w:sz="8" w:space="0" w:color="000000"/>
              <w:left w:val="single" w:sz="8" w:space="0" w:color="000000"/>
              <w:bottom w:val="single" w:sz="8" w:space="0" w:color="000000"/>
              <w:right w:val="single" w:sz="8" w:space="0" w:color="000000"/>
            </w:tcBorders>
            <w:hideMark/>
          </w:tcPr>
          <w:p w14:paraId="3F0A3855" w14:textId="77777777" w:rsidR="0015384E" w:rsidRPr="0017495C" w:rsidRDefault="0015384E" w:rsidP="00D91942">
            <w:pPr>
              <w:ind w:right="180"/>
              <w:jc w:val="center"/>
              <w:rPr>
                <w:b/>
                <w:bCs/>
                <w:color w:val="000000" w:themeColor="text1"/>
                <w:sz w:val="28"/>
                <w:szCs w:val="28"/>
              </w:rPr>
            </w:pPr>
            <w:r w:rsidRPr="0017495C">
              <w:rPr>
                <w:color w:val="000000" w:themeColor="text1"/>
                <w:sz w:val="28"/>
                <w:szCs w:val="28"/>
              </w:rPr>
              <w:t>19,</w:t>
            </w:r>
            <w:r w:rsidR="005276F1" w:rsidRPr="0017495C">
              <w:rPr>
                <w:color w:val="000000" w:themeColor="text1"/>
                <w:sz w:val="28"/>
                <w:szCs w:val="28"/>
              </w:rPr>
              <w:t>5</w:t>
            </w:r>
            <w:r w:rsidRPr="0017495C">
              <w:rPr>
                <w:color w:val="000000" w:themeColor="text1"/>
                <w:sz w:val="28"/>
                <w:szCs w:val="28"/>
              </w:rPr>
              <w:t>%</w:t>
            </w:r>
          </w:p>
        </w:tc>
      </w:tr>
      <w:tr w:rsidR="0017495C" w:rsidRPr="0017495C" w14:paraId="5B286091" w14:textId="77777777" w:rsidTr="0017495C">
        <w:trPr>
          <w:cantSplit/>
          <w:trHeight w:val="720"/>
        </w:trPr>
        <w:tc>
          <w:tcPr>
            <w:tcW w:w="0" w:type="auto"/>
            <w:tcBorders>
              <w:top w:val="single" w:sz="8" w:space="0" w:color="000000"/>
              <w:left w:val="single" w:sz="8" w:space="0" w:color="000000"/>
              <w:bottom w:val="single" w:sz="8" w:space="0" w:color="000000"/>
              <w:right w:val="single" w:sz="8" w:space="0" w:color="000000"/>
            </w:tcBorders>
            <w:hideMark/>
          </w:tcPr>
          <w:p w14:paraId="11F35C12" w14:textId="77777777" w:rsidR="0015384E" w:rsidRPr="007767BD" w:rsidRDefault="007767BD" w:rsidP="007767BD">
            <w:pPr>
              <w:jc w:val="center"/>
              <w:rPr>
                <w:color w:val="000000" w:themeColor="text1"/>
                <w:sz w:val="28"/>
                <w:szCs w:val="28"/>
              </w:rPr>
            </w:pPr>
            <w:r>
              <w:rPr>
                <w:color w:val="000000" w:themeColor="text1"/>
                <w:sz w:val="28"/>
                <w:szCs w:val="28"/>
              </w:rPr>
              <w:t>4</w:t>
            </w:r>
          </w:p>
        </w:tc>
        <w:tc>
          <w:tcPr>
            <w:tcW w:w="0" w:type="auto"/>
            <w:tcBorders>
              <w:top w:val="single" w:sz="8" w:space="0" w:color="000000"/>
              <w:left w:val="single" w:sz="8" w:space="0" w:color="000000"/>
              <w:bottom w:val="single" w:sz="8" w:space="0" w:color="000000"/>
              <w:right w:val="single" w:sz="8" w:space="0" w:color="000000"/>
            </w:tcBorders>
            <w:hideMark/>
          </w:tcPr>
          <w:p w14:paraId="401FDCA8" w14:textId="77777777" w:rsidR="0015384E" w:rsidRPr="0017495C" w:rsidRDefault="00746A80" w:rsidP="005E4D06">
            <w:pPr>
              <w:ind w:right="180"/>
              <w:rPr>
                <w:b/>
                <w:bCs/>
                <w:color w:val="000000" w:themeColor="text1"/>
                <w:sz w:val="28"/>
                <w:szCs w:val="28"/>
              </w:rPr>
            </w:pPr>
            <w:r>
              <w:rPr>
                <w:color w:val="000000" w:themeColor="text1"/>
                <w:sz w:val="28"/>
                <w:szCs w:val="28"/>
              </w:rPr>
              <w:t xml:space="preserve"> </w:t>
            </w:r>
            <w:r w:rsidR="0015384E" w:rsidRPr="0017495C">
              <w:rPr>
                <w:color w:val="000000" w:themeColor="text1"/>
                <w:sz w:val="28"/>
                <w:szCs w:val="28"/>
              </w:rPr>
              <w:t>Musin N, 2016</w:t>
            </w:r>
            <w:sdt>
              <w:sdtPr>
                <w:rPr>
                  <w:color w:val="000000"/>
                  <w:sz w:val="28"/>
                  <w:szCs w:val="28"/>
                </w:rPr>
                <w:tag w:val="MENDELEY_CITATION_v3_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"/>
                <w:id w:val="-1892565857"/>
                <w:placeholder>
                  <w:docPart w:val="DefaultPlaceholder_-1854013440"/>
                </w:placeholder>
              </w:sdtPr>
              <w:sdtContent>
                <w:r>
                  <w:rPr>
                    <w:color w:val="000000"/>
                    <w:sz w:val="28"/>
                    <w:szCs w:val="28"/>
                  </w:rPr>
                  <w:t xml:space="preserve"> </w:t>
                </w:r>
                <w:r w:rsidR="001D0D81" w:rsidRPr="001D0D81">
                  <w:rPr>
                    <w:color w:val="000000"/>
                    <w:sz w:val="28"/>
                    <w:szCs w:val="28"/>
                    <w:lang w:val="en-US"/>
                  </w:rPr>
                  <w:t>[48]</w:t>
                </w:r>
              </w:sdtContent>
            </w:sdt>
          </w:p>
          <w:p w14:paraId="2160E2C3" w14:textId="77777777" w:rsidR="0015384E" w:rsidRPr="0017495C" w:rsidRDefault="00746A80" w:rsidP="005E4D06">
            <w:pPr>
              <w:ind w:right="180"/>
              <w:rPr>
                <w:b/>
                <w:bCs/>
                <w:color w:val="000000" w:themeColor="text1"/>
                <w:sz w:val="28"/>
                <w:szCs w:val="28"/>
              </w:rPr>
            </w:pPr>
            <w:r>
              <w:rPr>
                <w:color w:val="000000" w:themeColor="text1"/>
                <w:sz w:val="28"/>
                <w:szCs w:val="28"/>
              </w:rPr>
              <w:t xml:space="preserve"> </w:t>
            </w:r>
            <w:r w:rsidR="0015384E" w:rsidRPr="0017495C">
              <w:rPr>
                <w:color w:val="000000" w:themeColor="text1"/>
                <w:sz w:val="28"/>
                <w:szCs w:val="28"/>
              </w:rPr>
              <w:t>(</w:t>
            </w:r>
            <w:r w:rsidR="007767BD">
              <w:rPr>
                <w:color w:val="000000" w:themeColor="text1"/>
                <w:sz w:val="28"/>
                <w:szCs w:val="28"/>
              </w:rPr>
              <w:t xml:space="preserve">Южная </w:t>
            </w:r>
            <w:r w:rsidR="0015384E" w:rsidRPr="0017495C">
              <w:rPr>
                <w:color w:val="000000" w:themeColor="text1"/>
                <w:sz w:val="28"/>
                <w:szCs w:val="28"/>
              </w:rPr>
              <w:t>Корея)</w:t>
            </w:r>
          </w:p>
        </w:tc>
        <w:tc>
          <w:tcPr>
            <w:tcW w:w="0" w:type="auto"/>
            <w:tcBorders>
              <w:top w:val="single" w:sz="8" w:space="0" w:color="000000"/>
              <w:left w:val="single" w:sz="8" w:space="0" w:color="000000"/>
              <w:bottom w:val="single" w:sz="8" w:space="0" w:color="000000"/>
              <w:right w:val="single" w:sz="8" w:space="0" w:color="000000"/>
            </w:tcBorders>
            <w:hideMark/>
          </w:tcPr>
          <w:p w14:paraId="1CE8227E" w14:textId="77777777" w:rsidR="0015384E" w:rsidRPr="0017495C" w:rsidRDefault="0015384E" w:rsidP="00D91942">
            <w:pPr>
              <w:ind w:right="180"/>
              <w:jc w:val="center"/>
              <w:rPr>
                <w:b/>
                <w:bCs/>
                <w:color w:val="000000" w:themeColor="text1"/>
                <w:sz w:val="28"/>
                <w:szCs w:val="28"/>
              </w:rPr>
            </w:pPr>
            <w:r w:rsidRPr="0017495C">
              <w:rPr>
                <w:color w:val="000000" w:themeColor="text1"/>
                <w:sz w:val="28"/>
                <w:szCs w:val="28"/>
              </w:rPr>
              <w:t>Rapidia</w:t>
            </w:r>
          </w:p>
          <w:p w14:paraId="107FF279" w14:textId="77777777" w:rsidR="0015384E" w:rsidRPr="0017495C" w:rsidRDefault="0015384E" w:rsidP="00D91942">
            <w:pPr>
              <w:ind w:right="180"/>
              <w:jc w:val="center"/>
              <w:rPr>
                <w:b/>
                <w:bCs/>
                <w:color w:val="000000" w:themeColor="text1"/>
                <w:sz w:val="28"/>
                <w:szCs w:val="28"/>
              </w:rPr>
            </w:pPr>
            <w:r w:rsidRPr="0017495C">
              <w:rPr>
                <w:color w:val="000000" w:themeColor="text1"/>
                <w:sz w:val="28"/>
                <w:szCs w:val="28"/>
              </w:rPr>
              <w:t>(Корея)</w:t>
            </w:r>
          </w:p>
        </w:tc>
        <w:tc>
          <w:tcPr>
            <w:tcW w:w="0" w:type="auto"/>
            <w:tcBorders>
              <w:top w:val="single" w:sz="8" w:space="0" w:color="000000"/>
              <w:left w:val="single" w:sz="8" w:space="0" w:color="000000"/>
              <w:bottom w:val="single" w:sz="8" w:space="0" w:color="000000"/>
              <w:right w:val="single" w:sz="8" w:space="0" w:color="000000"/>
            </w:tcBorders>
            <w:hideMark/>
          </w:tcPr>
          <w:p w14:paraId="1785D65D" w14:textId="77777777" w:rsidR="0015384E" w:rsidRPr="0017495C" w:rsidRDefault="0015384E" w:rsidP="00D91942">
            <w:pPr>
              <w:ind w:left="-60" w:right="180"/>
              <w:jc w:val="center"/>
              <w:rPr>
                <w:b/>
                <w:bCs/>
                <w:color w:val="000000" w:themeColor="text1"/>
                <w:sz w:val="28"/>
                <w:szCs w:val="28"/>
              </w:rPr>
            </w:pPr>
            <w:r w:rsidRPr="0017495C">
              <w:rPr>
                <w:color w:val="000000" w:themeColor="text1"/>
                <w:sz w:val="28"/>
                <w:szCs w:val="28"/>
              </w:rPr>
              <w:t>&gt;15%</w:t>
            </w:r>
          </w:p>
          <w:p w14:paraId="047D6F6D" w14:textId="77777777" w:rsidR="0015384E" w:rsidRPr="0017495C" w:rsidRDefault="0015384E" w:rsidP="00967B90">
            <w:pPr>
              <w:ind w:left="-60" w:right="180"/>
              <w:jc w:val="center"/>
              <w:rPr>
                <w:b/>
                <w:bCs/>
                <w:color w:val="000000" w:themeColor="text1"/>
                <w:sz w:val="28"/>
                <w:szCs w:val="28"/>
              </w:rPr>
            </w:pPr>
            <w:r w:rsidRPr="0017495C">
              <w:rPr>
                <w:color w:val="000000" w:themeColor="text1"/>
                <w:sz w:val="28"/>
                <w:szCs w:val="28"/>
              </w:rPr>
              <w:t xml:space="preserve">(у 45% </w:t>
            </w:r>
            <w:r w:rsidR="00967B90">
              <w:rPr>
                <w:color w:val="000000" w:themeColor="text1"/>
                <w:sz w:val="28"/>
                <w:szCs w:val="28"/>
              </w:rPr>
              <w:t>доноров</w:t>
            </w:r>
            <w:r w:rsidRPr="0017495C">
              <w:rPr>
                <w:color w:val="000000" w:themeColor="text1"/>
                <w:sz w:val="28"/>
                <w:szCs w:val="28"/>
              </w:rPr>
              <w:t>)</w:t>
            </w:r>
          </w:p>
        </w:tc>
      </w:tr>
      <w:tr w:rsidR="007767BD" w:rsidRPr="007767BD" w14:paraId="74D61F59" w14:textId="77777777" w:rsidTr="0017495C">
        <w:trPr>
          <w:cantSplit/>
          <w:trHeight w:val="720"/>
        </w:trPr>
        <w:tc>
          <w:tcPr>
            <w:tcW w:w="0" w:type="auto"/>
            <w:tcBorders>
              <w:top w:val="single" w:sz="8" w:space="0" w:color="000000"/>
              <w:left w:val="single" w:sz="8" w:space="0" w:color="000000"/>
              <w:bottom w:val="single" w:sz="8" w:space="0" w:color="000000"/>
              <w:right w:val="single" w:sz="8" w:space="0" w:color="000000"/>
            </w:tcBorders>
          </w:tcPr>
          <w:p w14:paraId="370D8ED1" w14:textId="77777777" w:rsidR="007767BD" w:rsidRDefault="00D91942" w:rsidP="007767BD">
            <w:pPr>
              <w:jc w:val="center"/>
              <w:rPr>
                <w:color w:val="000000" w:themeColor="text1"/>
                <w:sz w:val="28"/>
                <w:szCs w:val="28"/>
              </w:rPr>
            </w:pPr>
            <w:r>
              <w:rPr>
                <w:color w:val="000000" w:themeColor="text1"/>
                <w:sz w:val="28"/>
                <w:szCs w:val="28"/>
              </w:rPr>
              <w:t>5</w:t>
            </w:r>
          </w:p>
        </w:tc>
        <w:tc>
          <w:tcPr>
            <w:tcW w:w="0" w:type="auto"/>
            <w:tcBorders>
              <w:top w:val="single" w:sz="8" w:space="0" w:color="000000"/>
              <w:left w:val="single" w:sz="8" w:space="0" w:color="000000"/>
              <w:bottom w:val="single" w:sz="8" w:space="0" w:color="000000"/>
              <w:right w:val="single" w:sz="8" w:space="0" w:color="000000"/>
            </w:tcBorders>
          </w:tcPr>
          <w:p w14:paraId="1E2CB03C" w14:textId="77777777" w:rsidR="00D91942" w:rsidRDefault="00746A80" w:rsidP="005E4D06">
            <w:pPr>
              <w:ind w:right="180"/>
              <w:rPr>
                <w:color w:val="000000" w:themeColor="text1"/>
                <w:sz w:val="28"/>
                <w:szCs w:val="28"/>
                <w:lang w:val="en-US"/>
              </w:rPr>
            </w:pPr>
            <w:r>
              <w:rPr>
                <w:color w:val="000000" w:themeColor="text1"/>
                <w:sz w:val="28"/>
                <w:szCs w:val="28"/>
              </w:rPr>
              <w:t xml:space="preserve"> </w:t>
            </w:r>
            <w:r w:rsidR="007767BD" w:rsidRPr="007767BD">
              <w:rPr>
                <w:color w:val="000000" w:themeColor="text1"/>
                <w:sz w:val="28"/>
                <w:szCs w:val="28"/>
                <w:lang w:val="en-US"/>
              </w:rPr>
              <w:t>Musin N., 2016</w:t>
            </w:r>
            <w:r w:rsidR="0085740A">
              <w:rPr>
                <w:color w:val="000000" w:themeColor="text1"/>
                <w:sz w:val="28"/>
                <w:szCs w:val="28"/>
                <w:lang w:val="en-US"/>
              </w:rPr>
              <w:t xml:space="preserve"> </w:t>
            </w:r>
            <w:sdt>
              <w:sdtPr>
                <w:rPr>
                  <w:color w:val="000000"/>
                  <w:sz w:val="28"/>
                  <w:szCs w:val="28"/>
                  <w:lang w:val="en-US"/>
                </w:rPr>
                <w:tag w:val="MENDELEY_CITATION_v3_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"/>
                <w:id w:val="-1479150307"/>
                <w:placeholder>
                  <w:docPart w:val="DefaultPlaceholder_-1854013440"/>
                </w:placeholder>
              </w:sdtPr>
              <w:sdtContent>
                <w:r w:rsidR="001D0D81" w:rsidRPr="001D0D81">
                  <w:rPr>
                    <w:color w:val="000000"/>
                    <w:sz w:val="28"/>
                    <w:szCs w:val="28"/>
                    <w:lang w:val="en-US"/>
                  </w:rPr>
                  <w:t>[48]</w:t>
                </w:r>
              </w:sdtContent>
            </w:sdt>
          </w:p>
          <w:p w14:paraId="3371AC23" w14:textId="77777777" w:rsidR="007767BD" w:rsidRPr="007767BD" w:rsidRDefault="00746A80" w:rsidP="005E4D06">
            <w:pPr>
              <w:ind w:right="180"/>
              <w:rPr>
                <w:color w:val="000000" w:themeColor="text1"/>
                <w:sz w:val="28"/>
                <w:szCs w:val="28"/>
                <w:lang w:val="en-US"/>
              </w:rPr>
            </w:pPr>
            <w:r>
              <w:rPr>
                <w:color w:val="000000" w:themeColor="text1"/>
                <w:sz w:val="28"/>
                <w:szCs w:val="28"/>
              </w:rPr>
              <w:t xml:space="preserve"> </w:t>
            </w:r>
            <w:r w:rsidR="007767BD" w:rsidRPr="007767BD">
              <w:rPr>
                <w:color w:val="000000" w:themeColor="text1"/>
                <w:sz w:val="28"/>
                <w:szCs w:val="28"/>
                <w:lang w:val="en-US"/>
              </w:rPr>
              <w:t>(</w:t>
            </w:r>
            <w:r w:rsidR="007767BD">
              <w:rPr>
                <w:color w:val="000000" w:themeColor="text1"/>
                <w:sz w:val="28"/>
                <w:szCs w:val="28"/>
              </w:rPr>
              <w:t xml:space="preserve">Южная </w:t>
            </w:r>
            <w:r w:rsidR="007767BD" w:rsidRPr="0017495C">
              <w:rPr>
                <w:color w:val="000000" w:themeColor="text1"/>
                <w:sz w:val="28"/>
                <w:szCs w:val="28"/>
              </w:rPr>
              <w:t>Корея</w:t>
            </w:r>
            <w:r w:rsidR="007767BD">
              <w:rPr>
                <w:color w:val="000000" w:themeColor="text1"/>
                <w:sz w:val="28"/>
                <w:szCs w:val="28"/>
                <w:lang w:val="en-US"/>
              </w:rPr>
              <w:t>)</w:t>
            </w:r>
          </w:p>
        </w:tc>
        <w:tc>
          <w:tcPr>
            <w:tcW w:w="0" w:type="auto"/>
            <w:tcBorders>
              <w:top w:val="single" w:sz="8" w:space="0" w:color="000000"/>
              <w:left w:val="single" w:sz="8" w:space="0" w:color="000000"/>
              <w:bottom w:val="single" w:sz="8" w:space="0" w:color="000000"/>
              <w:right w:val="single" w:sz="8" w:space="0" w:color="000000"/>
            </w:tcBorders>
          </w:tcPr>
          <w:p w14:paraId="2AE5995A" w14:textId="77777777" w:rsidR="007767BD" w:rsidRPr="0017495C" w:rsidRDefault="007767BD" w:rsidP="00D91942">
            <w:pPr>
              <w:ind w:right="180"/>
              <w:jc w:val="center"/>
              <w:rPr>
                <w:b/>
                <w:bCs/>
                <w:color w:val="000000" w:themeColor="text1"/>
                <w:sz w:val="28"/>
                <w:szCs w:val="28"/>
              </w:rPr>
            </w:pPr>
            <w:r w:rsidRPr="0017495C">
              <w:rPr>
                <w:color w:val="000000" w:themeColor="text1"/>
                <w:sz w:val="28"/>
                <w:szCs w:val="28"/>
              </w:rPr>
              <w:t>Dr Liver</w:t>
            </w:r>
          </w:p>
          <w:p w14:paraId="4538D4FB" w14:textId="77777777" w:rsidR="007767BD" w:rsidRPr="007767BD" w:rsidRDefault="007767BD" w:rsidP="00D91942">
            <w:pPr>
              <w:ind w:right="180"/>
              <w:jc w:val="center"/>
              <w:rPr>
                <w:color w:val="000000" w:themeColor="text1"/>
                <w:sz w:val="28"/>
                <w:szCs w:val="28"/>
                <w:lang w:val="en-US"/>
              </w:rPr>
            </w:pPr>
            <w:r w:rsidRPr="0017495C">
              <w:rPr>
                <w:color w:val="000000" w:themeColor="text1"/>
                <w:sz w:val="28"/>
                <w:szCs w:val="28"/>
              </w:rPr>
              <w:t>(Корея)</w:t>
            </w:r>
          </w:p>
        </w:tc>
        <w:tc>
          <w:tcPr>
            <w:tcW w:w="0" w:type="auto"/>
            <w:tcBorders>
              <w:top w:val="single" w:sz="8" w:space="0" w:color="000000"/>
              <w:left w:val="single" w:sz="8" w:space="0" w:color="000000"/>
              <w:bottom w:val="single" w:sz="8" w:space="0" w:color="000000"/>
              <w:right w:val="single" w:sz="8" w:space="0" w:color="000000"/>
            </w:tcBorders>
          </w:tcPr>
          <w:p w14:paraId="304F7F5F" w14:textId="77777777" w:rsidR="007767BD" w:rsidRPr="007767BD" w:rsidRDefault="007767BD" w:rsidP="00967B90">
            <w:pPr>
              <w:ind w:left="-60" w:right="180"/>
              <w:jc w:val="center"/>
              <w:rPr>
                <w:color w:val="000000" w:themeColor="text1"/>
                <w:sz w:val="28"/>
                <w:szCs w:val="28"/>
                <w:lang w:val="en-US"/>
              </w:rPr>
            </w:pPr>
            <w:r w:rsidRPr="0017495C">
              <w:rPr>
                <w:color w:val="000000" w:themeColor="text1"/>
                <w:sz w:val="28"/>
                <w:szCs w:val="28"/>
              </w:rPr>
              <w:t xml:space="preserve">&gt;15% (у 30,6% </w:t>
            </w:r>
            <w:r w:rsidR="00967B90">
              <w:rPr>
                <w:color w:val="000000" w:themeColor="text1"/>
                <w:sz w:val="28"/>
                <w:szCs w:val="28"/>
              </w:rPr>
              <w:t>доноров</w:t>
            </w:r>
            <w:r w:rsidRPr="0017495C">
              <w:rPr>
                <w:color w:val="000000" w:themeColor="text1"/>
                <w:sz w:val="28"/>
                <w:szCs w:val="28"/>
              </w:rPr>
              <w:t>)</w:t>
            </w:r>
          </w:p>
        </w:tc>
      </w:tr>
      <w:tr w:rsidR="0017495C" w:rsidRPr="0017495C" w14:paraId="1AA5D024" w14:textId="77777777" w:rsidTr="0017495C">
        <w:trPr>
          <w:cantSplit/>
          <w:trHeight w:val="360"/>
        </w:trPr>
        <w:tc>
          <w:tcPr>
            <w:tcW w:w="0" w:type="auto"/>
            <w:tcBorders>
              <w:top w:val="single" w:sz="8" w:space="0" w:color="000000"/>
              <w:left w:val="single" w:sz="8" w:space="0" w:color="000000"/>
              <w:bottom w:val="single" w:sz="8" w:space="0" w:color="000000"/>
              <w:right w:val="single" w:sz="8" w:space="0" w:color="000000"/>
            </w:tcBorders>
            <w:hideMark/>
          </w:tcPr>
          <w:p w14:paraId="557D903E" w14:textId="77777777" w:rsidR="0015384E" w:rsidRPr="007767BD" w:rsidRDefault="007767BD" w:rsidP="007767BD">
            <w:pPr>
              <w:jc w:val="center"/>
              <w:rPr>
                <w:color w:val="000000" w:themeColor="text1"/>
                <w:sz w:val="28"/>
                <w:szCs w:val="28"/>
              </w:rPr>
            </w:pPr>
            <w:r>
              <w:rPr>
                <w:color w:val="000000" w:themeColor="text1"/>
                <w:sz w:val="28"/>
                <w:szCs w:val="28"/>
              </w:rPr>
              <w:t>6</w:t>
            </w:r>
          </w:p>
        </w:tc>
        <w:tc>
          <w:tcPr>
            <w:tcW w:w="0" w:type="auto"/>
            <w:tcBorders>
              <w:top w:val="single" w:sz="8" w:space="0" w:color="000000"/>
              <w:left w:val="single" w:sz="8" w:space="0" w:color="000000"/>
              <w:bottom w:val="single" w:sz="8" w:space="0" w:color="000000"/>
              <w:right w:val="single" w:sz="8" w:space="0" w:color="000000"/>
            </w:tcBorders>
            <w:hideMark/>
          </w:tcPr>
          <w:p w14:paraId="4D137E8D" w14:textId="77777777" w:rsidR="0015384E" w:rsidRPr="0085740A" w:rsidRDefault="00746A80" w:rsidP="005E4D06">
            <w:pPr>
              <w:rPr>
                <w:b/>
                <w:bCs/>
                <w:color w:val="000000" w:themeColor="text1"/>
                <w:sz w:val="28"/>
                <w:szCs w:val="28"/>
                <w:lang w:val="en-US"/>
              </w:rPr>
            </w:pPr>
            <w:r>
              <w:rPr>
                <w:color w:val="000000" w:themeColor="text1"/>
                <w:sz w:val="28"/>
                <w:szCs w:val="28"/>
              </w:rPr>
              <w:t xml:space="preserve"> </w:t>
            </w:r>
            <w:r w:rsidR="0015384E" w:rsidRPr="0017495C">
              <w:rPr>
                <w:color w:val="000000" w:themeColor="text1"/>
                <w:sz w:val="28"/>
                <w:szCs w:val="28"/>
              </w:rPr>
              <w:t>Kwon H., 2017</w:t>
            </w:r>
            <w:r w:rsidR="0085740A">
              <w:rPr>
                <w:color w:val="000000" w:themeColor="text1"/>
                <w:sz w:val="28"/>
                <w:szCs w:val="28"/>
                <w:lang w:val="en-US"/>
              </w:rPr>
              <w:t xml:space="preserve"> </w:t>
            </w:r>
            <w:sdt>
              <w:sdtPr>
                <w:rPr>
                  <w:color w:val="000000"/>
                  <w:sz w:val="28"/>
                  <w:szCs w:val="28"/>
                  <w:lang w:val="en-US"/>
                </w:rPr>
                <w:tag w:val="MENDELEY_CITATION_v3_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"/>
                <w:id w:val="-1515919255"/>
                <w:placeholder>
                  <w:docPart w:val="DefaultPlaceholder_-1854013440"/>
                </w:placeholder>
              </w:sdtPr>
              <w:sdtContent>
                <w:r w:rsidR="001D0D81" w:rsidRPr="001D0D81">
                  <w:rPr>
                    <w:color w:val="000000"/>
                    <w:sz w:val="28"/>
                    <w:szCs w:val="28"/>
                    <w:lang w:val="en-US"/>
                  </w:rPr>
                  <w:t>[53]</w:t>
                </w:r>
              </w:sdtContent>
            </w:sdt>
          </w:p>
          <w:p w14:paraId="7FEAD3DD" w14:textId="77777777" w:rsidR="0015384E" w:rsidRPr="00D91942" w:rsidRDefault="00746A80" w:rsidP="005E4D06">
            <w:pPr>
              <w:rPr>
                <w:color w:val="000000" w:themeColor="text1"/>
                <w:sz w:val="28"/>
                <w:szCs w:val="28"/>
              </w:rPr>
            </w:pPr>
            <w:r>
              <w:rPr>
                <w:color w:val="000000" w:themeColor="text1"/>
                <w:sz w:val="28"/>
                <w:szCs w:val="28"/>
              </w:rPr>
              <w:t xml:space="preserve"> </w:t>
            </w:r>
            <w:r w:rsidR="0015384E" w:rsidRPr="0017495C">
              <w:rPr>
                <w:color w:val="000000" w:themeColor="text1"/>
                <w:sz w:val="28"/>
                <w:szCs w:val="28"/>
              </w:rPr>
              <w:t>(</w:t>
            </w:r>
            <w:r w:rsidR="007767BD">
              <w:rPr>
                <w:color w:val="000000" w:themeColor="text1"/>
                <w:sz w:val="28"/>
                <w:szCs w:val="28"/>
              </w:rPr>
              <w:t xml:space="preserve">Южная </w:t>
            </w:r>
            <w:r w:rsidR="0015384E" w:rsidRPr="0017495C">
              <w:rPr>
                <w:color w:val="000000" w:themeColor="text1"/>
                <w:sz w:val="28"/>
                <w:szCs w:val="28"/>
              </w:rPr>
              <w:t>Корея)</w:t>
            </w:r>
          </w:p>
        </w:tc>
        <w:tc>
          <w:tcPr>
            <w:tcW w:w="0" w:type="auto"/>
            <w:tcBorders>
              <w:top w:val="single" w:sz="8" w:space="0" w:color="000000"/>
              <w:left w:val="single" w:sz="8" w:space="0" w:color="000000"/>
              <w:bottom w:val="single" w:sz="8" w:space="0" w:color="000000"/>
              <w:right w:val="single" w:sz="8" w:space="0" w:color="000000"/>
            </w:tcBorders>
            <w:hideMark/>
          </w:tcPr>
          <w:p w14:paraId="6ECED405" w14:textId="77777777" w:rsidR="0015384E" w:rsidRPr="0017495C" w:rsidRDefault="0015384E" w:rsidP="00D91942">
            <w:pPr>
              <w:jc w:val="center"/>
              <w:rPr>
                <w:b/>
                <w:bCs/>
                <w:color w:val="000000" w:themeColor="text1"/>
                <w:sz w:val="28"/>
                <w:szCs w:val="28"/>
              </w:rPr>
            </w:pPr>
            <w:r w:rsidRPr="0017495C">
              <w:rPr>
                <w:color w:val="000000" w:themeColor="text1"/>
                <w:sz w:val="28"/>
                <w:szCs w:val="28"/>
              </w:rPr>
              <w:t>Siemens</w:t>
            </w:r>
          </w:p>
          <w:p w14:paraId="0FA8C512" w14:textId="77777777" w:rsidR="0015384E" w:rsidRPr="0017495C" w:rsidRDefault="0015384E" w:rsidP="00D91942">
            <w:pPr>
              <w:jc w:val="center"/>
              <w:rPr>
                <w:b/>
                <w:bCs/>
                <w:color w:val="000000" w:themeColor="text1"/>
                <w:sz w:val="28"/>
                <w:szCs w:val="28"/>
              </w:rPr>
            </w:pPr>
            <w:r w:rsidRPr="0017495C">
              <w:rPr>
                <w:color w:val="000000" w:themeColor="text1"/>
                <w:sz w:val="28"/>
                <w:szCs w:val="28"/>
              </w:rPr>
              <w:t>(Германия)</w:t>
            </w:r>
          </w:p>
        </w:tc>
        <w:tc>
          <w:tcPr>
            <w:tcW w:w="0" w:type="auto"/>
            <w:tcBorders>
              <w:top w:val="single" w:sz="8" w:space="0" w:color="000000"/>
              <w:left w:val="single" w:sz="8" w:space="0" w:color="000000"/>
              <w:bottom w:val="single" w:sz="8" w:space="0" w:color="000000"/>
              <w:right w:val="single" w:sz="8" w:space="0" w:color="000000"/>
            </w:tcBorders>
            <w:hideMark/>
          </w:tcPr>
          <w:p w14:paraId="589D03C0" w14:textId="77777777" w:rsidR="0015384E" w:rsidRPr="0017495C" w:rsidRDefault="0015384E" w:rsidP="00D91942">
            <w:pPr>
              <w:ind w:left="-60"/>
              <w:jc w:val="center"/>
              <w:rPr>
                <w:b/>
                <w:bCs/>
                <w:color w:val="000000" w:themeColor="text1"/>
                <w:sz w:val="28"/>
                <w:szCs w:val="28"/>
              </w:rPr>
            </w:pPr>
            <w:r w:rsidRPr="0017495C">
              <w:rPr>
                <w:color w:val="000000" w:themeColor="text1"/>
                <w:sz w:val="28"/>
                <w:szCs w:val="28"/>
              </w:rPr>
              <w:t>10,7%</w:t>
            </w:r>
          </w:p>
        </w:tc>
      </w:tr>
      <w:tr w:rsidR="0017495C" w:rsidRPr="0017495C" w14:paraId="0D7381AA" w14:textId="77777777" w:rsidTr="00D91942">
        <w:trPr>
          <w:cantSplit/>
          <w:trHeight w:val="702"/>
        </w:trPr>
        <w:tc>
          <w:tcPr>
            <w:tcW w:w="0" w:type="auto"/>
            <w:tcBorders>
              <w:top w:val="single" w:sz="8" w:space="0" w:color="000000"/>
              <w:left w:val="single" w:sz="8" w:space="0" w:color="000000"/>
              <w:bottom w:val="single" w:sz="8" w:space="0" w:color="000000"/>
              <w:right w:val="single" w:sz="8" w:space="0" w:color="000000"/>
            </w:tcBorders>
            <w:hideMark/>
          </w:tcPr>
          <w:p w14:paraId="662EC46D" w14:textId="77777777" w:rsidR="0015384E" w:rsidRPr="007767BD" w:rsidRDefault="007767BD" w:rsidP="007767BD">
            <w:pPr>
              <w:jc w:val="center"/>
              <w:rPr>
                <w:color w:val="000000" w:themeColor="text1"/>
                <w:sz w:val="28"/>
                <w:szCs w:val="28"/>
              </w:rPr>
            </w:pPr>
            <w:r>
              <w:rPr>
                <w:color w:val="000000" w:themeColor="text1"/>
                <w:sz w:val="28"/>
                <w:szCs w:val="28"/>
              </w:rPr>
              <w:t>7</w:t>
            </w:r>
          </w:p>
        </w:tc>
        <w:tc>
          <w:tcPr>
            <w:tcW w:w="0" w:type="auto"/>
            <w:tcBorders>
              <w:top w:val="single" w:sz="8" w:space="0" w:color="000000"/>
              <w:left w:val="single" w:sz="8" w:space="0" w:color="000000"/>
              <w:bottom w:val="single" w:sz="8" w:space="0" w:color="000000"/>
              <w:right w:val="single" w:sz="8" w:space="0" w:color="000000"/>
            </w:tcBorders>
            <w:hideMark/>
          </w:tcPr>
          <w:p w14:paraId="2B327126" w14:textId="77777777" w:rsidR="0015384E" w:rsidRPr="007767BD" w:rsidRDefault="00746A80" w:rsidP="005E4D06">
            <w:pPr>
              <w:ind w:right="180"/>
              <w:rPr>
                <w:b/>
                <w:bCs/>
                <w:color w:val="000000" w:themeColor="text1"/>
                <w:sz w:val="28"/>
                <w:szCs w:val="28"/>
                <w:lang w:val="en-US"/>
              </w:rPr>
            </w:pPr>
            <w:r>
              <w:rPr>
                <w:color w:val="000000" w:themeColor="text1"/>
                <w:sz w:val="28"/>
                <w:szCs w:val="28"/>
              </w:rPr>
              <w:t xml:space="preserve"> </w:t>
            </w:r>
            <w:r w:rsidR="007767BD">
              <w:rPr>
                <w:color w:val="000000" w:themeColor="text1"/>
                <w:sz w:val="28"/>
                <w:szCs w:val="28"/>
                <w:lang w:val="en-US"/>
              </w:rPr>
              <w:t xml:space="preserve">Xiaopeng Y., </w:t>
            </w:r>
            <w:r w:rsidR="0015384E" w:rsidRPr="007767BD">
              <w:rPr>
                <w:color w:val="000000" w:themeColor="text1"/>
                <w:sz w:val="28"/>
                <w:szCs w:val="28"/>
                <w:lang w:val="en-US"/>
              </w:rPr>
              <w:t xml:space="preserve">2018 </w:t>
            </w:r>
            <w:sdt>
              <w:sdtPr>
                <w:rPr>
                  <w:color w:val="000000"/>
                  <w:sz w:val="28"/>
                  <w:szCs w:val="28"/>
                  <w:lang w:val="en-US"/>
                </w:rPr>
                <w:tag w:val="MENDELEY_CITATION_v3_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"/>
                <w:id w:val="1324389556"/>
                <w:placeholder>
                  <w:docPart w:val="DefaultPlaceholder_-1854013440"/>
                </w:placeholder>
              </w:sdtPr>
              <w:sdtContent>
                <w:r w:rsidR="001D0D81" w:rsidRPr="001D0D81">
                  <w:rPr>
                    <w:color w:val="000000"/>
                    <w:sz w:val="28"/>
                    <w:szCs w:val="28"/>
                    <w:lang w:val="en-US"/>
                  </w:rPr>
                  <w:t>[54]</w:t>
                </w:r>
              </w:sdtContent>
            </w:sdt>
            <w:r w:rsidR="000A63FE">
              <w:rPr>
                <w:color w:val="000000"/>
                <w:sz w:val="28"/>
                <w:szCs w:val="28"/>
                <w:lang w:val="en-US"/>
              </w:rPr>
              <w:t xml:space="preserve"> </w:t>
            </w:r>
            <w:r>
              <w:rPr>
                <w:color w:val="000000"/>
                <w:sz w:val="28"/>
                <w:szCs w:val="28"/>
              </w:rPr>
              <w:t xml:space="preserve">  </w:t>
            </w:r>
            <w:r w:rsidR="0015384E" w:rsidRPr="007767BD">
              <w:rPr>
                <w:color w:val="000000" w:themeColor="text1"/>
                <w:sz w:val="28"/>
                <w:szCs w:val="28"/>
                <w:lang w:val="en-US"/>
              </w:rPr>
              <w:t>(</w:t>
            </w:r>
            <w:r w:rsidR="007767BD">
              <w:rPr>
                <w:color w:val="000000" w:themeColor="text1"/>
                <w:sz w:val="28"/>
                <w:szCs w:val="28"/>
              </w:rPr>
              <w:t xml:space="preserve">Южная </w:t>
            </w:r>
            <w:r w:rsidR="0015384E" w:rsidRPr="0017495C">
              <w:rPr>
                <w:color w:val="000000" w:themeColor="text1"/>
                <w:sz w:val="28"/>
                <w:szCs w:val="28"/>
              </w:rPr>
              <w:t>Корея</w:t>
            </w:r>
            <w:r w:rsidR="0015384E" w:rsidRPr="007767BD">
              <w:rPr>
                <w:color w:val="000000" w:themeColor="text1"/>
                <w:sz w:val="28"/>
                <w:szCs w:val="28"/>
                <w:lang w:val="en-US"/>
              </w:rPr>
              <w:t>)</w:t>
            </w:r>
          </w:p>
        </w:tc>
        <w:tc>
          <w:tcPr>
            <w:tcW w:w="0" w:type="auto"/>
            <w:tcBorders>
              <w:top w:val="single" w:sz="8" w:space="0" w:color="000000"/>
              <w:left w:val="single" w:sz="8" w:space="0" w:color="000000"/>
              <w:bottom w:val="single" w:sz="8" w:space="0" w:color="000000"/>
              <w:right w:val="single" w:sz="8" w:space="0" w:color="000000"/>
            </w:tcBorders>
            <w:hideMark/>
          </w:tcPr>
          <w:p w14:paraId="492B99B1" w14:textId="77777777" w:rsidR="0015384E" w:rsidRPr="0017495C" w:rsidRDefault="0015384E" w:rsidP="00D91942">
            <w:pPr>
              <w:ind w:right="180"/>
              <w:jc w:val="center"/>
              <w:rPr>
                <w:b/>
                <w:bCs/>
                <w:color w:val="000000" w:themeColor="text1"/>
                <w:sz w:val="28"/>
                <w:szCs w:val="28"/>
              </w:rPr>
            </w:pPr>
            <w:r w:rsidRPr="0017495C">
              <w:rPr>
                <w:color w:val="000000" w:themeColor="text1"/>
                <w:sz w:val="28"/>
                <w:szCs w:val="28"/>
              </w:rPr>
              <w:t>Dr Liver</w:t>
            </w:r>
          </w:p>
          <w:p w14:paraId="28B401CE" w14:textId="77777777" w:rsidR="0015384E" w:rsidRPr="0017495C" w:rsidRDefault="0015384E" w:rsidP="00D91942">
            <w:pPr>
              <w:ind w:left="180" w:right="180"/>
              <w:jc w:val="center"/>
              <w:rPr>
                <w:b/>
                <w:bCs/>
                <w:color w:val="000000" w:themeColor="text1"/>
                <w:sz w:val="28"/>
                <w:szCs w:val="28"/>
              </w:rPr>
            </w:pPr>
            <w:r w:rsidRPr="0017495C">
              <w:rPr>
                <w:color w:val="000000" w:themeColor="text1"/>
                <w:sz w:val="28"/>
                <w:szCs w:val="28"/>
              </w:rPr>
              <w:t>(Корея)</w:t>
            </w:r>
          </w:p>
        </w:tc>
        <w:tc>
          <w:tcPr>
            <w:tcW w:w="0" w:type="auto"/>
            <w:tcBorders>
              <w:top w:val="single" w:sz="8" w:space="0" w:color="000000"/>
              <w:left w:val="single" w:sz="8" w:space="0" w:color="000000"/>
              <w:bottom w:val="single" w:sz="8" w:space="0" w:color="000000"/>
              <w:right w:val="single" w:sz="8" w:space="0" w:color="000000"/>
            </w:tcBorders>
            <w:hideMark/>
          </w:tcPr>
          <w:p w14:paraId="1CB601E5" w14:textId="77777777" w:rsidR="0015384E" w:rsidRPr="0017495C" w:rsidRDefault="0015384E" w:rsidP="00D91942">
            <w:pPr>
              <w:jc w:val="center"/>
              <w:rPr>
                <w:b/>
                <w:bCs/>
                <w:color w:val="000000" w:themeColor="text1"/>
                <w:sz w:val="28"/>
                <w:szCs w:val="28"/>
              </w:rPr>
            </w:pPr>
            <w:r w:rsidRPr="0017495C">
              <w:rPr>
                <w:color w:val="000000" w:themeColor="text1"/>
                <w:sz w:val="28"/>
                <w:szCs w:val="28"/>
              </w:rPr>
              <w:t>10</w:t>
            </w:r>
            <w:r w:rsidR="006E6B9E" w:rsidRPr="0017495C">
              <w:rPr>
                <w:color w:val="000000" w:themeColor="text1"/>
                <w:sz w:val="28"/>
                <w:szCs w:val="28"/>
              </w:rPr>
              <w:t>,2</w:t>
            </w:r>
            <w:r w:rsidRPr="0017495C">
              <w:rPr>
                <w:color w:val="000000" w:themeColor="text1"/>
                <w:sz w:val="28"/>
                <w:szCs w:val="28"/>
              </w:rPr>
              <w:t>%</w:t>
            </w:r>
          </w:p>
        </w:tc>
      </w:tr>
      <w:tr w:rsidR="0017495C" w:rsidRPr="0017495C" w14:paraId="08E603E7" w14:textId="77777777" w:rsidTr="0017495C">
        <w:trPr>
          <w:cantSplit/>
          <w:trHeight w:val="360"/>
        </w:trPr>
        <w:tc>
          <w:tcPr>
            <w:tcW w:w="0" w:type="auto"/>
            <w:tcBorders>
              <w:top w:val="single" w:sz="8" w:space="0" w:color="000000"/>
              <w:left w:val="single" w:sz="8" w:space="0" w:color="000000"/>
              <w:bottom w:val="single" w:sz="8" w:space="0" w:color="000000"/>
              <w:right w:val="single" w:sz="8" w:space="0" w:color="000000"/>
            </w:tcBorders>
            <w:hideMark/>
          </w:tcPr>
          <w:p w14:paraId="23421793" w14:textId="77777777" w:rsidR="0015384E" w:rsidRPr="007767BD" w:rsidRDefault="007767BD" w:rsidP="007767BD">
            <w:pPr>
              <w:jc w:val="center"/>
              <w:rPr>
                <w:color w:val="000000" w:themeColor="text1"/>
                <w:sz w:val="28"/>
                <w:szCs w:val="28"/>
              </w:rPr>
            </w:pPr>
            <w:r>
              <w:rPr>
                <w:color w:val="000000" w:themeColor="text1"/>
                <w:sz w:val="28"/>
                <w:szCs w:val="28"/>
              </w:rPr>
              <w:t>8</w:t>
            </w:r>
          </w:p>
        </w:tc>
        <w:tc>
          <w:tcPr>
            <w:tcW w:w="0" w:type="auto"/>
            <w:tcBorders>
              <w:top w:val="single" w:sz="8" w:space="0" w:color="000000"/>
              <w:left w:val="single" w:sz="8" w:space="0" w:color="000000"/>
              <w:bottom w:val="single" w:sz="8" w:space="0" w:color="000000"/>
              <w:right w:val="single" w:sz="8" w:space="0" w:color="000000"/>
            </w:tcBorders>
            <w:hideMark/>
          </w:tcPr>
          <w:p w14:paraId="398F1A73" w14:textId="77777777" w:rsidR="0015384E" w:rsidRPr="00746A80" w:rsidRDefault="00746A80" w:rsidP="00746A80">
            <w:pPr>
              <w:ind w:right="180"/>
              <w:rPr>
                <w:b/>
                <w:bCs/>
                <w:color w:val="000000" w:themeColor="text1"/>
                <w:sz w:val="28"/>
                <w:szCs w:val="28"/>
                <w:lang w:val="en-US"/>
              </w:rPr>
            </w:pPr>
            <w:r>
              <w:rPr>
                <w:color w:val="000000" w:themeColor="text1"/>
                <w:sz w:val="28"/>
                <w:szCs w:val="28"/>
              </w:rPr>
              <w:t xml:space="preserve"> </w:t>
            </w:r>
            <w:r w:rsidR="0015384E" w:rsidRPr="0017495C">
              <w:rPr>
                <w:color w:val="000000" w:themeColor="text1"/>
                <w:sz w:val="28"/>
                <w:szCs w:val="28"/>
              </w:rPr>
              <w:t>Mohapatra Т., 2019</w:t>
            </w:r>
            <w:r w:rsidR="000A63FE">
              <w:rPr>
                <w:color w:val="000000" w:themeColor="text1"/>
                <w:sz w:val="28"/>
                <w:szCs w:val="28"/>
                <w:lang w:val="en-US"/>
              </w:rPr>
              <w:t xml:space="preserve"> </w:t>
            </w:r>
            <w:sdt>
              <w:sdtPr>
                <w:rPr>
                  <w:color w:val="000000"/>
                  <w:sz w:val="28"/>
                  <w:szCs w:val="28"/>
                  <w:lang w:val="en-US"/>
                </w:rPr>
                <w:tag w:val="MENDELEY_CITATION_v3_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"/>
                <w:id w:val="1820451392"/>
                <w:placeholder>
                  <w:docPart w:val="DefaultPlaceholder_-1854013440"/>
                </w:placeholder>
              </w:sdtPr>
              <w:sdtContent>
                <w:r w:rsidR="001D0D81" w:rsidRPr="001D0D81">
                  <w:rPr>
                    <w:color w:val="000000"/>
                    <w:sz w:val="28"/>
                    <w:szCs w:val="28"/>
                    <w:lang w:val="en-US"/>
                  </w:rPr>
                  <w:t>[10]</w:t>
                </w:r>
              </w:sdtContent>
            </w:sdt>
            <w:r>
              <w:rPr>
                <w:color w:val="000000"/>
                <w:sz w:val="28"/>
                <w:szCs w:val="28"/>
              </w:rPr>
              <w:t xml:space="preserve"> </w:t>
            </w:r>
            <w:r w:rsidR="0015384E" w:rsidRPr="0017495C">
              <w:rPr>
                <w:color w:val="000000" w:themeColor="text1"/>
                <w:sz w:val="28"/>
                <w:szCs w:val="28"/>
              </w:rPr>
              <w:t>(Индия)</w:t>
            </w:r>
          </w:p>
        </w:tc>
        <w:tc>
          <w:tcPr>
            <w:tcW w:w="0" w:type="auto"/>
            <w:tcBorders>
              <w:top w:val="single" w:sz="8" w:space="0" w:color="000000"/>
              <w:left w:val="single" w:sz="8" w:space="0" w:color="000000"/>
              <w:bottom w:val="single" w:sz="8" w:space="0" w:color="000000"/>
              <w:right w:val="single" w:sz="8" w:space="0" w:color="000000"/>
            </w:tcBorders>
            <w:hideMark/>
          </w:tcPr>
          <w:p w14:paraId="41F68285" w14:textId="77777777" w:rsidR="0015384E" w:rsidRPr="0017495C" w:rsidRDefault="0015384E" w:rsidP="00D91942">
            <w:pPr>
              <w:ind w:left="-180" w:right="-220"/>
              <w:jc w:val="center"/>
              <w:rPr>
                <w:b/>
                <w:bCs/>
                <w:color w:val="000000" w:themeColor="text1"/>
                <w:sz w:val="28"/>
                <w:szCs w:val="28"/>
              </w:rPr>
            </w:pPr>
            <w:r w:rsidRPr="0017495C">
              <w:rPr>
                <w:color w:val="000000" w:themeColor="text1"/>
                <w:sz w:val="28"/>
                <w:szCs w:val="28"/>
              </w:rPr>
              <w:t>Myrian</w:t>
            </w:r>
          </w:p>
          <w:p w14:paraId="28FA12DE" w14:textId="77777777" w:rsidR="0015384E" w:rsidRPr="0017495C" w:rsidRDefault="0015384E" w:rsidP="00D91942">
            <w:pPr>
              <w:ind w:left="-180" w:right="-220"/>
              <w:jc w:val="center"/>
              <w:rPr>
                <w:b/>
                <w:bCs/>
                <w:color w:val="000000" w:themeColor="text1"/>
                <w:sz w:val="28"/>
                <w:szCs w:val="28"/>
              </w:rPr>
            </w:pPr>
            <w:r w:rsidRPr="0017495C">
              <w:rPr>
                <w:color w:val="000000" w:themeColor="text1"/>
                <w:sz w:val="28"/>
                <w:szCs w:val="28"/>
              </w:rPr>
              <w:t>(Франция)</w:t>
            </w:r>
          </w:p>
        </w:tc>
        <w:tc>
          <w:tcPr>
            <w:tcW w:w="0" w:type="auto"/>
            <w:tcBorders>
              <w:top w:val="single" w:sz="8" w:space="0" w:color="000000"/>
              <w:left w:val="single" w:sz="8" w:space="0" w:color="000000"/>
              <w:bottom w:val="single" w:sz="8" w:space="0" w:color="000000"/>
              <w:right w:val="single" w:sz="8" w:space="0" w:color="000000"/>
            </w:tcBorders>
            <w:hideMark/>
          </w:tcPr>
          <w:p w14:paraId="1CB28D5E" w14:textId="77777777" w:rsidR="0015384E" w:rsidRPr="0017495C" w:rsidRDefault="0015384E" w:rsidP="00D91942">
            <w:pPr>
              <w:ind w:left="-60"/>
              <w:jc w:val="center"/>
              <w:rPr>
                <w:b/>
                <w:bCs/>
                <w:color w:val="000000" w:themeColor="text1"/>
                <w:sz w:val="28"/>
                <w:szCs w:val="28"/>
              </w:rPr>
            </w:pPr>
            <w:r w:rsidRPr="0017495C">
              <w:rPr>
                <w:color w:val="000000" w:themeColor="text1"/>
                <w:sz w:val="28"/>
                <w:szCs w:val="28"/>
              </w:rPr>
              <w:t>14,2%</w:t>
            </w:r>
          </w:p>
        </w:tc>
      </w:tr>
      <w:tr w:rsidR="0017495C" w:rsidRPr="0017495C" w14:paraId="08E9EEF7" w14:textId="77777777" w:rsidTr="0017495C">
        <w:trPr>
          <w:cantSplit/>
          <w:trHeight w:val="720"/>
        </w:trPr>
        <w:tc>
          <w:tcPr>
            <w:tcW w:w="0" w:type="auto"/>
            <w:tcBorders>
              <w:top w:val="single" w:sz="8" w:space="0" w:color="000000"/>
              <w:left w:val="single" w:sz="8" w:space="0" w:color="000000"/>
              <w:bottom w:val="single" w:sz="8" w:space="0" w:color="000000"/>
              <w:right w:val="single" w:sz="8" w:space="0" w:color="000000"/>
            </w:tcBorders>
            <w:hideMark/>
          </w:tcPr>
          <w:p w14:paraId="7B306398" w14:textId="77777777" w:rsidR="0015384E" w:rsidRPr="007767BD" w:rsidRDefault="007767BD" w:rsidP="007767BD">
            <w:pPr>
              <w:jc w:val="center"/>
              <w:rPr>
                <w:color w:val="000000" w:themeColor="text1"/>
                <w:sz w:val="28"/>
                <w:szCs w:val="28"/>
              </w:rPr>
            </w:pPr>
            <w:r>
              <w:rPr>
                <w:color w:val="000000" w:themeColor="text1"/>
                <w:sz w:val="28"/>
                <w:szCs w:val="28"/>
              </w:rPr>
              <w:t>9</w:t>
            </w:r>
          </w:p>
        </w:tc>
        <w:tc>
          <w:tcPr>
            <w:tcW w:w="0" w:type="auto"/>
            <w:tcBorders>
              <w:top w:val="single" w:sz="8" w:space="0" w:color="000000"/>
              <w:left w:val="single" w:sz="8" w:space="0" w:color="000000"/>
              <w:bottom w:val="single" w:sz="8" w:space="0" w:color="000000"/>
              <w:right w:val="single" w:sz="8" w:space="0" w:color="000000"/>
            </w:tcBorders>
            <w:hideMark/>
          </w:tcPr>
          <w:p w14:paraId="0A69C4A5" w14:textId="77777777" w:rsidR="0015384E" w:rsidRPr="0017495C" w:rsidRDefault="00746A80" w:rsidP="005E4D06">
            <w:pPr>
              <w:ind w:right="180"/>
              <w:rPr>
                <w:b/>
                <w:bCs/>
                <w:color w:val="000000" w:themeColor="text1"/>
                <w:sz w:val="28"/>
                <w:szCs w:val="28"/>
              </w:rPr>
            </w:pPr>
            <w:r>
              <w:rPr>
                <w:color w:val="000000" w:themeColor="text1"/>
                <w:sz w:val="28"/>
                <w:szCs w:val="28"/>
              </w:rPr>
              <w:t xml:space="preserve"> </w:t>
            </w:r>
            <w:r w:rsidR="00170181" w:rsidRPr="0017495C">
              <w:rPr>
                <w:color w:val="000000" w:themeColor="text1"/>
                <w:sz w:val="28"/>
                <w:szCs w:val="28"/>
              </w:rPr>
              <w:t xml:space="preserve">Mayer Ph., 2019 </w:t>
            </w:r>
            <w:sdt>
              <w:sdtPr>
                <w:rPr>
                  <w:color w:val="000000"/>
                  <w:sz w:val="28"/>
                  <w:szCs w:val="28"/>
                </w:rPr>
                <w:tag w:val="MENDELEY_CITATION_v3_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"/>
                <w:id w:val="-1155831708"/>
                <w:placeholder>
                  <w:docPart w:val="DefaultPlaceholder_-1854013440"/>
                </w:placeholder>
              </w:sdtPr>
              <w:sdtContent>
                <w:r w:rsidR="001D0D81" w:rsidRPr="001D0D81">
                  <w:rPr>
                    <w:color w:val="000000"/>
                    <w:sz w:val="28"/>
                    <w:szCs w:val="28"/>
                  </w:rPr>
                  <w:t>[9]</w:t>
                </w:r>
              </w:sdtContent>
            </w:sdt>
            <w:r w:rsidR="000A63FE">
              <w:rPr>
                <w:color w:val="000000"/>
                <w:sz w:val="28"/>
                <w:szCs w:val="28"/>
                <w:lang w:val="en-US"/>
              </w:rPr>
              <w:t xml:space="preserve"> </w:t>
            </w:r>
            <w:r>
              <w:rPr>
                <w:color w:val="000000"/>
                <w:sz w:val="28"/>
                <w:szCs w:val="28"/>
              </w:rPr>
              <w:t xml:space="preserve"> </w:t>
            </w:r>
            <w:r w:rsidR="00170181" w:rsidRPr="0017495C">
              <w:rPr>
                <w:color w:val="000000" w:themeColor="text1"/>
                <w:sz w:val="28"/>
                <w:szCs w:val="28"/>
              </w:rPr>
              <w:t>(Германия)</w:t>
            </w:r>
          </w:p>
        </w:tc>
        <w:tc>
          <w:tcPr>
            <w:tcW w:w="0" w:type="auto"/>
            <w:tcBorders>
              <w:top w:val="single" w:sz="8" w:space="0" w:color="000000"/>
              <w:left w:val="single" w:sz="8" w:space="0" w:color="000000"/>
              <w:bottom w:val="single" w:sz="8" w:space="0" w:color="000000"/>
              <w:right w:val="single" w:sz="8" w:space="0" w:color="000000"/>
            </w:tcBorders>
            <w:hideMark/>
          </w:tcPr>
          <w:p w14:paraId="16A99C53" w14:textId="77777777" w:rsidR="00170181" w:rsidRPr="0017495C" w:rsidRDefault="00170181" w:rsidP="00D91942">
            <w:pPr>
              <w:ind w:left="-180" w:right="-220"/>
              <w:jc w:val="center"/>
              <w:rPr>
                <w:b/>
                <w:bCs/>
                <w:color w:val="000000" w:themeColor="text1"/>
                <w:sz w:val="28"/>
                <w:szCs w:val="28"/>
                <w:lang w:val="en-US"/>
              </w:rPr>
            </w:pPr>
            <w:r w:rsidRPr="0017495C">
              <w:rPr>
                <w:color w:val="000000" w:themeColor="text1"/>
                <w:sz w:val="28"/>
                <w:szCs w:val="28"/>
                <w:lang w:val="en-US"/>
              </w:rPr>
              <w:t>singo.</w:t>
            </w:r>
          </w:p>
          <w:p w14:paraId="03DEE057" w14:textId="77777777" w:rsidR="0015384E" w:rsidRPr="007767BD" w:rsidRDefault="00170181" w:rsidP="00D91942">
            <w:pPr>
              <w:jc w:val="center"/>
              <w:rPr>
                <w:b/>
                <w:bCs/>
                <w:color w:val="000000" w:themeColor="text1"/>
                <w:sz w:val="28"/>
                <w:szCs w:val="28"/>
                <w:lang w:val="en-US"/>
              </w:rPr>
            </w:pPr>
            <w:r w:rsidRPr="0017495C">
              <w:rPr>
                <w:color w:val="000000" w:themeColor="text1"/>
                <w:sz w:val="28"/>
                <w:szCs w:val="28"/>
                <w:lang w:val="en-US"/>
              </w:rPr>
              <w:t>CT Liver Analysis (</w:t>
            </w:r>
            <w:r w:rsidRPr="0017495C">
              <w:rPr>
                <w:color w:val="000000" w:themeColor="text1"/>
                <w:sz w:val="28"/>
                <w:szCs w:val="28"/>
              </w:rPr>
              <w:t>Германия</w:t>
            </w:r>
            <w:r w:rsidRPr="0017495C">
              <w:rPr>
                <w:color w:val="000000" w:themeColor="text1"/>
                <w:sz w:val="28"/>
                <w:szCs w:val="28"/>
                <w:lang w:val="en-US"/>
              </w:rPr>
              <w:t>)</w:t>
            </w:r>
          </w:p>
        </w:tc>
        <w:tc>
          <w:tcPr>
            <w:tcW w:w="0" w:type="auto"/>
            <w:tcBorders>
              <w:top w:val="single" w:sz="8" w:space="0" w:color="000000"/>
              <w:left w:val="single" w:sz="8" w:space="0" w:color="000000"/>
              <w:bottom w:val="single" w:sz="8" w:space="0" w:color="000000"/>
              <w:right w:val="single" w:sz="8" w:space="0" w:color="000000"/>
            </w:tcBorders>
            <w:hideMark/>
          </w:tcPr>
          <w:p w14:paraId="18512853" w14:textId="77777777" w:rsidR="00170181" w:rsidRPr="0017495C" w:rsidRDefault="00170181" w:rsidP="00D91942">
            <w:pPr>
              <w:ind w:left="-60"/>
              <w:jc w:val="center"/>
              <w:rPr>
                <w:b/>
                <w:bCs/>
                <w:color w:val="000000" w:themeColor="text1"/>
                <w:sz w:val="28"/>
                <w:szCs w:val="28"/>
              </w:rPr>
            </w:pPr>
            <w:r w:rsidRPr="0017495C">
              <w:rPr>
                <w:color w:val="000000" w:themeColor="text1"/>
                <w:sz w:val="28"/>
                <w:szCs w:val="28"/>
              </w:rPr>
              <w:t>1</w:t>
            </w:r>
            <w:r w:rsidR="00825136" w:rsidRPr="0017495C">
              <w:rPr>
                <w:color w:val="000000" w:themeColor="text1"/>
                <w:sz w:val="28"/>
                <w:szCs w:val="28"/>
              </w:rPr>
              <w:t>1,1</w:t>
            </w:r>
            <w:r w:rsidRPr="0017495C">
              <w:rPr>
                <w:color w:val="000000" w:themeColor="text1"/>
                <w:sz w:val="28"/>
                <w:szCs w:val="28"/>
              </w:rPr>
              <w:t>%</w:t>
            </w:r>
          </w:p>
          <w:p w14:paraId="7C84ACE6" w14:textId="77777777" w:rsidR="0015384E" w:rsidRPr="0017495C" w:rsidRDefault="0015384E" w:rsidP="00D91942">
            <w:pPr>
              <w:ind w:left="-60"/>
              <w:jc w:val="center"/>
              <w:rPr>
                <w:b/>
                <w:bCs/>
                <w:color w:val="000000" w:themeColor="text1"/>
                <w:sz w:val="28"/>
                <w:szCs w:val="28"/>
              </w:rPr>
            </w:pPr>
          </w:p>
        </w:tc>
      </w:tr>
      <w:tr w:rsidR="00D91942" w:rsidRPr="0017495C" w14:paraId="5FB9AF49" w14:textId="77777777" w:rsidTr="0017495C">
        <w:trPr>
          <w:cantSplit/>
          <w:trHeight w:val="720"/>
        </w:trPr>
        <w:tc>
          <w:tcPr>
            <w:tcW w:w="0" w:type="auto"/>
            <w:tcBorders>
              <w:top w:val="single" w:sz="8" w:space="0" w:color="000000"/>
              <w:left w:val="single" w:sz="8" w:space="0" w:color="000000"/>
              <w:bottom w:val="single" w:sz="8" w:space="0" w:color="000000"/>
              <w:right w:val="single" w:sz="8" w:space="0" w:color="000000"/>
            </w:tcBorders>
          </w:tcPr>
          <w:p w14:paraId="11813381" w14:textId="77777777" w:rsidR="00D91942" w:rsidRDefault="00D91942" w:rsidP="00D91942">
            <w:pPr>
              <w:jc w:val="center"/>
              <w:rPr>
                <w:color w:val="000000" w:themeColor="text1"/>
                <w:sz w:val="28"/>
                <w:szCs w:val="28"/>
              </w:rPr>
            </w:pPr>
            <w:r>
              <w:rPr>
                <w:color w:val="000000" w:themeColor="text1"/>
                <w:sz w:val="28"/>
                <w:szCs w:val="28"/>
              </w:rPr>
              <w:t>10</w:t>
            </w:r>
          </w:p>
        </w:tc>
        <w:tc>
          <w:tcPr>
            <w:tcW w:w="0" w:type="auto"/>
            <w:tcBorders>
              <w:top w:val="single" w:sz="8" w:space="0" w:color="000000"/>
              <w:left w:val="single" w:sz="8" w:space="0" w:color="000000"/>
              <w:bottom w:val="single" w:sz="8" w:space="0" w:color="000000"/>
              <w:right w:val="single" w:sz="8" w:space="0" w:color="000000"/>
            </w:tcBorders>
          </w:tcPr>
          <w:p w14:paraId="24A19110" w14:textId="77777777" w:rsidR="00D91942" w:rsidRPr="0017495C" w:rsidRDefault="00746A80" w:rsidP="005E4D06">
            <w:pPr>
              <w:ind w:right="180"/>
              <w:rPr>
                <w:color w:val="000000" w:themeColor="text1"/>
                <w:sz w:val="28"/>
                <w:szCs w:val="28"/>
              </w:rPr>
            </w:pPr>
            <w:r>
              <w:rPr>
                <w:color w:val="000000" w:themeColor="text1"/>
                <w:sz w:val="28"/>
                <w:szCs w:val="28"/>
              </w:rPr>
              <w:t xml:space="preserve"> </w:t>
            </w:r>
            <w:r w:rsidR="00D91942" w:rsidRPr="0017495C">
              <w:rPr>
                <w:color w:val="000000" w:themeColor="text1"/>
                <w:sz w:val="28"/>
                <w:szCs w:val="28"/>
              </w:rPr>
              <w:t xml:space="preserve">Ozcelik U., 2021 </w:t>
            </w:r>
            <w:sdt>
              <w:sdtPr>
                <w:rPr>
                  <w:color w:val="000000"/>
                  <w:sz w:val="28"/>
                  <w:szCs w:val="28"/>
                </w:rPr>
                <w:tag w:val="MENDELEY_CITATION_v3_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"/>
                <w:id w:val="1089580524"/>
                <w:placeholder>
                  <w:docPart w:val="DefaultPlaceholder_-1854013440"/>
                </w:placeholder>
              </w:sdtPr>
              <w:sdtContent>
                <w:r w:rsidR="001D0D81" w:rsidRPr="001D0D81">
                  <w:rPr>
                    <w:color w:val="000000"/>
                    <w:sz w:val="28"/>
                    <w:szCs w:val="28"/>
                  </w:rPr>
                  <w:t>[55]</w:t>
                </w:r>
                <w:r>
                  <w:rPr>
                    <w:color w:val="000000"/>
                    <w:sz w:val="28"/>
                    <w:szCs w:val="28"/>
                  </w:rPr>
                  <w:t xml:space="preserve">  </w:t>
                </w:r>
              </w:sdtContent>
            </w:sdt>
            <w:r w:rsidR="00D91942" w:rsidRPr="0017495C">
              <w:rPr>
                <w:color w:val="000000" w:themeColor="text1"/>
                <w:sz w:val="28"/>
                <w:szCs w:val="28"/>
              </w:rPr>
              <w:t>(Турция)</w:t>
            </w:r>
          </w:p>
        </w:tc>
        <w:tc>
          <w:tcPr>
            <w:tcW w:w="0" w:type="auto"/>
            <w:tcBorders>
              <w:top w:val="single" w:sz="8" w:space="0" w:color="000000"/>
              <w:left w:val="single" w:sz="8" w:space="0" w:color="000000"/>
              <w:bottom w:val="single" w:sz="8" w:space="0" w:color="000000"/>
              <w:right w:val="single" w:sz="8" w:space="0" w:color="000000"/>
            </w:tcBorders>
          </w:tcPr>
          <w:p w14:paraId="6546EB4D" w14:textId="77777777" w:rsidR="00D91942" w:rsidRPr="0017495C" w:rsidRDefault="00D91942" w:rsidP="00D91942">
            <w:pPr>
              <w:ind w:left="-180" w:right="-220"/>
              <w:jc w:val="center"/>
              <w:rPr>
                <w:color w:val="000000" w:themeColor="text1"/>
                <w:sz w:val="28"/>
                <w:szCs w:val="28"/>
                <w:lang w:val="en-US"/>
              </w:rPr>
            </w:pPr>
            <w:r w:rsidRPr="0017495C">
              <w:rPr>
                <w:color w:val="000000" w:themeColor="text1"/>
                <w:sz w:val="28"/>
                <w:szCs w:val="28"/>
                <w:lang w:val="en-US"/>
              </w:rPr>
              <w:t>Liver Vision</w:t>
            </w:r>
          </w:p>
          <w:p w14:paraId="6CBDD6AA" w14:textId="77777777" w:rsidR="00D91942" w:rsidRPr="0017495C" w:rsidRDefault="00D91942" w:rsidP="00D91942">
            <w:pPr>
              <w:ind w:left="-180" w:right="-220"/>
              <w:jc w:val="center"/>
              <w:rPr>
                <w:color w:val="000000" w:themeColor="text1"/>
                <w:sz w:val="28"/>
                <w:szCs w:val="28"/>
                <w:lang w:val="en-US"/>
              </w:rPr>
            </w:pPr>
            <w:r w:rsidRPr="0017495C">
              <w:rPr>
                <w:color w:val="000000" w:themeColor="text1"/>
                <w:sz w:val="28"/>
                <w:szCs w:val="28"/>
                <w:lang w:val="en-US"/>
              </w:rPr>
              <w:t>(Турция)</w:t>
            </w:r>
          </w:p>
        </w:tc>
        <w:tc>
          <w:tcPr>
            <w:tcW w:w="0" w:type="auto"/>
            <w:tcBorders>
              <w:top w:val="single" w:sz="8" w:space="0" w:color="000000"/>
              <w:left w:val="single" w:sz="8" w:space="0" w:color="000000"/>
              <w:bottom w:val="single" w:sz="8" w:space="0" w:color="000000"/>
              <w:right w:val="single" w:sz="8" w:space="0" w:color="000000"/>
            </w:tcBorders>
          </w:tcPr>
          <w:p w14:paraId="49E134F6" w14:textId="77777777" w:rsidR="00D91942" w:rsidRPr="0017495C" w:rsidRDefault="00D91942" w:rsidP="00D91942">
            <w:pPr>
              <w:ind w:left="-60"/>
              <w:jc w:val="center"/>
              <w:rPr>
                <w:color w:val="000000" w:themeColor="text1"/>
                <w:sz w:val="28"/>
                <w:szCs w:val="28"/>
              </w:rPr>
            </w:pPr>
            <w:r w:rsidRPr="0017495C">
              <w:rPr>
                <w:color w:val="000000" w:themeColor="text1"/>
                <w:sz w:val="28"/>
                <w:szCs w:val="28"/>
              </w:rPr>
              <w:t>11,9%</w:t>
            </w:r>
          </w:p>
        </w:tc>
      </w:tr>
      <w:tr w:rsidR="007767BD" w:rsidRPr="0017495C" w14:paraId="66D3AD38" w14:textId="77777777" w:rsidTr="007767BD">
        <w:trPr>
          <w:cantSplit/>
          <w:trHeight w:val="781"/>
        </w:trPr>
        <w:tc>
          <w:tcPr>
            <w:tcW w:w="0" w:type="auto"/>
            <w:tcBorders>
              <w:top w:val="single" w:sz="8" w:space="0" w:color="000000"/>
              <w:left w:val="single" w:sz="8" w:space="0" w:color="000000"/>
              <w:bottom w:val="single" w:sz="8" w:space="0" w:color="000000"/>
              <w:right w:val="single" w:sz="8" w:space="0" w:color="000000"/>
            </w:tcBorders>
            <w:hideMark/>
          </w:tcPr>
          <w:p w14:paraId="71866F44" w14:textId="77777777" w:rsidR="007767BD" w:rsidRPr="007767BD" w:rsidRDefault="00D91942" w:rsidP="007767BD">
            <w:pPr>
              <w:ind w:right="40"/>
              <w:jc w:val="center"/>
              <w:rPr>
                <w:color w:val="000000" w:themeColor="text1"/>
                <w:sz w:val="28"/>
                <w:szCs w:val="28"/>
              </w:rPr>
            </w:pPr>
            <w:r>
              <w:rPr>
                <w:color w:val="000000" w:themeColor="text1"/>
                <w:sz w:val="28"/>
                <w:szCs w:val="28"/>
              </w:rPr>
              <w:t>11</w:t>
            </w:r>
          </w:p>
        </w:tc>
        <w:tc>
          <w:tcPr>
            <w:tcW w:w="0" w:type="auto"/>
            <w:tcBorders>
              <w:top w:val="single" w:sz="8" w:space="0" w:color="000000"/>
              <w:left w:val="single" w:sz="8" w:space="0" w:color="000000"/>
              <w:bottom w:val="single" w:sz="8" w:space="0" w:color="000000"/>
              <w:right w:val="single" w:sz="8" w:space="0" w:color="000000"/>
            </w:tcBorders>
          </w:tcPr>
          <w:p w14:paraId="4D67652F" w14:textId="77777777" w:rsidR="007767BD" w:rsidRPr="000A63FE" w:rsidRDefault="00746A80" w:rsidP="005E4D06">
            <w:pPr>
              <w:ind w:right="180"/>
              <w:rPr>
                <w:color w:val="000000" w:themeColor="text1"/>
                <w:sz w:val="28"/>
                <w:szCs w:val="28"/>
                <w:lang w:val="en-US"/>
              </w:rPr>
            </w:pPr>
            <w:r>
              <w:rPr>
                <w:color w:val="000000" w:themeColor="text1"/>
                <w:sz w:val="28"/>
                <w:szCs w:val="28"/>
              </w:rPr>
              <w:t xml:space="preserve"> </w:t>
            </w:r>
            <w:r w:rsidR="007767BD" w:rsidRPr="0017495C">
              <w:rPr>
                <w:color w:val="000000" w:themeColor="text1"/>
                <w:sz w:val="28"/>
                <w:szCs w:val="28"/>
              </w:rPr>
              <w:t>Celik H., 2023</w:t>
            </w:r>
            <w:r w:rsidR="000A63FE">
              <w:rPr>
                <w:color w:val="000000" w:themeColor="text1"/>
                <w:sz w:val="28"/>
                <w:szCs w:val="28"/>
                <w:lang w:val="en-US"/>
              </w:rPr>
              <w:t xml:space="preserve"> </w:t>
            </w:r>
            <w:sdt>
              <w:sdtPr>
                <w:rPr>
                  <w:color w:val="000000"/>
                  <w:sz w:val="28"/>
                  <w:szCs w:val="28"/>
                  <w:lang w:val="en-US"/>
                </w:rPr>
                <w:tag w:val="MENDELEY_CITATION_v3_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"/>
                <w:id w:val="-99492086"/>
                <w:placeholder>
                  <w:docPart w:val="DefaultPlaceholder_-1854013440"/>
                </w:placeholder>
              </w:sdtPr>
              <w:sdtContent>
                <w:r w:rsidR="001D0D81" w:rsidRPr="001D0D81">
                  <w:rPr>
                    <w:color w:val="000000"/>
                    <w:sz w:val="28"/>
                    <w:szCs w:val="28"/>
                    <w:lang w:val="en-US"/>
                  </w:rPr>
                  <w:t>[4]</w:t>
                </w:r>
              </w:sdtContent>
            </w:sdt>
          </w:p>
          <w:p w14:paraId="12A1A20E" w14:textId="77777777" w:rsidR="007767BD" w:rsidRPr="0017495C" w:rsidRDefault="00746A80" w:rsidP="005E4D06">
            <w:pPr>
              <w:ind w:right="180"/>
              <w:rPr>
                <w:b/>
                <w:bCs/>
                <w:color w:val="000000" w:themeColor="text1"/>
                <w:sz w:val="28"/>
                <w:szCs w:val="28"/>
              </w:rPr>
            </w:pPr>
            <w:r>
              <w:rPr>
                <w:color w:val="000000" w:themeColor="text1"/>
                <w:sz w:val="28"/>
                <w:szCs w:val="28"/>
              </w:rPr>
              <w:t xml:space="preserve"> </w:t>
            </w:r>
            <w:r w:rsidR="007767BD" w:rsidRPr="0017495C">
              <w:rPr>
                <w:color w:val="000000" w:themeColor="text1"/>
                <w:sz w:val="28"/>
                <w:szCs w:val="28"/>
              </w:rPr>
              <w:t>(Турция)</w:t>
            </w:r>
          </w:p>
        </w:tc>
        <w:tc>
          <w:tcPr>
            <w:tcW w:w="0" w:type="auto"/>
            <w:tcBorders>
              <w:top w:val="single" w:sz="8" w:space="0" w:color="000000"/>
              <w:left w:val="single" w:sz="8" w:space="0" w:color="000000"/>
              <w:bottom w:val="single" w:sz="8" w:space="0" w:color="000000"/>
              <w:right w:val="single" w:sz="8" w:space="0" w:color="000000"/>
            </w:tcBorders>
          </w:tcPr>
          <w:p w14:paraId="5DD2AEBA" w14:textId="77777777" w:rsidR="007767BD" w:rsidRDefault="007767BD" w:rsidP="00D91942">
            <w:pPr>
              <w:ind w:left="-180" w:right="-220"/>
              <w:jc w:val="center"/>
              <w:rPr>
                <w:color w:val="000000" w:themeColor="text1"/>
                <w:sz w:val="28"/>
                <w:szCs w:val="28"/>
              </w:rPr>
            </w:pPr>
            <w:r w:rsidRPr="0017495C">
              <w:rPr>
                <w:color w:val="000000" w:themeColor="text1"/>
                <w:sz w:val="28"/>
                <w:szCs w:val="28"/>
              </w:rPr>
              <w:t>Philips</w:t>
            </w:r>
          </w:p>
          <w:p w14:paraId="768605E3" w14:textId="77777777" w:rsidR="007767BD" w:rsidRPr="0017495C" w:rsidRDefault="007767BD" w:rsidP="00D91942">
            <w:pPr>
              <w:ind w:left="-180" w:right="-220"/>
              <w:jc w:val="center"/>
              <w:rPr>
                <w:color w:val="000000" w:themeColor="text1"/>
                <w:sz w:val="28"/>
                <w:szCs w:val="28"/>
                <w:lang w:val="en-US"/>
              </w:rPr>
            </w:pPr>
            <w:r w:rsidRPr="0017495C">
              <w:rPr>
                <w:color w:val="000000" w:themeColor="text1"/>
                <w:sz w:val="28"/>
                <w:szCs w:val="28"/>
              </w:rPr>
              <w:t>(Нидерланды)</w:t>
            </w:r>
          </w:p>
        </w:tc>
        <w:tc>
          <w:tcPr>
            <w:tcW w:w="0" w:type="auto"/>
            <w:tcBorders>
              <w:top w:val="single" w:sz="8" w:space="0" w:color="000000"/>
              <w:left w:val="single" w:sz="8" w:space="0" w:color="000000"/>
              <w:bottom w:val="single" w:sz="8" w:space="0" w:color="000000"/>
              <w:right w:val="single" w:sz="8" w:space="0" w:color="000000"/>
            </w:tcBorders>
          </w:tcPr>
          <w:p w14:paraId="0E9CBA06" w14:textId="77777777" w:rsidR="007767BD" w:rsidRPr="0017495C" w:rsidRDefault="007767BD" w:rsidP="00D91942">
            <w:pPr>
              <w:jc w:val="center"/>
              <w:rPr>
                <w:b/>
                <w:bCs/>
                <w:color w:val="000000" w:themeColor="text1"/>
                <w:sz w:val="28"/>
                <w:szCs w:val="28"/>
              </w:rPr>
            </w:pPr>
          </w:p>
          <w:p w14:paraId="2D9922AA" w14:textId="77777777" w:rsidR="007767BD" w:rsidRPr="0017495C" w:rsidRDefault="007767BD" w:rsidP="00D91942">
            <w:pPr>
              <w:jc w:val="center"/>
              <w:rPr>
                <w:b/>
                <w:bCs/>
                <w:color w:val="000000" w:themeColor="text1"/>
                <w:sz w:val="28"/>
                <w:szCs w:val="28"/>
              </w:rPr>
            </w:pPr>
            <w:r w:rsidRPr="0017495C">
              <w:rPr>
                <w:color w:val="000000" w:themeColor="text1"/>
                <w:sz w:val="28"/>
                <w:szCs w:val="28"/>
              </w:rPr>
              <w:t>13,5%</w:t>
            </w:r>
          </w:p>
        </w:tc>
      </w:tr>
    </w:tbl>
    <w:p w14:paraId="61A938E6" w14:textId="77777777" w:rsidR="00C83DBB" w:rsidRPr="005E4D06" w:rsidRDefault="0015384E" w:rsidP="005E4D06">
      <w:pPr>
        <w:rPr>
          <w:color w:val="000000" w:themeColor="text1"/>
          <w:sz w:val="28"/>
          <w:szCs w:val="28"/>
        </w:rPr>
      </w:pPr>
      <w:r w:rsidRPr="0017495C">
        <w:rPr>
          <w:color w:val="000000" w:themeColor="text1"/>
          <w:sz w:val="28"/>
          <w:szCs w:val="28"/>
        </w:rPr>
        <w:t> </w:t>
      </w:r>
    </w:p>
    <w:p w14:paraId="33F8BD8D" w14:textId="47499FB9" w:rsidR="004969F4" w:rsidRPr="00170B7C" w:rsidRDefault="004969F4" w:rsidP="004969F4">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sz w:val="28"/>
          <w:szCs w:val="28"/>
        </w:rPr>
        <w:t xml:space="preserve">Martel G. и соавт. </w:t>
      </w:r>
      <w:r w:rsidRPr="00170B7C">
        <w:rPr>
          <w:color w:val="000000"/>
          <w:sz w:val="28"/>
          <w:szCs w:val="28"/>
        </w:rPr>
        <w:t xml:space="preserve">сообщили в своем исследовании, что </w:t>
      </w:r>
      <w:r w:rsidR="00AD192B">
        <w:rPr>
          <w:color w:val="000000"/>
          <w:sz w:val="28"/>
          <w:szCs w:val="28"/>
        </w:rPr>
        <w:t xml:space="preserve">5% ошибки </w:t>
      </w:r>
      <w:r w:rsidRPr="00170B7C">
        <w:rPr>
          <w:color w:val="000000"/>
          <w:sz w:val="28"/>
          <w:szCs w:val="28"/>
        </w:rPr>
        <w:t xml:space="preserve">между </w:t>
      </w:r>
      <w:r w:rsidR="001E740B" w:rsidRPr="00170B7C">
        <w:rPr>
          <w:color w:val="000000"/>
          <w:sz w:val="28"/>
          <w:szCs w:val="28"/>
        </w:rPr>
        <w:t>расс</w:t>
      </w:r>
      <w:r w:rsidR="001E740B">
        <w:rPr>
          <w:color w:val="000000"/>
          <w:sz w:val="28"/>
          <w:szCs w:val="28"/>
        </w:rPr>
        <w:t>читанным</w:t>
      </w:r>
      <w:r w:rsidRPr="00170B7C">
        <w:rPr>
          <w:color w:val="000000"/>
          <w:sz w:val="28"/>
          <w:szCs w:val="28"/>
        </w:rPr>
        <w:t xml:space="preserve"> объемом </w:t>
      </w:r>
      <w:r w:rsidR="001A5139">
        <w:rPr>
          <w:color w:val="000000"/>
          <w:sz w:val="28"/>
          <w:szCs w:val="28"/>
        </w:rPr>
        <w:t xml:space="preserve">печени </w:t>
      </w:r>
      <w:r w:rsidRPr="00170B7C">
        <w:rPr>
          <w:color w:val="000000"/>
          <w:sz w:val="28"/>
          <w:szCs w:val="28"/>
        </w:rPr>
        <w:t xml:space="preserve">и фактической массой трансплантата может повлиять на клинический результат. Для этого сравнения были созданы биномиальные пропорции и 95% доверительные интервалы Уорда. Было показано, что при использовании измеренного трансплантата в качестве стандарта, рассчитанный объем печени демонстрировал значимое завышение или </w:t>
      </w:r>
      <w:r w:rsidR="00A418E6" w:rsidRPr="00170B7C">
        <w:rPr>
          <w:color w:val="000000"/>
          <w:sz w:val="28"/>
          <w:szCs w:val="28"/>
        </w:rPr>
        <w:t>занижение</w:t>
      </w:r>
      <w:r w:rsidR="00A418E6">
        <w:rPr>
          <w:color w:val="000000"/>
          <w:sz w:val="28"/>
          <w:szCs w:val="28"/>
        </w:rPr>
        <w:t xml:space="preserve">, </w:t>
      </w:r>
      <w:r w:rsidR="00A418E6" w:rsidRPr="00170B7C">
        <w:rPr>
          <w:color w:val="000000"/>
          <w:sz w:val="28"/>
          <w:szCs w:val="28"/>
        </w:rPr>
        <w:t>в</w:t>
      </w:r>
      <w:r w:rsidR="00B2075F">
        <w:rPr>
          <w:color w:val="000000"/>
          <w:sz w:val="28"/>
          <w:szCs w:val="28"/>
        </w:rPr>
        <w:t xml:space="preserve"> 31,9% случаях до</w:t>
      </w:r>
      <w:r w:rsidRPr="00170B7C">
        <w:rPr>
          <w:color w:val="000000"/>
          <w:sz w:val="28"/>
          <w:szCs w:val="28"/>
        </w:rPr>
        <w:t xml:space="preserve"> 5%</w:t>
      </w:r>
      <w:r w:rsidR="001A5139">
        <w:rPr>
          <w:color w:val="000000"/>
          <w:sz w:val="28"/>
          <w:szCs w:val="28"/>
        </w:rPr>
        <w:t>.</w:t>
      </w:r>
      <w:r w:rsidRPr="00170B7C">
        <w:rPr>
          <w:color w:val="000000"/>
          <w:sz w:val="28"/>
          <w:szCs w:val="28"/>
        </w:rPr>
        <w:t xml:space="preserve"> Авторы </w:t>
      </w:r>
      <w:r w:rsidR="00B2075F">
        <w:rPr>
          <w:color w:val="000000"/>
          <w:sz w:val="28"/>
          <w:szCs w:val="28"/>
        </w:rPr>
        <w:t>дискуссируют</w:t>
      </w:r>
      <w:r w:rsidRPr="00170B7C">
        <w:rPr>
          <w:color w:val="000000"/>
          <w:sz w:val="28"/>
          <w:szCs w:val="28"/>
        </w:rPr>
        <w:t xml:space="preserve">, что измеренные и оцененные объемы </w:t>
      </w:r>
      <w:r w:rsidR="007D037A">
        <w:rPr>
          <w:color w:val="000000"/>
          <w:sz w:val="28"/>
          <w:szCs w:val="28"/>
        </w:rPr>
        <w:t xml:space="preserve">показали ошибки </w:t>
      </w:r>
      <w:r w:rsidRPr="00170B7C">
        <w:rPr>
          <w:color w:val="000000"/>
          <w:sz w:val="28"/>
          <w:szCs w:val="28"/>
        </w:rPr>
        <w:t xml:space="preserve">почти у одной трети </w:t>
      </w:r>
      <w:r w:rsidR="00967B90">
        <w:rPr>
          <w:color w:val="000000"/>
          <w:sz w:val="28"/>
          <w:szCs w:val="28"/>
        </w:rPr>
        <w:t>доноров</w:t>
      </w:r>
      <w:r w:rsidRPr="00170B7C">
        <w:rPr>
          <w:color w:val="000000"/>
          <w:sz w:val="28"/>
          <w:szCs w:val="28"/>
        </w:rPr>
        <w:t>, что потенциально может повлиять на принятие клинических решений для предотвращения печеночной н</w:t>
      </w:r>
      <w:r>
        <w:rPr>
          <w:color w:val="000000"/>
          <w:sz w:val="28"/>
          <w:szCs w:val="28"/>
        </w:rPr>
        <w:t xml:space="preserve">едостаточности или </w:t>
      </w:r>
      <w:r w:rsidR="00805A25" w:rsidRPr="00805A25">
        <w:rPr>
          <w:color w:val="000000"/>
          <w:sz w:val="28"/>
          <w:szCs w:val="28"/>
        </w:rPr>
        <w:t>small - for - size syndrome</w:t>
      </w:r>
      <w:r w:rsidRPr="00170B7C">
        <w:rPr>
          <w:color w:val="000000"/>
          <w:sz w:val="28"/>
          <w:szCs w:val="28"/>
        </w:rPr>
        <w:t>.</w:t>
      </w:r>
      <w:r w:rsidR="002031BB">
        <w:rPr>
          <w:color w:val="000000"/>
          <w:sz w:val="28"/>
          <w:szCs w:val="28"/>
        </w:rPr>
        <w:t xml:space="preserve"> </w:t>
      </w:r>
      <w:r w:rsidR="002031BB">
        <w:rPr>
          <w:color w:val="000000"/>
          <w:sz w:val="28"/>
          <w:szCs w:val="28"/>
        </w:rPr>
        <w:lastRenderedPageBreak/>
        <w:t>Недостаточный объем печени</w:t>
      </w:r>
      <w:r w:rsidRPr="00170B7C">
        <w:rPr>
          <w:color w:val="000000"/>
          <w:sz w:val="28"/>
          <w:szCs w:val="28"/>
        </w:rPr>
        <w:t xml:space="preserve"> не может поддерживать адекватную функцию организма, что приводит к гипо-, гипербилирубинемии, коагулопатии, асциту, энцефалопатии и, в конечном итоге, к послеоперационной смерти </w:t>
      </w:r>
      <w:r w:rsidR="00967B90">
        <w:rPr>
          <w:color w:val="000000"/>
          <w:sz w:val="28"/>
          <w:szCs w:val="28"/>
        </w:rPr>
        <w:t>реципиента</w:t>
      </w:r>
      <w:r w:rsidRPr="00170B7C">
        <w:rPr>
          <w:color w:val="000000"/>
          <w:sz w:val="28"/>
          <w:szCs w:val="28"/>
        </w:rPr>
        <w:t>. </w:t>
      </w:r>
    </w:p>
    <w:p w14:paraId="688C9693" w14:textId="25D34394" w:rsidR="00662447" w:rsidRPr="00297E01" w:rsidRDefault="00662447" w:rsidP="00662447">
      <w:pPr>
        <w:ind w:firstLine="567"/>
        <w:jc w:val="both"/>
        <w:rPr>
          <w:color w:val="000000" w:themeColor="text1"/>
          <w:sz w:val="28"/>
          <w:szCs w:val="28"/>
        </w:rPr>
      </w:pPr>
      <w:r w:rsidRPr="0017495C">
        <w:rPr>
          <w:color w:val="000000" w:themeColor="text1"/>
          <w:sz w:val="28"/>
          <w:szCs w:val="28"/>
        </w:rPr>
        <w:t>Некоторые исследования показали</w:t>
      </w:r>
      <w:r w:rsidRPr="00297E01">
        <w:rPr>
          <w:color w:val="000000" w:themeColor="text1"/>
          <w:sz w:val="28"/>
          <w:szCs w:val="28"/>
        </w:rPr>
        <w:t xml:space="preserve">, что частота ошибок при оценке </w:t>
      </w:r>
      <w:r w:rsidR="002031BB">
        <w:rPr>
          <w:color w:val="000000" w:themeColor="text1"/>
          <w:sz w:val="28"/>
          <w:szCs w:val="28"/>
        </w:rPr>
        <w:t xml:space="preserve">объема печени </w:t>
      </w:r>
      <w:r w:rsidRPr="00297E01">
        <w:rPr>
          <w:color w:val="000000" w:themeColor="text1"/>
          <w:sz w:val="28"/>
          <w:szCs w:val="28"/>
        </w:rPr>
        <w:t>с помощью КТ-волюметрии достигает 20%. Ghaneh F. и  соавт. в 2015 году пред</w:t>
      </w:r>
      <w:r w:rsidR="00B34E48">
        <w:rPr>
          <w:color w:val="000000" w:themeColor="text1"/>
          <w:sz w:val="28"/>
          <w:szCs w:val="28"/>
        </w:rPr>
        <w:t xml:space="preserve">ставили в своей работе данные об ошибке </w:t>
      </w:r>
      <w:r w:rsidRPr="00297E01">
        <w:rPr>
          <w:color w:val="000000" w:themeColor="text1"/>
          <w:sz w:val="28"/>
          <w:szCs w:val="28"/>
        </w:rPr>
        <w:t>автоматизированной программы в 1,3 %, однако стоит отметить, что КТ-волюметрия печени сравнивалась не с эталоном - интраоперационным весом графта, а с фантомом (полимерная печень). </w:t>
      </w:r>
    </w:p>
    <w:p w14:paraId="747962C3" w14:textId="1D22251E" w:rsidR="00662447" w:rsidRPr="00B34E48" w:rsidRDefault="0015384E" w:rsidP="002B0EBF">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sz w:val="28"/>
          <w:szCs w:val="28"/>
        </w:rPr>
      </w:pPr>
      <w:r w:rsidRPr="00B34E48">
        <w:rPr>
          <w:sz w:val="28"/>
          <w:szCs w:val="28"/>
        </w:rPr>
        <w:t xml:space="preserve">Также во многих исследованиях </w:t>
      </w:r>
      <w:r w:rsidR="00B34E48">
        <w:rPr>
          <w:sz w:val="28"/>
          <w:szCs w:val="28"/>
        </w:rPr>
        <w:t xml:space="preserve">проводится сравнение результатов </w:t>
      </w:r>
      <w:r w:rsidR="009C437C">
        <w:rPr>
          <w:sz w:val="28"/>
          <w:szCs w:val="28"/>
        </w:rPr>
        <w:t xml:space="preserve">КТ- </w:t>
      </w:r>
      <w:r w:rsidR="00B34E48">
        <w:rPr>
          <w:sz w:val="28"/>
          <w:szCs w:val="28"/>
        </w:rPr>
        <w:t>волюметрии</w:t>
      </w:r>
      <w:r w:rsidRPr="00B34E48">
        <w:rPr>
          <w:sz w:val="28"/>
          <w:szCs w:val="28"/>
        </w:rPr>
        <w:t xml:space="preserve"> только одного или двух</w:t>
      </w:r>
      <w:r w:rsidR="00A66619">
        <w:rPr>
          <w:sz w:val="28"/>
          <w:szCs w:val="28"/>
        </w:rPr>
        <w:t xml:space="preserve"> методов с массой трансплантата</w:t>
      </w:r>
      <w:r w:rsidRPr="00B34E48">
        <w:rPr>
          <w:sz w:val="28"/>
          <w:szCs w:val="28"/>
        </w:rPr>
        <w:t xml:space="preserve">. </w:t>
      </w:r>
      <w:r w:rsidRPr="00B34E48">
        <w:rPr>
          <w:rFonts w:eastAsia="Calibri"/>
          <w:sz w:val="28"/>
          <w:szCs w:val="28"/>
        </w:rPr>
        <w:t>​</w:t>
      </w:r>
    </w:p>
    <w:p w14:paraId="6FCEB91D" w14:textId="767E6357" w:rsidR="00F740A9" w:rsidRPr="0066289B" w:rsidRDefault="00662447" w:rsidP="0066289B">
      <w:pPr>
        <w:pBdr>
          <w:top w:val="none" w:sz="0" w:space="0" w:color="000000"/>
          <w:left w:val="none" w:sz="0" w:space="0" w:color="000000"/>
          <w:bottom w:val="none" w:sz="0" w:space="0" w:color="000000"/>
          <w:right w:val="none" w:sz="0" w:space="0" w:color="000000"/>
          <w:between w:val="none" w:sz="0" w:space="0" w:color="000000"/>
        </w:pBdr>
        <w:tabs>
          <w:tab w:val="left" w:pos="567"/>
        </w:tabs>
        <w:jc w:val="both"/>
        <w:rPr>
          <w:rFonts w:eastAsia="Calibri"/>
          <w:color w:val="000000"/>
          <w:sz w:val="28"/>
          <w:szCs w:val="28"/>
        </w:rPr>
      </w:pPr>
      <w:r>
        <w:rPr>
          <w:color w:val="000000"/>
          <w:sz w:val="28"/>
          <w:szCs w:val="28"/>
        </w:rPr>
        <w:tab/>
      </w:r>
      <w:r w:rsidR="00274D3C" w:rsidRPr="00170B7C">
        <w:rPr>
          <w:color w:val="000000"/>
          <w:sz w:val="28"/>
          <w:szCs w:val="28"/>
        </w:rPr>
        <w:t>Мануальный метод КТ-волюметрии является стандартны</w:t>
      </w:r>
      <w:r w:rsidR="00A66619">
        <w:rPr>
          <w:color w:val="000000"/>
          <w:sz w:val="28"/>
          <w:szCs w:val="28"/>
        </w:rPr>
        <w:t>м</w:t>
      </w:r>
      <w:r w:rsidR="000A63FE" w:rsidRPr="000A63FE">
        <w:rPr>
          <w:color w:val="000000"/>
          <w:sz w:val="28"/>
          <w:szCs w:val="28"/>
        </w:rPr>
        <w:t xml:space="preserve">, </w:t>
      </w:r>
      <w:r w:rsidR="00274D3C" w:rsidRPr="00170B7C">
        <w:rPr>
          <w:color w:val="000000"/>
          <w:sz w:val="28"/>
          <w:szCs w:val="28"/>
        </w:rPr>
        <w:t xml:space="preserve">однако данный метод трудоемкий. Принцип расчета заключается в том, что на каждом срезе курсором мышки обводится по контуру область печени, обходя крупные сосуды.  </w:t>
      </w:r>
      <w:r w:rsidR="00274D3C" w:rsidRPr="00170B7C">
        <w:rPr>
          <w:color w:val="202124"/>
          <w:sz w:val="28"/>
          <w:szCs w:val="28"/>
        </w:rPr>
        <w:t>Объем, соответствующий каждому срезу, рассчитывается путем умножения площади обводимой области на толщину среза. Общий объем печени получают путем суммирования объемов каждого среза.  </w:t>
      </w:r>
      <w:r w:rsidR="00274D3C" w:rsidRPr="00170B7C">
        <w:rPr>
          <w:color w:val="000000"/>
          <w:sz w:val="28"/>
          <w:szCs w:val="28"/>
        </w:rPr>
        <w:t xml:space="preserve">Основной недостаток заключается в том, что врач затрачивает большое количество времени. Более того, вероятность </w:t>
      </w:r>
      <w:r w:rsidR="00274D3C" w:rsidRPr="00E73B44">
        <w:rPr>
          <w:color w:val="000000"/>
          <w:sz w:val="28"/>
          <w:szCs w:val="28"/>
        </w:rPr>
        <w:t xml:space="preserve">ошибки, связанной с разницей между предоперационной предполагаемой </w:t>
      </w:r>
      <w:r w:rsidR="001E740B">
        <w:rPr>
          <w:color w:val="000000"/>
          <w:sz w:val="28"/>
          <w:szCs w:val="28"/>
        </w:rPr>
        <w:t xml:space="preserve">массой трансплантата </w:t>
      </w:r>
      <w:r w:rsidR="00274D3C" w:rsidRPr="00E73B44">
        <w:rPr>
          <w:color w:val="000000"/>
          <w:sz w:val="28"/>
          <w:szCs w:val="28"/>
        </w:rPr>
        <w:t>и реальн</w:t>
      </w:r>
      <w:r w:rsidR="001E740B">
        <w:rPr>
          <w:color w:val="000000"/>
          <w:sz w:val="28"/>
          <w:szCs w:val="28"/>
        </w:rPr>
        <w:t>ым</w:t>
      </w:r>
      <w:r w:rsidR="00274D3C" w:rsidRPr="00E73B44">
        <w:rPr>
          <w:color w:val="000000"/>
          <w:sz w:val="28"/>
          <w:szCs w:val="28"/>
        </w:rPr>
        <w:t xml:space="preserve"> </w:t>
      </w:r>
      <w:r w:rsidR="001E740B">
        <w:rPr>
          <w:color w:val="000000"/>
          <w:sz w:val="28"/>
          <w:szCs w:val="28"/>
        </w:rPr>
        <w:t>весом графта</w:t>
      </w:r>
      <w:r w:rsidR="00274D3C" w:rsidRPr="00E73B44">
        <w:rPr>
          <w:color w:val="000000"/>
          <w:sz w:val="28"/>
          <w:szCs w:val="28"/>
        </w:rPr>
        <w:t xml:space="preserve"> означает, что волюметрия должна выполняться специалистом: радиологом или хирургом, который полностью осведомлен о тактике донорской </w:t>
      </w:r>
      <w:r w:rsidR="001E740B">
        <w:rPr>
          <w:color w:val="000000"/>
          <w:sz w:val="28"/>
          <w:szCs w:val="28"/>
        </w:rPr>
        <w:t>резекции печени</w:t>
      </w:r>
      <w:r w:rsidR="00274D3C" w:rsidRPr="00E73B44">
        <w:rPr>
          <w:color w:val="000000"/>
          <w:sz w:val="28"/>
          <w:szCs w:val="28"/>
        </w:rPr>
        <w:t xml:space="preserve"> и возможном индивидуальном разрезе </w:t>
      </w:r>
      <w:r w:rsidR="001E740B">
        <w:rPr>
          <w:color w:val="000000"/>
          <w:sz w:val="28"/>
          <w:szCs w:val="28"/>
        </w:rPr>
        <w:t xml:space="preserve">вдоль </w:t>
      </w:r>
      <w:r w:rsidR="00274D3C" w:rsidRPr="00E73B44">
        <w:rPr>
          <w:color w:val="000000"/>
          <w:sz w:val="28"/>
          <w:szCs w:val="28"/>
        </w:rPr>
        <w:t>средней печеночной вены для оптима</w:t>
      </w:r>
      <w:r w:rsidR="00A66619">
        <w:rPr>
          <w:color w:val="000000"/>
          <w:sz w:val="28"/>
          <w:szCs w:val="28"/>
        </w:rPr>
        <w:t>льного вычисления объема печени</w:t>
      </w:r>
      <w:r w:rsidR="00274D3C" w:rsidRPr="00E73B44">
        <w:rPr>
          <w:i/>
          <w:color w:val="000000"/>
          <w:sz w:val="28"/>
          <w:szCs w:val="28"/>
        </w:rPr>
        <w:t>.</w:t>
      </w:r>
      <w:r w:rsidR="00274D3C" w:rsidRPr="00E73B44">
        <w:rPr>
          <w:color w:val="000000"/>
          <w:sz w:val="28"/>
          <w:szCs w:val="28"/>
        </w:rPr>
        <w:t xml:space="preserve"> При ручном обведении контура печени, крупные сосуды, такие как воротная вена и печеночные вены хорошо визуализируются на фоне паренхимы и могут быть исключены, но сегментарные ветви (например, ветви воротной вены третьего или четвертого порядка</w:t>
      </w:r>
      <w:r w:rsidR="00274D3C" w:rsidRPr="00170B7C">
        <w:rPr>
          <w:color w:val="000000"/>
          <w:sz w:val="28"/>
          <w:szCs w:val="28"/>
        </w:rPr>
        <w:t>) не визуализируются и, соответственно, идут в расчет объема печени.  </w:t>
      </w:r>
    </w:p>
    <w:p w14:paraId="68A08B7D" w14:textId="61136B63" w:rsidR="00C700B8" w:rsidRPr="00170B7C" w:rsidRDefault="002724A5"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Pr>
          <w:color w:val="000000"/>
          <w:sz w:val="28"/>
          <w:szCs w:val="28"/>
        </w:rPr>
        <w:t>С</w:t>
      </w:r>
      <w:r w:rsidR="00274D3C" w:rsidRPr="00170B7C">
        <w:rPr>
          <w:color w:val="000000"/>
          <w:sz w:val="28"/>
          <w:szCs w:val="28"/>
        </w:rPr>
        <w:t xml:space="preserve"> развитием полуавтоматических</w:t>
      </w:r>
      <w:r>
        <w:rPr>
          <w:color w:val="000000"/>
          <w:sz w:val="28"/>
          <w:szCs w:val="28"/>
        </w:rPr>
        <w:t xml:space="preserve"> и автоматических программ они демонстрируют</w:t>
      </w:r>
      <w:r w:rsidR="00274D3C" w:rsidRPr="00170B7C">
        <w:rPr>
          <w:color w:val="000000"/>
          <w:sz w:val="28"/>
          <w:szCs w:val="28"/>
        </w:rPr>
        <w:t xml:space="preserve"> приемлемую </w:t>
      </w:r>
      <w:r w:rsidR="00274D3C" w:rsidRPr="00E73B44">
        <w:rPr>
          <w:color w:val="000000"/>
          <w:sz w:val="28"/>
          <w:szCs w:val="28"/>
        </w:rPr>
        <w:t>оценку объема печени и значительно сокращают время, необходимое для расчетов. При расчете полуавтоматическими программами область печени обводится вручную в нескольких срезах, остальную часть программа реконструирует автоматически.</w:t>
      </w:r>
      <w:r w:rsidR="00A07513" w:rsidRPr="00E73B44">
        <w:rPr>
          <w:color w:val="000000"/>
          <w:sz w:val="28"/>
          <w:szCs w:val="28"/>
        </w:rPr>
        <w:t xml:space="preserve"> Полученные   ложноположительно</w:t>
      </w:r>
      <w:r w:rsidR="00274D3C" w:rsidRPr="00E73B44">
        <w:rPr>
          <w:color w:val="000000"/>
          <w:sz w:val="28"/>
          <w:szCs w:val="28"/>
        </w:rPr>
        <w:t xml:space="preserve"> выделенные области корректируются вручную с помощью инструментов программы. Полуавтоматические программы сокращают время исследования в сравнении</w:t>
      </w:r>
      <w:r w:rsidR="00274D3C" w:rsidRPr="00170B7C">
        <w:rPr>
          <w:color w:val="000000"/>
          <w:sz w:val="28"/>
          <w:szCs w:val="28"/>
        </w:rPr>
        <w:t xml:space="preserve"> с мануальным методом, так же поддаются ручной коррекции выделенных </w:t>
      </w:r>
      <w:r w:rsidR="00A66619">
        <w:rPr>
          <w:color w:val="000000"/>
          <w:sz w:val="28"/>
          <w:szCs w:val="28"/>
        </w:rPr>
        <w:t>границ печени и крупных сосудов</w:t>
      </w:r>
      <w:r w:rsidR="0092600E" w:rsidRPr="0092600E">
        <w:rPr>
          <w:color w:val="000000"/>
          <w:sz w:val="28"/>
          <w:szCs w:val="28"/>
        </w:rPr>
        <w:t>.</w:t>
      </w:r>
      <w:r w:rsidR="00274D3C" w:rsidRPr="00170B7C">
        <w:rPr>
          <w:rFonts w:eastAsia="Calibri"/>
          <w:color w:val="000000"/>
          <w:sz w:val="28"/>
          <w:szCs w:val="28"/>
        </w:rPr>
        <w:t xml:space="preserve"> </w:t>
      </w:r>
      <w:r w:rsidR="00274D3C" w:rsidRPr="00170B7C">
        <w:rPr>
          <w:sz w:val="28"/>
          <w:szCs w:val="28"/>
        </w:rPr>
        <w:t>Pattanayak P. и соавт.</w:t>
      </w:r>
      <w:r w:rsidR="00A66619">
        <w:rPr>
          <w:sz w:val="28"/>
          <w:szCs w:val="28"/>
        </w:rPr>
        <w:t xml:space="preserve"> </w:t>
      </w:r>
      <w:r w:rsidR="00274D3C" w:rsidRPr="00170B7C">
        <w:rPr>
          <w:sz w:val="28"/>
          <w:szCs w:val="28"/>
        </w:rPr>
        <w:t xml:space="preserve">в своей </w:t>
      </w:r>
      <w:r w:rsidR="00274D3C" w:rsidRPr="00170B7C">
        <w:rPr>
          <w:color w:val="000000"/>
          <w:sz w:val="28"/>
          <w:szCs w:val="28"/>
        </w:rPr>
        <w:t>работе проводят анализ нескольких программных пакетов, которые включают полуавтоматическую сегментацию, авторы отмечают, что несмотря на возможность ручной корректировки сегментации результаты отличаются незначительно и не влияют на конечный результат.   </w:t>
      </w:r>
    </w:p>
    <w:p w14:paraId="72142149" w14:textId="0E8AEB5E" w:rsidR="00F740A9" w:rsidRPr="0092600E" w:rsidRDefault="00F740A9" w:rsidP="007048AA">
      <w:pPr>
        <w:pStyle w:val="ab"/>
        <w:ind w:firstLine="708"/>
        <w:jc w:val="both"/>
        <w:rPr>
          <w:rFonts w:ascii="Times New Roman" w:hAnsi="Times New Roman" w:cs="Times New Roman"/>
          <w:sz w:val="28"/>
          <w:szCs w:val="28"/>
          <w:lang w:val="ru-RU"/>
        </w:rPr>
      </w:pPr>
      <w:r w:rsidRPr="00170B7C">
        <w:rPr>
          <w:rFonts w:ascii="Times New Roman" w:hAnsi="Times New Roman" w:cs="Times New Roman"/>
          <w:sz w:val="28"/>
          <w:szCs w:val="28"/>
          <w:lang w:val="ru-RU"/>
        </w:rPr>
        <w:t>Концепция трехмерной визуализации печени была впервые представлена ​​</w:t>
      </w:r>
      <w:r w:rsidR="007C664D" w:rsidRPr="00170B7C">
        <w:rPr>
          <w:rFonts w:ascii="Times New Roman" w:hAnsi="Times New Roman" w:cs="Times New Roman"/>
          <w:sz w:val="28"/>
          <w:szCs w:val="28"/>
          <w:lang w:val="ru-RU"/>
        </w:rPr>
        <w:t xml:space="preserve"> Hashimoto T. и</w:t>
      </w:r>
      <w:r w:rsidRPr="00170B7C">
        <w:rPr>
          <w:rFonts w:ascii="Times New Roman" w:hAnsi="Times New Roman" w:cs="Times New Roman"/>
          <w:sz w:val="28"/>
          <w:szCs w:val="28"/>
          <w:lang w:val="ru-RU"/>
        </w:rPr>
        <w:t xml:space="preserve"> соавт</w:t>
      </w:r>
      <w:r w:rsidR="007C664D" w:rsidRPr="00170B7C">
        <w:rPr>
          <w:rFonts w:ascii="Times New Roman" w:hAnsi="Times New Roman" w:cs="Times New Roman"/>
          <w:sz w:val="28"/>
          <w:szCs w:val="28"/>
          <w:lang w:val="ru-RU"/>
        </w:rPr>
        <w:t>.</w:t>
      </w:r>
      <w:r w:rsidRPr="00170B7C">
        <w:rPr>
          <w:rFonts w:ascii="Times New Roman" w:hAnsi="Times New Roman" w:cs="Times New Roman"/>
          <w:sz w:val="28"/>
          <w:szCs w:val="28"/>
          <w:lang w:val="ru-RU"/>
        </w:rPr>
        <w:t xml:space="preserve"> в 1990-х г</w:t>
      </w:r>
      <w:r w:rsidR="0036744F">
        <w:rPr>
          <w:rFonts w:ascii="Times New Roman" w:hAnsi="Times New Roman" w:cs="Times New Roman"/>
          <w:sz w:val="28"/>
          <w:szCs w:val="28"/>
          <w:lang w:val="ru-RU"/>
        </w:rPr>
        <w:t>одах, демонстрирующие</w:t>
      </w:r>
      <w:r w:rsidRPr="00170B7C">
        <w:rPr>
          <w:rFonts w:ascii="Times New Roman" w:hAnsi="Times New Roman" w:cs="Times New Roman"/>
          <w:sz w:val="28"/>
          <w:szCs w:val="28"/>
          <w:lang w:val="ru-RU"/>
        </w:rPr>
        <w:t xml:space="preserve"> ручную реконструкцию контуров печени. Позднее </w:t>
      </w:r>
      <w:r w:rsidR="00C5090F" w:rsidRPr="00170B7C">
        <w:rPr>
          <w:rFonts w:ascii="Times New Roman" w:hAnsi="Times New Roman" w:cs="Times New Roman"/>
          <w:sz w:val="28"/>
          <w:szCs w:val="28"/>
          <w:lang w:val="ru-RU"/>
        </w:rPr>
        <w:t>Marescaux J. И соавт.</w:t>
      </w:r>
      <w:r w:rsidRPr="00170B7C">
        <w:rPr>
          <w:rFonts w:ascii="Times New Roman" w:hAnsi="Times New Roman" w:cs="Times New Roman"/>
          <w:sz w:val="28"/>
          <w:szCs w:val="28"/>
          <w:lang w:val="ru-RU"/>
        </w:rPr>
        <w:t xml:space="preserve"> описал</w:t>
      </w:r>
      <w:r w:rsidR="00C5090F" w:rsidRPr="00170B7C">
        <w:rPr>
          <w:rFonts w:ascii="Times New Roman" w:hAnsi="Times New Roman" w:cs="Times New Roman"/>
          <w:sz w:val="28"/>
          <w:szCs w:val="28"/>
          <w:lang w:val="ru-RU"/>
        </w:rPr>
        <w:t>и</w:t>
      </w:r>
      <w:r w:rsidRPr="00170B7C">
        <w:rPr>
          <w:rFonts w:ascii="Times New Roman" w:hAnsi="Times New Roman" w:cs="Times New Roman"/>
          <w:sz w:val="28"/>
          <w:szCs w:val="28"/>
          <w:lang w:val="ru-RU"/>
        </w:rPr>
        <w:t xml:space="preserve"> первоначальный опыт </w:t>
      </w:r>
      <w:r w:rsidRPr="00170B7C">
        <w:rPr>
          <w:rFonts w:ascii="Times New Roman" w:hAnsi="Times New Roman" w:cs="Times New Roman"/>
          <w:sz w:val="28"/>
          <w:szCs w:val="28"/>
          <w:lang w:val="ru-RU"/>
        </w:rPr>
        <w:lastRenderedPageBreak/>
        <w:t>с автоматизированным трехмерным моделированием в 1998 году. Впоследствии объемный анализ, основанный на трехмерной реконструкции, был принят в трансплантации печени от живого донора и резекции печени</w:t>
      </w:r>
      <w:r w:rsidR="003476E4" w:rsidRPr="00170B7C">
        <w:rPr>
          <w:rFonts w:ascii="Times New Roman" w:hAnsi="Times New Roman" w:cs="Times New Roman"/>
          <w:sz w:val="28"/>
          <w:szCs w:val="28"/>
          <w:lang w:val="ru-RU"/>
        </w:rPr>
        <w:t>.</w:t>
      </w:r>
      <w:r w:rsidR="007048AA">
        <w:rPr>
          <w:rFonts w:ascii="Times New Roman" w:hAnsi="Times New Roman" w:cs="Times New Roman"/>
          <w:sz w:val="28"/>
          <w:szCs w:val="28"/>
          <w:lang w:val="ru-RU"/>
        </w:rPr>
        <w:t xml:space="preserve"> Это достижение позволило</w:t>
      </w:r>
      <w:r w:rsidRPr="00170B7C">
        <w:rPr>
          <w:rFonts w:ascii="Times New Roman" w:hAnsi="Times New Roman" w:cs="Times New Roman"/>
          <w:sz w:val="28"/>
          <w:szCs w:val="28"/>
          <w:lang w:val="ru-RU"/>
        </w:rPr>
        <w:t xml:space="preserve"> оценить объем остаточной печени, что облегчило прогнозирование потенциальных осложнений, таких как венозный застой</w:t>
      </w:r>
      <w:r w:rsidR="0092600E" w:rsidRPr="0092600E">
        <w:rPr>
          <w:rFonts w:ascii="Times New Roman" w:hAnsi="Times New Roman" w:cs="Times New Roman"/>
          <w:sz w:val="28"/>
          <w:szCs w:val="28"/>
          <w:lang w:val="ru-RU"/>
        </w:rPr>
        <w:t>.</w:t>
      </w:r>
    </w:p>
    <w:p w14:paraId="094DD66C" w14:textId="77777777" w:rsidR="00AD4978" w:rsidRPr="00170B7C" w:rsidRDefault="00274D3C" w:rsidP="00170B7C">
      <w:pPr>
        <w:pStyle w:val="ab"/>
        <w:ind w:firstLine="567"/>
        <w:jc w:val="both"/>
        <w:rPr>
          <w:rFonts w:ascii="Times New Roman" w:hAnsi="Times New Roman" w:cs="Times New Roman"/>
          <w:sz w:val="28"/>
          <w:szCs w:val="28"/>
          <w:lang w:val="ru-RU"/>
        </w:rPr>
      </w:pPr>
      <w:r w:rsidRPr="00170B7C">
        <w:rPr>
          <w:rFonts w:ascii="Times New Roman" w:eastAsia="Times New Roman" w:hAnsi="Times New Roman" w:cs="Times New Roman"/>
          <w:color w:val="000000"/>
          <w:sz w:val="28"/>
          <w:szCs w:val="28"/>
          <w:lang w:val="ru-RU"/>
        </w:rPr>
        <w:t xml:space="preserve">Автоматические программные обеспечения выделяют границы печени </w:t>
      </w:r>
      <w:r w:rsidR="00746A80">
        <w:rPr>
          <w:rFonts w:ascii="Times New Roman" w:eastAsia="Times New Roman" w:hAnsi="Times New Roman" w:cs="Times New Roman"/>
          <w:color w:val="000000"/>
          <w:sz w:val="28"/>
          <w:szCs w:val="28"/>
          <w:lang w:val="ru-RU"/>
        </w:rPr>
        <w:t xml:space="preserve">самостоятельно </w:t>
      </w:r>
      <w:r w:rsidR="00746A80" w:rsidRPr="00170B7C">
        <w:rPr>
          <w:rFonts w:ascii="Times New Roman" w:eastAsia="Times New Roman" w:hAnsi="Times New Roman" w:cs="Times New Roman"/>
          <w:color w:val="000000"/>
          <w:sz w:val="28"/>
          <w:szCs w:val="28"/>
          <w:lang w:val="ru-RU"/>
        </w:rPr>
        <w:t>на</w:t>
      </w:r>
      <w:r w:rsidRPr="00170B7C">
        <w:rPr>
          <w:rFonts w:ascii="Times New Roman" w:eastAsia="Times New Roman" w:hAnsi="Times New Roman" w:cs="Times New Roman"/>
          <w:color w:val="000000"/>
          <w:sz w:val="28"/>
          <w:szCs w:val="28"/>
          <w:lang w:val="ru-RU"/>
        </w:rPr>
        <w:t xml:space="preserve"> основе различия плотности близлежащих органов и структур. Сосуды печени, включая воротные и печеночные вены, извлекаются с помощью метода автоматической сегментации сосудов. </w:t>
      </w:r>
      <w:r w:rsidR="00AD4978" w:rsidRPr="00170B7C">
        <w:rPr>
          <w:rFonts w:ascii="Times New Roman" w:hAnsi="Times New Roman" w:cs="Times New Roman"/>
          <w:sz w:val="28"/>
          <w:szCs w:val="28"/>
          <w:lang w:val="ru-RU"/>
        </w:rPr>
        <w:t>Хотя программы, которые использовались для измерения объема, исключа</w:t>
      </w:r>
      <w:r w:rsidR="00996B93">
        <w:rPr>
          <w:rFonts w:ascii="Times New Roman" w:hAnsi="Times New Roman" w:cs="Times New Roman"/>
          <w:sz w:val="28"/>
          <w:szCs w:val="28"/>
          <w:lang w:val="ru-RU"/>
        </w:rPr>
        <w:t>ю</w:t>
      </w:r>
      <w:r w:rsidR="00AD4978" w:rsidRPr="00170B7C">
        <w:rPr>
          <w:rFonts w:ascii="Times New Roman" w:hAnsi="Times New Roman" w:cs="Times New Roman"/>
          <w:sz w:val="28"/>
          <w:szCs w:val="28"/>
          <w:lang w:val="ru-RU"/>
        </w:rPr>
        <w:t>т объем сосудистых и желчных структур, трудно полностью исключить объем крови периферических сосудов.</w:t>
      </w:r>
    </w:p>
    <w:p w14:paraId="0A27AC1A" w14:textId="5AE03995"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Автоматизированные методы измерения объема печени с помощью компьютерной томографии могут значительно сократить время, необходимое для измерения объема, и обеспечить приемлемые измерения. На определение объема одной печени уходит несколько минут. Недостаток данного метода в том, что автоматическая сегментация не выполняется для КТ-изображений с недостаточным контрастированием, или отсутствием четко отграниченных краев соседних органов из-за одинаковой интенсивности сигнала или грубых артефактов. Все эти факторы затрудняют разработку устойчивого автоматизированного инструмента, способного справиться с данными факторами. В связи с этим клиницисты часто прибегают</w:t>
      </w:r>
      <w:r w:rsidR="00A66619">
        <w:rPr>
          <w:color w:val="000000"/>
          <w:sz w:val="28"/>
          <w:szCs w:val="28"/>
        </w:rPr>
        <w:t xml:space="preserve"> к ручной сегментации по срезам.</w:t>
      </w:r>
    </w:p>
    <w:p w14:paraId="2F022422" w14:textId="3A5886D6"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sz w:val="28"/>
          <w:szCs w:val="28"/>
        </w:rPr>
        <w:t>Tingting X. и соавт. в</w:t>
      </w:r>
      <w:r w:rsidRPr="00170B7C">
        <w:rPr>
          <w:rFonts w:eastAsia="Calibri"/>
          <w:sz w:val="28"/>
          <w:szCs w:val="28"/>
        </w:rPr>
        <w:t xml:space="preserve"> </w:t>
      </w:r>
      <w:r w:rsidRPr="00170B7C">
        <w:rPr>
          <w:color w:val="000000"/>
          <w:sz w:val="28"/>
          <w:szCs w:val="28"/>
        </w:rPr>
        <w:t>своей работе изучают виртуальную автоматическую сегментацию Куино при резекции печени. В данной работе проводится сравнение автоматизированной программы с мануальной. При этом нет статистически значимых различий при сравнении двух методов.  </w:t>
      </w:r>
    </w:p>
    <w:p w14:paraId="0030F928" w14:textId="4219F08E" w:rsidR="00C700B8" w:rsidRPr="0092600E"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Пока некоторые авторы изучают различные программы расчета печени, другие изучают искусственный интеллект (artificial intelligence) и на его базе сверхточную нейронную сеть (convolutional neural network) для расчета объема печени. Большинство программных инструментов используют комбинацию методов или продвинутых алгоритмов, специфичных для их целей. Выбор алгоритма зависит от таких факторов, как качество изображения, сложность структур печени, эффективность вычислений и конкретные требования приложения. Каждый алгоритм имеет свои преимущества, ограничения и настройки параметров, которые должны быть тщательно продуманы и оптимизированы для точного измерения. Сочетание </w:t>
      </w:r>
      <w:r w:rsidR="00037B0D">
        <w:rPr>
          <w:color w:val="000000"/>
          <w:sz w:val="28"/>
          <w:szCs w:val="28"/>
        </w:rPr>
        <w:t xml:space="preserve">нескольких </w:t>
      </w:r>
      <w:r w:rsidRPr="00170B7C">
        <w:rPr>
          <w:color w:val="000000"/>
          <w:sz w:val="28"/>
          <w:szCs w:val="28"/>
        </w:rPr>
        <w:t>техник может использоваться для повышения точности и надежности</w:t>
      </w:r>
      <w:bookmarkStart w:id="1" w:name="_GoBack"/>
      <w:bookmarkEnd w:id="1"/>
      <w:r w:rsidR="0092600E" w:rsidRPr="0092600E">
        <w:rPr>
          <w:color w:val="000000"/>
          <w:sz w:val="28"/>
          <w:szCs w:val="28"/>
        </w:rPr>
        <w:t xml:space="preserve">. </w:t>
      </w:r>
      <w:r w:rsidRPr="00170B7C">
        <w:rPr>
          <w:color w:val="000000"/>
          <w:sz w:val="28"/>
          <w:szCs w:val="28"/>
        </w:rPr>
        <w:t>Например, начальную сегментацию можно получить с помощью пороговой обработки или роста региона с последующим уточнением, с использованием активных контуров. Гибридные подходы, сочетающие несколько алгоритмов, могут использовать преимущества каждого метода для достиже</w:t>
      </w:r>
      <w:r w:rsidR="00A66619">
        <w:rPr>
          <w:color w:val="000000"/>
          <w:sz w:val="28"/>
          <w:szCs w:val="28"/>
        </w:rPr>
        <w:t>ния более точного объема печени</w:t>
      </w:r>
      <w:r w:rsidR="0092600E" w:rsidRPr="0092600E">
        <w:rPr>
          <w:color w:val="000000"/>
          <w:sz w:val="28"/>
          <w:szCs w:val="28"/>
        </w:rPr>
        <w:t>.</w:t>
      </w:r>
    </w:p>
    <w:p w14:paraId="71D32DF9" w14:textId="618FD247" w:rsidR="00C700B8" w:rsidRPr="00E73B44" w:rsidRDefault="00262944"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Pr>
          <w:sz w:val="28"/>
          <w:szCs w:val="28"/>
        </w:rPr>
        <w:t>Ряд авторов</w:t>
      </w:r>
      <w:r w:rsidR="00274D3C" w:rsidRPr="00170B7C">
        <w:rPr>
          <w:sz w:val="28"/>
          <w:szCs w:val="28"/>
        </w:rPr>
        <w:t xml:space="preserve"> в своей </w:t>
      </w:r>
      <w:r w:rsidR="00274D3C" w:rsidRPr="00170B7C">
        <w:rPr>
          <w:color w:val="000000"/>
          <w:sz w:val="28"/>
          <w:szCs w:val="28"/>
        </w:rPr>
        <w:t xml:space="preserve">работе изучили автоматическую программу для расчета объема правой и левой доли печени. Для сегментации использовались трехмерные нейронные сети U-Net с несколькими разрешениями. Быстрота </w:t>
      </w:r>
      <w:r w:rsidR="00274D3C" w:rsidRPr="00170B7C">
        <w:rPr>
          <w:color w:val="000000"/>
          <w:sz w:val="28"/>
          <w:szCs w:val="28"/>
        </w:rPr>
        <w:lastRenderedPageBreak/>
        <w:t>расчета</w:t>
      </w:r>
      <w:r w:rsidR="00BF2645">
        <w:rPr>
          <w:color w:val="000000"/>
          <w:sz w:val="28"/>
          <w:szCs w:val="28"/>
        </w:rPr>
        <w:t xml:space="preserve">, а также </w:t>
      </w:r>
      <w:r w:rsidR="00BF2645" w:rsidRPr="00E73B44">
        <w:rPr>
          <w:color w:val="000000"/>
          <w:sz w:val="28"/>
          <w:szCs w:val="28"/>
        </w:rPr>
        <w:t>независимость от опыта проводимого исследование врача</w:t>
      </w:r>
      <w:r w:rsidR="00274D3C" w:rsidRPr="00E73B44">
        <w:rPr>
          <w:color w:val="000000"/>
          <w:sz w:val="28"/>
          <w:szCs w:val="28"/>
        </w:rPr>
        <w:t xml:space="preserve"> является одним из преимуществ программы. Авторы получили коррелируемые результаты с мануальным методом, однако авторы не приводят </w:t>
      </w:r>
      <w:r w:rsidR="00BF2645" w:rsidRPr="00E73B44">
        <w:rPr>
          <w:color w:val="000000"/>
          <w:sz w:val="28"/>
          <w:szCs w:val="28"/>
        </w:rPr>
        <w:t>сравнительного анализа</w:t>
      </w:r>
      <w:r w:rsidR="00274D3C" w:rsidRPr="00E73B44">
        <w:rPr>
          <w:color w:val="000000"/>
          <w:sz w:val="28"/>
          <w:szCs w:val="28"/>
        </w:rPr>
        <w:t xml:space="preserve"> с </w:t>
      </w:r>
      <w:r w:rsidR="00BF2645" w:rsidRPr="00E73B44">
        <w:rPr>
          <w:color w:val="000000"/>
          <w:sz w:val="28"/>
          <w:szCs w:val="28"/>
        </w:rPr>
        <w:t>весом графта</w:t>
      </w:r>
      <w:r w:rsidR="0092600E" w:rsidRPr="00E73B44">
        <w:rPr>
          <w:color w:val="000000"/>
          <w:sz w:val="28"/>
          <w:szCs w:val="28"/>
        </w:rPr>
        <w:t>.</w:t>
      </w:r>
    </w:p>
    <w:p w14:paraId="4D979D5F" w14:textId="39F1A0FF" w:rsidR="00BF2645" w:rsidRPr="00E73B44" w:rsidRDefault="00274D3C" w:rsidP="00BF2645">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E73B44">
        <w:rPr>
          <w:sz w:val="28"/>
          <w:szCs w:val="28"/>
        </w:rPr>
        <w:t>Yang X. и соавт.</w:t>
      </w:r>
      <w:r w:rsidR="00A66619">
        <w:rPr>
          <w:sz w:val="28"/>
          <w:szCs w:val="28"/>
        </w:rPr>
        <w:t xml:space="preserve"> </w:t>
      </w:r>
      <w:r w:rsidRPr="00E73B44">
        <w:rPr>
          <w:sz w:val="28"/>
          <w:szCs w:val="28"/>
        </w:rPr>
        <w:t xml:space="preserve">в своем </w:t>
      </w:r>
      <w:r w:rsidRPr="00E73B44">
        <w:rPr>
          <w:color w:val="000000"/>
          <w:sz w:val="28"/>
          <w:szCs w:val="28"/>
        </w:rPr>
        <w:t xml:space="preserve">исследовании предложили полностью автоматический метод оценки </w:t>
      </w:r>
      <w:r w:rsidR="00BF2645" w:rsidRPr="00E73B44">
        <w:rPr>
          <w:color w:val="000000"/>
          <w:sz w:val="28"/>
          <w:szCs w:val="28"/>
        </w:rPr>
        <w:t>объема</w:t>
      </w:r>
      <w:r w:rsidRPr="00E73B44">
        <w:rPr>
          <w:color w:val="000000"/>
          <w:sz w:val="28"/>
          <w:szCs w:val="28"/>
        </w:rPr>
        <w:t xml:space="preserve"> </w:t>
      </w:r>
      <w:r w:rsidR="00BF2645" w:rsidRPr="00E73B44">
        <w:rPr>
          <w:color w:val="000000"/>
          <w:sz w:val="28"/>
          <w:szCs w:val="28"/>
        </w:rPr>
        <w:t xml:space="preserve">печени </w:t>
      </w:r>
      <w:r w:rsidRPr="00E73B44">
        <w:rPr>
          <w:color w:val="000000"/>
          <w:sz w:val="28"/>
          <w:szCs w:val="28"/>
        </w:rPr>
        <w:t xml:space="preserve">с использованием КТ-волюметрии на основе </w:t>
      </w:r>
      <w:r w:rsidR="00A77EBF" w:rsidRPr="00E73B44">
        <w:rPr>
          <w:color w:val="000000"/>
          <w:sz w:val="28"/>
          <w:szCs w:val="28"/>
        </w:rPr>
        <w:t xml:space="preserve">алгоритмов </w:t>
      </w:r>
      <w:r w:rsidRPr="00E73B44">
        <w:rPr>
          <w:color w:val="000000"/>
          <w:sz w:val="28"/>
          <w:szCs w:val="28"/>
        </w:rPr>
        <w:t>глубокого обучения. Данный метод позволяет провести автоматическую КТ-волюметрию не только всей печени, но и провести линию резекцию разделив печень на правую</w:t>
      </w:r>
      <w:r w:rsidRPr="00170B7C">
        <w:rPr>
          <w:color w:val="000000"/>
          <w:sz w:val="28"/>
          <w:szCs w:val="28"/>
        </w:rPr>
        <w:t xml:space="preserve"> и левую доли автоматически. Используемая модель глубокого чтения UNETR оказалась перспективной для сегментации медицинских изображений. Авторы также подмечают, что автоматическая </w:t>
      </w:r>
      <w:r w:rsidRPr="00E73B44">
        <w:rPr>
          <w:color w:val="000000"/>
          <w:sz w:val="28"/>
          <w:szCs w:val="28"/>
        </w:rPr>
        <w:t xml:space="preserve">сегментация печени по-прежнему остается сложной задачей из-за ложного включения некоторых органов, таких как сердце и селезенка, в некоторых случаях, когда границы между печенью и другими органами сильно </w:t>
      </w:r>
      <w:r w:rsidRPr="00E73B44">
        <w:rPr>
          <w:sz w:val="28"/>
          <w:szCs w:val="28"/>
        </w:rPr>
        <w:t xml:space="preserve">размыты.  Kwon H. и соавт. ранее </w:t>
      </w:r>
      <w:r w:rsidRPr="00E73B44">
        <w:rPr>
          <w:color w:val="000000"/>
          <w:sz w:val="28"/>
          <w:szCs w:val="28"/>
        </w:rPr>
        <w:t xml:space="preserve">уже проводили исследования данного программного обеспечения, однако программа показала менее точные результаты, также программа не была обучена </w:t>
      </w:r>
      <w:r w:rsidR="00BF2645" w:rsidRPr="00E73B44">
        <w:rPr>
          <w:color w:val="000000"/>
          <w:sz w:val="28"/>
          <w:szCs w:val="28"/>
        </w:rPr>
        <w:t>автоматической резекции печени.</w:t>
      </w:r>
    </w:p>
    <w:p w14:paraId="4C7D2DBD" w14:textId="4C4E9E57" w:rsidR="004B1229" w:rsidRPr="00E73B44" w:rsidRDefault="00274D3C" w:rsidP="00BF2645">
      <w:pPr>
        <w:pBdr>
          <w:top w:val="none" w:sz="0" w:space="0" w:color="000000"/>
          <w:left w:val="none" w:sz="0" w:space="0" w:color="000000"/>
          <w:bottom w:val="none" w:sz="0" w:space="0" w:color="000000"/>
          <w:right w:val="none" w:sz="0" w:space="0" w:color="000000"/>
          <w:between w:val="none" w:sz="0" w:space="0" w:color="000000"/>
        </w:pBdr>
        <w:ind w:firstLine="567"/>
        <w:jc w:val="both"/>
        <w:rPr>
          <w:sz w:val="28"/>
          <w:szCs w:val="28"/>
        </w:rPr>
      </w:pPr>
      <w:r w:rsidRPr="00E73B44">
        <w:rPr>
          <w:sz w:val="28"/>
          <w:szCs w:val="28"/>
        </w:rPr>
        <w:t>Jeong J. и соавт.</w:t>
      </w:r>
      <w:r w:rsidR="0092600E" w:rsidRPr="00E73B44">
        <w:rPr>
          <w:sz w:val="28"/>
          <w:szCs w:val="28"/>
        </w:rPr>
        <w:t xml:space="preserve"> </w:t>
      </w:r>
      <w:r w:rsidRPr="00E73B44">
        <w:rPr>
          <w:sz w:val="28"/>
          <w:szCs w:val="28"/>
        </w:rPr>
        <w:t>в</w:t>
      </w:r>
      <w:r w:rsidRPr="00E73B44">
        <w:rPr>
          <w:rFonts w:eastAsia="Calibri"/>
          <w:sz w:val="28"/>
          <w:szCs w:val="28"/>
        </w:rPr>
        <w:t xml:space="preserve"> </w:t>
      </w:r>
      <w:r w:rsidRPr="00E73B44">
        <w:rPr>
          <w:color w:val="000000"/>
          <w:sz w:val="28"/>
          <w:szCs w:val="28"/>
        </w:rPr>
        <w:t xml:space="preserve">своем исследовании представили 3D U-Net сеть для автоматической сегментации печени. Исследование также продемонстрировала высокую корреляцию с мануальным методом, однако, в некоторых исследованиях выявлялась низкая точность метода за счет </w:t>
      </w:r>
      <w:r w:rsidR="00BF2645" w:rsidRPr="00E73B44">
        <w:rPr>
          <w:color w:val="000000"/>
          <w:sz w:val="28"/>
          <w:szCs w:val="28"/>
        </w:rPr>
        <w:t xml:space="preserve">распространения </w:t>
      </w:r>
      <w:r w:rsidRPr="00E73B44">
        <w:rPr>
          <w:color w:val="000000"/>
          <w:sz w:val="28"/>
          <w:szCs w:val="28"/>
        </w:rPr>
        <w:t xml:space="preserve">области расчета на сердце, так как автоматически различить плотность печени и миокарда не представлялась возможной. </w:t>
      </w:r>
    </w:p>
    <w:p w14:paraId="79507889" w14:textId="348536F6" w:rsidR="004B1229"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sz w:val="28"/>
          <w:szCs w:val="28"/>
        </w:rPr>
      </w:pPr>
      <w:r w:rsidRPr="00E73B44">
        <w:rPr>
          <w:sz w:val="28"/>
          <w:szCs w:val="28"/>
        </w:rPr>
        <w:t>Hagen F. и соавт.</w:t>
      </w:r>
      <w:r w:rsidR="00A66619">
        <w:rPr>
          <w:sz w:val="28"/>
          <w:szCs w:val="28"/>
        </w:rPr>
        <w:t xml:space="preserve"> </w:t>
      </w:r>
      <w:r w:rsidRPr="00E73B44">
        <w:rPr>
          <w:sz w:val="28"/>
          <w:szCs w:val="28"/>
        </w:rPr>
        <w:t xml:space="preserve">в своей </w:t>
      </w:r>
      <w:r w:rsidRPr="00E73B44">
        <w:rPr>
          <w:color w:val="000000"/>
          <w:sz w:val="28"/>
          <w:szCs w:val="28"/>
        </w:rPr>
        <w:t>работе исследуют низкодозированный радиационный метод расчета</w:t>
      </w:r>
      <w:r w:rsidRPr="00170B7C">
        <w:rPr>
          <w:color w:val="000000"/>
          <w:sz w:val="28"/>
          <w:szCs w:val="28"/>
        </w:rPr>
        <w:t xml:space="preserve"> объема печени, авторы отмечают, что были выявлены случаи ошибки, когда плотность паренхимы печени совпадала по плотности с другими органами (сердце, почки, поджелудочная железа), также исследование печени проводилось вместе с расчетом сосудов, а эталоном считался объем печени рассчитанный мануальным методом опытным радиологом (стаж радиолога был больше 30 лет</w:t>
      </w:r>
      <w:r w:rsidRPr="00170B7C">
        <w:rPr>
          <w:sz w:val="28"/>
          <w:szCs w:val="28"/>
        </w:rPr>
        <w:t xml:space="preserve">). </w:t>
      </w:r>
    </w:p>
    <w:p w14:paraId="1F2D078C" w14:textId="568E81B6"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sz w:val="28"/>
          <w:szCs w:val="28"/>
        </w:rPr>
        <w:t xml:space="preserve">Park </w:t>
      </w:r>
      <w:r w:rsidR="0092600E">
        <w:rPr>
          <w:sz w:val="28"/>
          <w:szCs w:val="28"/>
          <w:lang w:val="en-US"/>
        </w:rPr>
        <w:t>S</w:t>
      </w:r>
      <w:r w:rsidRPr="00170B7C">
        <w:rPr>
          <w:sz w:val="28"/>
          <w:szCs w:val="28"/>
        </w:rPr>
        <w:t xml:space="preserve">. </w:t>
      </w:r>
      <w:r w:rsidR="0092600E" w:rsidRPr="0092600E">
        <w:rPr>
          <w:sz w:val="28"/>
          <w:szCs w:val="28"/>
        </w:rPr>
        <w:t>и</w:t>
      </w:r>
      <w:r w:rsidRPr="00170B7C">
        <w:rPr>
          <w:sz w:val="28"/>
          <w:szCs w:val="28"/>
        </w:rPr>
        <w:t xml:space="preserve"> соавт.</w:t>
      </w:r>
      <w:r w:rsidR="0092600E" w:rsidRPr="0092600E">
        <w:rPr>
          <w:sz w:val="28"/>
          <w:szCs w:val="28"/>
        </w:rPr>
        <w:t xml:space="preserve"> </w:t>
      </w:r>
      <w:r w:rsidR="00D13DA8">
        <w:rPr>
          <w:sz w:val="28"/>
          <w:szCs w:val="28"/>
        </w:rPr>
        <w:t xml:space="preserve">также </w:t>
      </w:r>
      <w:r w:rsidR="001A5139">
        <w:rPr>
          <w:sz w:val="28"/>
          <w:szCs w:val="28"/>
        </w:rPr>
        <w:t xml:space="preserve">изучают </w:t>
      </w:r>
      <w:r w:rsidR="001A5139" w:rsidRPr="00170B7C">
        <w:rPr>
          <w:sz w:val="28"/>
          <w:szCs w:val="28"/>
        </w:rPr>
        <w:t>точность</w:t>
      </w:r>
      <w:r w:rsidRPr="00170B7C">
        <w:rPr>
          <w:sz w:val="28"/>
          <w:szCs w:val="28"/>
        </w:rPr>
        <w:t xml:space="preserve"> автоматического метода с использ</w:t>
      </w:r>
      <w:r w:rsidRPr="00170B7C">
        <w:rPr>
          <w:color w:val="000000"/>
          <w:sz w:val="28"/>
          <w:szCs w:val="28"/>
        </w:rPr>
        <w:t>ованием алгоритма глубокого изучения (deep learninig assisted), несмотря на разработки, автоматическая программа продемонстрировала погрешность в сравнении с массой графта</w:t>
      </w:r>
      <w:r w:rsidR="00FD0198">
        <w:rPr>
          <w:color w:val="000000"/>
          <w:sz w:val="28"/>
          <w:szCs w:val="28"/>
        </w:rPr>
        <w:t xml:space="preserve">, для повышения точности результатов автор </w:t>
      </w:r>
      <w:r w:rsidR="001A5139">
        <w:rPr>
          <w:color w:val="000000"/>
          <w:sz w:val="28"/>
          <w:szCs w:val="28"/>
        </w:rPr>
        <w:t xml:space="preserve">предлагает </w:t>
      </w:r>
      <w:r w:rsidR="001A5139" w:rsidRPr="00170B7C">
        <w:rPr>
          <w:color w:val="000000"/>
          <w:sz w:val="28"/>
          <w:szCs w:val="28"/>
        </w:rPr>
        <w:t>формулу</w:t>
      </w:r>
      <w:r w:rsidR="00FD0198">
        <w:rPr>
          <w:color w:val="000000"/>
          <w:sz w:val="28"/>
          <w:szCs w:val="28"/>
        </w:rPr>
        <w:t xml:space="preserve"> для конвертации объема (мл) в массу (кг). </w:t>
      </w:r>
      <w:r w:rsidRPr="00170B7C">
        <w:rPr>
          <w:color w:val="000000"/>
          <w:sz w:val="28"/>
          <w:szCs w:val="28"/>
        </w:rPr>
        <w:t>  </w:t>
      </w:r>
    </w:p>
    <w:p w14:paraId="1D874F5E" w14:textId="0CB11381"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sz w:val="28"/>
          <w:szCs w:val="28"/>
        </w:rPr>
        <w:t xml:space="preserve">Roth </w:t>
      </w:r>
      <w:r w:rsidR="0000506D">
        <w:rPr>
          <w:sz w:val="28"/>
          <w:szCs w:val="28"/>
          <w:lang w:val="en-US"/>
        </w:rPr>
        <w:t>K</w:t>
      </w:r>
      <w:r w:rsidRPr="00170B7C">
        <w:rPr>
          <w:sz w:val="28"/>
          <w:szCs w:val="28"/>
        </w:rPr>
        <w:t>. и соавт</w:t>
      </w:r>
      <w:r w:rsidR="0000506D" w:rsidRPr="0000506D">
        <w:rPr>
          <w:sz w:val="28"/>
          <w:szCs w:val="28"/>
        </w:rPr>
        <w:t>.</w:t>
      </w:r>
      <w:r w:rsidR="0092600E" w:rsidRPr="0092600E">
        <w:rPr>
          <w:sz w:val="28"/>
          <w:szCs w:val="28"/>
        </w:rPr>
        <w:t xml:space="preserve"> </w:t>
      </w:r>
      <w:r w:rsidRPr="00170B7C">
        <w:rPr>
          <w:sz w:val="28"/>
          <w:szCs w:val="28"/>
        </w:rPr>
        <w:t xml:space="preserve">в своей работе </w:t>
      </w:r>
      <w:r w:rsidRPr="00170B7C">
        <w:rPr>
          <w:color w:val="000000"/>
          <w:sz w:val="28"/>
          <w:szCs w:val="28"/>
        </w:rPr>
        <w:t>представили новое расширение стандартных конвейеров сегментации печени, позволяющую обнаруживать ранее пропущенные объекты ложноположительных результатов. Авторы помогают сети обучаться и объяснять ранее допущенные ошибки с помощью автоматически генерируемых обучающих меток, тем самым повышая производительность сегментации на различных вариациях печени и методах волюметрии. Однако, авторы отмечают ограничения в положительных результатах обучения сети и дискутируют о дальнейшем ее развитии.  </w:t>
      </w:r>
    </w:p>
    <w:p w14:paraId="6AFC83E4" w14:textId="565581B5" w:rsidR="00C700B8" w:rsidRPr="00E73B44" w:rsidRDefault="00274D3C" w:rsidP="00170B7C">
      <w:pPr>
        <w:pBdr>
          <w:top w:val="nil"/>
          <w:left w:val="nil"/>
          <w:bottom w:val="nil"/>
          <w:right w:val="nil"/>
          <w:between w:val="nil"/>
        </w:pBdr>
        <w:tabs>
          <w:tab w:val="left" w:pos="567"/>
        </w:tabs>
        <w:jc w:val="both"/>
        <w:rPr>
          <w:color w:val="000000"/>
          <w:sz w:val="28"/>
          <w:szCs w:val="28"/>
        </w:rPr>
      </w:pPr>
      <w:r w:rsidRPr="00170B7C">
        <w:rPr>
          <w:color w:val="000000"/>
          <w:sz w:val="28"/>
          <w:szCs w:val="28"/>
        </w:rPr>
        <w:lastRenderedPageBreak/>
        <w:tab/>
        <w:t xml:space="preserve">Giglio </w:t>
      </w:r>
      <w:r w:rsidR="001A5139" w:rsidRPr="00170B7C">
        <w:rPr>
          <w:color w:val="000000"/>
          <w:sz w:val="28"/>
          <w:szCs w:val="28"/>
        </w:rPr>
        <w:t>M</w:t>
      </w:r>
      <w:r w:rsidR="001A5139">
        <w:rPr>
          <w:color w:val="000000"/>
          <w:sz w:val="28"/>
          <w:szCs w:val="28"/>
        </w:rPr>
        <w:t>.</w:t>
      </w:r>
      <w:r w:rsidR="001A5139" w:rsidRPr="00170B7C">
        <w:rPr>
          <w:color w:val="000000"/>
          <w:sz w:val="28"/>
          <w:szCs w:val="28"/>
        </w:rPr>
        <w:t xml:space="preserve"> и</w:t>
      </w:r>
      <w:r w:rsidR="00A66619">
        <w:rPr>
          <w:color w:val="000000"/>
          <w:sz w:val="28"/>
          <w:szCs w:val="28"/>
        </w:rPr>
        <w:t xml:space="preserve"> соавт. </w:t>
      </w:r>
      <w:r w:rsidR="00746A80">
        <w:rPr>
          <w:color w:val="000000"/>
          <w:sz w:val="28"/>
          <w:szCs w:val="28"/>
        </w:rPr>
        <w:t xml:space="preserve"> </w:t>
      </w:r>
      <w:r w:rsidRPr="00170B7C">
        <w:rPr>
          <w:color w:val="000000"/>
          <w:sz w:val="28"/>
          <w:szCs w:val="28"/>
        </w:rPr>
        <w:t>в своем исследовании использовали машинное обучение и представили сайт открытого доступа (</w:t>
      </w:r>
      <w:hyperlink r:id="rId10">
        <w:r w:rsidRPr="00170B7C">
          <w:rPr>
            <w:color w:val="0563C1"/>
            <w:sz w:val="28"/>
            <w:szCs w:val="28"/>
            <w:u w:val="single"/>
          </w:rPr>
          <w:t>http://graftweight.shinyapps.io/prediction</w:t>
        </w:r>
      </w:hyperlink>
      <w:r w:rsidRPr="00170B7C">
        <w:rPr>
          <w:color w:val="000000"/>
          <w:sz w:val="28"/>
          <w:szCs w:val="28"/>
        </w:rPr>
        <w:t xml:space="preserve">) для предиктора будущего веса графта, основанный на антропометрических данных донора, а также объема печени, рассчитанного на КТ. Расчет будущего веса графта проводится на основе полученных авторами результатов: в 34% случаях прогнозируется </w:t>
      </w:r>
      <w:r w:rsidR="00600B9E">
        <w:rPr>
          <w:color w:val="000000"/>
          <w:sz w:val="28"/>
          <w:szCs w:val="28"/>
        </w:rPr>
        <w:t xml:space="preserve">ошибка расчета </w:t>
      </w:r>
      <w:r w:rsidRPr="00170B7C">
        <w:rPr>
          <w:color w:val="000000"/>
          <w:sz w:val="28"/>
          <w:szCs w:val="28"/>
        </w:rPr>
        <w:t xml:space="preserve">веса </w:t>
      </w:r>
      <w:r w:rsidRPr="00E73B44">
        <w:rPr>
          <w:color w:val="000000"/>
          <w:sz w:val="28"/>
          <w:szCs w:val="28"/>
        </w:rPr>
        <w:t xml:space="preserve">трансплантата до 5%, в 48% случаях </w:t>
      </w:r>
      <w:r w:rsidR="00600B9E" w:rsidRPr="00E73B44">
        <w:rPr>
          <w:color w:val="000000"/>
          <w:sz w:val="28"/>
          <w:szCs w:val="28"/>
        </w:rPr>
        <w:t>ошибка</w:t>
      </w:r>
      <w:r w:rsidRPr="00E73B44">
        <w:rPr>
          <w:color w:val="000000"/>
          <w:sz w:val="28"/>
          <w:szCs w:val="28"/>
        </w:rPr>
        <w:t xml:space="preserve"> прогнозируется от 5 до 15 % и в 18% случаях – ожидается более 15%. </w:t>
      </w:r>
    </w:p>
    <w:p w14:paraId="745CAB40" w14:textId="27C571F7" w:rsidR="00C700B8" w:rsidRPr="00E73B44"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themeColor="text1"/>
          <w:sz w:val="28"/>
          <w:szCs w:val="28"/>
        </w:rPr>
      </w:pPr>
      <w:r w:rsidRPr="00E73B44">
        <w:rPr>
          <w:sz w:val="28"/>
          <w:szCs w:val="28"/>
        </w:rPr>
        <w:t>Peng Y. и соавт</w:t>
      </w:r>
      <w:r w:rsidR="00977918" w:rsidRPr="00DE7669">
        <w:rPr>
          <w:sz w:val="28"/>
          <w:szCs w:val="28"/>
        </w:rPr>
        <w:t>.</w:t>
      </w:r>
      <w:r w:rsidRPr="00E73B44">
        <w:rPr>
          <w:sz w:val="28"/>
          <w:szCs w:val="28"/>
        </w:rPr>
        <w:t xml:space="preserve"> в</w:t>
      </w:r>
      <w:r w:rsidRPr="00E73B44">
        <w:rPr>
          <w:rFonts w:eastAsia="Calibri"/>
          <w:sz w:val="28"/>
          <w:szCs w:val="28"/>
        </w:rPr>
        <w:t xml:space="preserve"> </w:t>
      </w:r>
      <w:r w:rsidRPr="00E73B44">
        <w:rPr>
          <w:color w:val="000000"/>
          <w:sz w:val="28"/>
          <w:szCs w:val="28"/>
        </w:rPr>
        <w:t>своем исследовании представляет алгоритм на основе машинного чтения для прогнозирования послеоперационных осложнений у пациентов перед резекцией печени</w:t>
      </w:r>
      <w:r w:rsidRPr="00170B7C">
        <w:rPr>
          <w:color w:val="000000"/>
          <w:sz w:val="28"/>
          <w:szCs w:val="28"/>
        </w:rPr>
        <w:t xml:space="preserve"> по поводу ГЦК, модель была основана на данных КТ-волюметрии печени и </w:t>
      </w:r>
      <w:r w:rsidRPr="00E73B44">
        <w:rPr>
          <w:color w:val="000000" w:themeColor="text1"/>
          <w:sz w:val="28"/>
          <w:szCs w:val="28"/>
        </w:rPr>
        <w:t>количества сывороточного альбумина в крови. </w:t>
      </w:r>
    </w:p>
    <w:p w14:paraId="2222A5F8" w14:textId="6F245D62" w:rsidR="0000506D" w:rsidRPr="00E73B44" w:rsidRDefault="00274D3C" w:rsidP="0000506D">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themeColor="text1"/>
          <w:sz w:val="28"/>
          <w:szCs w:val="28"/>
        </w:rPr>
      </w:pPr>
      <w:r w:rsidRPr="00E73B44">
        <w:rPr>
          <w:color w:val="000000" w:themeColor="text1"/>
          <w:sz w:val="28"/>
          <w:szCs w:val="28"/>
        </w:rPr>
        <w:t>Обеспечение клинически значимой точности сложных алгоритмов в расчете объема печени затрудняется за счет анатомической вариабельности формы и размеров печени оставляя предпочтение простым методам, позволяющие вручную коррек</w:t>
      </w:r>
      <w:r w:rsidR="00824AD3">
        <w:rPr>
          <w:color w:val="000000" w:themeColor="text1"/>
          <w:sz w:val="28"/>
          <w:szCs w:val="28"/>
        </w:rPr>
        <w:t>тировать и исправлять ошибки</w:t>
      </w:r>
      <w:r w:rsidRPr="00E73B44">
        <w:rPr>
          <w:color w:val="000000" w:themeColor="text1"/>
          <w:sz w:val="28"/>
          <w:szCs w:val="28"/>
        </w:rPr>
        <w:t>.</w:t>
      </w:r>
      <w:r w:rsidR="0000506D" w:rsidRPr="00E73B44">
        <w:rPr>
          <w:color w:val="000000" w:themeColor="text1"/>
          <w:sz w:val="28"/>
          <w:szCs w:val="28"/>
        </w:rPr>
        <w:t xml:space="preserve"> </w:t>
      </w:r>
    </w:p>
    <w:p w14:paraId="2645EE57" w14:textId="63BE7B98" w:rsidR="00C700B8" w:rsidRPr="00170B7C" w:rsidRDefault="0000506D" w:rsidP="0000506D">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E73B44">
        <w:rPr>
          <w:color w:val="000000" w:themeColor="text1"/>
          <w:sz w:val="28"/>
          <w:szCs w:val="28"/>
        </w:rPr>
        <w:t xml:space="preserve">Недостатком вышеперечисленных методов, несмотря на быстрый прогресс искусственного интеллекта, является их ограничения в широком доступе. Данные программные обеспечения будут доступны далеко не всем, их будет сложно найти среди коммерческих предложений </w:t>
      </w:r>
      <w:r w:rsidRPr="00170B7C">
        <w:rPr>
          <w:color w:val="000000"/>
          <w:sz w:val="28"/>
          <w:szCs w:val="28"/>
        </w:rPr>
        <w:t>за счет своей высокой стоимости и из-за ограничений органов, регулирующих работу приложений на основе искусственного интеллекта.</w:t>
      </w:r>
    </w:p>
    <w:p w14:paraId="63D551E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Несмотря на то, что предоперационная КТ-волюметрия печени с применением ИИ имеет огромные перспективы в будущем, необходимо решить определенные проблемы. Надежность моделей искусственного интеллекта (ИИ) для различных групп пациентов, стандартизация протоколов визуализации и интеграция в клинические рабочие процессы - области, требующие дальнейшего изучения. Кроме того, необходимо приложить усилия для обеспечения конфиденциальности данных, соблюдения нормативных требований и этических соображений при внедрении технологий ИИ. </w:t>
      </w:r>
    </w:p>
    <w:p w14:paraId="09B2E927" w14:textId="3A8E284F" w:rsidR="00C700B8" w:rsidRPr="00E73B44"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themeColor="text1"/>
          <w:sz w:val="28"/>
          <w:szCs w:val="28"/>
        </w:rPr>
      </w:pPr>
      <w:r w:rsidRPr="00170B7C">
        <w:rPr>
          <w:color w:val="000000"/>
          <w:sz w:val="28"/>
          <w:szCs w:val="28"/>
        </w:rPr>
        <w:t xml:space="preserve">Несмотря на разработки различных программных обеспечений по подсчету объема печени, а также стремительное развитие искусственного интеллекта, </w:t>
      </w:r>
      <w:r w:rsidR="00ED66BD">
        <w:rPr>
          <w:color w:val="000000"/>
          <w:sz w:val="28"/>
          <w:szCs w:val="28"/>
        </w:rPr>
        <w:t>процент ошибки</w:t>
      </w:r>
      <w:r w:rsidRPr="00170B7C">
        <w:rPr>
          <w:color w:val="000000"/>
          <w:sz w:val="28"/>
          <w:szCs w:val="28"/>
        </w:rPr>
        <w:t xml:space="preserve"> между рассчитанным объемом </w:t>
      </w:r>
      <w:r w:rsidRPr="00E73B44">
        <w:rPr>
          <w:color w:val="000000" w:themeColor="text1"/>
          <w:sz w:val="28"/>
          <w:szCs w:val="28"/>
        </w:rPr>
        <w:t>печени и весом трансплантата имеет место быть. Тенденция к несоответствию оценок объема печени, проведенных любым из вышеперечисленных методов, и фактической интраоперационной массой трансплантата остается актуальной.</w:t>
      </w:r>
    </w:p>
    <w:p w14:paraId="2FA72A6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170B7C">
        <w:rPr>
          <w:rFonts w:eastAsia="Calibri"/>
          <w:color w:val="000000"/>
          <w:sz w:val="28"/>
          <w:szCs w:val="28"/>
        </w:rPr>
        <w:t> </w:t>
      </w:r>
    </w:p>
    <w:p w14:paraId="3B136659" w14:textId="77777777" w:rsidR="00C700B8" w:rsidRPr="00BA1134" w:rsidRDefault="00BA1134" w:rsidP="00BA1134">
      <w:pPr>
        <w:pStyle w:val="ac"/>
        <w:numPr>
          <w:ilvl w:val="1"/>
          <w:numId w:val="1"/>
        </w:numPr>
        <w:pBdr>
          <w:top w:val="none" w:sz="0" w:space="0" w:color="000000"/>
          <w:left w:val="none" w:sz="0" w:space="0" w:color="000000"/>
          <w:bottom w:val="none" w:sz="0" w:space="0" w:color="000000"/>
          <w:right w:val="none" w:sz="0" w:space="0" w:color="000000"/>
          <w:between w:val="none" w:sz="0" w:space="0" w:color="000000"/>
        </w:pBdr>
        <w:rPr>
          <w:b/>
          <w:color w:val="000000" w:themeColor="text1"/>
          <w:sz w:val="28"/>
          <w:szCs w:val="28"/>
        </w:rPr>
      </w:pPr>
      <w:r w:rsidRPr="00BA1134">
        <w:rPr>
          <w:b/>
          <w:color w:val="000000" w:themeColor="text1"/>
          <w:sz w:val="28"/>
          <w:szCs w:val="28"/>
        </w:rPr>
        <w:t>Влияние факторов на точность КТ-волюметрии печени донора</w:t>
      </w:r>
    </w:p>
    <w:p w14:paraId="724A3A7F" w14:textId="77777777" w:rsidR="00BA1134" w:rsidRPr="00BA1134" w:rsidRDefault="00BA1134" w:rsidP="00BA1134">
      <w:pPr>
        <w:pStyle w:val="ac"/>
        <w:pBdr>
          <w:top w:val="none" w:sz="0" w:space="0" w:color="000000"/>
          <w:left w:val="none" w:sz="0" w:space="0" w:color="000000"/>
          <w:bottom w:val="none" w:sz="0" w:space="0" w:color="000000"/>
          <w:right w:val="none" w:sz="0" w:space="0" w:color="000000"/>
          <w:between w:val="none" w:sz="0" w:space="0" w:color="000000"/>
        </w:pBdr>
        <w:ind w:left="987"/>
        <w:rPr>
          <w:b/>
          <w:color w:val="000000" w:themeColor="text1"/>
          <w:sz w:val="28"/>
          <w:szCs w:val="28"/>
        </w:rPr>
      </w:pPr>
    </w:p>
    <w:p w14:paraId="24B315FF" w14:textId="77777777" w:rsidR="00C700B8" w:rsidRPr="0085435F" w:rsidRDefault="00204F5E"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Pr>
          <w:color w:val="000000"/>
          <w:sz w:val="28"/>
          <w:szCs w:val="28"/>
        </w:rPr>
        <w:t>Помимо разработки методов КТ-волю</w:t>
      </w:r>
      <w:r w:rsidR="00CE0253">
        <w:rPr>
          <w:color w:val="000000"/>
          <w:sz w:val="28"/>
          <w:szCs w:val="28"/>
        </w:rPr>
        <w:t>метрии авторы также изучают влия</w:t>
      </w:r>
      <w:r>
        <w:rPr>
          <w:color w:val="000000"/>
          <w:sz w:val="28"/>
          <w:szCs w:val="28"/>
        </w:rPr>
        <w:t xml:space="preserve">ние различных факторов на </w:t>
      </w:r>
      <w:r w:rsidR="00A770E4">
        <w:rPr>
          <w:color w:val="000000"/>
          <w:sz w:val="28"/>
          <w:szCs w:val="28"/>
        </w:rPr>
        <w:t xml:space="preserve">точность </w:t>
      </w:r>
      <w:r w:rsidR="008149A8">
        <w:rPr>
          <w:color w:val="000000"/>
          <w:sz w:val="28"/>
          <w:szCs w:val="28"/>
        </w:rPr>
        <w:t xml:space="preserve">их </w:t>
      </w:r>
      <w:r w:rsidR="00A770E4">
        <w:rPr>
          <w:color w:val="000000"/>
          <w:sz w:val="28"/>
          <w:szCs w:val="28"/>
        </w:rPr>
        <w:t xml:space="preserve">расчета. </w:t>
      </w:r>
      <w:r w:rsidR="00274D3C" w:rsidRPr="00170B7C">
        <w:rPr>
          <w:color w:val="000000"/>
          <w:sz w:val="28"/>
          <w:szCs w:val="28"/>
        </w:rPr>
        <w:t>Представленные в литературных данных факторы разделе</w:t>
      </w:r>
      <w:r w:rsidR="00B64AF2">
        <w:rPr>
          <w:color w:val="000000"/>
          <w:sz w:val="28"/>
          <w:szCs w:val="28"/>
        </w:rPr>
        <w:t xml:space="preserve">ны нами на </w:t>
      </w:r>
      <w:r w:rsidR="006E3FDD">
        <w:rPr>
          <w:color w:val="000000"/>
          <w:sz w:val="28"/>
          <w:szCs w:val="28"/>
        </w:rPr>
        <w:t>«</w:t>
      </w:r>
      <w:r w:rsidR="00B64AF2">
        <w:rPr>
          <w:color w:val="000000"/>
          <w:sz w:val="28"/>
          <w:szCs w:val="28"/>
        </w:rPr>
        <w:t>радиологические</w:t>
      </w:r>
      <w:r w:rsidR="006E3FDD">
        <w:rPr>
          <w:color w:val="000000"/>
          <w:sz w:val="28"/>
          <w:szCs w:val="28"/>
        </w:rPr>
        <w:t>»</w:t>
      </w:r>
      <w:r w:rsidR="00B64AF2">
        <w:rPr>
          <w:color w:val="000000"/>
          <w:sz w:val="28"/>
          <w:szCs w:val="28"/>
        </w:rPr>
        <w:t xml:space="preserve"> и </w:t>
      </w:r>
      <w:r w:rsidR="006E3FDD">
        <w:rPr>
          <w:color w:val="000000"/>
          <w:sz w:val="28"/>
          <w:szCs w:val="28"/>
        </w:rPr>
        <w:t>«не</w:t>
      </w:r>
      <w:r w:rsidR="006E3FDD" w:rsidRPr="00170B7C">
        <w:rPr>
          <w:color w:val="000000"/>
          <w:sz w:val="28"/>
          <w:szCs w:val="28"/>
        </w:rPr>
        <w:t xml:space="preserve"> радиологические</w:t>
      </w:r>
      <w:r w:rsidR="006E3FDD">
        <w:rPr>
          <w:color w:val="000000"/>
          <w:sz w:val="28"/>
          <w:szCs w:val="28"/>
        </w:rPr>
        <w:t>»</w:t>
      </w:r>
      <w:r w:rsidR="00274D3C" w:rsidRPr="00170B7C">
        <w:rPr>
          <w:color w:val="000000"/>
          <w:sz w:val="28"/>
          <w:szCs w:val="28"/>
        </w:rPr>
        <w:t xml:space="preserve">. </w:t>
      </w:r>
      <w:r w:rsidR="006E3FDD">
        <w:rPr>
          <w:color w:val="000000"/>
          <w:sz w:val="28"/>
          <w:szCs w:val="28"/>
        </w:rPr>
        <w:t>«</w:t>
      </w:r>
      <w:r w:rsidR="00274D3C" w:rsidRPr="00170B7C">
        <w:rPr>
          <w:color w:val="000000"/>
          <w:sz w:val="28"/>
          <w:szCs w:val="28"/>
        </w:rPr>
        <w:t>Радиологические</w:t>
      </w:r>
      <w:r w:rsidR="006E3FDD">
        <w:rPr>
          <w:color w:val="000000"/>
          <w:sz w:val="28"/>
          <w:szCs w:val="28"/>
        </w:rPr>
        <w:t>»</w:t>
      </w:r>
      <w:r w:rsidR="00274D3C" w:rsidRPr="00170B7C">
        <w:rPr>
          <w:color w:val="000000"/>
          <w:sz w:val="28"/>
          <w:szCs w:val="28"/>
        </w:rPr>
        <w:t xml:space="preserve"> факторы вклю</w:t>
      </w:r>
      <w:r w:rsidR="006E3FDD">
        <w:rPr>
          <w:color w:val="000000"/>
          <w:sz w:val="28"/>
          <w:szCs w:val="28"/>
        </w:rPr>
        <w:t xml:space="preserve">чали в себя особенности </w:t>
      </w:r>
      <w:r w:rsidR="00685B3B">
        <w:rPr>
          <w:color w:val="000000"/>
          <w:sz w:val="28"/>
          <w:szCs w:val="28"/>
        </w:rPr>
        <w:t xml:space="preserve">техники </w:t>
      </w:r>
      <w:r w:rsidR="00DA3D7C" w:rsidRPr="00170B7C">
        <w:rPr>
          <w:color w:val="000000"/>
          <w:sz w:val="28"/>
          <w:szCs w:val="28"/>
        </w:rPr>
        <w:t>проведения</w:t>
      </w:r>
      <w:r w:rsidR="00DA3D7C">
        <w:rPr>
          <w:color w:val="000000"/>
          <w:sz w:val="28"/>
          <w:szCs w:val="28"/>
        </w:rPr>
        <w:t xml:space="preserve"> метода</w:t>
      </w:r>
      <w:r w:rsidR="00274D3C" w:rsidRPr="00170B7C">
        <w:rPr>
          <w:color w:val="000000"/>
          <w:sz w:val="28"/>
          <w:szCs w:val="28"/>
        </w:rPr>
        <w:t xml:space="preserve"> КТ-волюметрии, </w:t>
      </w:r>
      <w:r w:rsidR="00DA3D7C">
        <w:rPr>
          <w:color w:val="000000"/>
          <w:sz w:val="28"/>
          <w:szCs w:val="28"/>
        </w:rPr>
        <w:t>параметры</w:t>
      </w:r>
      <w:r w:rsidR="009F4756">
        <w:rPr>
          <w:color w:val="000000"/>
          <w:sz w:val="28"/>
          <w:szCs w:val="28"/>
        </w:rPr>
        <w:t xml:space="preserve"> настроек и </w:t>
      </w:r>
      <w:r w:rsidR="00ED66BD">
        <w:rPr>
          <w:color w:val="000000"/>
          <w:sz w:val="28"/>
          <w:szCs w:val="28"/>
        </w:rPr>
        <w:t>прочие.</w:t>
      </w:r>
      <w:r w:rsidR="00274D3C" w:rsidRPr="00170B7C">
        <w:rPr>
          <w:color w:val="000000"/>
          <w:sz w:val="28"/>
          <w:szCs w:val="28"/>
        </w:rPr>
        <w:t xml:space="preserve"> </w:t>
      </w:r>
      <w:r w:rsidR="009F4756">
        <w:rPr>
          <w:color w:val="000000"/>
          <w:sz w:val="28"/>
          <w:szCs w:val="28"/>
        </w:rPr>
        <w:t>«</w:t>
      </w:r>
      <w:r w:rsidR="00274D3C" w:rsidRPr="00170B7C">
        <w:rPr>
          <w:color w:val="000000"/>
          <w:sz w:val="28"/>
          <w:szCs w:val="28"/>
        </w:rPr>
        <w:t xml:space="preserve">Не </w:t>
      </w:r>
      <w:r w:rsidR="00274D3C" w:rsidRPr="00170B7C">
        <w:rPr>
          <w:color w:val="000000"/>
          <w:sz w:val="28"/>
          <w:szCs w:val="28"/>
        </w:rPr>
        <w:lastRenderedPageBreak/>
        <w:t>радиологические</w:t>
      </w:r>
      <w:r w:rsidR="009F4756">
        <w:rPr>
          <w:color w:val="000000"/>
          <w:sz w:val="28"/>
          <w:szCs w:val="28"/>
        </w:rPr>
        <w:t>»</w:t>
      </w:r>
      <w:r w:rsidR="00A848B1">
        <w:rPr>
          <w:color w:val="000000"/>
          <w:sz w:val="28"/>
          <w:szCs w:val="28"/>
        </w:rPr>
        <w:t xml:space="preserve"> факторы включали</w:t>
      </w:r>
      <w:r w:rsidR="00274D3C" w:rsidRPr="00170B7C">
        <w:rPr>
          <w:color w:val="000000"/>
          <w:sz w:val="28"/>
          <w:szCs w:val="28"/>
        </w:rPr>
        <w:t xml:space="preserve"> в себя </w:t>
      </w:r>
      <w:r w:rsidR="00A848B1">
        <w:rPr>
          <w:color w:val="000000"/>
          <w:sz w:val="28"/>
          <w:szCs w:val="28"/>
        </w:rPr>
        <w:t>антро</w:t>
      </w:r>
      <w:r w:rsidR="00A848B1" w:rsidRPr="00170B7C">
        <w:rPr>
          <w:color w:val="000000"/>
          <w:sz w:val="28"/>
          <w:szCs w:val="28"/>
        </w:rPr>
        <w:t>пометрические</w:t>
      </w:r>
      <w:r w:rsidR="00274D3C" w:rsidRPr="00170B7C">
        <w:rPr>
          <w:color w:val="000000"/>
          <w:sz w:val="28"/>
          <w:szCs w:val="28"/>
        </w:rPr>
        <w:t xml:space="preserve"> данные потенциальных доноров печени, </w:t>
      </w:r>
      <w:r w:rsidR="00A848B1">
        <w:rPr>
          <w:color w:val="000000"/>
          <w:sz w:val="28"/>
          <w:szCs w:val="28"/>
        </w:rPr>
        <w:t>степень тяжести состояни</w:t>
      </w:r>
      <w:r w:rsidR="00A738F3">
        <w:rPr>
          <w:color w:val="000000"/>
          <w:sz w:val="28"/>
          <w:szCs w:val="28"/>
        </w:rPr>
        <w:t>я</w:t>
      </w:r>
      <w:r w:rsidR="00A848B1">
        <w:rPr>
          <w:color w:val="000000"/>
          <w:sz w:val="28"/>
          <w:szCs w:val="28"/>
        </w:rPr>
        <w:t xml:space="preserve"> реципиентов, </w:t>
      </w:r>
      <w:r w:rsidR="0085435F">
        <w:rPr>
          <w:color w:val="000000"/>
          <w:sz w:val="28"/>
          <w:szCs w:val="28"/>
        </w:rPr>
        <w:t xml:space="preserve">физиологические свойства печени, </w:t>
      </w:r>
      <w:r w:rsidR="00274D3C" w:rsidRPr="00170B7C">
        <w:rPr>
          <w:color w:val="000000"/>
          <w:sz w:val="28"/>
          <w:szCs w:val="28"/>
        </w:rPr>
        <w:t>интраопераци</w:t>
      </w:r>
      <w:r w:rsidR="00A738F3">
        <w:rPr>
          <w:color w:val="000000"/>
          <w:sz w:val="28"/>
          <w:szCs w:val="28"/>
        </w:rPr>
        <w:t xml:space="preserve">онные </w:t>
      </w:r>
      <w:r w:rsidR="0085435F">
        <w:rPr>
          <w:color w:val="000000"/>
          <w:sz w:val="28"/>
          <w:szCs w:val="28"/>
        </w:rPr>
        <w:t>факторы и т.д</w:t>
      </w:r>
      <w:r w:rsidR="00274D3C" w:rsidRPr="00170B7C">
        <w:rPr>
          <w:color w:val="000000"/>
          <w:sz w:val="28"/>
          <w:szCs w:val="28"/>
        </w:rPr>
        <w:t>.   </w:t>
      </w:r>
    </w:p>
    <w:p w14:paraId="055F94DB" w14:textId="02D1EA69" w:rsidR="00C700B8" w:rsidRPr="00E73B44"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Одним из основных радиологических факторов могут быть ошибки расчетов, допущенные радиологами</w:t>
      </w:r>
      <w:r w:rsidR="00651B76" w:rsidRPr="00651B76">
        <w:rPr>
          <w:color w:val="000000"/>
          <w:sz w:val="28"/>
          <w:szCs w:val="28"/>
        </w:rPr>
        <w:t xml:space="preserve">. </w:t>
      </w:r>
      <w:r w:rsidR="00094036">
        <w:rPr>
          <w:color w:val="000000"/>
          <w:sz w:val="28"/>
          <w:szCs w:val="28"/>
        </w:rPr>
        <w:t>А</w:t>
      </w:r>
      <w:r w:rsidRPr="00170B7C">
        <w:rPr>
          <w:color w:val="000000"/>
          <w:sz w:val="28"/>
          <w:szCs w:val="28"/>
        </w:rPr>
        <w:t xml:space="preserve">вторы исследовали различия </w:t>
      </w:r>
      <w:r w:rsidR="00CC5DB1">
        <w:rPr>
          <w:color w:val="000000"/>
          <w:sz w:val="28"/>
          <w:szCs w:val="28"/>
        </w:rPr>
        <w:t>расчетов</w:t>
      </w:r>
      <w:r w:rsidR="00901A97">
        <w:rPr>
          <w:color w:val="000000"/>
          <w:sz w:val="28"/>
          <w:szCs w:val="28"/>
        </w:rPr>
        <w:t xml:space="preserve"> объема печени между</w:t>
      </w:r>
      <w:r w:rsidRPr="00170B7C">
        <w:rPr>
          <w:color w:val="000000"/>
          <w:sz w:val="28"/>
          <w:szCs w:val="28"/>
        </w:rPr>
        <w:t xml:space="preserve"> </w:t>
      </w:r>
      <w:r w:rsidR="00901A97">
        <w:rPr>
          <w:color w:val="000000"/>
          <w:sz w:val="28"/>
          <w:szCs w:val="28"/>
        </w:rPr>
        <w:t>радиологами</w:t>
      </w:r>
      <w:r w:rsidRPr="00170B7C">
        <w:rPr>
          <w:color w:val="000000"/>
          <w:sz w:val="28"/>
          <w:szCs w:val="28"/>
        </w:rPr>
        <w:t xml:space="preserve"> с разным уро</w:t>
      </w:r>
      <w:r w:rsidR="00CC5DB1">
        <w:rPr>
          <w:color w:val="000000"/>
          <w:sz w:val="28"/>
          <w:szCs w:val="28"/>
        </w:rPr>
        <w:t>внем опыта</w:t>
      </w:r>
      <w:r w:rsidR="00901A97">
        <w:rPr>
          <w:color w:val="000000"/>
          <w:sz w:val="28"/>
          <w:szCs w:val="28"/>
        </w:rPr>
        <w:t>, а также</w:t>
      </w:r>
      <w:r w:rsidR="00CC5DB1">
        <w:rPr>
          <w:color w:val="000000"/>
          <w:sz w:val="28"/>
          <w:szCs w:val="28"/>
        </w:rPr>
        <w:t xml:space="preserve"> включили</w:t>
      </w:r>
      <w:r w:rsidR="00901A97">
        <w:rPr>
          <w:color w:val="000000"/>
          <w:sz w:val="28"/>
          <w:szCs w:val="28"/>
        </w:rPr>
        <w:t xml:space="preserve"> в свое исследование</w:t>
      </w:r>
      <w:r w:rsidR="00CC5DB1">
        <w:rPr>
          <w:color w:val="000000"/>
          <w:sz w:val="28"/>
          <w:szCs w:val="28"/>
        </w:rPr>
        <w:t xml:space="preserve"> студентов</w:t>
      </w:r>
      <w:r w:rsidRPr="00170B7C">
        <w:rPr>
          <w:color w:val="000000"/>
          <w:sz w:val="28"/>
          <w:szCs w:val="28"/>
        </w:rPr>
        <w:t xml:space="preserve"> на последнем курс</w:t>
      </w:r>
      <w:r w:rsidR="00901A97">
        <w:rPr>
          <w:color w:val="000000"/>
          <w:sz w:val="28"/>
          <w:szCs w:val="28"/>
        </w:rPr>
        <w:t xml:space="preserve">е медицинского университета </w:t>
      </w:r>
      <w:r w:rsidRPr="00170B7C">
        <w:rPr>
          <w:color w:val="000000"/>
          <w:sz w:val="28"/>
          <w:szCs w:val="28"/>
        </w:rPr>
        <w:t xml:space="preserve">и </w:t>
      </w:r>
      <w:r w:rsidR="00A80342">
        <w:rPr>
          <w:color w:val="000000"/>
          <w:sz w:val="28"/>
          <w:szCs w:val="28"/>
        </w:rPr>
        <w:t>радиологов</w:t>
      </w:r>
      <w:r w:rsidRPr="00170B7C">
        <w:rPr>
          <w:color w:val="000000"/>
          <w:sz w:val="28"/>
          <w:szCs w:val="28"/>
        </w:rPr>
        <w:t xml:space="preserve"> </w:t>
      </w:r>
      <w:r w:rsidRPr="00E73B44">
        <w:rPr>
          <w:color w:val="000000"/>
          <w:sz w:val="28"/>
          <w:szCs w:val="28"/>
        </w:rPr>
        <w:t xml:space="preserve">без или с ограниченным опытом работы с </w:t>
      </w:r>
      <w:r w:rsidR="00A80342" w:rsidRPr="00E73B44">
        <w:rPr>
          <w:color w:val="000000"/>
          <w:sz w:val="28"/>
          <w:szCs w:val="28"/>
        </w:rPr>
        <w:t>программой</w:t>
      </w:r>
      <w:r w:rsidRPr="00E73B44">
        <w:rPr>
          <w:color w:val="000000"/>
          <w:sz w:val="28"/>
          <w:szCs w:val="28"/>
        </w:rPr>
        <w:t>. Однако, все участники ране</w:t>
      </w:r>
      <w:r w:rsidR="00A80342" w:rsidRPr="00E73B44">
        <w:rPr>
          <w:color w:val="000000"/>
          <w:sz w:val="28"/>
          <w:szCs w:val="28"/>
        </w:rPr>
        <w:t xml:space="preserve">е обучались анатомии печени и </w:t>
      </w:r>
      <w:r w:rsidRPr="00E73B44">
        <w:rPr>
          <w:color w:val="000000"/>
          <w:sz w:val="28"/>
          <w:szCs w:val="28"/>
        </w:rPr>
        <w:t xml:space="preserve">пользованию </w:t>
      </w:r>
      <w:r w:rsidR="00A80342" w:rsidRPr="00E73B44">
        <w:rPr>
          <w:color w:val="000000"/>
          <w:sz w:val="28"/>
          <w:szCs w:val="28"/>
        </w:rPr>
        <w:t>КТ-волюметрии</w:t>
      </w:r>
      <w:r w:rsidRPr="00E73B44">
        <w:rPr>
          <w:color w:val="000000"/>
          <w:sz w:val="28"/>
          <w:szCs w:val="28"/>
        </w:rPr>
        <w:t>. Эти исследования не выявили статистически значимых различий между измерениями и продемонстрировали, что КТ-волюметрию могут выполнять радиологи с разным уровнем опыта, но они должны быть соответствующим образом подготовлены и знать анатомиче</w:t>
      </w:r>
      <w:r w:rsidR="00094036" w:rsidRPr="00E73B44">
        <w:rPr>
          <w:color w:val="000000"/>
          <w:sz w:val="28"/>
          <w:szCs w:val="28"/>
        </w:rPr>
        <w:t>ские ориентиры резекции печени</w:t>
      </w:r>
      <w:r w:rsidRPr="00E73B44">
        <w:rPr>
          <w:color w:val="000000"/>
          <w:sz w:val="28"/>
          <w:szCs w:val="28"/>
        </w:rPr>
        <w:t>.  </w:t>
      </w:r>
    </w:p>
    <w:p w14:paraId="3EDE5865" w14:textId="699CA318" w:rsidR="00C700B8" w:rsidRPr="00E73B44"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E73B44">
        <w:rPr>
          <w:sz w:val="28"/>
          <w:szCs w:val="28"/>
        </w:rPr>
        <w:t>Noschinski L. и  соавт.</w:t>
      </w:r>
      <w:r w:rsidR="00824AD3">
        <w:rPr>
          <w:sz w:val="28"/>
          <w:szCs w:val="28"/>
        </w:rPr>
        <w:t xml:space="preserve"> </w:t>
      </w:r>
      <w:r w:rsidRPr="00E73B44">
        <w:rPr>
          <w:sz w:val="28"/>
          <w:szCs w:val="28"/>
        </w:rPr>
        <w:t xml:space="preserve">в своем </w:t>
      </w:r>
      <w:r w:rsidRPr="00E73B44">
        <w:rPr>
          <w:color w:val="000000"/>
          <w:sz w:val="28"/>
          <w:szCs w:val="28"/>
        </w:rPr>
        <w:t xml:space="preserve">исследовании изучали разницу в расчете объема печени мануальным и полуавтоматическим методами между радиологами разного опыта, наименьшая разница в расчетах наблюдалась среди более опытных специалистов при полуавтоматической волюметрии. Тот факт, что опытные радиологи демонстрировали более точные результаты показывает, что по-прежнему существует потребность в новом программном обеспечении для проведения КТ-волюметрии, которое </w:t>
      </w:r>
      <w:r w:rsidR="00094036" w:rsidRPr="00E73B44">
        <w:rPr>
          <w:color w:val="000000"/>
          <w:sz w:val="28"/>
          <w:szCs w:val="28"/>
        </w:rPr>
        <w:t xml:space="preserve">повысит </w:t>
      </w:r>
      <w:r w:rsidR="00DB0F41" w:rsidRPr="00E73B44">
        <w:rPr>
          <w:color w:val="000000"/>
          <w:sz w:val="28"/>
          <w:szCs w:val="28"/>
        </w:rPr>
        <w:t xml:space="preserve">ее </w:t>
      </w:r>
      <w:r w:rsidR="00094036" w:rsidRPr="00E73B44">
        <w:rPr>
          <w:color w:val="000000"/>
          <w:sz w:val="28"/>
          <w:szCs w:val="28"/>
        </w:rPr>
        <w:t>точность</w:t>
      </w:r>
      <w:r w:rsidRPr="00E73B44">
        <w:rPr>
          <w:color w:val="000000"/>
          <w:sz w:val="28"/>
          <w:szCs w:val="28"/>
        </w:rPr>
        <w:t>. Измерение объема должно выполняться специалистами, которые могут точно определить плоскость ге</w:t>
      </w:r>
      <w:r w:rsidR="007034D5">
        <w:rPr>
          <w:color w:val="000000"/>
          <w:sz w:val="28"/>
          <w:szCs w:val="28"/>
        </w:rPr>
        <w:t>миге</w:t>
      </w:r>
      <w:r w:rsidRPr="00E73B44">
        <w:rPr>
          <w:color w:val="000000"/>
          <w:sz w:val="28"/>
          <w:szCs w:val="28"/>
        </w:rPr>
        <w:t>патэктомии для уменьшения потенциальной ошибки в расчетах. </w:t>
      </w:r>
    </w:p>
    <w:p w14:paraId="72F1F56D" w14:textId="7ADFEFC0" w:rsidR="00C700B8" w:rsidRPr="00E73B44"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E73B44">
        <w:rPr>
          <w:sz w:val="28"/>
          <w:szCs w:val="28"/>
        </w:rPr>
        <w:t xml:space="preserve">Winkel D. и соавт. в своем </w:t>
      </w:r>
      <w:r w:rsidRPr="00E73B44">
        <w:rPr>
          <w:color w:val="000000"/>
          <w:sz w:val="28"/>
          <w:szCs w:val="28"/>
        </w:rPr>
        <w:t>исследовании изучали различия между расчетами радиологов мануального и автоматического</w:t>
      </w:r>
      <w:r w:rsidRPr="00170B7C">
        <w:rPr>
          <w:color w:val="000000"/>
          <w:sz w:val="28"/>
          <w:szCs w:val="28"/>
        </w:rPr>
        <w:t xml:space="preserve"> метода и выявили, что отмечается существенная разница среди исследователей мануального метода. Авторы </w:t>
      </w:r>
      <w:r w:rsidRPr="00E73B44">
        <w:rPr>
          <w:color w:val="000000"/>
          <w:sz w:val="28"/>
          <w:szCs w:val="28"/>
        </w:rPr>
        <w:t>предположили, что на разницу расчетов влияли такие факторы как: настроение, уровень усталости, загруженность врача. </w:t>
      </w:r>
    </w:p>
    <w:p w14:paraId="47615587" w14:textId="5973426E" w:rsidR="00F240A0" w:rsidRDefault="00F240A0" w:rsidP="00F240A0">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E73B44">
        <w:rPr>
          <w:sz w:val="28"/>
          <w:szCs w:val="28"/>
        </w:rPr>
        <w:t xml:space="preserve">Golse N. и соавт. в своей </w:t>
      </w:r>
      <w:r w:rsidRPr="00E73B44">
        <w:rPr>
          <w:color w:val="000000"/>
          <w:sz w:val="28"/>
          <w:szCs w:val="28"/>
        </w:rPr>
        <w:t>работе оценивали межэкспертную изменчивость. Результаты КТ-волюметрии сравнивались между восьмью экспертами (4 гепатобилиарных</w:t>
      </w:r>
      <w:r w:rsidRPr="00170B7C">
        <w:rPr>
          <w:color w:val="000000"/>
          <w:sz w:val="28"/>
          <w:szCs w:val="28"/>
        </w:rPr>
        <w:t xml:space="preserve"> хирурга и 4 радиолога). Несмотря на высокий коэффициент корреляции между рассчитанным объемом печени всех участников и весом графта, результаты радиологов превышали результаты хирургов в 24 случаях из 30, в среднем на 6%. Авторы также подчеркивают, что дуэт из двух хирургов или двух рентгенологов существенно не улучшает расчеты, но совместная работа хирурга и радиолога позволяет уменьшить завышенные оценки более чем в 50% случаев, таким образом, в случае пограничных оценок рекомендуется повторить расчёт (хирург + радиолог, работающие совместно). </w:t>
      </w:r>
    </w:p>
    <w:p w14:paraId="7C1AEA7D" w14:textId="77777777" w:rsidR="00F240A0" w:rsidRPr="00170B7C" w:rsidRDefault="00F240A0" w:rsidP="00F240A0">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sz w:val="28"/>
          <w:szCs w:val="28"/>
        </w:rPr>
        <w:t xml:space="preserve">Разница </w:t>
      </w:r>
      <w:r w:rsidRPr="00170B7C">
        <w:rPr>
          <w:color w:val="000000"/>
          <w:sz w:val="28"/>
          <w:szCs w:val="28"/>
        </w:rPr>
        <w:t>между предполагаемой дооперационной линией разреза печени и фактической линией разреза донорской печени также является одной из различных потенциальных причин ошибки. Во время операции миллиметровые отклонения, наблюдаемые на трассировке с</w:t>
      </w:r>
      <w:r>
        <w:rPr>
          <w:color w:val="000000"/>
          <w:sz w:val="28"/>
          <w:szCs w:val="28"/>
        </w:rPr>
        <w:t xml:space="preserve">рединной печеночной вены в сравнении с проводимой виртуальной линии резекции могут влиять на точность </w:t>
      </w:r>
      <w:r w:rsidRPr="00170B7C">
        <w:rPr>
          <w:color w:val="000000"/>
          <w:sz w:val="28"/>
          <w:szCs w:val="28"/>
        </w:rPr>
        <w:t>объемной оценк</w:t>
      </w:r>
      <w:r>
        <w:rPr>
          <w:color w:val="000000"/>
          <w:sz w:val="28"/>
          <w:szCs w:val="28"/>
        </w:rPr>
        <w:t>и печени</w:t>
      </w:r>
      <w:r w:rsidRPr="00170B7C">
        <w:rPr>
          <w:color w:val="000000"/>
          <w:sz w:val="28"/>
          <w:szCs w:val="28"/>
        </w:rPr>
        <w:t xml:space="preserve">. </w:t>
      </w:r>
      <w:r>
        <w:rPr>
          <w:color w:val="000000"/>
          <w:sz w:val="28"/>
          <w:szCs w:val="28"/>
        </w:rPr>
        <w:t>Хирурги –</w:t>
      </w:r>
      <w:r w:rsidR="001E740B">
        <w:rPr>
          <w:color w:val="000000"/>
          <w:sz w:val="28"/>
          <w:szCs w:val="28"/>
        </w:rPr>
        <w:t xml:space="preserve"> </w:t>
      </w:r>
      <w:r>
        <w:rPr>
          <w:color w:val="000000"/>
          <w:sz w:val="28"/>
          <w:szCs w:val="28"/>
        </w:rPr>
        <w:t>трансплантологи</w:t>
      </w:r>
      <w:r w:rsidRPr="00170B7C">
        <w:rPr>
          <w:color w:val="000000"/>
          <w:sz w:val="28"/>
          <w:szCs w:val="28"/>
        </w:rPr>
        <w:t xml:space="preserve"> должны регулярно </w:t>
      </w:r>
      <w:r w:rsidRPr="00170B7C">
        <w:rPr>
          <w:color w:val="000000"/>
          <w:sz w:val="28"/>
          <w:szCs w:val="28"/>
        </w:rPr>
        <w:lastRenderedPageBreak/>
        <w:t xml:space="preserve">выполнять КТ-волюметрию во время предоперационной оценки </w:t>
      </w:r>
      <w:r w:rsidR="00967B90">
        <w:rPr>
          <w:color w:val="000000"/>
          <w:sz w:val="28"/>
          <w:szCs w:val="28"/>
        </w:rPr>
        <w:t>печени доноров</w:t>
      </w:r>
      <w:r w:rsidRPr="00170B7C">
        <w:rPr>
          <w:color w:val="000000"/>
          <w:sz w:val="28"/>
          <w:szCs w:val="28"/>
        </w:rPr>
        <w:t xml:space="preserve">, </w:t>
      </w:r>
      <w:r>
        <w:rPr>
          <w:color w:val="000000"/>
          <w:sz w:val="28"/>
          <w:szCs w:val="28"/>
        </w:rPr>
        <w:t>планирующие</w:t>
      </w:r>
      <w:r w:rsidRPr="00170B7C">
        <w:rPr>
          <w:color w:val="000000"/>
          <w:sz w:val="28"/>
          <w:szCs w:val="28"/>
        </w:rPr>
        <w:t xml:space="preserve"> обширную резекцию печени. Интраоперационные плоскости резекции могут отличаться от линии, разделяющие </w:t>
      </w:r>
      <w:r>
        <w:rPr>
          <w:color w:val="000000"/>
          <w:sz w:val="28"/>
          <w:szCs w:val="28"/>
        </w:rPr>
        <w:t>сегменты печени согласно классификации</w:t>
      </w:r>
      <w:r w:rsidRPr="00170B7C">
        <w:rPr>
          <w:color w:val="000000"/>
          <w:sz w:val="28"/>
          <w:szCs w:val="28"/>
        </w:rPr>
        <w:t xml:space="preserve"> Куино.  Классификация Куино делит печень на восемь отрезков прямых линий вдоль печеночных и воротных вен, но эти сосуды обычно не прямые.  </w:t>
      </w:r>
    </w:p>
    <w:p w14:paraId="2FA2C46F" w14:textId="354FE012" w:rsidR="00F240A0" w:rsidRPr="00E73B44" w:rsidRDefault="00274D3C" w:rsidP="00F240A0">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Считается, что чем </w:t>
      </w:r>
      <w:r w:rsidRPr="00E73B44">
        <w:rPr>
          <w:color w:val="000000"/>
          <w:sz w:val="28"/>
          <w:szCs w:val="28"/>
        </w:rPr>
        <w:t>тоньше срез, тем точнее результаты</w:t>
      </w:r>
      <w:r w:rsidR="006623D9" w:rsidRPr="00E73B44">
        <w:rPr>
          <w:color w:val="000000"/>
          <w:sz w:val="28"/>
          <w:szCs w:val="28"/>
        </w:rPr>
        <w:t xml:space="preserve"> волюметрии печени</w:t>
      </w:r>
      <w:r w:rsidRPr="00E73B44">
        <w:rPr>
          <w:color w:val="000000"/>
          <w:sz w:val="28"/>
          <w:szCs w:val="28"/>
        </w:rPr>
        <w:t>, поскольку снижаетс</w:t>
      </w:r>
      <w:r w:rsidR="006623D9" w:rsidRPr="00E73B44">
        <w:rPr>
          <w:color w:val="000000"/>
          <w:sz w:val="28"/>
          <w:szCs w:val="28"/>
        </w:rPr>
        <w:t>я вероятность ложноположительного контуринга границ печени</w:t>
      </w:r>
      <w:r w:rsidRPr="00E73B44">
        <w:rPr>
          <w:color w:val="000000"/>
          <w:sz w:val="28"/>
          <w:szCs w:val="28"/>
        </w:rPr>
        <w:t xml:space="preserve">. Недостатком такого исследования является необходимость большого количества времени. Более </w:t>
      </w:r>
      <w:r w:rsidRPr="00E73B44">
        <w:rPr>
          <w:sz w:val="28"/>
          <w:szCs w:val="28"/>
        </w:rPr>
        <w:t>того, Mayer P. и соавт.</w:t>
      </w:r>
      <w:r w:rsidR="00824AD3">
        <w:rPr>
          <w:sz w:val="28"/>
          <w:szCs w:val="28"/>
        </w:rPr>
        <w:t xml:space="preserve"> </w:t>
      </w:r>
      <w:r w:rsidRPr="00E73B44">
        <w:rPr>
          <w:sz w:val="28"/>
          <w:szCs w:val="28"/>
        </w:rPr>
        <w:t xml:space="preserve">в своем </w:t>
      </w:r>
      <w:r w:rsidRPr="00E73B44">
        <w:rPr>
          <w:color w:val="000000"/>
          <w:sz w:val="28"/>
          <w:szCs w:val="28"/>
        </w:rPr>
        <w:t>исследовании приводит данные об отсутствии статистически значимых различий между исследуемым объемом печени, полученным при малой</w:t>
      </w:r>
      <w:r w:rsidRPr="00170B7C">
        <w:rPr>
          <w:color w:val="000000"/>
          <w:sz w:val="28"/>
          <w:szCs w:val="28"/>
        </w:rPr>
        <w:t xml:space="preserve"> толщине среза (&lt;3 мм) и при большой толщине среза (&gt;3 мм).  </w:t>
      </w:r>
      <w:r w:rsidR="00B609C3" w:rsidRPr="00170B7C">
        <w:rPr>
          <w:sz w:val="28"/>
          <w:szCs w:val="28"/>
        </w:rPr>
        <w:t xml:space="preserve">Авторы </w:t>
      </w:r>
      <w:r w:rsidRPr="00170B7C">
        <w:rPr>
          <w:sz w:val="28"/>
          <w:szCs w:val="28"/>
        </w:rPr>
        <w:t xml:space="preserve">в своих </w:t>
      </w:r>
      <w:r w:rsidRPr="00170B7C">
        <w:rPr>
          <w:color w:val="000000"/>
          <w:sz w:val="28"/>
          <w:szCs w:val="28"/>
        </w:rPr>
        <w:t xml:space="preserve">исследованиях </w:t>
      </w:r>
      <w:r w:rsidR="00B609C3" w:rsidRPr="00170B7C">
        <w:rPr>
          <w:color w:val="000000"/>
          <w:sz w:val="28"/>
          <w:szCs w:val="28"/>
        </w:rPr>
        <w:t xml:space="preserve">также </w:t>
      </w:r>
      <w:r w:rsidRPr="00170B7C">
        <w:rPr>
          <w:color w:val="000000"/>
          <w:sz w:val="28"/>
          <w:szCs w:val="28"/>
        </w:rPr>
        <w:t>изучал</w:t>
      </w:r>
      <w:r w:rsidR="00B609C3" w:rsidRPr="00170B7C">
        <w:rPr>
          <w:color w:val="000000"/>
          <w:sz w:val="28"/>
          <w:szCs w:val="28"/>
        </w:rPr>
        <w:t>и</w:t>
      </w:r>
      <w:r w:rsidRPr="00170B7C">
        <w:rPr>
          <w:color w:val="000000"/>
          <w:sz w:val="28"/>
          <w:szCs w:val="28"/>
        </w:rPr>
        <w:t xml:space="preserve"> влияние контрастных веществ на КТ-исследование. Авторы предположили, что контрастное вещество может увеличивать внутрисосудистое содержание воды в </w:t>
      </w:r>
      <w:r w:rsidRPr="00E73B44">
        <w:rPr>
          <w:color w:val="000000"/>
          <w:sz w:val="28"/>
          <w:szCs w:val="28"/>
        </w:rPr>
        <w:t xml:space="preserve">печени. Хотя они выявили, что нативная фаза обеспечивает более точные результаты волюметрии, чем исследование в порто-венозной фазе, коэффициент </w:t>
      </w:r>
      <w:r w:rsidR="0055354F" w:rsidRPr="00E73B44">
        <w:rPr>
          <w:color w:val="000000"/>
          <w:sz w:val="28"/>
          <w:szCs w:val="28"/>
        </w:rPr>
        <w:t>ошибок по-прежнему составляет 11,1</w:t>
      </w:r>
      <w:r w:rsidRPr="00E73B44">
        <w:rPr>
          <w:color w:val="000000"/>
          <w:sz w:val="28"/>
          <w:szCs w:val="28"/>
        </w:rPr>
        <w:t>%. Автор</w:t>
      </w:r>
      <w:r w:rsidR="00B609C3" w:rsidRPr="00E73B44">
        <w:rPr>
          <w:color w:val="000000"/>
          <w:sz w:val="28"/>
          <w:szCs w:val="28"/>
        </w:rPr>
        <w:t>ы</w:t>
      </w:r>
      <w:r w:rsidRPr="00E73B44">
        <w:rPr>
          <w:color w:val="000000"/>
          <w:sz w:val="28"/>
          <w:szCs w:val="28"/>
        </w:rPr>
        <w:t xml:space="preserve"> также упомянул</w:t>
      </w:r>
      <w:r w:rsidR="00B609C3" w:rsidRPr="00E73B44">
        <w:rPr>
          <w:color w:val="000000"/>
          <w:sz w:val="28"/>
          <w:szCs w:val="28"/>
        </w:rPr>
        <w:t>и</w:t>
      </w:r>
      <w:r w:rsidRPr="00E73B44">
        <w:rPr>
          <w:color w:val="000000"/>
          <w:sz w:val="28"/>
          <w:szCs w:val="28"/>
        </w:rPr>
        <w:t>, что линия резекции проходила через сред</w:t>
      </w:r>
      <w:r w:rsidR="0055354F" w:rsidRPr="00E73B44">
        <w:rPr>
          <w:color w:val="000000"/>
          <w:sz w:val="28"/>
          <w:szCs w:val="28"/>
        </w:rPr>
        <w:t>нюю печеночную вену, выполненная</w:t>
      </w:r>
      <w:r w:rsidRPr="00E73B44">
        <w:rPr>
          <w:color w:val="000000"/>
          <w:sz w:val="28"/>
          <w:szCs w:val="28"/>
        </w:rPr>
        <w:t xml:space="preserve"> в порто-венозную фазу в связи с золотым стандартом. </w:t>
      </w:r>
    </w:p>
    <w:p w14:paraId="12569617" w14:textId="49F4DAF8" w:rsidR="00A418E6" w:rsidRPr="00170B7C" w:rsidRDefault="00A418E6" w:rsidP="00A418E6">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E73B44">
        <w:rPr>
          <w:sz w:val="28"/>
          <w:szCs w:val="28"/>
        </w:rPr>
        <w:t>Mika B. и соавт</w:t>
      </w:r>
      <w:r w:rsidR="00E73B44" w:rsidRPr="00652741">
        <w:rPr>
          <w:b/>
          <w:sz w:val="28"/>
          <w:szCs w:val="28"/>
        </w:rPr>
        <w:t>.</w:t>
      </w:r>
      <w:r w:rsidR="00824AD3">
        <w:rPr>
          <w:b/>
          <w:sz w:val="28"/>
          <w:szCs w:val="28"/>
        </w:rPr>
        <w:t xml:space="preserve"> </w:t>
      </w:r>
      <w:r w:rsidRPr="00E73B44">
        <w:rPr>
          <w:sz w:val="28"/>
          <w:szCs w:val="28"/>
        </w:rPr>
        <w:t xml:space="preserve">сообщили, что </w:t>
      </w:r>
      <w:r w:rsidRPr="00E73B44">
        <w:rPr>
          <w:color w:val="000000"/>
          <w:sz w:val="28"/>
          <w:szCs w:val="28"/>
        </w:rPr>
        <w:t>расхождение в 2 см между виртуальной линией резекции печени радиологом и</w:t>
      </w:r>
      <w:r w:rsidRPr="00170B7C">
        <w:rPr>
          <w:color w:val="000000"/>
          <w:sz w:val="28"/>
          <w:szCs w:val="28"/>
        </w:rPr>
        <w:t xml:space="preserve"> реальной линией резекции хирургом интраоперационно может привести к разнице в весе до 200 гр</w:t>
      </w:r>
      <w:r w:rsidRPr="00170B7C">
        <w:rPr>
          <w:sz w:val="28"/>
          <w:szCs w:val="28"/>
        </w:rPr>
        <w:t>. Kwon H. и соавт.</w:t>
      </w:r>
      <w:r w:rsidRPr="00170B7C">
        <w:rPr>
          <w:i/>
          <w:sz w:val="28"/>
          <w:szCs w:val="28"/>
        </w:rPr>
        <w:t xml:space="preserve"> </w:t>
      </w:r>
      <w:r w:rsidRPr="00170B7C">
        <w:rPr>
          <w:rFonts w:eastAsia="Calibri"/>
          <w:color w:val="000000"/>
          <w:sz w:val="28"/>
          <w:szCs w:val="28"/>
        </w:rPr>
        <w:t>​</w:t>
      </w:r>
      <w:r w:rsidRPr="00170B7C">
        <w:rPr>
          <w:color w:val="000000"/>
          <w:sz w:val="28"/>
          <w:szCs w:val="28"/>
        </w:rPr>
        <w:t>в своем исследовании выявил, что предоперационный расчет общего объема печени и остаточного не совпадает с линией резекцией хирурга и может давать погрешность примерно 5%.   </w:t>
      </w:r>
    </w:p>
    <w:p w14:paraId="1EC8B9F0" w14:textId="7974E0C3" w:rsidR="00C700B8" w:rsidRPr="00E73B44"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В некоторых исследованиях сравнивали расчетный объем печени и массу трансплантата с кровью и без нее</w:t>
      </w:r>
      <w:r w:rsidR="00A304E7">
        <w:rPr>
          <w:color w:val="000000"/>
          <w:sz w:val="28"/>
          <w:szCs w:val="28"/>
        </w:rPr>
        <w:t>.</w:t>
      </w:r>
      <w:r w:rsidRPr="00170B7C">
        <w:rPr>
          <w:color w:val="000000"/>
          <w:sz w:val="28"/>
          <w:szCs w:val="28"/>
        </w:rPr>
        <w:t xml:space="preserve"> </w:t>
      </w:r>
      <w:r w:rsidR="00A304E7" w:rsidRPr="00170B7C">
        <w:rPr>
          <w:color w:val="000000"/>
          <w:sz w:val="28"/>
          <w:szCs w:val="28"/>
        </w:rPr>
        <w:t>Высказан</w:t>
      </w:r>
      <w:r w:rsidR="001E2073">
        <w:rPr>
          <w:color w:val="000000"/>
          <w:sz w:val="28"/>
          <w:szCs w:val="28"/>
        </w:rPr>
        <w:t>ы</w:t>
      </w:r>
      <w:r w:rsidR="00A304E7" w:rsidRPr="00170B7C">
        <w:rPr>
          <w:color w:val="000000"/>
          <w:sz w:val="28"/>
          <w:szCs w:val="28"/>
        </w:rPr>
        <w:t xml:space="preserve"> предположени</w:t>
      </w:r>
      <w:r w:rsidR="001E2073">
        <w:rPr>
          <w:color w:val="000000"/>
          <w:sz w:val="28"/>
          <w:szCs w:val="28"/>
        </w:rPr>
        <w:t>я</w:t>
      </w:r>
      <w:r w:rsidR="00A304E7" w:rsidRPr="00170B7C">
        <w:rPr>
          <w:color w:val="000000"/>
          <w:sz w:val="28"/>
          <w:szCs w:val="28"/>
        </w:rPr>
        <w:t xml:space="preserve">, </w:t>
      </w:r>
      <w:r w:rsidR="001E2073">
        <w:rPr>
          <w:color w:val="000000"/>
          <w:sz w:val="28"/>
          <w:szCs w:val="28"/>
        </w:rPr>
        <w:t xml:space="preserve">что </w:t>
      </w:r>
      <w:r w:rsidR="001E2073" w:rsidRPr="00170B7C">
        <w:rPr>
          <w:color w:val="000000"/>
          <w:sz w:val="28"/>
          <w:szCs w:val="28"/>
        </w:rPr>
        <w:t xml:space="preserve">существует несоответствие между перфузией печени до и </w:t>
      </w:r>
      <w:r w:rsidR="001E2073" w:rsidRPr="00E73B44">
        <w:rPr>
          <w:color w:val="000000"/>
          <w:sz w:val="28"/>
          <w:szCs w:val="28"/>
        </w:rPr>
        <w:t xml:space="preserve">во время операции и </w:t>
      </w:r>
      <w:r w:rsidR="00A304E7" w:rsidRPr="00E73B44">
        <w:rPr>
          <w:color w:val="000000"/>
          <w:sz w:val="28"/>
          <w:szCs w:val="28"/>
        </w:rPr>
        <w:t>что вес наполненного кровью трансплантата печени ближе к объему трансплантата правой доли, оце</w:t>
      </w:r>
      <w:r w:rsidR="00824AD3">
        <w:rPr>
          <w:color w:val="000000"/>
          <w:sz w:val="28"/>
          <w:szCs w:val="28"/>
        </w:rPr>
        <w:t>ненному с помощью КТ-волюметрии</w:t>
      </w:r>
      <w:r w:rsidR="00A304E7" w:rsidRPr="00E73B44">
        <w:rPr>
          <w:color w:val="000000"/>
          <w:sz w:val="28"/>
          <w:szCs w:val="28"/>
        </w:rPr>
        <w:t>. </w:t>
      </w:r>
    </w:p>
    <w:p w14:paraId="1591EDE7" w14:textId="22F86E1F" w:rsidR="00C700B8" w:rsidRPr="00E73B44"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sz w:val="28"/>
          <w:szCs w:val="28"/>
        </w:rPr>
      </w:pPr>
      <w:r w:rsidRPr="00E73B44">
        <w:rPr>
          <w:color w:val="000000"/>
          <w:sz w:val="28"/>
          <w:szCs w:val="28"/>
        </w:rPr>
        <w:t xml:space="preserve">Во время КТ-волюметрии печень находится в физиологическом состоянии и поэтому </w:t>
      </w:r>
      <w:r w:rsidR="00DA2C76" w:rsidRPr="00E73B44">
        <w:rPr>
          <w:color w:val="000000"/>
          <w:sz w:val="28"/>
          <w:szCs w:val="28"/>
        </w:rPr>
        <w:t>кровоснабжается</w:t>
      </w:r>
      <w:r w:rsidRPr="00E73B44">
        <w:rPr>
          <w:color w:val="000000"/>
          <w:sz w:val="28"/>
          <w:szCs w:val="28"/>
        </w:rPr>
        <w:t xml:space="preserve"> при нормальном давлении. Когда печень перестает </w:t>
      </w:r>
      <w:r w:rsidR="00DA2C76" w:rsidRPr="00E73B44">
        <w:rPr>
          <w:color w:val="000000"/>
          <w:sz w:val="28"/>
          <w:szCs w:val="28"/>
        </w:rPr>
        <w:t xml:space="preserve">кровоснабжаться </w:t>
      </w:r>
      <w:r w:rsidRPr="00E73B44">
        <w:rPr>
          <w:color w:val="000000"/>
          <w:sz w:val="28"/>
          <w:szCs w:val="28"/>
        </w:rPr>
        <w:t xml:space="preserve">интраоперационно, внутрипеченочные вены спадаются, и печень уменьшится в объеме по сравнению с нормальным физиологическим объемом печени. Из-за недостаточной перфузии трансплантата при его взвешивании во время операции </w:t>
      </w:r>
      <w:r w:rsidR="0074499F" w:rsidRPr="00E73B44">
        <w:rPr>
          <w:color w:val="000000"/>
          <w:sz w:val="28"/>
          <w:szCs w:val="28"/>
        </w:rPr>
        <w:t>КТ-волюметрия</w:t>
      </w:r>
      <w:r w:rsidRPr="00E73B44">
        <w:rPr>
          <w:color w:val="000000"/>
          <w:sz w:val="28"/>
          <w:szCs w:val="28"/>
        </w:rPr>
        <w:t xml:space="preserve"> </w:t>
      </w:r>
      <w:r w:rsidR="00BE299B" w:rsidRPr="00E73B44">
        <w:rPr>
          <w:color w:val="000000"/>
          <w:sz w:val="28"/>
          <w:szCs w:val="28"/>
        </w:rPr>
        <w:t>в предоперационном периоде</w:t>
      </w:r>
      <w:r w:rsidRPr="00E73B44">
        <w:rPr>
          <w:color w:val="000000"/>
          <w:sz w:val="28"/>
          <w:szCs w:val="28"/>
        </w:rPr>
        <w:t xml:space="preserve"> завышает </w:t>
      </w:r>
      <w:r w:rsidR="00BE299B" w:rsidRPr="00E73B44">
        <w:rPr>
          <w:color w:val="000000"/>
          <w:sz w:val="28"/>
          <w:szCs w:val="28"/>
        </w:rPr>
        <w:t>объем печени</w:t>
      </w:r>
      <w:r w:rsidRPr="00E73B44">
        <w:rPr>
          <w:color w:val="000000"/>
          <w:sz w:val="28"/>
          <w:szCs w:val="28"/>
        </w:rPr>
        <w:t xml:space="preserve">. </w:t>
      </w:r>
    </w:p>
    <w:p w14:paraId="1A6075DC" w14:textId="000233F6" w:rsidR="005C6E1B" w:rsidRDefault="00377157" w:rsidP="005C6E1B">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E73B44">
        <w:rPr>
          <w:sz w:val="28"/>
          <w:szCs w:val="28"/>
          <w:lang w:val="en-US"/>
        </w:rPr>
        <w:t>Celik</w:t>
      </w:r>
      <w:r w:rsidRPr="00E73B44">
        <w:rPr>
          <w:sz w:val="28"/>
          <w:szCs w:val="28"/>
        </w:rPr>
        <w:t xml:space="preserve"> </w:t>
      </w:r>
      <w:r w:rsidRPr="00E73B44">
        <w:rPr>
          <w:sz w:val="28"/>
          <w:szCs w:val="28"/>
          <w:lang w:val="en-US"/>
        </w:rPr>
        <w:t>H</w:t>
      </w:r>
      <w:r w:rsidR="00274D3C" w:rsidRPr="00E73B44">
        <w:rPr>
          <w:sz w:val="28"/>
          <w:szCs w:val="28"/>
        </w:rPr>
        <w:t>. и  соавт.</w:t>
      </w:r>
      <w:r w:rsidR="00824AD3">
        <w:rPr>
          <w:sz w:val="28"/>
          <w:szCs w:val="28"/>
        </w:rPr>
        <w:t xml:space="preserve"> </w:t>
      </w:r>
      <w:r w:rsidR="00274D3C" w:rsidRPr="00E73B44">
        <w:rPr>
          <w:sz w:val="28"/>
          <w:szCs w:val="28"/>
        </w:rPr>
        <w:t xml:space="preserve">​в своем </w:t>
      </w:r>
      <w:r w:rsidR="00274D3C" w:rsidRPr="00E73B44">
        <w:rPr>
          <w:color w:val="000000"/>
          <w:sz w:val="28"/>
          <w:szCs w:val="28"/>
        </w:rPr>
        <w:t>исследовании сравнивают мануальный и полуавтоматический методы, оба метода показывают завышенные результаты в сравнении с весом графта. Объем трансплантата</w:t>
      </w:r>
      <w:r w:rsidR="00274D3C" w:rsidRPr="00170B7C">
        <w:rPr>
          <w:color w:val="000000"/>
          <w:sz w:val="28"/>
          <w:szCs w:val="28"/>
        </w:rPr>
        <w:t xml:space="preserve">, измеренный до операции с помощью КТ-волюметрии, был примерно на 20% больше, чем интраоперационно взвешенный вес дренированного трансплантата, при этом разница составила всего 4% с наполненным кровью трансплантатом. Другое </w:t>
      </w:r>
      <w:r w:rsidR="00274D3C" w:rsidRPr="00170B7C">
        <w:rPr>
          <w:color w:val="000000"/>
          <w:sz w:val="28"/>
          <w:szCs w:val="28"/>
        </w:rPr>
        <w:lastRenderedPageBreak/>
        <w:t>исследование выявило завышение объема правой доли печени на 20% с помощью ра</w:t>
      </w:r>
      <w:r w:rsidR="0090762E">
        <w:rPr>
          <w:color w:val="000000"/>
          <w:sz w:val="28"/>
          <w:szCs w:val="28"/>
        </w:rPr>
        <w:t>счета некоммерческой</w:t>
      </w:r>
      <w:r w:rsidR="00274D3C" w:rsidRPr="00170B7C">
        <w:rPr>
          <w:color w:val="000000"/>
          <w:sz w:val="28"/>
          <w:szCs w:val="28"/>
        </w:rPr>
        <w:t xml:space="preserve"> программным собственной разработки</w:t>
      </w:r>
      <w:r w:rsidR="005C6E1B" w:rsidRPr="005C6E1B">
        <w:rPr>
          <w:color w:val="000000"/>
          <w:sz w:val="28"/>
          <w:szCs w:val="28"/>
        </w:rPr>
        <w:t xml:space="preserve">. </w:t>
      </w:r>
    </w:p>
    <w:p w14:paraId="01964295" w14:textId="1C67B9FF" w:rsidR="00C700B8" w:rsidRPr="005C6E1B" w:rsidRDefault="00BF3236" w:rsidP="005C6E1B">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Pr>
          <w:color w:val="000000"/>
          <w:sz w:val="28"/>
          <w:szCs w:val="28"/>
        </w:rPr>
        <w:t xml:space="preserve">В научных работах выделяют </w:t>
      </w:r>
      <w:r w:rsidR="00274D3C" w:rsidRPr="00170B7C">
        <w:rPr>
          <w:color w:val="000000"/>
          <w:sz w:val="28"/>
          <w:szCs w:val="28"/>
        </w:rPr>
        <w:t xml:space="preserve">различные факторы, </w:t>
      </w:r>
      <w:r w:rsidR="0090762E">
        <w:rPr>
          <w:color w:val="000000"/>
          <w:sz w:val="28"/>
          <w:szCs w:val="28"/>
          <w:lang w:val="kk-KZ"/>
        </w:rPr>
        <w:t xml:space="preserve">предполагающие </w:t>
      </w:r>
      <w:r w:rsidR="0090762E" w:rsidRPr="00170B7C">
        <w:rPr>
          <w:color w:val="000000"/>
          <w:sz w:val="28"/>
          <w:szCs w:val="28"/>
        </w:rPr>
        <w:t>завышение</w:t>
      </w:r>
      <w:r w:rsidR="00274D3C" w:rsidRPr="00170B7C">
        <w:rPr>
          <w:color w:val="000000"/>
          <w:sz w:val="28"/>
          <w:szCs w:val="28"/>
        </w:rPr>
        <w:t xml:space="preserve"> результатов КТ-волюметрии печени в сравнении с весом трансплантата, однако, интраоперационная потеря крови графта считается основной причиной. Наличие крови во внутрипеченочных сосудах в значительной степени объясняет завышение объема печени в сравнении с фактическим весом трансплантата. Предоперационное КТ-исследование представляет состояние «in situ», при котором печень подвергается воздействию физиологическо</w:t>
      </w:r>
      <w:r w:rsidR="0030188E">
        <w:rPr>
          <w:color w:val="000000"/>
          <w:sz w:val="28"/>
          <w:szCs w:val="28"/>
        </w:rPr>
        <w:t xml:space="preserve">й перфузии. Во время процедуры </w:t>
      </w:r>
      <w:r w:rsidR="0030188E">
        <w:rPr>
          <w:color w:val="000000"/>
          <w:sz w:val="28"/>
          <w:szCs w:val="28"/>
          <w:lang w:val="en-US"/>
        </w:rPr>
        <w:t>b</w:t>
      </w:r>
      <w:r w:rsidR="00274D3C" w:rsidRPr="00170B7C">
        <w:rPr>
          <w:color w:val="000000"/>
          <w:sz w:val="28"/>
          <w:szCs w:val="28"/>
        </w:rPr>
        <w:t>ack table такие жидкости как кровь, желчь и лимфа дренируются с печени до момента анастомозирования с реципиентом и, соответственно, трансплантат печени сжимается. Вследствие, потеря изрядного количества веса транспл</w:t>
      </w:r>
      <w:r w:rsidR="006C2883">
        <w:rPr>
          <w:color w:val="000000"/>
          <w:sz w:val="28"/>
          <w:szCs w:val="28"/>
        </w:rPr>
        <w:t>антата после резекции неизбежна</w:t>
      </w:r>
      <w:r w:rsidR="005C6E1B" w:rsidRPr="005C6E1B">
        <w:rPr>
          <w:color w:val="000000"/>
          <w:sz w:val="28"/>
          <w:szCs w:val="28"/>
        </w:rPr>
        <w:t>.</w:t>
      </w:r>
    </w:p>
    <w:p w14:paraId="7C84F071" w14:textId="09F01178" w:rsidR="00A418E6" w:rsidRDefault="00B609C3"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sz w:val="28"/>
          <w:szCs w:val="28"/>
        </w:rPr>
        <w:t>Ряд авторов</w:t>
      </w:r>
      <w:r w:rsidR="00274D3C" w:rsidRPr="00170B7C">
        <w:rPr>
          <w:sz w:val="28"/>
          <w:szCs w:val="28"/>
        </w:rPr>
        <w:t xml:space="preserve"> в</w:t>
      </w:r>
      <w:r w:rsidR="00274D3C" w:rsidRPr="00170B7C">
        <w:rPr>
          <w:rFonts w:eastAsia="Calibri"/>
          <w:sz w:val="28"/>
          <w:szCs w:val="28"/>
        </w:rPr>
        <w:t xml:space="preserve"> </w:t>
      </w:r>
      <w:r w:rsidR="00274D3C" w:rsidRPr="00170B7C">
        <w:rPr>
          <w:color w:val="000000"/>
          <w:sz w:val="28"/>
          <w:szCs w:val="28"/>
        </w:rPr>
        <w:t>своем исследовании</w:t>
      </w:r>
      <w:r w:rsidR="0030188E">
        <w:rPr>
          <w:color w:val="000000"/>
          <w:sz w:val="28"/>
          <w:szCs w:val="28"/>
          <w:lang w:val="kk-KZ"/>
        </w:rPr>
        <w:t xml:space="preserve"> выявили</w:t>
      </w:r>
      <w:r w:rsidR="0030188E">
        <w:rPr>
          <w:color w:val="000000"/>
          <w:sz w:val="28"/>
          <w:szCs w:val="28"/>
        </w:rPr>
        <w:t>,</w:t>
      </w:r>
      <w:r w:rsidR="00274D3C" w:rsidRPr="00170B7C">
        <w:rPr>
          <w:color w:val="000000"/>
          <w:sz w:val="28"/>
          <w:szCs w:val="28"/>
        </w:rPr>
        <w:t xml:space="preserve"> что разница между фактическим весом трансплантата и дооперационным расчетом частично связана с потерей крови, содержащейся в трансплантате, и показали сниже</w:t>
      </w:r>
      <w:r w:rsidR="007034D5">
        <w:rPr>
          <w:color w:val="000000"/>
          <w:sz w:val="28"/>
          <w:szCs w:val="28"/>
        </w:rPr>
        <w:t xml:space="preserve">ние до 10% исходного веса </w:t>
      </w:r>
      <w:r w:rsidR="00274D3C" w:rsidRPr="00170B7C">
        <w:rPr>
          <w:color w:val="000000"/>
          <w:sz w:val="28"/>
          <w:szCs w:val="28"/>
        </w:rPr>
        <w:t xml:space="preserve">после резекции </w:t>
      </w:r>
      <w:r w:rsidR="007034D5">
        <w:rPr>
          <w:color w:val="000000"/>
          <w:sz w:val="28"/>
          <w:szCs w:val="28"/>
        </w:rPr>
        <w:t xml:space="preserve">печени </w:t>
      </w:r>
      <w:r w:rsidR="00274D3C" w:rsidRPr="00170B7C">
        <w:rPr>
          <w:color w:val="000000"/>
          <w:sz w:val="28"/>
          <w:szCs w:val="28"/>
        </w:rPr>
        <w:t xml:space="preserve">и back table. </w:t>
      </w:r>
    </w:p>
    <w:p w14:paraId="1309269A" w14:textId="17801472" w:rsidR="00C700B8" w:rsidRPr="00BF3236" w:rsidRDefault="00274D3C" w:rsidP="00BF3236">
      <w:pPr>
        <w:pBdr>
          <w:top w:val="none" w:sz="0" w:space="0" w:color="000000"/>
          <w:left w:val="none" w:sz="0" w:space="0" w:color="000000"/>
          <w:bottom w:val="none" w:sz="0" w:space="0" w:color="000000"/>
          <w:right w:val="none" w:sz="0" w:space="0" w:color="000000"/>
          <w:between w:val="none" w:sz="0" w:space="0" w:color="000000"/>
        </w:pBdr>
        <w:ind w:firstLine="567"/>
        <w:jc w:val="both"/>
        <w:rPr>
          <w:sz w:val="28"/>
          <w:szCs w:val="28"/>
        </w:rPr>
      </w:pPr>
      <w:r w:rsidRPr="00170B7C">
        <w:rPr>
          <w:color w:val="000000"/>
          <w:sz w:val="28"/>
          <w:szCs w:val="28"/>
        </w:rPr>
        <w:t>В их исследовании вес трансплантата измеряли 4 раза: (1) сразу после забора; (2) после дренирования крови путем снятия зажимов и ручного сжатия печени; (3) после перфузии лактатным раствором Рингера и раствором UW; (4) после пластики венозными протезами. Дегидратация,</w:t>
      </w:r>
      <w:r w:rsidR="001E2073">
        <w:rPr>
          <w:color w:val="000000"/>
          <w:sz w:val="28"/>
          <w:szCs w:val="28"/>
        </w:rPr>
        <w:t xml:space="preserve"> </w:t>
      </w:r>
      <w:r w:rsidRPr="00170B7C">
        <w:rPr>
          <w:color w:val="000000"/>
          <w:sz w:val="28"/>
          <w:szCs w:val="28"/>
        </w:rPr>
        <w:t xml:space="preserve">вызванная высокоосмотическим раствором консерванта, потенциально снижает массу </w:t>
      </w:r>
      <w:r w:rsidRPr="00170B7C">
        <w:rPr>
          <w:sz w:val="28"/>
          <w:szCs w:val="28"/>
        </w:rPr>
        <w:t xml:space="preserve">трансплантата. Ученые погружали печень </w:t>
      </w:r>
      <w:r w:rsidRPr="00170B7C">
        <w:rPr>
          <w:color w:val="000000"/>
          <w:sz w:val="28"/>
          <w:szCs w:val="28"/>
        </w:rPr>
        <w:t xml:space="preserve">крысы в раствор </w:t>
      </w:r>
      <w:r w:rsidR="0059491B">
        <w:rPr>
          <w:color w:val="000000"/>
          <w:sz w:val="28"/>
          <w:szCs w:val="28"/>
        </w:rPr>
        <w:t>UW</w:t>
      </w:r>
      <w:r w:rsidRPr="00170B7C">
        <w:rPr>
          <w:color w:val="000000"/>
          <w:sz w:val="28"/>
          <w:szCs w:val="28"/>
        </w:rPr>
        <w:t xml:space="preserve"> и приписывали потерю веса </w:t>
      </w:r>
      <w:r w:rsidRPr="00170B7C">
        <w:rPr>
          <w:sz w:val="28"/>
          <w:szCs w:val="28"/>
        </w:rPr>
        <w:t>обезвоживанию, вызванному высоко осмотическим раствором консерва</w:t>
      </w:r>
      <w:r w:rsidR="003D15A9">
        <w:rPr>
          <w:sz w:val="28"/>
          <w:szCs w:val="28"/>
        </w:rPr>
        <w:t xml:space="preserve">нта, позже </w:t>
      </w:r>
      <w:r w:rsidR="00A418E6">
        <w:rPr>
          <w:sz w:val="28"/>
          <w:szCs w:val="28"/>
        </w:rPr>
        <w:t>Kayashima H. и соавт.</w:t>
      </w:r>
      <w:r w:rsidR="00A418E6" w:rsidRPr="003D15A9">
        <w:rPr>
          <w:sz w:val="28"/>
          <w:szCs w:val="28"/>
        </w:rPr>
        <w:t>;</w:t>
      </w:r>
      <w:r w:rsidR="00A418E6" w:rsidRPr="00A418E6">
        <w:rPr>
          <w:sz w:val="28"/>
          <w:szCs w:val="28"/>
        </w:rPr>
        <w:t xml:space="preserve"> </w:t>
      </w:r>
      <w:r w:rsidR="00A418E6" w:rsidRPr="00170B7C">
        <w:rPr>
          <w:sz w:val="28"/>
          <w:szCs w:val="28"/>
        </w:rPr>
        <w:t xml:space="preserve">Hiroshige S. и соавт. сообщили, </w:t>
      </w:r>
      <w:r w:rsidR="00A418E6" w:rsidRPr="00170B7C">
        <w:rPr>
          <w:color w:val="000000"/>
          <w:sz w:val="28"/>
          <w:szCs w:val="28"/>
        </w:rPr>
        <w:t>что объем трансплантата уменьшается в зависимости от времени, с уменьшением примерно на 4% за 15 мин после начала промывки раствором Университета Висконсина (UW). Вероятность того, что объем трансплантата может показать незначительную усадку после промывки раствором UW нельзя исключить.</w:t>
      </w:r>
      <w:r w:rsidR="00A418E6" w:rsidRPr="00A418E6">
        <w:rPr>
          <w:color w:val="000000"/>
          <w:sz w:val="28"/>
          <w:szCs w:val="28"/>
        </w:rPr>
        <w:t xml:space="preserve"> </w:t>
      </w:r>
      <w:r w:rsidR="002F06C6" w:rsidRPr="00170B7C">
        <w:rPr>
          <w:sz w:val="28"/>
          <w:szCs w:val="28"/>
        </w:rPr>
        <w:t>Муссин Н. и соавт.</w:t>
      </w:r>
      <w:r w:rsidR="006C2883">
        <w:rPr>
          <w:sz w:val="28"/>
          <w:szCs w:val="28"/>
        </w:rPr>
        <w:t xml:space="preserve"> </w:t>
      </w:r>
      <w:r w:rsidRPr="00170B7C">
        <w:rPr>
          <w:sz w:val="28"/>
          <w:szCs w:val="28"/>
        </w:rPr>
        <w:t xml:space="preserve">отметили, что в отличие от предыдущих исследований, в которых использовали раствор UW, </w:t>
      </w:r>
      <w:r w:rsidR="00A418E6" w:rsidRPr="00A418E6">
        <w:rPr>
          <w:sz w:val="28"/>
          <w:szCs w:val="28"/>
        </w:rPr>
        <w:t>п</w:t>
      </w:r>
      <w:r w:rsidR="00A418E6">
        <w:rPr>
          <w:sz w:val="28"/>
          <w:szCs w:val="28"/>
        </w:rPr>
        <w:t>рименение</w:t>
      </w:r>
      <w:r w:rsidRPr="00170B7C">
        <w:rPr>
          <w:sz w:val="28"/>
          <w:szCs w:val="28"/>
        </w:rPr>
        <w:t xml:space="preserve"> раствор</w:t>
      </w:r>
      <w:r w:rsidR="00A418E6">
        <w:rPr>
          <w:sz w:val="28"/>
          <w:szCs w:val="28"/>
        </w:rPr>
        <w:t>а</w:t>
      </w:r>
      <w:r w:rsidRPr="00170B7C">
        <w:rPr>
          <w:sz w:val="28"/>
          <w:szCs w:val="28"/>
        </w:rPr>
        <w:t xml:space="preserve"> гистидина-триптофана-кетоглутарета (Кустадиол</w:t>
      </w:r>
      <w:r w:rsidRPr="00170B7C">
        <w:rPr>
          <w:color w:val="000000"/>
          <w:sz w:val="28"/>
          <w:szCs w:val="28"/>
        </w:rPr>
        <w:t xml:space="preserve">) в качестве раствора для перфузии органов во время промывания, </w:t>
      </w:r>
      <w:r w:rsidR="00A418E6">
        <w:rPr>
          <w:color w:val="000000"/>
          <w:sz w:val="28"/>
          <w:szCs w:val="28"/>
        </w:rPr>
        <w:t>предотвращает</w:t>
      </w:r>
      <w:r w:rsidRPr="00170B7C">
        <w:rPr>
          <w:color w:val="000000"/>
          <w:sz w:val="28"/>
          <w:szCs w:val="28"/>
        </w:rPr>
        <w:t xml:space="preserve"> дегидратацию тканей. Кустодиол имеет более низкую осмолярность (310 мОсм/л против 320 мОсм/л), более низкое содержание натрия и калия, чем раствор UW.  </w:t>
      </w:r>
    </w:p>
    <w:p w14:paraId="611A9139" w14:textId="27995BCB" w:rsidR="005E4D06" w:rsidRDefault="00A304E7"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rFonts w:eastAsia="Gungsuh"/>
          <w:color w:val="000000"/>
          <w:sz w:val="28"/>
          <w:szCs w:val="28"/>
        </w:rPr>
        <w:t>Ряд авторов предполагают, что применение закона Архимеда в сравнении </w:t>
      </w:r>
      <w:r>
        <w:rPr>
          <w:rFonts w:eastAsia="Gungsuh"/>
          <w:color w:val="000000"/>
          <w:sz w:val="28"/>
          <w:szCs w:val="28"/>
        </w:rPr>
        <w:t xml:space="preserve">плотности </w:t>
      </w:r>
      <w:r w:rsidRPr="00170B7C">
        <w:rPr>
          <w:rFonts w:eastAsia="Gungsuh"/>
          <w:color w:val="000000"/>
          <w:sz w:val="28"/>
          <w:szCs w:val="28"/>
        </w:rPr>
        <w:t>печень</w:t>
      </w:r>
      <w:r w:rsidR="001E2073">
        <w:rPr>
          <w:rFonts w:eastAsia="Gungsuh"/>
          <w:color w:val="000000"/>
          <w:sz w:val="28"/>
          <w:szCs w:val="28"/>
        </w:rPr>
        <w:t xml:space="preserve"> </w:t>
      </w:r>
      <w:r w:rsidRPr="00170B7C">
        <w:rPr>
          <w:rFonts w:eastAsia="Gungsuh"/>
          <w:color w:val="000000"/>
          <w:sz w:val="28"/>
          <w:szCs w:val="28"/>
        </w:rPr>
        <w:t>-</w:t>
      </w:r>
      <w:r w:rsidR="001E2073">
        <w:rPr>
          <w:rFonts w:eastAsia="Gungsuh"/>
          <w:color w:val="000000"/>
          <w:sz w:val="28"/>
          <w:szCs w:val="28"/>
        </w:rPr>
        <w:t xml:space="preserve"> </w:t>
      </w:r>
      <w:r w:rsidRPr="00E73B44">
        <w:rPr>
          <w:rFonts w:eastAsia="Gungsuh"/>
          <w:color w:val="000000"/>
          <w:sz w:val="28"/>
          <w:szCs w:val="28"/>
        </w:rPr>
        <w:t xml:space="preserve">вода имеющие одинаковую плотность неверно и этот факт послужил причиной необъективной оценки массы трансплантата. </w:t>
      </w:r>
      <w:r w:rsidR="00274D3C" w:rsidRPr="00E73B44">
        <w:rPr>
          <w:color w:val="000000"/>
          <w:sz w:val="28"/>
          <w:szCs w:val="28"/>
        </w:rPr>
        <w:t xml:space="preserve">В предыдущих исследованиях авторы обсуждали, что плотность печени будет </w:t>
      </w:r>
      <w:r w:rsidR="00274D3C" w:rsidRPr="00E73B44">
        <w:rPr>
          <w:sz w:val="28"/>
          <w:szCs w:val="28"/>
        </w:rPr>
        <w:t>отличаться от 1,0 г</w:t>
      </w:r>
      <w:r w:rsidR="009471B9">
        <w:rPr>
          <w:sz w:val="28"/>
          <w:szCs w:val="28"/>
        </w:rPr>
        <w:t>р</w:t>
      </w:r>
      <w:r w:rsidR="006C2883">
        <w:rPr>
          <w:sz w:val="28"/>
          <w:szCs w:val="28"/>
        </w:rPr>
        <w:t xml:space="preserve">/мл. Florian H. и соавт. </w:t>
      </w:r>
      <w:r w:rsidR="00274D3C" w:rsidRPr="00E73B44">
        <w:rPr>
          <w:sz w:val="28"/>
          <w:szCs w:val="28"/>
        </w:rPr>
        <w:t xml:space="preserve">изучали изменение </w:t>
      </w:r>
      <w:r w:rsidR="00274D3C" w:rsidRPr="00E73B44">
        <w:rPr>
          <w:color w:val="000000"/>
          <w:sz w:val="28"/>
          <w:szCs w:val="28"/>
        </w:rPr>
        <w:t>плотности здоровой печени и у печени с фиброзом с последующим развитием цирроза</w:t>
      </w:r>
      <w:r w:rsidR="00274D3C" w:rsidRPr="00E73B44">
        <w:rPr>
          <w:sz w:val="28"/>
          <w:szCs w:val="28"/>
        </w:rPr>
        <w:t xml:space="preserve">. В своем </w:t>
      </w:r>
      <w:r w:rsidR="00274D3C" w:rsidRPr="00E73B44">
        <w:rPr>
          <w:color w:val="000000"/>
          <w:sz w:val="28"/>
          <w:szCs w:val="28"/>
        </w:rPr>
        <w:t xml:space="preserve">исследовании </w:t>
      </w:r>
      <w:r w:rsidR="00A418E6" w:rsidRPr="00E73B44">
        <w:rPr>
          <w:color w:val="000000"/>
          <w:sz w:val="28"/>
          <w:szCs w:val="28"/>
        </w:rPr>
        <w:t>авторы изучили,</w:t>
      </w:r>
      <w:r w:rsidR="00274D3C" w:rsidRPr="00E73B44">
        <w:rPr>
          <w:color w:val="000000"/>
          <w:sz w:val="28"/>
          <w:szCs w:val="28"/>
        </w:rPr>
        <w:t xml:space="preserve"> что после процедуры back</w:t>
      </w:r>
      <w:r w:rsidR="00967B90">
        <w:rPr>
          <w:color w:val="000000"/>
          <w:sz w:val="28"/>
          <w:szCs w:val="28"/>
        </w:rPr>
        <w:t xml:space="preserve"> </w:t>
      </w:r>
      <w:r w:rsidR="00274D3C" w:rsidRPr="00E73B44">
        <w:rPr>
          <w:color w:val="000000"/>
          <w:sz w:val="28"/>
          <w:szCs w:val="28"/>
        </w:rPr>
        <w:t xml:space="preserve"> table вес печени снижается до 10%, плотность печени при циррозе находится</w:t>
      </w:r>
      <w:r w:rsidR="00274D3C" w:rsidRPr="00170B7C">
        <w:rPr>
          <w:color w:val="000000"/>
          <w:sz w:val="28"/>
          <w:szCs w:val="28"/>
        </w:rPr>
        <w:t xml:space="preserve"> в том же диапазоне </w:t>
      </w:r>
      <w:r w:rsidR="00274D3C" w:rsidRPr="00170B7C">
        <w:rPr>
          <w:color w:val="000000"/>
          <w:sz w:val="28"/>
          <w:szCs w:val="28"/>
        </w:rPr>
        <w:lastRenderedPageBreak/>
        <w:t xml:space="preserve">1:1, демонстрируя, однако, значительно более низкие значения у </w:t>
      </w:r>
      <w:r w:rsidR="00967B90">
        <w:rPr>
          <w:color w:val="000000"/>
          <w:sz w:val="28"/>
          <w:szCs w:val="28"/>
        </w:rPr>
        <w:t>реципиентов</w:t>
      </w:r>
      <w:r w:rsidR="00274D3C" w:rsidRPr="00170B7C">
        <w:rPr>
          <w:color w:val="000000"/>
          <w:sz w:val="28"/>
          <w:szCs w:val="28"/>
        </w:rPr>
        <w:t xml:space="preserve"> без цирроза печени 1:0,85. </w:t>
      </w:r>
    </w:p>
    <w:p w14:paraId="5342292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Эта разница может увеличиться, если у </w:t>
      </w:r>
      <w:r w:rsidR="00967B90">
        <w:rPr>
          <w:color w:val="000000"/>
          <w:sz w:val="28"/>
          <w:szCs w:val="28"/>
        </w:rPr>
        <w:t>донора</w:t>
      </w:r>
      <w:r w:rsidRPr="00170B7C">
        <w:rPr>
          <w:color w:val="000000"/>
          <w:sz w:val="28"/>
          <w:szCs w:val="28"/>
        </w:rPr>
        <w:t xml:space="preserve"> развился стеатоз печени, что в свою очередь влияет на несоответствие между удельным весом различных клеточных и тканевых компонентов печени</w:t>
      </w:r>
      <w:r w:rsidR="002F4873">
        <w:rPr>
          <w:color w:val="000000"/>
          <w:sz w:val="28"/>
          <w:szCs w:val="28"/>
        </w:rPr>
        <w:t xml:space="preserve">, что </w:t>
      </w:r>
      <w:r w:rsidRPr="00170B7C">
        <w:rPr>
          <w:color w:val="000000"/>
          <w:sz w:val="28"/>
          <w:szCs w:val="28"/>
        </w:rPr>
        <w:t>колебл</w:t>
      </w:r>
      <w:r w:rsidR="002F4873">
        <w:rPr>
          <w:color w:val="000000"/>
          <w:sz w:val="28"/>
          <w:szCs w:val="28"/>
        </w:rPr>
        <w:t>я</w:t>
      </w:r>
      <w:r w:rsidRPr="00170B7C">
        <w:rPr>
          <w:color w:val="000000"/>
          <w:sz w:val="28"/>
          <w:szCs w:val="28"/>
        </w:rPr>
        <w:t>тся от 0,9 г</w:t>
      </w:r>
      <w:r w:rsidR="009471B9">
        <w:rPr>
          <w:color w:val="000000"/>
          <w:sz w:val="28"/>
          <w:szCs w:val="28"/>
        </w:rPr>
        <w:t>р</w:t>
      </w:r>
      <w:r w:rsidRPr="00170B7C">
        <w:rPr>
          <w:color w:val="000000"/>
          <w:sz w:val="28"/>
          <w:szCs w:val="28"/>
        </w:rPr>
        <w:t>/мл (жир) до 1,10 г</w:t>
      </w:r>
      <w:r w:rsidR="009471B9">
        <w:rPr>
          <w:color w:val="000000"/>
          <w:sz w:val="28"/>
          <w:szCs w:val="28"/>
        </w:rPr>
        <w:t>р</w:t>
      </w:r>
      <w:r w:rsidRPr="00170B7C">
        <w:rPr>
          <w:color w:val="000000"/>
          <w:sz w:val="28"/>
          <w:szCs w:val="28"/>
        </w:rPr>
        <w:t>/мл (гепатоциты). Удельный вес значительно &lt;1,0 г</w:t>
      </w:r>
      <w:r w:rsidR="009471B9">
        <w:rPr>
          <w:color w:val="000000"/>
          <w:sz w:val="28"/>
          <w:szCs w:val="28"/>
        </w:rPr>
        <w:t>р</w:t>
      </w:r>
      <w:r w:rsidRPr="00170B7C">
        <w:rPr>
          <w:color w:val="000000"/>
          <w:sz w:val="28"/>
          <w:szCs w:val="28"/>
        </w:rPr>
        <w:t>/мл можно объяснить только выраженным стеатозом печени. </w:t>
      </w:r>
    </w:p>
    <w:p w14:paraId="2C3170CC" w14:textId="77777777" w:rsidR="002F4873" w:rsidRDefault="00B609C3"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sz w:val="28"/>
          <w:szCs w:val="28"/>
        </w:rPr>
        <w:t xml:space="preserve">Некоторые авторы </w:t>
      </w:r>
      <w:r w:rsidR="00274D3C" w:rsidRPr="00170B7C">
        <w:rPr>
          <w:sz w:val="28"/>
          <w:szCs w:val="28"/>
        </w:rPr>
        <w:t xml:space="preserve">в своем </w:t>
      </w:r>
      <w:r w:rsidR="00274D3C" w:rsidRPr="00170B7C">
        <w:rPr>
          <w:color w:val="000000"/>
          <w:sz w:val="28"/>
          <w:szCs w:val="28"/>
        </w:rPr>
        <w:t>исследовании приняли плотность печени 1,08 г</w:t>
      </w:r>
      <w:r w:rsidR="009471B9">
        <w:rPr>
          <w:color w:val="000000"/>
          <w:sz w:val="28"/>
          <w:szCs w:val="28"/>
        </w:rPr>
        <w:t>р</w:t>
      </w:r>
      <w:r w:rsidR="00274D3C" w:rsidRPr="00170B7C">
        <w:rPr>
          <w:color w:val="000000"/>
          <w:sz w:val="28"/>
          <w:szCs w:val="28"/>
        </w:rPr>
        <w:t>/см</w:t>
      </w:r>
      <w:r w:rsidR="00274D3C" w:rsidRPr="00C60723">
        <w:rPr>
          <w:color w:val="000000"/>
          <w:sz w:val="28"/>
          <w:szCs w:val="28"/>
          <w:vertAlign w:val="superscript"/>
        </w:rPr>
        <w:t>3</w:t>
      </w:r>
      <w:r w:rsidR="00274D3C" w:rsidRPr="00170B7C">
        <w:rPr>
          <w:color w:val="000000"/>
          <w:sz w:val="28"/>
          <w:szCs w:val="28"/>
        </w:rPr>
        <w:t>, ​также определили плотность трансплантата печени как 1,1172 г</w:t>
      </w:r>
      <w:r w:rsidR="009471B9">
        <w:rPr>
          <w:color w:val="000000"/>
          <w:sz w:val="28"/>
          <w:szCs w:val="28"/>
        </w:rPr>
        <w:t>р</w:t>
      </w:r>
      <w:r w:rsidR="00274D3C" w:rsidRPr="00170B7C">
        <w:rPr>
          <w:color w:val="000000"/>
          <w:sz w:val="28"/>
          <w:szCs w:val="28"/>
        </w:rPr>
        <w:t>/см</w:t>
      </w:r>
      <w:r w:rsidR="00274D3C" w:rsidRPr="00C60723">
        <w:rPr>
          <w:color w:val="000000"/>
          <w:sz w:val="28"/>
          <w:szCs w:val="28"/>
          <w:vertAlign w:val="superscript"/>
        </w:rPr>
        <w:t>3</w:t>
      </w:r>
      <w:r w:rsidR="00274D3C" w:rsidRPr="00170B7C">
        <w:rPr>
          <w:color w:val="000000"/>
          <w:sz w:val="28"/>
          <w:szCs w:val="28"/>
        </w:rPr>
        <w:t xml:space="preserve"> (диапазон 1,00–1,33 г</w:t>
      </w:r>
      <w:r w:rsidR="009471B9">
        <w:rPr>
          <w:color w:val="000000"/>
          <w:sz w:val="28"/>
          <w:szCs w:val="28"/>
        </w:rPr>
        <w:t>р</w:t>
      </w:r>
      <w:r w:rsidR="00274D3C" w:rsidRPr="00170B7C">
        <w:rPr>
          <w:color w:val="000000"/>
          <w:sz w:val="28"/>
          <w:szCs w:val="28"/>
        </w:rPr>
        <w:t>/см</w:t>
      </w:r>
      <w:r w:rsidR="00274D3C" w:rsidRPr="00C60723">
        <w:rPr>
          <w:color w:val="000000"/>
          <w:sz w:val="28"/>
          <w:szCs w:val="28"/>
          <w:vertAlign w:val="superscript"/>
        </w:rPr>
        <w:t>3</w:t>
      </w:r>
      <w:r w:rsidR="00274D3C" w:rsidRPr="00170B7C">
        <w:rPr>
          <w:color w:val="000000"/>
          <w:sz w:val="28"/>
          <w:szCs w:val="28"/>
        </w:rPr>
        <w:t xml:space="preserve">). На это последнее значение может повлиять дегидратация трансплантата, поскольку авторы измеряли массу и объем трансплантата после того, как он был перфузирован раствором консерванта. </w:t>
      </w:r>
    </w:p>
    <w:p w14:paraId="7FC0FB5A" w14:textId="26BF5F92" w:rsidR="00C700B8" w:rsidRPr="002F4873" w:rsidRDefault="002F4873" w:rsidP="002F4873">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Pr>
          <w:color w:val="000000"/>
          <w:sz w:val="28"/>
          <w:szCs w:val="28"/>
        </w:rPr>
        <w:t>П</w:t>
      </w:r>
      <w:r w:rsidR="00274D3C" w:rsidRPr="00170B7C">
        <w:rPr>
          <w:color w:val="000000"/>
          <w:sz w:val="28"/>
          <w:szCs w:val="28"/>
        </w:rPr>
        <w:t xml:space="preserve">о данным </w:t>
      </w:r>
      <w:r>
        <w:rPr>
          <w:color w:val="000000"/>
          <w:sz w:val="28"/>
          <w:szCs w:val="28"/>
        </w:rPr>
        <w:t xml:space="preserve">исследования </w:t>
      </w:r>
      <w:r w:rsidRPr="00D32828">
        <w:rPr>
          <w:sz w:val="28"/>
          <w:szCs w:val="28"/>
          <w:lang w:val="en-US"/>
        </w:rPr>
        <w:t>Sonnemans</w:t>
      </w:r>
      <w:r w:rsidRPr="002F4873">
        <w:rPr>
          <w:sz w:val="28"/>
          <w:szCs w:val="28"/>
        </w:rPr>
        <w:t xml:space="preserve"> </w:t>
      </w:r>
      <w:r w:rsidRPr="00D32828">
        <w:rPr>
          <w:sz w:val="28"/>
          <w:szCs w:val="28"/>
          <w:lang w:val="en-US"/>
        </w:rPr>
        <w:t>L</w:t>
      </w:r>
      <w:r>
        <w:rPr>
          <w:sz w:val="28"/>
          <w:szCs w:val="28"/>
        </w:rPr>
        <w:t>. И соавт.</w:t>
      </w:r>
      <w:r w:rsidR="00274D3C" w:rsidRPr="00170B7C">
        <w:rPr>
          <w:color w:val="000000"/>
          <w:sz w:val="28"/>
          <w:szCs w:val="28"/>
        </w:rPr>
        <w:t>, плотность печени может быть меньше или больше 1 г</w:t>
      </w:r>
      <w:r w:rsidR="009471B9">
        <w:rPr>
          <w:color w:val="000000"/>
          <w:sz w:val="28"/>
          <w:szCs w:val="28"/>
        </w:rPr>
        <w:t>р</w:t>
      </w:r>
      <w:r w:rsidR="00274D3C" w:rsidRPr="00170B7C">
        <w:rPr>
          <w:color w:val="000000"/>
          <w:sz w:val="28"/>
          <w:szCs w:val="28"/>
        </w:rPr>
        <w:t>/мл</w:t>
      </w:r>
      <w:r w:rsidR="00274D3C" w:rsidRPr="00170B7C">
        <w:rPr>
          <w:rFonts w:eastAsia="Calibri"/>
          <w:color w:val="000000"/>
          <w:sz w:val="28"/>
          <w:szCs w:val="28"/>
        </w:rPr>
        <w:t>​</w:t>
      </w:r>
      <w:r w:rsidR="00274D3C" w:rsidRPr="00170B7C">
        <w:rPr>
          <w:color w:val="000000"/>
          <w:sz w:val="28"/>
          <w:szCs w:val="28"/>
        </w:rPr>
        <w:t>, объем печени рассчитыва</w:t>
      </w:r>
      <w:r>
        <w:rPr>
          <w:color w:val="000000"/>
          <w:sz w:val="28"/>
          <w:szCs w:val="28"/>
        </w:rPr>
        <w:t>ется</w:t>
      </w:r>
      <w:r w:rsidR="00274D3C" w:rsidRPr="00170B7C">
        <w:rPr>
          <w:color w:val="000000"/>
          <w:sz w:val="28"/>
          <w:szCs w:val="28"/>
        </w:rPr>
        <w:t xml:space="preserve"> до пересадки и сравнива</w:t>
      </w:r>
      <w:r>
        <w:rPr>
          <w:color w:val="000000"/>
          <w:sz w:val="28"/>
          <w:szCs w:val="28"/>
        </w:rPr>
        <w:t>ется</w:t>
      </w:r>
      <w:r w:rsidR="00274D3C" w:rsidRPr="00170B7C">
        <w:rPr>
          <w:color w:val="000000"/>
          <w:sz w:val="28"/>
          <w:szCs w:val="28"/>
        </w:rPr>
        <w:t xml:space="preserve"> с интраоперационными данными</w:t>
      </w:r>
      <w:r>
        <w:rPr>
          <w:color w:val="000000"/>
          <w:sz w:val="28"/>
          <w:szCs w:val="28"/>
        </w:rPr>
        <w:t xml:space="preserve">. </w:t>
      </w:r>
      <w:r w:rsidR="00274D3C" w:rsidRPr="00170B7C">
        <w:rPr>
          <w:color w:val="000000"/>
          <w:sz w:val="28"/>
          <w:szCs w:val="28"/>
        </w:rPr>
        <w:t xml:space="preserve">КТ-волюметрия показала хорошие результаты, среднее стандартное отклонение </w:t>
      </w:r>
      <w:r>
        <w:rPr>
          <w:color w:val="000000"/>
          <w:sz w:val="28"/>
          <w:szCs w:val="28"/>
        </w:rPr>
        <w:t xml:space="preserve">объема печени от веса трансплантата </w:t>
      </w:r>
      <w:r w:rsidR="00274D3C" w:rsidRPr="00170B7C">
        <w:rPr>
          <w:color w:val="000000"/>
          <w:sz w:val="28"/>
          <w:szCs w:val="28"/>
        </w:rPr>
        <w:t>составило 157 гр</w:t>
      </w:r>
      <w:r>
        <w:rPr>
          <w:color w:val="000000"/>
          <w:sz w:val="28"/>
          <w:szCs w:val="28"/>
        </w:rPr>
        <w:t xml:space="preserve"> из расчета </w:t>
      </w:r>
      <w:r w:rsidR="00274D3C" w:rsidRPr="00170B7C">
        <w:rPr>
          <w:color w:val="000000"/>
          <w:sz w:val="28"/>
          <w:szCs w:val="28"/>
        </w:rPr>
        <w:t>плотности печени 0,99 гр/мл</w:t>
      </w:r>
      <w:r w:rsidR="00B4520B" w:rsidRPr="00170B7C">
        <w:rPr>
          <w:sz w:val="28"/>
          <w:szCs w:val="28"/>
        </w:rPr>
        <w:t>.</w:t>
      </w:r>
    </w:p>
    <w:p w14:paraId="2977A335" w14:textId="32B048D0"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rFonts w:eastAsia="Gungsuh"/>
          <w:color w:val="000000"/>
          <w:sz w:val="28"/>
          <w:szCs w:val="28"/>
        </w:rPr>
        <w:t xml:space="preserve">Так, некоторые авторы предлагают формулы преобразования объема </w:t>
      </w:r>
      <w:r w:rsidR="00A304E7">
        <w:rPr>
          <w:rFonts w:eastAsia="Gungsuh"/>
          <w:color w:val="000000"/>
          <w:sz w:val="28"/>
          <w:szCs w:val="28"/>
        </w:rPr>
        <w:t xml:space="preserve">печени </w:t>
      </w:r>
      <w:r w:rsidRPr="00170B7C">
        <w:rPr>
          <w:rFonts w:eastAsia="Gungsuh"/>
          <w:color w:val="000000"/>
          <w:sz w:val="28"/>
          <w:szCs w:val="28"/>
        </w:rPr>
        <w:t xml:space="preserve">в массу. Формулы преобразования объема в вес, использовавшиеся в предыдущих исследованиях, не надежны, поскольку они были получены из небольших исследуемых популяций (т.е. ≤16 </w:t>
      </w:r>
      <w:r w:rsidR="00967B90">
        <w:rPr>
          <w:rFonts w:eastAsia="Gungsuh"/>
          <w:color w:val="000000"/>
          <w:sz w:val="28"/>
          <w:szCs w:val="28"/>
        </w:rPr>
        <w:t>доноров</w:t>
      </w:r>
      <w:r w:rsidRPr="00170B7C">
        <w:rPr>
          <w:rFonts w:eastAsia="Gungsuh"/>
          <w:color w:val="000000"/>
          <w:sz w:val="28"/>
          <w:szCs w:val="28"/>
        </w:rPr>
        <w:t xml:space="preserve">). Более того, предыдущие </w:t>
      </w:r>
      <w:r w:rsidRPr="00E73B44">
        <w:rPr>
          <w:rFonts w:eastAsia="Gungsuh"/>
          <w:color w:val="000000"/>
          <w:sz w:val="28"/>
          <w:szCs w:val="28"/>
        </w:rPr>
        <w:t xml:space="preserve">исследования определяли корреляцию между КТ-волюметрией и фактическим весом трансплантата, но не оценивали погрешность измерения КТ-волюметрии и трансплантата, что важно для прогнозирования диапазона </w:t>
      </w:r>
      <w:r w:rsidR="00A304E7" w:rsidRPr="00E73B44">
        <w:rPr>
          <w:rFonts w:eastAsia="Gungsuh"/>
          <w:color w:val="000000"/>
          <w:sz w:val="28"/>
          <w:szCs w:val="28"/>
        </w:rPr>
        <w:t>ошибки расчета</w:t>
      </w:r>
      <w:r w:rsidRPr="00E73B44">
        <w:rPr>
          <w:rFonts w:eastAsia="Gungsuh"/>
          <w:color w:val="000000"/>
          <w:sz w:val="28"/>
          <w:szCs w:val="28"/>
        </w:rPr>
        <w:t>.  </w:t>
      </w:r>
      <w:r w:rsidRPr="00E73B44">
        <w:rPr>
          <w:sz w:val="28"/>
          <w:szCs w:val="28"/>
        </w:rPr>
        <w:t>Rohee P. и  соавт.</w:t>
      </w:r>
      <w:r w:rsidR="006C2883">
        <w:rPr>
          <w:sz w:val="28"/>
          <w:szCs w:val="28"/>
        </w:rPr>
        <w:t xml:space="preserve"> </w:t>
      </w:r>
      <w:r w:rsidRPr="00E73B44">
        <w:rPr>
          <w:sz w:val="28"/>
          <w:szCs w:val="28"/>
        </w:rPr>
        <w:t>преобразуют</w:t>
      </w:r>
      <w:r w:rsidRPr="00170B7C">
        <w:rPr>
          <w:sz w:val="28"/>
          <w:szCs w:val="28"/>
        </w:rPr>
        <w:t xml:space="preserve"> массу графта в объем для </w:t>
      </w:r>
      <w:r w:rsidRPr="00170B7C">
        <w:rPr>
          <w:color w:val="000000"/>
          <w:sz w:val="28"/>
          <w:szCs w:val="28"/>
        </w:rPr>
        <w:t>получения более точных результатов с помощью специальной формулы (рассчитанный объем печени (г) = 206.3 + 0.653 × рассчитанный объем печени (мл)).  Сравнение массы и объема графта не показывало статически значимых различий и демонстрирует высокий коэффициент корреляции (ICC=0,834). </w:t>
      </w:r>
    </w:p>
    <w:p w14:paraId="6DBCF74D" w14:textId="682AE4C8" w:rsidR="00C700B8" w:rsidRPr="00C5654B"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C5654B">
        <w:rPr>
          <w:color w:val="000000"/>
          <w:sz w:val="28"/>
          <w:szCs w:val="28"/>
        </w:rPr>
        <w:t xml:space="preserve">Некоторые авторы также предлагают формулы для расчета веса графта: </w:t>
      </w:r>
      <w:r w:rsidRPr="00C5654B">
        <w:rPr>
          <w:sz w:val="28"/>
          <w:szCs w:val="28"/>
        </w:rPr>
        <w:t xml:space="preserve">Zakareya Т. и соавт. нашли формулу </w:t>
      </w:r>
      <w:r w:rsidRPr="00C5654B">
        <w:rPr>
          <w:color w:val="000000"/>
          <w:sz w:val="28"/>
          <w:szCs w:val="28"/>
        </w:rPr>
        <w:t>вес графта (г</w:t>
      </w:r>
      <w:r w:rsidR="009471B9">
        <w:rPr>
          <w:color w:val="000000"/>
          <w:sz w:val="28"/>
          <w:szCs w:val="28"/>
        </w:rPr>
        <w:t>р</w:t>
      </w:r>
      <w:r w:rsidRPr="00C5654B">
        <w:rPr>
          <w:color w:val="000000"/>
          <w:sz w:val="28"/>
          <w:szCs w:val="28"/>
        </w:rPr>
        <w:t>) = 0,92 x рассчитанный объем печени (мл) + 51,48 (r</w:t>
      </w:r>
      <w:r w:rsidRPr="009471B9">
        <w:rPr>
          <w:color w:val="000000"/>
          <w:sz w:val="28"/>
          <w:szCs w:val="28"/>
          <w:vertAlign w:val="superscript"/>
        </w:rPr>
        <w:t>2</w:t>
      </w:r>
      <w:r w:rsidRPr="00C5654B">
        <w:rPr>
          <w:color w:val="000000"/>
          <w:sz w:val="28"/>
          <w:szCs w:val="28"/>
        </w:rPr>
        <w:t xml:space="preserve"> = 0,651, p &lt;0,001)</w:t>
      </w:r>
      <w:r w:rsidR="00A304E7" w:rsidRPr="00C5654B">
        <w:rPr>
          <w:color w:val="000000"/>
          <w:sz w:val="28"/>
          <w:szCs w:val="28"/>
        </w:rPr>
        <w:t>.</w:t>
      </w:r>
      <w:r w:rsidRPr="00C5654B">
        <w:rPr>
          <w:color w:val="000000"/>
          <w:sz w:val="28"/>
          <w:szCs w:val="28"/>
        </w:rPr>
        <w:t xml:space="preserve"> </w:t>
      </w:r>
      <w:r w:rsidR="00A304E7" w:rsidRPr="00C5654B">
        <w:rPr>
          <w:color w:val="000000"/>
          <w:sz w:val="28"/>
          <w:szCs w:val="28"/>
        </w:rPr>
        <w:t>В</w:t>
      </w:r>
      <w:r w:rsidRPr="00C5654B">
        <w:rPr>
          <w:color w:val="000000"/>
          <w:sz w:val="28"/>
          <w:szCs w:val="28"/>
        </w:rPr>
        <w:t xml:space="preserve"> своем </w:t>
      </w:r>
      <w:r w:rsidRPr="00C5654B">
        <w:rPr>
          <w:sz w:val="28"/>
          <w:szCs w:val="28"/>
        </w:rPr>
        <w:t>исследовании. Sa L. и соавт. ​нашли аналогичную формулу - вес графта (г</w:t>
      </w:r>
      <w:r w:rsidR="009471B9">
        <w:rPr>
          <w:sz w:val="28"/>
          <w:szCs w:val="28"/>
        </w:rPr>
        <w:t>р</w:t>
      </w:r>
      <w:r w:rsidRPr="00C5654B">
        <w:rPr>
          <w:sz w:val="28"/>
          <w:szCs w:val="28"/>
        </w:rPr>
        <w:t xml:space="preserve">) = 0,86 x </w:t>
      </w:r>
      <w:r w:rsidRPr="00C5654B">
        <w:rPr>
          <w:color w:val="000000"/>
          <w:sz w:val="28"/>
          <w:szCs w:val="28"/>
        </w:rPr>
        <w:t>рассчитанный объем печени (мл) + 72,5 (r</w:t>
      </w:r>
      <w:r w:rsidRPr="009471B9">
        <w:rPr>
          <w:color w:val="000000"/>
          <w:sz w:val="28"/>
          <w:szCs w:val="28"/>
          <w:vertAlign w:val="superscript"/>
        </w:rPr>
        <w:t>2</w:t>
      </w:r>
      <w:r w:rsidRPr="00C5654B">
        <w:rPr>
          <w:color w:val="000000"/>
          <w:sz w:val="28"/>
          <w:szCs w:val="28"/>
        </w:rPr>
        <w:t xml:space="preserve"> = 0,9, p &lt;0,001). В исследовании, </w:t>
      </w:r>
      <w:r w:rsidRPr="00C5654B">
        <w:rPr>
          <w:sz w:val="28"/>
          <w:szCs w:val="28"/>
        </w:rPr>
        <w:t>проведенном Kim S.  и соавт. средняя фактическая масса трансплантата состави</w:t>
      </w:r>
      <w:r w:rsidRPr="00C5654B">
        <w:rPr>
          <w:color w:val="000000"/>
          <w:sz w:val="28"/>
          <w:szCs w:val="28"/>
        </w:rPr>
        <w:t>ла 717,8±110,4 г, была получена формула</w:t>
      </w:r>
      <w:r w:rsidR="00A304E7" w:rsidRPr="00C5654B">
        <w:rPr>
          <w:color w:val="000000"/>
          <w:sz w:val="28"/>
          <w:szCs w:val="28"/>
        </w:rPr>
        <w:t>:</w:t>
      </w:r>
      <w:r w:rsidRPr="00C5654B">
        <w:rPr>
          <w:color w:val="000000"/>
          <w:sz w:val="28"/>
          <w:szCs w:val="28"/>
        </w:rPr>
        <w:t xml:space="preserve"> вес графта (г</w:t>
      </w:r>
      <w:r w:rsidR="009471B9">
        <w:rPr>
          <w:color w:val="000000"/>
          <w:sz w:val="28"/>
          <w:szCs w:val="28"/>
        </w:rPr>
        <w:t>р</w:t>
      </w:r>
      <w:r w:rsidRPr="00C5654B">
        <w:rPr>
          <w:color w:val="000000"/>
          <w:sz w:val="28"/>
          <w:szCs w:val="28"/>
        </w:rPr>
        <w:t>) = 0,88 x рассчитанны</w:t>
      </w:r>
      <w:r w:rsidR="007C432A" w:rsidRPr="00C5654B">
        <w:rPr>
          <w:color w:val="000000"/>
          <w:sz w:val="28"/>
          <w:szCs w:val="28"/>
        </w:rPr>
        <w:t>й объем печени (мл) + 88,5 (r</w:t>
      </w:r>
      <w:r w:rsidR="007C432A" w:rsidRPr="009471B9">
        <w:rPr>
          <w:color w:val="000000"/>
          <w:sz w:val="28"/>
          <w:szCs w:val="28"/>
          <w:vertAlign w:val="superscript"/>
        </w:rPr>
        <w:t>2</w:t>
      </w:r>
      <w:r w:rsidR="007C432A" w:rsidRPr="00C5654B">
        <w:rPr>
          <w:color w:val="000000"/>
          <w:sz w:val="28"/>
          <w:szCs w:val="28"/>
        </w:rPr>
        <w:t xml:space="preserve">=0,83, </w:t>
      </w:r>
      <w:r w:rsidRPr="00C5654B">
        <w:rPr>
          <w:color w:val="000000"/>
          <w:sz w:val="28"/>
          <w:szCs w:val="28"/>
        </w:rPr>
        <w:t xml:space="preserve">p&lt;0,001). </w:t>
      </w:r>
    </w:p>
    <w:p w14:paraId="05683704" w14:textId="37325FE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C5654B">
        <w:rPr>
          <w:color w:val="000000"/>
          <w:sz w:val="28"/>
          <w:szCs w:val="28"/>
        </w:rPr>
        <w:t xml:space="preserve">В </w:t>
      </w:r>
      <w:r w:rsidRPr="00C5654B">
        <w:rPr>
          <w:sz w:val="28"/>
          <w:szCs w:val="28"/>
        </w:rPr>
        <w:t>исследовании Allard M. и соавт.</w:t>
      </w:r>
      <w:r w:rsidR="006C2883">
        <w:rPr>
          <w:sz w:val="28"/>
          <w:szCs w:val="28"/>
        </w:rPr>
        <w:t xml:space="preserve"> </w:t>
      </w:r>
      <w:r w:rsidRPr="00C5654B">
        <w:rPr>
          <w:sz w:val="28"/>
          <w:szCs w:val="28"/>
        </w:rPr>
        <w:t xml:space="preserve">​использовали формулы </w:t>
      </w:r>
      <w:r w:rsidRPr="00C5654B">
        <w:rPr>
          <w:color w:val="000000"/>
          <w:sz w:val="28"/>
          <w:szCs w:val="28"/>
        </w:rPr>
        <w:t>у посмертных доноров печени для расчета объема печени и продемонстрировали, что примерно в 30% случаев объем печени невозможно предсказать с точностью до 20%, и даже добавление сложных математических</w:t>
      </w:r>
      <w:r w:rsidRPr="00170B7C">
        <w:rPr>
          <w:color w:val="000000"/>
          <w:sz w:val="28"/>
          <w:szCs w:val="28"/>
        </w:rPr>
        <w:t xml:space="preserve"> моделей не помогло улучшить прогностическую эффективность этих формул. </w:t>
      </w:r>
      <w:r w:rsidRPr="00170B7C">
        <w:rPr>
          <w:i/>
          <w:color w:val="5B9AD5"/>
          <w:sz w:val="28"/>
          <w:szCs w:val="28"/>
        </w:rPr>
        <w:t xml:space="preserve"> </w:t>
      </w:r>
      <w:r w:rsidRPr="00170B7C">
        <w:rPr>
          <w:color w:val="000000"/>
          <w:sz w:val="28"/>
          <w:szCs w:val="28"/>
        </w:rPr>
        <w:t xml:space="preserve">Недооценка общего объема печени донора до 20% может быть опасной при высоком </w:t>
      </w:r>
      <w:r w:rsidR="00A304E7">
        <w:rPr>
          <w:color w:val="000000"/>
          <w:sz w:val="28"/>
          <w:szCs w:val="28"/>
        </w:rPr>
        <w:t>индексе массы тела (</w:t>
      </w:r>
      <w:r w:rsidRPr="00170B7C">
        <w:rPr>
          <w:color w:val="000000"/>
          <w:sz w:val="28"/>
          <w:szCs w:val="28"/>
        </w:rPr>
        <w:t>ИМТ</w:t>
      </w:r>
      <w:r w:rsidR="00A304E7">
        <w:rPr>
          <w:color w:val="000000"/>
          <w:sz w:val="28"/>
          <w:szCs w:val="28"/>
        </w:rPr>
        <w:t>)</w:t>
      </w:r>
      <w:r w:rsidRPr="00170B7C">
        <w:rPr>
          <w:color w:val="000000"/>
          <w:sz w:val="28"/>
          <w:szCs w:val="28"/>
        </w:rPr>
        <w:t xml:space="preserve"> реципиента с тяжелой портальной гипертензией, приводить к </w:t>
      </w:r>
      <w:r w:rsidRPr="00170B7C">
        <w:rPr>
          <w:color w:val="000000"/>
          <w:sz w:val="28"/>
          <w:szCs w:val="28"/>
        </w:rPr>
        <w:lastRenderedPageBreak/>
        <w:t xml:space="preserve">функциональным и морфологическим последствиям у реципиентов нуждающийся в большем паренхиматозном резерве. </w:t>
      </w:r>
    </w:p>
    <w:p w14:paraId="0A13599E" w14:textId="1EF12165"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sz w:val="28"/>
          <w:szCs w:val="28"/>
        </w:rPr>
      </w:pPr>
      <w:r w:rsidRPr="00170B7C">
        <w:rPr>
          <w:color w:val="000000"/>
          <w:sz w:val="28"/>
          <w:szCs w:val="28"/>
        </w:rPr>
        <w:t xml:space="preserve">Также некоторые авторы вместо формул предлагают коэффициент </w:t>
      </w:r>
      <w:r w:rsidR="00EB19C4">
        <w:rPr>
          <w:sz w:val="28"/>
          <w:szCs w:val="28"/>
        </w:rPr>
        <w:t>преображения</w:t>
      </w:r>
      <w:r w:rsidRPr="00170B7C">
        <w:rPr>
          <w:sz w:val="28"/>
          <w:szCs w:val="28"/>
        </w:rPr>
        <w:t>, так Rafael S. и соавт.</w:t>
      </w:r>
      <w:r w:rsidR="005C6E1B" w:rsidRPr="005C6E1B">
        <w:rPr>
          <w:sz w:val="28"/>
          <w:szCs w:val="28"/>
        </w:rPr>
        <w:t xml:space="preserve"> </w:t>
      </w:r>
      <w:r w:rsidRPr="00170B7C">
        <w:rPr>
          <w:sz w:val="28"/>
          <w:szCs w:val="28"/>
        </w:rPr>
        <w:t xml:space="preserve">предложил </w:t>
      </w:r>
      <w:r w:rsidR="00EB19C4">
        <w:rPr>
          <w:sz w:val="28"/>
          <w:szCs w:val="28"/>
        </w:rPr>
        <w:t xml:space="preserve">умножать </w:t>
      </w:r>
      <w:r w:rsidR="007B5806">
        <w:rPr>
          <w:sz w:val="28"/>
          <w:szCs w:val="28"/>
        </w:rPr>
        <w:t>рассчитанный</w:t>
      </w:r>
      <w:r w:rsidR="00EB19C4">
        <w:rPr>
          <w:sz w:val="28"/>
          <w:szCs w:val="28"/>
        </w:rPr>
        <w:t xml:space="preserve"> </w:t>
      </w:r>
      <w:r w:rsidR="007B5806">
        <w:rPr>
          <w:sz w:val="28"/>
          <w:szCs w:val="28"/>
        </w:rPr>
        <w:t>объём</w:t>
      </w:r>
      <w:r w:rsidR="00EB19C4">
        <w:rPr>
          <w:sz w:val="28"/>
          <w:szCs w:val="28"/>
        </w:rPr>
        <w:t xml:space="preserve"> печени на </w:t>
      </w:r>
      <w:r w:rsidRPr="00170B7C">
        <w:rPr>
          <w:sz w:val="28"/>
          <w:szCs w:val="28"/>
        </w:rPr>
        <w:t>коэффициент 0</w:t>
      </w:r>
      <w:r w:rsidRPr="00170B7C">
        <w:rPr>
          <w:color w:val="000000"/>
          <w:sz w:val="28"/>
          <w:szCs w:val="28"/>
        </w:rPr>
        <w:t xml:space="preserve">,82. </w:t>
      </w:r>
      <w:r w:rsidR="00D21BA1" w:rsidRPr="00170B7C">
        <w:rPr>
          <w:color w:val="000000"/>
          <w:sz w:val="28"/>
          <w:szCs w:val="28"/>
        </w:rPr>
        <w:t>Kim K и соавт</w:t>
      </w:r>
      <w:r w:rsidR="00D21BA1">
        <w:rPr>
          <w:color w:val="000000"/>
          <w:sz w:val="28"/>
          <w:szCs w:val="28"/>
        </w:rPr>
        <w:t>.;</w:t>
      </w:r>
      <w:r w:rsidR="00D21BA1" w:rsidRPr="00170B7C">
        <w:rPr>
          <w:color w:val="000000"/>
          <w:sz w:val="28"/>
          <w:szCs w:val="28"/>
        </w:rPr>
        <w:t xml:space="preserve"> </w:t>
      </w:r>
      <w:r w:rsidRPr="00170B7C">
        <w:rPr>
          <w:color w:val="000000"/>
          <w:sz w:val="28"/>
          <w:szCs w:val="28"/>
        </w:rPr>
        <w:t xml:space="preserve">Mohamed I. и  соавт. </w:t>
      </w:r>
      <w:r w:rsidRPr="00170B7C">
        <w:rPr>
          <w:sz w:val="28"/>
          <w:szCs w:val="28"/>
        </w:rPr>
        <w:t xml:space="preserve"> </w:t>
      </w:r>
      <w:r w:rsidRPr="00170B7C">
        <w:rPr>
          <w:color w:val="000000"/>
          <w:sz w:val="28"/>
          <w:szCs w:val="28"/>
        </w:rPr>
        <w:t>​в своей работе предлага</w:t>
      </w:r>
      <w:r w:rsidR="00A304E7">
        <w:rPr>
          <w:color w:val="000000"/>
          <w:sz w:val="28"/>
          <w:szCs w:val="28"/>
        </w:rPr>
        <w:t>ю</w:t>
      </w:r>
      <w:r w:rsidRPr="00170B7C">
        <w:rPr>
          <w:color w:val="000000"/>
          <w:sz w:val="28"/>
          <w:szCs w:val="28"/>
        </w:rPr>
        <w:t xml:space="preserve">т коэффициент </w:t>
      </w:r>
      <w:r w:rsidR="007B5806">
        <w:rPr>
          <w:color w:val="000000"/>
          <w:sz w:val="28"/>
          <w:szCs w:val="28"/>
        </w:rPr>
        <w:t>преображения</w:t>
      </w:r>
      <w:r w:rsidRPr="00170B7C">
        <w:rPr>
          <w:color w:val="000000"/>
          <w:sz w:val="28"/>
          <w:szCs w:val="28"/>
        </w:rPr>
        <w:t xml:space="preserve"> </w:t>
      </w:r>
      <w:r w:rsidR="00D21BA1" w:rsidRPr="00170B7C">
        <w:rPr>
          <w:color w:val="000000"/>
          <w:sz w:val="28"/>
          <w:szCs w:val="28"/>
        </w:rPr>
        <w:t>1,22</w:t>
      </w:r>
      <w:r w:rsidR="00D21BA1">
        <w:rPr>
          <w:color w:val="000000"/>
          <w:sz w:val="28"/>
          <w:szCs w:val="28"/>
        </w:rPr>
        <w:t xml:space="preserve"> и 0,96 соответственно, авторы </w:t>
      </w:r>
      <w:r w:rsidRPr="00170B7C">
        <w:rPr>
          <w:color w:val="000000"/>
          <w:sz w:val="28"/>
          <w:szCs w:val="28"/>
        </w:rPr>
        <w:t xml:space="preserve">в своей </w:t>
      </w:r>
      <w:r w:rsidR="00BF3236" w:rsidRPr="00170B7C">
        <w:rPr>
          <w:color w:val="000000"/>
          <w:sz w:val="28"/>
          <w:szCs w:val="28"/>
        </w:rPr>
        <w:t>работе демонстрируют</w:t>
      </w:r>
      <w:r w:rsidR="00A304E7">
        <w:rPr>
          <w:color w:val="000000"/>
          <w:sz w:val="28"/>
          <w:szCs w:val="28"/>
        </w:rPr>
        <w:t>,</w:t>
      </w:r>
      <w:r w:rsidRPr="00170B7C">
        <w:rPr>
          <w:color w:val="000000"/>
          <w:sz w:val="28"/>
          <w:szCs w:val="28"/>
        </w:rPr>
        <w:t xml:space="preserve"> что разница между наполненным кровью </w:t>
      </w:r>
      <w:r w:rsidR="00BF3236">
        <w:rPr>
          <w:color w:val="000000"/>
          <w:sz w:val="28"/>
          <w:szCs w:val="28"/>
        </w:rPr>
        <w:t xml:space="preserve">трансплантата </w:t>
      </w:r>
      <w:r w:rsidRPr="00170B7C">
        <w:rPr>
          <w:color w:val="000000"/>
          <w:sz w:val="28"/>
          <w:szCs w:val="28"/>
        </w:rPr>
        <w:t>и бескровном составляет в среднем 9,5%. </w:t>
      </w:r>
    </w:p>
    <w:p w14:paraId="2361A89D" w14:textId="6F4B33F9" w:rsidR="00C700B8" w:rsidRPr="001C26D7" w:rsidRDefault="00F240A0" w:rsidP="001C26D7">
      <w:pPr>
        <w:pStyle w:val="ab"/>
        <w:ind w:firstLine="567"/>
        <w:jc w:val="both"/>
        <w:rPr>
          <w:rFonts w:asciiTheme="majorBidi" w:hAnsiTheme="majorBidi" w:cstheme="majorBidi"/>
          <w:sz w:val="28"/>
          <w:szCs w:val="28"/>
          <w:lang w:val="ru-RU"/>
        </w:rPr>
      </w:pPr>
      <w:r w:rsidRPr="001E1C93">
        <w:rPr>
          <w:rFonts w:ascii="Times New Roman" w:hAnsi="Times New Roman" w:cs="Times New Roman"/>
          <w:sz w:val="28"/>
          <w:szCs w:val="28"/>
          <w:lang w:val="ru-RU"/>
        </w:rPr>
        <w:t xml:space="preserve">Выделяют </w:t>
      </w:r>
      <w:r w:rsidR="00BF3236" w:rsidRPr="001E1C93">
        <w:rPr>
          <w:rFonts w:ascii="Times New Roman" w:hAnsi="Times New Roman" w:cs="Times New Roman"/>
          <w:sz w:val="28"/>
          <w:szCs w:val="28"/>
          <w:lang w:val="ru-RU"/>
        </w:rPr>
        <w:t>и другие</w:t>
      </w:r>
      <w:r w:rsidR="00AD4978" w:rsidRPr="001E1C93">
        <w:rPr>
          <w:rFonts w:ascii="Times New Roman" w:hAnsi="Times New Roman" w:cs="Times New Roman"/>
          <w:sz w:val="28"/>
          <w:szCs w:val="28"/>
          <w:lang w:val="ru-RU"/>
        </w:rPr>
        <w:t xml:space="preserve"> факторы, влияющие на вес</w:t>
      </w:r>
      <w:r w:rsidR="0054065F" w:rsidRPr="001E1C93">
        <w:rPr>
          <w:rFonts w:ascii="Times New Roman" w:hAnsi="Times New Roman" w:cs="Times New Roman"/>
          <w:sz w:val="28"/>
          <w:szCs w:val="28"/>
          <w:lang w:val="ru-RU"/>
        </w:rPr>
        <w:t xml:space="preserve"> </w:t>
      </w:r>
      <w:r w:rsidR="00AD4978" w:rsidRPr="001E1C93">
        <w:rPr>
          <w:rFonts w:ascii="Times New Roman" w:hAnsi="Times New Roman" w:cs="Times New Roman"/>
          <w:sz w:val="28"/>
          <w:szCs w:val="28"/>
          <w:lang w:val="ru-RU"/>
        </w:rPr>
        <w:t>трансплантата</w:t>
      </w:r>
      <w:r w:rsidR="00B609C3" w:rsidRPr="001E1C93">
        <w:rPr>
          <w:rFonts w:ascii="Times New Roman" w:hAnsi="Times New Roman" w:cs="Times New Roman"/>
          <w:color w:val="000000"/>
          <w:sz w:val="28"/>
          <w:szCs w:val="28"/>
          <w:lang w:val="ru-RU"/>
        </w:rPr>
        <w:t>.</w:t>
      </w:r>
      <w:r w:rsidR="001E1C93" w:rsidRPr="001E1C93">
        <w:rPr>
          <w:rFonts w:ascii="Times New Roman" w:hAnsi="Times New Roman" w:cs="Times New Roman"/>
          <w:color w:val="000000"/>
          <w:sz w:val="28"/>
          <w:szCs w:val="28"/>
          <w:lang w:val="ru-RU"/>
        </w:rPr>
        <w:t xml:space="preserve"> </w:t>
      </w:r>
      <w:r w:rsidR="00274D3C" w:rsidRPr="001E1C93">
        <w:rPr>
          <w:rFonts w:ascii="Times New Roman" w:hAnsi="Times New Roman" w:cs="Times New Roman"/>
          <w:color w:val="000000"/>
          <w:sz w:val="28"/>
          <w:szCs w:val="28"/>
          <w:lang w:val="ru-RU"/>
        </w:rPr>
        <w:t xml:space="preserve">Были исследования, в которых возраст </w:t>
      </w:r>
      <w:r w:rsidR="00967B90">
        <w:rPr>
          <w:rFonts w:ascii="Times New Roman" w:hAnsi="Times New Roman" w:cs="Times New Roman"/>
          <w:color w:val="000000"/>
          <w:sz w:val="28"/>
          <w:szCs w:val="28"/>
          <w:lang w:val="ru-RU"/>
        </w:rPr>
        <w:t>доноров</w:t>
      </w:r>
      <w:r w:rsidR="00B50FD9" w:rsidRPr="001E1C93">
        <w:rPr>
          <w:rFonts w:ascii="Times New Roman" w:hAnsi="Times New Roman" w:cs="Times New Roman"/>
          <w:color w:val="000000"/>
          <w:sz w:val="28"/>
          <w:szCs w:val="28"/>
          <w:lang w:val="ru-RU"/>
        </w:rPr>
        <w:t xml:space="preserve"> влиял на завышенную оценку</w:t>
      </w:r>
      <w:r w:rsidR="00274D3C" w:rsidRPr="001E1C93">
        <w:rPr>
          <w:rFonts w:ascii="Times New Roman" w:hAnsi="Times New Roman" w:cs="Times New Roman"/>
          <w:sz w:val="28"/>
          <w:szCs w:val="28"/>
          <w:lang w:val="ru-RU"/>
        </w:rPr>
        <w:t xml:space="preserve">. </w:t>
      </w:r>
      <w:r w:rsidR="00553CA8">
        <w:rPr>
          <w:rFonts w:ascii="Times New Roman" w:hAnsi="Times New Roman" w:cs="Times New Roman"/>
          <w:sz w:val="28"/>
          <w:szCs w:val="28"/>
          <w:lang w:val="ru-RU"/>
        </w:rPr>
        <w:t>П</w:t>
      </w:r>
      <w:r w:rsidR="00274D3C" w:rsidRPr="009A72E7">
        <w:rPr>
          <w:rFonts w:ascii="Times New Roman" w:hAnsi="Times New Roman" w:cs="Times New Roman"/>
          <w:color w:val="000000"/>
          <w:sz w:val="28"/>
          <w:szCs w:val="28"/>
          <w:lang w:val="ru-RU"/>
        </w:rPr>
        <w:t xml:space="preserve">роанализировали данные 340 доноров с целью определить влияние возраста донора </w:t>
      </w:r>
      <w:r w:rsidRPr="009A72E7">
        <w:rPr>
          <w:rFonts w:ascii="Times New Roman" w:hAnsi="Times New Roman" w:cs="Times New Roman"/>
          <w:color w:val="000000"/>
          <w:sz w:val="28"/>
          <w:szCs w:val="28"/>
          <w:lang w:val="ru-RU"/>
        </w:rPr>
        <w:t xml:space="preserve">на </w:t>
      </w:r>
      <w:r w:rsidR="00BF3236" w:rsidRPr="001E1C93">
        <w:rPr>
          <w:rFonts w:ascii="Times New Roman" w:hAnsi="Times New Roman" w:cs="Times New Roman"/>
          <w:color w:val="000000"/>
          <w:sz w:val="28"/>
          <w:szCs w:val="28"/>
          <w:lang w:val="kk-KZ"/>
        </w:rPr>
        <w:t xml:space="preserve">точность </w:t>
      </w:r>
      <w:r w:rsidR="00BF3236" w:rsidRPr="009A72E7">
        <w:rPr>
          <w:rFonts w:ascii="Times New Roman" w:hAnsi="Times New Roman" w:cs="Times New Roman"/>
          <w:color w:val="000000"/>
          <w:sz w:val="28"/>
          <w:szCs w:val="28"/>
          <w:lang w:val="ru-RU"/>
        </w:rPr>
        <w:t>предоперационной</w:t>
      </w:r>
      <w:r w:rsidR="00274D3C" w:rsidRPr="009A72E7">
        <w:rPr>
          <w:rFonts w:ascii="Times New Roman" w:hAnsi="Times New Roman" w:cs="Times New Roman"/>
          <w:color w:val="000000"/>
          <w:sz w:val="28"/>
          <w:szCs w:val="28"/>
          <w:lang w:val="ru-RU"/>
        </w:rPr>
        <w:t xml:space="preserve"> оценкой объема печени </w:t>
      </w:r>
      <w:r w:rsidR="00B50FD9" w:rsidRPr="001E1C93">
        <w:rPr>
          <w:rFonts w:ascii="Times New Roman" w:hAnsi="Times New Roman" w:cs="Times New Roman"/>
          <w:color w:val="000000"/>
          <w:sz w:val="28"/>
          <w:szCs w:val="28"/>
          <w:lang w:val="kk-KZ"/>
        </w:rPr>
        <w:t xml:space="preserve">в сравнении </w:t>
      </w:r>
      <w:r w:rsidR="00BF3236" w:rsidRPr="001E1C93">
        <w:rPr>
          <w:rFonts w:ascii="Times New Roman" w:hAnsi="Times New Roman" w:cs="Times New Roman"/>
          <w:color w:val="000000"/>
          <w:sz w:val="28"/>
          <w:szCs w:val="28"/>
          <w:lang w:val="kk-KZ"/>
        </w:rPr>
        <w:t xml:space="preserve">с </w:t>
      </w:r>
      <w:r w:rsidR="00BF3236" w:rsidRPr="009A72E7">
        <w:rPr>
          <w:rFonts w:ascii="Times New Roman" w:hAnsi="Times New Roman" w:cs="Times New Roman"/>
          <w:color w:val="000000"/>
          <w:sz w:val="28"/>
          <w:szCs w:val="28"/>
          <w:lang w:val="ru-RU"/>
        </w:rPr>
        <w:t>весом</w:t>
      </w:r>
      <w:r w:rsidR="00274D3C" w:rsidRPr="009A72E7">
        <w:rPr>
          <w:rFonts w:ascii="Times New Roman" w:hAnsi="Times New Roman" w:cs="Times New Roman"/>
          <w:color w:val="000000"/>
          <w:sz w:val="28"/>
          <w:szCs w:val="28"/>
          <w:lang w:val="ru-RU"/>
        </w:rPr>
        <w:t xml:space="preserve"> графта. Результаты показали, что возраст донора &lt;45 лет был связан с завышенной </w:t>
      </w:r>
      <w:r w:rsidRPr="009A72E7">
        <w:rPr>
          <w:rFonts w:ascii="Times New Roman" w:hAnsi="Times New Roman" w:cs="Times New Roman"/>
          <w:color w:val="000000"/>
          <w:sz w:val="28"/>
          <w:szCs w:val="28"/>
          <w:lang w:val="ru-RU"/>
        </w:rPr>
        <w:t>пред</w:t>
      </w:r>
      <w:r w:rsidR="00274D3C" w:rsidRPr="009A72E7">
        <w:rPr>
          <w:rFonts w:ascii="Times New Roman" w:hAnsi="Times New Roman" w:cs="Times New Roman"/>
          <w:color w:val="000000"/>
          <w:sz w:val="28"/>
          <w:szCs w:val="28"/>
          <w:lang w:val="ru-RU"/>
        </w:rPr>
        <w:t xml:space="preserve">операционной оценкой массой трансплантата. </w:t>
      </w:r>
      <w:r w:rsidR="00274D3C" w:rsidRPr="001E1C93">
        <w:rPr>
          <w:rFonts w:ascii="Times New Roman" w:hAnsi="Times New Roman" w:cs="Times New Roman"/>
          <w:color w:val="000000"/>
          <w:sz w:val="28"/>
          <w:szCs w:val="28"/>
          <w:lang w:val="ru-RU"/>
        </w:rPr>
        <w:t xml:space="preserve">Однако, обнаружено, что долгосрочная выживаемость трансплантатов с завышенной оценкой почти такой же, как и у трансплантатов без переоценки, когда возраст донора был &lt;45 лет, тогда как завышенная масса трансплантата у молодых доноров могла вызвать </w:t>
      </w:r>
      <w:r w:rsidR="00805A25" w:rsidRPr="00805A25">
        <w:rPr>
          <w:rFonts w:ascii="Times New Roman" w:hAnsi="Times New Roman" w:cs="Times New Roman"/>
          <w:color w:val="000000"/>
          <w:sz w:val="28"/>
          <w:szCs w:val="28"/>
          <w:lang w:val="ru-RU"/>
        </w:rPr>
        <w:t xml:space="preserve">small - for - size syndrome </w:t>
      </w:r>
      <w:r w:rsidR="00274D3C" w:rsidRPr="001E1C93">
        <w:rPr>
          <w:rFonts w:ascii="Times New Roman" w:hAnsi="Times New Roman" w:cs="Times New Roman"/>
          <w:color w:val="000000"/>
          <w:sz w:val="28"/>
          <w:szCs w:val="28"/>
          <w:lang w:val="ru-RU"/>
        </w:rPr>
        <w:t xml:space="preserve">в раннем послеоперационном периоде — особенно у реципиентов с другими предрасполагающими факторами, </w:t>
      </w:r>
      <w:r w:rsidR="00274D3C" w:rsidRPr="001C26D7">
        <w:rPr>
          <w:rFonts w:asciiTheme="majorBidi" w:hAnsiTheme="majorBidi" w:cstheme="majorBidi"/>
          <w:color w:val="000000"/>
          <w:sz w:val="28"/>
          <w:szCs w:val="28"/>
          <w:lang w:val="ru-RU"/>
        </w:rPr>
        <w:t xml:space="preserve">такими как более высокий балл по шкале </w:t>
      </w:r>
      <w:r w:rsidR="00274D3C" w:rsidRPr="001C26D7">
        <w:rPr>
          <w:rFonts w:asciiTheme="majorBidi" w:hAnsiTheme="majorBidi" w:cstheme="majorBidi"/>
          <w:color w:val="000000"/>
          <w:sz w:val="28"/>
          <w:szCs w:val="28"/>
        </w:rPr>
        <w:t>Model</w:t>
      </w:r>
      <w:r w:rsidR="00274D3C" w:rsidRPr="001C26D7">
        <w:rPr>
          <w:rFonts w:asciiTheme="majorBidi" w:hAnsiTheme="majorBidi" w:cstheme="majorBidi"/>
          <w:color w:val="000000"/>
          <w:sz w:val="28"/>
          <w:szCs w:val="28"/>
          <w:lang w:val="ru-RU"/>
        </w:rPr>
        <w:t xml:space="preserve"> </w:t>
      </w:r>
      <w:r w:rsidR="00274D3C" w:rsidRPr="001C26D7">
        <w:rPr>
          <w:rFonts w:asciiTheme="majorBidi" w:hAnsiTheme="majorBidi" w:cstheme="majorBidi"/>
          <w:color w:val="000000"/>
          <w:sz w:val="28"/>
          <w:szCs w:val="28"/>
        </w:rPr>
        <w:t>For</w:t>
      </w:r>
      <w:r w:rsidR="00274D3C" w:rsidRPr="001C26D7">
        <w:rPr>
          <w:rFonts w:asciiTheme="majorBidi" w:hAnsiTheme="majorBidi" w:cstheme="majorBidi"/>
          <w:color w:val="000000"/>
          <w:sz w:val="28"/>
          <w:szCs w:val="28"/>
          <w:lang w:val="ru-RU"/>
        </w:rPr>
        <w:t xml:space="preserve"> </w:t>
      </w:r>
      <w:r w:rsidR="00274D3C" w:rsidRPr="001C26D7">
        <w:rPr>
          <w:rFonts w:asciiTheme="majorBidi" w:hAnsiTheme="majorBidi" w:cstheme="majorBidi"/>
          <w:color w:val="000000"/>
          <w:sz w:val="28"/>
          <w:szCs w:val="28"/>
        </w:rPr>
        <w:t>End</w:t>
      </w:r>
      <w:r w:rsidR="00274D3C" w:rsidRPr="001C26D7">
        <w:rPr>
          <w:rFonts w:asciiTheme="majorBidi" w:hAnsiTheme="majorBidi" w:cstheme="majorBidi"/>
          <w:color w:val="000000"/>
          <w:sz w:val="28"/>
          <w:szCs w:val="28"/>
          <w:lang w:val="ru-RU"/>
        </w:rPr>
        <w:t>-</w:t>
      </w:r>
      <w:r w:rsidR="00274D3C" w:rsidRPr="001C26D7">
        <w:rPr>
          <w:rFonts w:asciiTheme="majorBidi" w:hAnsiTheme="majorBidi" w:cstheme="majorBidi"/>
          <w:color w:val="000000"/>
          <w:sz w:val="28"/>
          <w:szCs w:val="28"/>
        </w:rPr>
        <w:t>Stage</w:t>
      </w:r>
      <w:r w:rsidR="00274D3C" w:rsidRPr="001C26D7">
        <w:rPr>
          <w:rFonts w:asciiTheme="majorBidi" w:hAnsiTheme="majorBidi" w:cstheme="majorBidi"/>
          <w:color w:val="000000"/>
          <w:sz w:val="28"/>
          <w:szCs w:val="28"/>
          <w:lang w:val="ru-RU"/>
        </w:rPr>
        <w:t xml:space="preserve"> </w:t>
      </w:r>
      <w:r w:rsidR="00274D3C" w:rsidRPr="001C26D7">
        <w:rPr>
          <w:rFonts w:asciiTheme="majorBidi" w:hAnsiTheme="majorBidi" w:cstheme="majorBidi"/>
          <w:color w:val="000000"/>
          <w:sz w:val="28"/>
          <w:szCs w:val="28"/>
        </w:rPr>
        <w:t>Liver</w:t>
      </w:r>
      <w:r w:rsidR="00274D3C" w:rsidRPr="001C26D7">
        <w:rPr>
          <w:rFonts w:asciiTheme="majorBidi" w:hAnsiTheme="majorBidi" w:cstheme="majorBidi"/>
          <w:color w:val="000000"/>
          <w:sz w:val="28"/>
          <w:szCs w:val="28"/>
          <w:lang w:val="ru-RU"/>
        </w:rPr>
        <w:t xml:space="preserve"> </w:t>
      </w:r>
      <w:r w:rsidR="00274D3C" w:rsidRPr="001C26D7">
        <w:rPr>
          <w:rFonts w:asciiTheme="majorBidi" w:hAnsiTheme="majorBidi" w:cstheme="majorBidi"/>
          <w:color w:val="000000"/>
          <w:sz w:val="28"/>
          <w:szCs w:val="28"/>
        </w:rPr>
        <w:t>Disease</w:t>
      </w:r>
      <w:r w:rsidR="00274D3C" w:rsidRPr="001C26D7">
        <w:rPr>
          <w:rFonts w:asciiTheme="majorBidi" w:hAnsiTheme="majorBidi" w:cstheme="majorBidi"/>
          <w:color w:val="000000"/>
          <w:sz w:val="28"/>
          <w:szCs w:val="28"/>
          <w:lang w:val="ru-RU"/>
        </w:rPr>
        <w:t xml:space="preserve"> (</w:t>
      </w:r>
      <w:r w:rsidR="00274D3C" w:rsidRPr="001C26D7">
        <w:rPr>
          <w:rFonts w:asciiTheme="majorBidi" w:hAnsiTheme="majorBidi" w:cstheme="majorBidi"/>
          <w:color w:val="000000"/>
          <w:sz w:val="28"/>
          <w:szCs w:val="28"/>
        </w:rPr>
        <w:t>MELD</w:t>
      </w:r>
      <w:r w:rsidR="00274D3C" w:rsidRPr="001C26D7">
        <w:rPr>
          <w:rFonts w:asciiTheme="majorBidi" w:hAnsiTheme="majorBidi" w:cstheme="majorBidi"/>
          <w:color w:val="000000"/>
          <w:sz w:val="28"/>
          <w:szCs w:val="28"/>
          <w:lang w:val="ru-RU"/>
        </w:rPr>
        <w:t>).</w:t>
      </w:r>
      <w:r w:rsidR="00274D3C" w:rsidRPr="001C26D7">
        <w:rPr>
          <w:rFonts w:asciiTheme="majorBidi" w:hAnsiTheme="majorBidi" w:cstheme="majorBidi"/>
          <w:color w:val="000000"/>
          <w:sz w:val="28"/>
          <w:szCs w:val="28"/>
        </w:rPr>
        <w:t>  </w:t>
      </w:r>
      <w:r w:rsidR="00274D3C" w:rsidRPr="001C26D7">
        <w:rPr>
          <w:rFonts w:asciiTheme="majorBidi" w:hAnsiTheme="majorBidi" w:cstheme="majorBidi"/>
          <w:color w:val="000000"/>
          <w:sz w:val="28"/>
          <w:szCs w:val="28"/>
          <w:lang w:val="ru-RU"/>
        </w:rPr>
        <w:t xml:space="preserve">Предполагается, что значительная взаимосвязь между завышенной оценкой веса графта и более молодыми донорами указывает на то, что печень у молодых людей легче или </w:t>
      </w:r>
      <w:r w:rsidR="001E1C93" w:rsidRPr="001C26D7">
        <w:rPr>
          <w:rFonts w:asciiTheme="majorBidi" w:hAnsiTheme="majorBidi" w:cstheme="majorBidi"/>
          <w:color w:val="000000"/>
          <w:sz w:val="28"/>
          <w:szCs w:val="28"/>
          <w:lang w:val="ru-RU"/>
        </w:rPr>
        <w:t>более</w:t>
      </w:r>
      <w:r w:rsidR="00274D3C" w:rsidRPr="001C26D7">
        <w:rPr>
          <w:rFonts w:asciiTheme="majorBidi" w:hAnsiTheme="majorBidi" w:cstheme="majorBidi"/>
          <w:color w:val="000000"/>
          <w:sz w:val="28"/>
          <w:szCs w:val="28"/>
          <w:lang w:val="ru-RU"/>
        </w:rPr>
        <w:t xml:space="preserve"> податлива, чем у пожилых людей. Теоретически предполагалось, что плотность печени </w:t>
      </w:r>
      <w:r w:rsidR="00274D3C" w:rsidRPr="001C26D7">
        <w:rPr>
          <w:rFonts w:asciiTheme="majorBidi" w:hAnsiTheme="majorBidi" w:cstheme="majorBidi"/>
          <w:sz w:val="28"/>
          <w:szCs w:val="28"/>
          <w:lang w:val="ru-RU"/>
        </w:rPr>
        <w:t xml:space="preserve">увеличивается с возрастом. </w:t>
      </w:r>
      <w:r w:rsidR="001213A0" w:rsidRPr="00B1360D">
        <w:rPr>
          <w:rFonts w:asciiTheme="majorBidi" w:hAnsiTheme="majorBidi" w:cstheme="majorBidi"/>
          <w:sz w:val="28"/>
          <w:szCs w:val="28"/>
          <w:lang w:val="ru-RU"/>
        </w:rPr>
        <w:t xml:space="preserve">Авторами </w:t>
      </w:r>
      <w:r w:rsidR="00274D3C" w:rsidRPr="00B1360D">
        <w:rPr>
          <w:rFonts w:asciiTheme="majorBidi" w:hAnsiTheme="majorBidi" w:cstheme="majorBidi"/>
          <w:sz w:val="28"/>
          <w:szCs w:val="28"/>
          <w:lang w:val="ru-RU"/>
        </w:rPr>
        <w:t>​проанализирова</w:t>
      </w:r>
      <w:r w:rsidR="001E1C93" w:rsidRPr="00B1360D">
        <w:rPr>
          <w:rFonts w:asciiTheme="majorBidi" w:hAnsiTheme="majorBidi" w:cstheme="majorBidi"/>
          <w:sz w:val="28"/>
          <w:szCs w:val="28"/>
          <w:lang w:val="ru-RU"/>
        </w:rPr>
        <w:t>но</w:t>
      </w:r>
      <w:r w:rsidR="00274D3C" w:rsidRPr="00B1360D">
        <w:rPr>
          <w:rFonts w:asciiTheme="majorBidi" w:hAnsiTheme="majorBidi" w:cstheme="majorBidi"/>
          <w:sz w:val="28"/>
          <w:szCs w:val="28"/>
          <w:lang w:val="ru-RU"/>
        </w:rPr>
        <w:t xml:space="preserve"> 728 вскрытий</w:t>
      </w:r>
      <w:r w:rsidR="001213A0" w:rsidRPr="00B1360D">
        <w:rPr>
          <w:rFonts w:asciiTheme="majorBidi" w:hAnsiTheme="majorBidi" w:cstheme="majorBidi"/>
          <w:sz w:val="28"/>
          <w:szCs w:val="28"/>
          <w:lang w:val="ru-RU"/>
        </w:rPr>
        <w:t xml:space="preserve">, на основании которых </w:t>
      </w:r>
      <w:r w:rsidR="00274D3C" w:rsidRPr="00B1360D">
        <w:rPr>
          <w:rFonts w:asciiTheme="majorBidi" w:eastAsia="Gungsuh" w:hAnsiTheme="majorBidi" w:cstheme="majorBidi"/>
          <w:color w:val="000000"/>
          <w:sz w:val="28"/>
          <w:szCs w:val="28"/>
          <w:lang w:val="ru-RU"/>
        </w:rPr>
        <w:t>сообщ</w:t>
      </w:r>
      <w:r w:rsidR="001213A0" w:rsidRPr="00B1360D">
        <w:rPr>
          <w:rFonts w:asciiTheme="majorBidi" w:eastAsia="Gungsuh" w:hAnsiTheme="majorBidi" w:cstheme="majorBidi"/>
          <w:color w:val="000000"/>
          <w:sz w:val="28"/>
          <w:szCs w:val="28"/>
          <w:lang w:val="ru-RU"/>
        </w:rPr>
        <w:t>ено</w:t>
      </w:r>
      <w:r w:rsidR="00274D3C" w:rsidRPr="00B1360D">
        <w:rPr>
          <w:rFonts w:asciiTheme="majorBidi" w:eastAsia="Gungsuh" w:hAnsiTheme="majorBidi" w:cstheme="majorBidi"/>
          <w:color w:val="000000"/>
          <w:sz w:val="28"/>
          <w:szCs w:val="28"/>
          <w:lang w:val="ru-RU"/>
        </w:rPr>
        <w:t xml:space="preserve"> об увеличении веса печени с возрастом, достигнув пика в возрасте 41-60 лет. У </w:t>
      </w:r>
      <w:r w:rsidR="00967B90">
        <w:rPr>
          <w:rFonts w:asciiTheme="majorBidi" w:eastAsia="Gungsuh" w:hAnsiTheme="majorBidi" w:cstheme="majorBidi"/>
          <w:color w:val="000000"/>
          <w:sz w:val="28"/>
          <w:szCs w:val="28"/>
          <w:lang w:val="ru-RU"/>
        </w:rPr>
        <w:t>доноров</w:t>
      </w:r>
      <w:r w:rsidR="00274D3C" w:rsidRPr="00B1360D">
        <w:rPr>
          <w:rFonts w:asciiTheme="majorBidi" w:eastAsia="Gungsuh" w:hAnsiTheme="majorBidi" w:cstheme="majorBidi"/>
          <w:color w:val="000000"/>
          <w:sz w:val="28"/>
          <w:szCs w:val="28"/>
          <w:lang w:val="ru-RU"/>
        </w:rPr>
        <w:t xml:space="preserve"> старше 65 лет наблюдалось снижение веса печени. </w:t>
      </w:r>
      <w:r w:rsidR="00274D3C" w:rsidRPr="001C26D7">
        <w:rPr>
          <w:rFonts w:asciiTheme="majorBidi" w:eastAsia="Gungsuh" w:hAnsiTheme="majorBidi" w:cstheme="majorBidi"/>
          <w:color w:val="000000"/>
          <w:sz w:val="28"/>
          <w:szCs w:val="28"/>
          <w:lang w:val="ru-RU"/>
        </w:rPr>
        <w:t>Возраст доноров ≥65 лет включен в число расширенных критериев и связанных с ним худшими рез</w:t>
      </w:r>
      <w:r w:rsidR="006C2883">
        <w:rPr>
          <w:rFonts w:asciiTheme="majorBidi" w:eastAsia="Gungsuh" w:hAnsiTheme="majorBidi" w:cstheme="majorBidi"/>
          <w:color w:val="000000"/>
          <w:sz w:val="28"/>
          <w:szCs w:val="28"/>
          <w:lang w:val="ru-RU"/>
        </w:rPr>
        <w:t>ультатами трансплантации печени</w:t>
      </w:r>
      <w:r w:rsidR="00274D3C" w:rsidRPr="001C26D7">
        <w:rPr>
          <w:rFonts w:asciiTheme="majorBidi" w:hAnsiTheme="majorBidi" w:cstheme="majorBidi"/>
          <w:sz w:val="28"/>
          <w:szCs w:val="28"/>
          <w:lang w:val="ru-RU"/>
        </w:rPr>
        <w:t>.</w:t>
      </w:r>
    </w:p>
    <w:p w14:paraId="748E5AEF" w14:textId="03107F44" w:rsidR="00C700B8" w:rsidRPr="001E1C93" w:rsidRDefault="00274D3C" w:rsidP="001E1C93">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C26D7">
        <w:rPr>
          <w:rFonts w:asciiTheme="majorBidi" w:hAnsiTheme="majorBidi" w:cstheme="majorBidi"/>
          <w:sz w:val="28"/>
          <w:szCs w:val="28"/>
        </w:rPr>
        <w:t>Han J. и соавт.</w:t>
      </w:r>
      <w:r w:rsidR="001C26D7" w:rsidRPr="001C26D7">
        <w:rPr>
          <w:rFonts w:asciiTheme="majorBidi" w:hAnsiTheme="majorBidi" w:cstheme="majorBidi"/>
          <w:sz w:val="28"/>
          <w:szCs w:val="28"/>
        </w:rPr>
        <w:t xml:space="preserve"> </w:t>
      </w:r>
      <w:r w:rsidRPr="001C26D7">
        <w:rPr>
          <w:rFonts w:asciiTheme="majorBidi" w:hAnsiTheme="majorBidi" w:cstheme="majorBidi"/>
          <w:sz w:val="28"/>
          <w:szCs w:val="28"/>
        </w:rPr>
        <w:t xml:space="preserve">в своем </w:t>
      </w:r>
      <w:r w:rsidRPr="001C26D7">
        <w:rPr>
          <w:rFonts w:asciiTheme="majorBidi" w:hAnsiTheme="majorBidi" w:cstheme="majorBidi"/>
          <w:color w:val="000000"/>
          <w:sz w:val="28"/>
          <w:szCs w:val="28"/>
        </w:rPr>
        <w:t>исследовании выявили, что</w:t>
      </w:r>
      <w:r w:rsidRPr="001C26D7">
        <w:rPr>
          <w:rFonts w:asciiTheme="majorBidi" w:hAnsiTheme="majorBidi" w:cstheme="majorBidi"/>
          <w:i/>
          <w:color w:val="000000"/>
          <w:sz w:val="28"/>
          <w:szCs w:val="28"/>
        </w:rPr>
        <w:t xml:space="preserve"> </w:t>
      </w:r>
      <w:r w:rsidRPr="001C26D7">
        <w:rPr>
          <w:rFonts w:asciiTheme="majorBidi" w:hAnsiTheme="majorBidi" w:cstheme="majorBidi"/>
          <w:color w:val="000000"/>
          <w:sz w:val="28"/>
          <w:szCs w:val="28"/>
        </w:rPr>
        <w:t>реципиенты, получившие трансплантаты от старших доноров, имели низкую выживаемость. Также выявлена более высокая частота артериальных и желчных осложнений</w:t>
      </w:r>
      <w:r w:rsidRPr="001E1C93">
        <w:rPr>
          <w:color w:val="000000"/>
          <w:sz w:val="28"/>
          <w:szCs w:val="28"/>
        </w:rPr>
        <w:t xml:space="preserve"> у </w:t>
      </w:r>
      <w:r w:rsidR="005F2DF2">
        <w:rPr>
          <w:color w:val="000000"/>
          <w:sz w:val="28"/>
          <w:szCs w:val="28"/>
        </w:rPr>
        <w:t>реципиентов</w:t>
      </w:r>
      <w:r w:rsidRPr="001E1C93">
        <w:rPr>
          <w:color w:val="000000"/>
          <w:sz w:val="28"/>
          <w:szCs w:val="28"/>
        </w:rPr>
        <w:t xml:space="preserve">, получивших трансплантаты от старших доноров (от 55 лет), чем от более молодых доноров. (&lt;55 лет). Кроме того, они сообщили о значительно более низких показателях выживаемости в течение 1 года (63,4% против 86,9%), 3 лет (58,5% против 84,3%) и 5 лет (44,6% против 80,7%; P&lt;0,001) у </w:t>
      </w:r>
      <w:r w:rsidR="005F2DF2">
        <w:rPr>
          <w:color w:val="000000"/>
          <w:sz w:val="28"/>
          <w:szCs w:val="28"/>
        </w:rPr>
        <w:t>реципиентов</w:t>
      </w:r>
      <w:r w:rsidRPr="001E1C93">
        <w:rPr>
          <w:color w:val="000000"/>
          <w:sz w:val="28"/>
          <w:szCs w:val="28"/>
        </w:rPr>
        <w:t>, получивших трансплантаты от доноров старшего возраста (55 лет) по сравнению с более молодыми (&lt;50 лет) донорами.  </w:t>
      </w:r>
    </w:p>
    <w:p w14:paraId="1443831B" w14:textId="161596A0" w:rsidR="00C700B8" w:rsidRPr="001E1C93" w:rsidRDefault="00274D3C" w:rsidP="001E1C93">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E1C93">
        <w:rPr>
          <w:sz w:val="28"/>
          <w:szCs w:val="28"/>
        </w:rPr>
        <w:t xml:space="preserve">Kim Sh. и соавт. в своем исследовании </w:t>
      </w:r>
      <w:r w:rsidRPr="001E1C93">
        <w:rPr>
          <w:color w:val="212121"/>
          <w:sz w:val="28"/>
          <w:szCs w:val="28"/>
        </w:rPr>
        <w:t xml:space="preserve">сравнил послеоперационный исход у доноров старше 50 лет и в возрасте 20 лет. Авторы выявили, что трансплантаты правой доли от доноров в возрасте &gt;50 лет показали обычное восстановление функции трансплантата, но продемонстрировали более позднюю регенерацию печени. Таким образом, доноров пожилого возраста следует выбирать осмотрительно с учетом частоты резекций печени, размера трансплантата и </w:t>
      </w:r>
      <w:r w:rsidRPr="001E1C93">
        <w:rPr>
          <w:color w:val="212121"/>
          <w:sz w:val="28"/>
          <w:szCs w:val="28"/>
        </w:rPr>
        <w:lastRenderedPageBreak/>
        <w:t xml:space="preserve">стеатоза печени. </w:t>
      </w:r>
      <w:r w:rsidRPr="001E1C93">
        <w:rPr>
          <w:color w:val="000000"/>
          <w:sz w:val="28"/>
          <w:szCs w:val="28"/>
        </w:rPr>
        <w:t xml:space="preserve">Старение связано со снижением метаболических возможностей, толерантности к ишемическим повреждениям, снижением иммунитета. С морфологической точки зрения старение связано с уменьшением объема печени на 20–40% у пожилых людей. Это снижение более выражено у женщин (до 44%), чем у женщин. В исследовании </w:t>
      </w:r>
      <w:r w:rsidRPr="001E1C93">
        <w:rPr>
          <w:sz w:val="28"/>
          <w:szCs w:val="28"/>
        </w:rPr>
        <w:t>Addeo P. и соавт.</w:t>
      </w:r>
      <w:r w:rsidR="001C26D7" w:rsidRPr="001C26D7">
        <w:rPr>
          <w:i/>
          <w:sz w:val="28"/>
          <w:szCs w:val="28"/>
        </w:rPr>
        <w:t xml:space="preserve"> </w:t>
      </w:r>
      <w:r w:rsidRPr="001E1C93">
        <w:rPr>
          <w:color w:val="000000"/>
          <w:sz w:val="28"/>
          <w:szCs w:val="28"/>
        </w:rPr>
        <w:t>такое снижение массы печени сохранялось после 65 лет даже при наличии большего ИМТ у пожилых доноров - мужчин.</w:t>
      </w:r>
      <w:r w:rsidRPr="001E1C93">
        <w:rPr>
          <w:color w:val="212121"/>
          <w:sz w:val="28"/>
          <w:szCs w:val="28"/>
        </w:rPr>
        <w:t xml:space="preserve"> </w:t>
      </w:r>
    </w:p>
    <w:p w14:paraId="7D095515" w14:textId="37130ACE" w:rsidR="00C700B8" w:rsidRPr="00170B7C" w:rsidRDefault="00274D3C" w:rsidP="001E1C93">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E1C93">
        <w:rPr>
          <w:color w:val="000000"/>
          <w:sz w:val="28"/>
          <w:szCs w:val="28"/>
        </w:rPr>
        <w:t xml:space="preserve">Точный механизм изменения плотности печени с возрастом остается </w:t>
      </w:r>
      <w:r w:rsidR="001E740B">
        <w:rPr>
          <w:color w:val="000000"/>
          <w:sz w:val="28"/>
          <w:szCs w:val="28"/>
        </w:rPr>
        <w:t>не изученным</w:t>
      </w:r>
      <w:r w:rsidRPr="001E1C93">
        <w:rPr>
          <w:color w:val="000000"/>
          <w:sz w:val="28"/>
          <w:szCs w:val="28"/>
        </w:rPr>
        <w:t xml:space="preserve">. Основываясь на этих биологических исследованиях, авторы предполагают, что изменение податливости трансплантата и большая площадь сосудистого русла по отношению ко всему объему трансплантата, связанные с более молодым возрастом, могут способствовать переоценке веса трансплантата. Растущая распространенность ожирения во всем мире угрожает пулу живых доноров печени. Учитывая ограниченное количество подходящих родственных доноров, данная проблема особо актуальна. Хотя негативное влияние стеатоза на трансплантацию печени хорошо известно, влияние ожирения при отсутствии стеатоза печени на исход трансплантации печени от живого донора до сих пор изучается. </w:t>
      </w:r>
      <w:r w:rsidRPr="001E1C93">
        <w:rPr>
          <w:sz w:val="28"/>
          <w:szCs w:val="28"/>
        </w:rPr>
        <w:t>Knaak M. и соавт.</w:t>
      </w:r>
      <w:r w:rsidR="006C2883">
        <w:rPr>
          <w:sz w:val="28"/>
          <w:szCs w:val="28"/>
        </w:rPr>
        <w:t xml:space="preserve"> </w:t>
      </w:r>
      <w:r w:rsidRPr="001E1C93">
        <w:rPr>
          <w:sz w:val="28"/>
          <w:szCs w:val="28"/>
        </w:rPr>
        <w:t xml:space="preserve">​сравнили исход </w:t>
      </w:r>
      <w:r w:rsidRPr="001E1C93">
        <w:rPr>
          <w:rFonts w:eastAsia="Gungsuh"/>
          <w:color w:val="000000"/>
          <w:sz w:val="28"/>
          <w:szCs w:val="28"/>
        </w:rPr>
        <w:t>трансплантации печени с использованием</w:t>
      </w:r>
      <w:r w:rsidRPr="00170B7C">
        <w:rPr>
          <w:rFonts w:eastAsia="Gungsuh"/>
          <w:color w:val="000000"/>
          <w:sz w:val="28"/>
          <w:szCs w:val="28"/>
        </w:rPr>
        <w:t xml:space="preserve"> доноров с ИМТ &lt;30 и доноров с ИМТ ≥30. Доноры с ИМТ &lt;30 и ≥30 имели одинаковую частоту послеоперационных осложнений, кроме того, не наблюдалось различий в частоте осложнений у реципиентов. Авторы пришли к выводу, что донорам с ИМТ ≥30 при отсутствии стеатоза трансплантация не противопоказана.</w:t>
      </w:r>
      <w:r w:rsidRPr="00170B7C">
        <w:rPr>
          <w:color w:val="000000"/>
          <w:sz w:val="28"/>
          <w:szCs w:val="28"/>
        </w:rPr>
        <w:t>  </w:t>
      </w:r>
    </w:p>
    <w:p w14:paraId="6A120242" w14:textId="0A418464"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sz w:val="28"/>
          <w:szCs w:val="28"/>
        </w:rPr>
        <w:t xml:space="preserve">Pahari H. </w:t>
      </w:r>
      <w:r w:rsidR="009471B9">
        <w:rPr>
          <w:sz w:val="28"/>
          <w:szCs w:val="28"/>
        </w:rPr>
        <w:t>и</w:t>
      </w:r>
      <w:r w:rsidRPr="00170B7C">
        <w:rPr>
          <w:sz w:val="28"/>
          <w:szCs w:val="28"/>
        </w:rPr>
        <w:t xml:space="preserve"> соавт. в своем </w:t>
      </w:r>
      <w:r w:rsidRPr="00170B7C">
        <w:rPr>
          <w:color w:val="000000"/>
          <w:sz w:val="28"/>
          <w:szCs w:val="28"/>
        </w:rPr>
        <w:t xml:space="preserve">исследовании представили кейс, где у донора с ИМТ=36 пересадили печень без выявления послеоперационных осложнений, в то время </w:t>
      </w:r>
      <w:r w:rsidRPr="00170B7C">
        <w:rPr>
          <w:sz w:val="28"/>
          <w:szCs w:val="28"/>
        </w:rPr>
        <w:t xml:space="preserve">как Ali D. </w:t>
      </w:r>
      <w:r w:rsidR="009471B9">
        <w:rPr>
          <w:sz w:val="28"/>
          <w:szCs w:val="28"/>
        </w:rPr>
        <w:t>и</w:t>
      </w:r>
      <w:r w:rsidR="006C2883">
        <w:rPr>
          <w:sz w:val="28"/>
          <w:szCs w:val="28"/>
        </w:rPr>
        <w:t xml:space="preserve"> соавт. </w:t>
      </w:r>
      <w:r w:rsidRPr="00170B7C">
        <w:rPr>
          <w:sz w:val="28"/>
          <w:szCs w:val="28"/>
        </w:rPr>
        <w:t xml:space="preserve">выявили плохую </w:t>
      </w:r>
      <w:r w:rsidRPr="00170B7C">
        <w:rPr>
          <w:color w:val="000000"/>
          <w:sz w:val="28"/>
          <w:szCs w:val="28"/>
        </w:rPr>
        <w:t>регенерацию печени аллотрансплантата в послеоперационном периоде и повышение послеоперационных осложнений.  </w:t>
      </w:r>
    </w:p>
    <w:p w14:paraId="4FED9317" w14:textId="270946AE" w:rsidR="002616F8" w:rsidRDefault="00491B36"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Gungsuh"/>
          <w:color w:val="000000"/>
          <w:sz w:val="28"/>
          <w:szCs w:val="28"/>
        </w:rPr>
      </w:pPr>
      <w:r w:rsidRPr="00D32828">
        <w:rPr>
          <w:sz w:val="28"/>
          <w:szCs w:val="28"/>
          <w:lang w:val="en-US"/>
        </w:rPr>
        <w:t>Lin</w:t>
      </w:r>
      <w:r w:rsidRPr="00A418E6">
        <w:rPr>
          <w:sz w:val="28"/>
          <w:szCs w:val="28"/>
        </w:rPr>
        <w:t xml:space="preserve"> </w:t>
      </w:r>
      <w:r w:rsidRPr="00D32828">
        <w:rPr>
          <w:sz w:val="28"/>
          <w:szCs w:val="28"/>
          <w:lang w:val="en-US"/>
        </w:rPr>
        <w:t>J</w:t>
      </w:r>
      <w:r w:rsidRPr="00A418E6">
        <w:rPr>
          <w:sz w:val="28"/>
          <w:szCs w:val="28"/>
        </w:rPr>
        <w:t xml:space="preserve">. </w:t>
      </w:r>
      <w:r w:rsidR="00274D3C" w:rsidRPr="00170B7C">
        <w:rPr>
          <w:rFonts w:eastAsia="Gungsuh"/>
          <w:color w:val="000000"/>
          <w:sz w:val="28"/>
          <w:szCs w:val="28"/>
        </w:rPr>
        <w:t xml:space="preserve">и соавт. также не выявили послеоперационных осложнений у </w:t>
      </w:r>
      <w:r w:rsidR="005F2DF2">
        <w:rPr>
          <w:rFonts w:eastAsia="Gungsuh"/>
          <w:color w:val="000000"/>
          <w:sz w:val="28"/>
          <w:szCs w:val="28"/>
        </w:rPr>
        <w:t xml:space="preserve">доноров </w:t>
      </w:r>
      <w:r w:rsidR="00274D3C" w:rsidRPr="00170B7C">
        <w:rPr>
          <w:rFonts w:eastAsia="Gungsuh"/>
          <w:color w:val="000000"/>
          <w:sz w:val="28"/>
          <w:szCs w:val="28"/>
        </w:rPr>
        <w:t xml:space="preserve"> с ИМТ≥30, однако предлагают специальную программу подготовки и предоперационные стратегии для исключения риска развития осложнений.</w:t>
      </w:r>
    </w:p>
    <w:p w14:paraId="6830AF85" w14:textId="77777777" w:rsidR="00486036" w:rsidRPr="009A72E7" w:rsidRDefault="00486036" w:rsidP="00486036">
      <w:pPr>
        <w:pStyle w:val="ab"/>
        <w:ind w:firstLine="567"/>
        <w:jc w:val="both"/>
        <w:rPr>
          <w:rFonts w:ascii="Times New Roman" w:hAnsi="Times New Roman" w:cs="Times New Roman"/>
          <w:sz w:val="28"/>
          <w:szCs w:val="28"/>
          <w:lang w:val="ru-RU"/>
        </w:rPr>
      </w:pPr>
      <w:r w:rsidRPr="00486036">
        <w:rPr>
          <w:rFonts w:ascii="Times New Roman" w:hAnsi="Times New Roman" w:cs="Times New Roman"/>
          <w:sz w:val="28"/>
          <w:szCs w:val="28"/>
          <w:lang w:val="ru-RU"/>
        </w:rPr>
        <w:t>Наи</w:t>
      </w:r>
      <w:r w:rsidRPr="009A72E7">
        <w:rPr>
          <w:rFonts w:ascii="Times New Roman" w:hAnsi="Times New Roman" w:cs="Times New Roman"/>
          <w:sz w:val="28"/>
          <w:szCs w:val="28"/>
          <w:lang w:val="ru-RU"/>
        </w:rPr>
        <w:t>более непосредственным источником органов, способных расширить пул доноров, являются доноры с расширенными критериями, также называемые маргинальными донорами. К ним относятся преклонный возраст, стеатоз, гипернатриемия и другие</w:t>
      </w:r>
      <w:r w:rsidRPr="00486036">
        <w:rPr>
          <w:rFonts w:ascii="Times New Roman" w:hAnsi="Times New Roman" w:cs="Times New Roman"/>
          <w:sz w:val="28"/>
          <w:szCs w:val="28"/>
          <w:lang w:val="ru-RU"/>
        </w:rPr>
        <w:t xml:space="preserve"> признаки</w:t>
      </w:r>
      <w:r w:rsidRPr="009A72E7">
        <w:rPr>
          <w:rFonts w:ascii="Times New Roman" w:hAnsi="Times New Roman" w:cs="Times New Roman"/>
          <w:sz w:val="28"/>
          <w:szCs w:val="28"/>
          <w:lang w:val="ru-RU"/>
        </w:rPr>
        <w:t>.</w:t>
      </w:r>
      <w:r w:rsidRPr="00486036">
        <w:rPr>
          <w:rFonts w:ascii="Times New Roman" w:hAnsi="Times New Roman" w:cs="Times New Roman"/>
          <w:sz w:val="28"/>
          <w:szCs w:val="28"/>
          <w:lang w:val="ru-RU"/>
        </w:rPr>
        <w:t xml:space="preserve"> </w:t>
      </w:r>
      <w:r w:rsidRPr="009A72E7">
        <w:rPr>
          <w:rFonts w:ascii="Times New Roman" w:hAnsi="Times New Roman" w:cs="Times New Roman"/>
          <w:sz w:val="28"/>
          <w:szCs w:val="28"/>
          <w:lang w:val="ru-RU"/>
        </w:rPr>
        <w:t xml:space="preserve">Тем не менее, при тщательном отборе и подборе соответствующих реципиентов, печень от доноров </w:t>
      </w:r>
      <w:r w:rsidRPr="00486036">
        <w:rPr>
          <w:rFonts w:ascii="Times New Roman" w:hAnsi="Times New Roman" w:cs="Times New Roman"/>
          <w:sz w:val="28"/>
          <w:szCs w:val="28"/>
          <w:lang w:val="ru-RU"/>
        </w:rPr>
        <w:t xml:space="preserve">данной группы </w:t>
      </w:r>
      <w:r w:rsidRPr="009A72E7">
        <w:rPr>
          <w:rFonts w:ascii="Times New Roman" w:hAnsi="Times New Roman" w:cs="Times New Roman"/>
          <w:sz w:val="28"/>
          <w:szCs w:val="28"/>
          <w:lang w:val="ru-RU"/>
        </w:rPr>
        <w:t>может быть использована безопасно и эффективн</w:t>
      </w:r>
      <w:r w:rsidRPr="00486036">
        <w:rPr>
          <w:rFonts w:ascii="Times New Roman" w:hAnsi="Times New Roman" w:cs="Times New Roman"/>
          <w:sz w:val="28"/>
          <w:szCs w:val="28"/>
          <w:lang w:val="ru-RU"/>
        </w:rPr>
        <w:t xml:space="preserve">о.  </w:t>
      </w:r>
      <w:r w:rsidRPr="009A72E7">
        <w:rPr>
          <w:rFonts w:ascii="Times New Roman" w:hAnsi="Times New Roman" w:cs="Times New Roman"/>
          <w:sz w:val="28"/>
          <w:szCs w:val="28"/>
          <w:lang w:val="ru-RU"/>
        </w:rPr>
        <w:t>Для количественной оценки риска отторжения трансплантата у доноров были разработаны шкалы, включая индекс донорского риска</w:t>
      </w:r>
      <w:r w:rsidRPr="00486036">
        <w:rPr>
          <w:rFonts w:ascii="Times New Roman" w:hAnsi="Times New Roman" w:cs="Times New Roman"/>
          <w:sz w:val="28"/>
          <w:szCs w:val="28"/>
          <w:lang w:val="ru-RU"/>
        </w:rPr>
        <w:t xml:space="preserve"> </w:t>
      </w:r>
      <w:r w:rsidRPr="009A72E7">
        <w:rPr>
          <w:rFonts w:ascii="Times New Roman" w:hAnsi="Times New Roman" w:cs="Times New Roman"/>
          <w:sz w:val="28"/>
          <w:szCs w:val="28"/>
          <w:lang w:val="ru-RU"/>
        </w:rPr>
        <w:t>и оценку баланса риска</w:t>
      </w:r>
      <w:r w:rsidRPr="00486036">
        <w:rPr>
          <w:rFonts w:ascii="Times New Roman" w:hAnsi="Times New Roman" w:cs="Times New Roman"/>
          <w:sz w:val="28"/>
          <w:szCs w:val="28"/>
          <w:lang w:val="ru-RU"/>
        </w:rPr>
        <w:t xml:space="preserve">, </w:t>
      </w:r>
      <w:r w:rsidRPr="009A72E7">
        <w:rPr>
          <w:rFonts w:ascii="Times New Roman" w:hAnsi="Times New Roman" w:cs="Times New Roman"/>
          <w:sz w:val="28"/>
          <w:szCs w:val="28"/>
          <w:lang w:val="ru-RU"/>
        </w:rPr>
        <w:t>разработаны протоколы отбора печени чтобы обеспечить более безопасное использование и эффективное расширение пула доноров</w:t>
      </w:r>
      <w:r w:rsidR="001E740B">
        <w:rPr>
          <w:rFonts w:ascii="Times New Roman" w:hAnsi="Times New Roman" w:cs="Times New Roman"/>
          <w:sz w:val="28"/>
          <w:szCs w:val="28"/>
          <w:lang w:val="ru-RU"/>
        </w:rPr>
        <w:t>.</w:t>
      </w:r>
    </w:p>
    <w:p w14:paraId="2ECA7D2D" w14:textId="77777777" w:rsidR="00C700B8" w:rsidRPr="009A72E7" w:rsidRDefault="00274D3C" w:rsidP="00486036">
      <w:pPr>
        <w:pStyle w:val="ab"/>
        <w:ind w:firstLine="567"/>
        <w:jc w:val="both"/>
        <w:rPr>
          <w:rFonts w:ascii="Times New Roman" w:eastAsia="Times New Roman" w:hAnsi="Times New Roman" w:cs="Times New Roman"/>
          <w:sz w:val="28"/>
          <w:szCs w:val="28"/>
          <w:lang w:val="ru-RU"/>
        </w:rPr>
      </w:pPr>
      <w:r w:rsidRPr="009A72E7">
        <w:rPr>
          <w:rFonts w:ascii="Times New Roman" w:hAnsi="Times New Roman" w:cs="Times New Roman"/>
          <w:color w:val="000000"/>
          <w:sz w:val="28"/>
          <w:szCs w:val="28"/>
          <w:lang w:val="ru-RU"/>
        </w:rPr>
        <w:t xml:space="preserve">Таким образом, несоответствие между предполагаемым объемом печени и фактическим весом трансплантата остается серьезной проблемой при трансплантации печени. Понимание основных факторов, способствующих этому </w:t>
      </w:r>
      <w:r w:rsidRPr="009A72E7">
        <w:rPr>
          <w:rFonts w:ascii="Times New Roman" w:hAnsi="Times New Roman" w:cs="Times New Roman"/>
          <w:color w:val="000000"/>
          <w:sz w:val="28"/>
          <w:szCs w:val="28"/>
          <w:lang w:val="ru-RU"/>
        </w:rPr>
        <w:lastRenderedPageBreak/>
        <w:t xml:space="preserve">несоответствию, и внедрение инновационных стратегий имеют важное значение для повышения точности определения размера трансплантата, оптимизации результатов лечения </w:t>
      </w:r>
      <w:r w:rsidR="005F2DF2">
        <w:rPr>
          <w:rFonts w:ascii="Times New Roman" w:hAnsi="Times New Roman" w:cs="Times New Roman"/>
          <w:color w:val="000000"/>
          <w:sz w:val="28"/>
          <w:szCs w:val="28"/>
          <w:lang w:val="ru-RU"/>
        </w:rPr>
        <w:t>реципиентов</w:t>
      </w:r>
      <w:r w:rsidRPr="009A72E7">
        <w:rPr>
          <w:rFonts w:ascii="Times New Roman" w:hAnsi="Times New Roman" w:cs="Times New Roman"/>
          <w:color w:val="000000"/>
          <w:sz w:val="28"/>
          <w:szCs w:val="28"/>
          <w:lang w:val="ru-RU"/>
        </w:rPr>
        <w:t xml:space="preserve"> и продвижения в области трансплантации печени. Поскольку технологии и медицинские знания продолжают развиваться, совместные усилия хирургов, радиологов и исследователей будут иметь решающее значение для уменьшения </w:t>
      </w:r>
      <w:r w:rsidR="00661766" w:rsidRPr="009A72E7">
        <w:rPr>
          <w:rFonts w:ascii="Times New Roman" w:hAnsi="Times New Roman" w:cs="Times New Roman"/>
          <w:color w:val="000000"/>
          <w:sz w:val="28"/>
          <w:szCs w:val="28"/>
          <w:lang w:val="ru-RU"/>
        </w:rPr>
        <w:t>процента ошибки</w:t>
      </w:r>
      <w:r w:rsidRPr="009A72E7">
        <w:rPr>
          <w:rFonts w:ascii="Times New Roman" w:hAnsi="Times New Roman" w:cs="Times New Roman"/>
          <w:color w:val="000000"/>
          <w:sz w:val="28"/>
          <w:szCs w:val="28"/>
          <w:lang w:val="ru-RU"/>
        </w:rPr>
        <w:t xml:space="preserve"> и повышения успеха процедур трансплантации печени.</w:t>
      </w:r>
      <w:r w:rsidRPr="00486036">
        <w:rPr>
          <w:rFonts w:ascii="Times New Roman" w:hAnsi="Times New Roman" w:cs="Times New Roman"/>
          <w:color w:val="000000"/>
          <w:sz w:val="28"/>
          <w:szCs w:val="28"/>
        </w:rPr>
        <w:t> </w:t>
      </w:r>
    </w:p>
    <w:p w14:paraId="2930E47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53BA71A4" w14:textId="77777777" w:rsidR="00C700B8" w:rsidRDefault="00C700B8"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32A67F70"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3873C3E1"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4C2E608F"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2A3B3547"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3C77AAC7"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55DF60CB"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7591370A"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5EF97F08"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248B2E40"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0A7A06A6"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065DC707"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56A91E46"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30FB4F41"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341C32B3"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38D1DECF"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665D869C"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2D01FF97"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40B7136E"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4A71390E"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74A69C9C"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36D2F44C" w14:textId="77777777" w:rsidR="003B5D6A" w:rsidRDefault="003B5D6A"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55F2E98A" w14:textId="77777777" w:rsidR="009471B9" w:rsidRDefault="009471B9"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62F63C7B" w14:textId="77777777" w:rsidR="009471B9" w:rsidRDefault="009471B9"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1B7B235C" w14:textId="77777777" w:rsidR="009471B9" w:rsidRDefault="009471B9"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5E0850BE" w14:textId="77777777" w:rsidR="009471B9" w:rsidRDefault="009471B9"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000E7E71" w14:textId="77777777" w:rsidR="009471B9" w:rsidRDefault="009471B9"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29E936DC" w14:textId="77777777" w:rsidR="006C2883" w:rsidRDefault="006C2883"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6599D911" w14:textId="77777777" w:rsidR="006C2883" w:rsidRDefault="006C2883"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5A2947D4" w14:textId="77777777" w:rsidR="006C2883" w:rsidRDefault="006C2883"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7CB56402" w14:textId="77777777" w:rsidR="006C2883" w:rsidRDefault="006C2883"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55CA9251" w14:textId="77777777" w:rsidR="006C2883" w:rsidRDefault="006C2883"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575C155A" w14:textId="77777777" w:rsidR="006C2883" w:rsidRDefault="006C2883"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1C747D93" w14:textId="77777777" w:rsidR="009471B9" w:rsidRDefault="009471B9"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3C0238DC" w14:textId="77777777" w:rsidR="009471B9" w:rsidRDefault="009471B9"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3C4C1C33" w14:textId="77777777" w:rsidR="00BA1134" w:rsidRPr="00170B7C" w:rsidRDefault="00BA1134"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4EE2A6E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b/>
          <w:color w:val="000000"/>
          <w:sz w:val="28"/>
          <w:szCs w:val="28"/>
        </w:rPr>
        <w:lastRenderedPageBreak/>
        <w:t>2 МАТЕРИАЛ И МЕТОДЫ ИССЛЕДОВАНИЯ</w:t>
      </w:r>
      <w:r w:rsidRPr="00170B7C">
        <w:rPr>
          <w:color w:val="000000"/>
          <w:sz w:val="28"/>
          <w:szCs w:val="28"/>
        </w:rPr>
        <w:t> </w:t>
      </w:r>
    </w:p>
    <w:p w14:paraId="682A6FC4"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ind w:firstLine="740"/>
        <w:jc w:val="both"/>
        <w:rPr>
          <w:rFonts w:eastAsia="Calibri"/>
          <w:color w:val="000000"/>
          <w:sz w:val="28"/>
          <w:szCs w:val="28"/>
        </w:rPr>
      </w:pPr>
    </w:p>
    <w:p w14:paraId="3F0EAFB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r w:rsidRPr="00170B7C">
        <w:rPr>
          <w:b/>
          <w:color w:val="000000"/>
          <w:sz w:val="28"/>
          <w:szCs w:val="28"/>
        </w:rPr>
        <w:t>2.1 Дизайн исследования</w:t>
      </w:r>
    </w:p>
    <w:p w14:paraId="3177961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В работе использовалось открытое простое не рандомизированное ретро и проспективное  исследование. </w:t>
      </w:r>
    </w:p>
    <w:p w14:paraId="53C6847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Гипотезы:  </w:t>
      </w:r>
    </w:p>
    <w:p w14:paraId="01D4B056" w14:textId="77777777" w:rsidR="00C700B8" w:rsidRPr="00C5654B" w:rsidRDefault="00274D3C" w:rsidP="00A52884">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C5654B">
        <w:rPr>
          <w:color w:val="000000"/>
          <w:sz w:val="28"/>
          <w:szCs w:val="28"/>
        </w:rPr>
        <w:t>H</w:t>
      </w:r>
      <w:r w:rsidR="00A52884" w:rsidRPr="00C5654B">
        <w:rPr>
          <w:color w:val="000000"/>
          <w:sz w:val="28"/>
          <w:szCs w:val="28"/>
          <w:vertAlign w:val="subscript"/>
        </w:rPr>
        <w:t>1</w:t>
      </w:r>
      <w:r w:rsidRPr="00C5654B">
        <w:rPr>
          <w:color w:val="000000"/>
          <w:sz w:val="28"/>
          <w:szCs w:val="28"/>
        </w:rPr>
        <w:t xml:space="preserve"> - оптимизированный метод </w:t>
      </w:r>
      <w:r w:rsidR="00A52884" w:rsidRPr="00C5654B">
        <w:rPr>
          <w:color w:val="000000"/>
          <w:sz w:val="28"/>
          <w:szCs w:val="28"/>
        </w:rPr>
        <w:t>КТ-</w:t>
      </w:r>
      <w:r w:rsidRPr="00C5654B">
        <w:rPr>
          <w:color w:val="000000"/>
          <w:sz w:val="28"/>
          <w:szCs w:val="28"/>
        </w:rPr>
        <w:t xml:space="preserve">волюметрии </w:t>
      </w:r>
      <w:r w:rsidR="00A52884" w:rsidRPr="00C5654B">
        <w:rPr>
          <w:color w:val="000000"/>
          <w:sz w:val="28"/>
          <w:szCs w:val="28"/>
        </w:rPr>
        <w:t xml:space="preserve">печени донора при родственной трансплантации </w:t>
      </w:r>
      <w:r w:rsidRPr="00C5654B">
        <w:rPr>
          <w:color w:val="000000"/>
          <w:sz w:val="28"/>
          <w:szCs w:val="28"/>
        </w:rPr>
        <w:t>точнее, чем мануальный</w:t>
      </w:r>
      <w:r w:rsidR="00A52884" w:rsidRPr="00C5654B">
        <w:rPr>
          <w:color w:val="000000"/>
          <w:sz w:val="28"/>
          <w:szCs w:val="28"/>
        </w:rPr>
        <w:t>, полуавтоматический и автоматический методы.</w:t>
      </w:r>
    </w:p>
    <w:p w14:paraId="577D8452" w14:textId="77777777" w:rsidR="00C700B8" w:rsidRPr="00C5654B"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C5654B">
        <w:rPr>
          <w:color w:val="000000"/>
          <w:sz w:val="28"/>
          <w:szCs w:val="28"/>
        </w:rPr>
        <w:t>H</w:t>
      </w:r>
      <w:r w:rsidR="00A52884" w:rsidRPr="00C5654B">
        <w:rPr>
          <w:color w:val="000000"/>
          <w:sz w:val="28"/>
          <w:szCs w:val="28"/>
          <w:vertAlign w:val="subscript"/>
        </w:rPr>
        <w:t>0</w:t>
      </w:r>
      <w:r w:rsidRPr="00C5654B">
        <w:rPr>
          <w:color w:val="000000"/>
          <w:sz w:val="28"/>
          <w:szCs w:val="28"/>
        </w:rPr>
        <w:t xml:space="preserve"> - нет различий между методами исследований. </w:t>
      </w:r>
    </w:p>
    <w:p w14:paraId="054A16A9" w14:textId="77777777" w:rsidR="00C700B8" w:rsidRPr="00C5654B"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C5654B">
        <w:rPr>
          <w:color w:val="000000"/>
          <w:sz w:val="28"/>
          <w:szCs w:val="28"/>
        </w:rPr>
        <w:t>Статистическая модель: </w:t>
      </w:r>
    </w:p>
    <w:p w14:paraId="065405D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C5654B">
        <w:rPr>
          <w:color w:val="000000"/>
          <w:sz w:val="28"/>
          <w:szCs w:val="28"/>
        </w:rPr>
        <w:t>Для получения статистической модели и формулы для расчета выборки были проанализированы</w:t>
      </w:r>
      <w:r w:rsidRPr="00170B7C">
        <w:rPr>
          <w:color w:val="000000"/>
          <w:sz w:val="28"/>
          <w:szCs w:val="28"/>
        </w:rPr>
        <w:t xml:space="preserve"> эпидемиологические данные. </w:t>
      </w:r>
    </w:p>
    <w:p w14:paraId="60710F0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Размер выборки рассчитан с помощью формулы (1):  </w:t>
      </w:r>
    </w:p>
    <w:p w14:paraId="6C59638A" w14:textId="77777777" w:rsidR="00C700B8" w:rsidRPr="00170B7C" w:rsidRDefault="00E8569A" w:rsidP="00170B7C">
      <w:pPr>
        <w:pBdr>
          <w:top w:val="none" w:sz="0" w:space="0" w:color="000000"/>
          <w:left w:val="none" w:sz="0" w:space="0" w:color="000000"/>
          <w:bottom w:val="none" w:sz="0" w:space="0" w:color="000000"/>
          <w:right w:val="none" w:sz="0" w:space="0" w:color="000000"/>
          <w:between w:val="none" w:sz="0" w:space="0" w:color="000000"/>
        </w:pBdr>
        <w:spacing w:before="640" w:after="160"/>
        <w:jc w:val="right"/>
        <w:rPr>
          <w:rFonts w:eastAsia="Calibri"/>
          <w:color w:val="000000"/>
          <w:sz w:val="28"/>
          <w:szCs w:val="28"/>
        </w:rPr>
      </w:pPr>
      <w:sdt>
        <w:sdtPr>
          <w:rPr>
            <w:sz w:val="28"/>
            <w:szCs w:val="28"/>
          </w:rPr>
          <w:tag w:val="goog_rdk_5"/>
          <w:id w:val="312142541"/>
        </w:sdtPr>
        <w:sdtContent>
          <w:r w:rsidR="00274D3C" w:rsidRPr="00170B7C">
            <w:rPr>
              <w:rFonts w:eastAsia="Gungsuh"/>
              <w:color w:val="000000"/>
              <w:sz w:val="28"/>
              <w:szCs w:val="28"/>
            </w:rPr>
            <w:t>n=t2хpх1-p∆2</w:t>
          </w:r>
        </w:sdtContent>
      </w:sdt>
      <w:r w:rsidR="00274D3C" w:rsidRPr="00170B7C">
        <w:rPr>
          <w:rFonts w:eastAsia="Cambria Math"/>
          <w:color w:val="000000"/>
          <w:sz w:val="28"/>
          <w:szCs w:val="28"/>
        </w:rPr>
        <w:t>   </w:t>
      </w:r>
      <w:r w:rsidR="00274D3C" w:rsidRPr="00170B7C">
        <w:rPr>
          <w:rFonts w:eastAsia="Cambria Math"/>
          <w:b/>
          <w:color w:val="000000"/>
          <w:sz w:val="28"/>
          <w:szCs w:val="28"/>
        </w:rPr>
        <w:t> </w:t>
      </w:r>
      <w:r w:rsidR="00274D3C" w:rsidRPr="00170B7C">
        <w:rPr>
          <w:b/>
          <w:color w:val="000000"/>
          <w:sz w:val="28"/>
          <w:szCs w:val="28"/>
        </w:rPr>
        <w:t>                                            </w:t>
      </w:r>
      <w:r w:rsidR="00274D3C" w:rsidRPr="00170B7C">
        <w:rPr>
          <w:color w:val="000000"/>
          <w:sz w:val="28"/>
          <w:szCs w:val="28"/>
        </w:rPr>
        <w:t>          (1)</w:t>
      </w:r>
    </w:p>
    <w:p w14:paraId="3C4C9E98"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где n-размер выборки; </w:t>
      </w:r>
    </w:p>
    <w:p w14:paraId="626CF1A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t - константа (распределения выборочных средних); </w:t>
      </w:r>
    </w:p>
    <w:p w14:paraId="087E811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Δ - максимально допустимая погрешность для данного исследования; </w:t>
      </w:r>
    </w:p>
    <w:p w14:paraId="782BDDE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p - доля исследуемого параметра. </w:t>
      </w:r>
    </w:p>
    <w:p w14:paraId="45ED7CE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При расчете размера выборки допущено максимальное стандартное отклонение, которое возможно при относительной доле исследуемого параметра. Уровень значимости составил 5%, с доверительной вероятностью 95%. В этом случае минимальный размер выборки </w:t>
      </w:r>
      <w:r w:rsidR="00820DF0">
        <w:rPr>
          <w:color w:val="000000"/>
          <w:sz w:val="28"/>
          <w:szCs w:val="28"/>
        </w:rPr>
        <w:t xml:space="preserve">составляет </w:t>
      </w:r>
      <w:r w:rsidRPr="00170B7C">
        <w:rPr>
          <w:color w:val="000000"/>
          <w:sz w:val="28"/>
          <w:szCs w:val="28"/>
        </w:rPr>
        <w:t xml:space="preserve"> не менее n=50. </w:t>
      </w:r>
    </w:p>
    <w:p w14:paraId="42DD7F90"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p>
    <w:p w14:paraId="4673826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r w:rsidRPr="00170B7C">
        <w:rPr>
          <w:b/>
          <w:color w:val="000000"/>
          <w:sz w:val="28"/>
          <w:szCs w:val="28"/>
        </w:rPr>
        <w:t>2.2 Материал исследования</w:t>
      </w:r>
    </w:p>
    <w:p w14:paraId="585E1051"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2BA4D309" w14:textId="77777777" w:rsidR="00430B5A"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 В период с 2011 по 2022 года </w:t>
      </w:r>
      <w:r w:rsidR="002401C7" w:rsidRPr="00170B7C">
        <w:rPr>
          <w:color w:val="000000"/>
          <w:sz w:val="28"/>
          <w:szCs w:val="28"/>
        </w:rPr>
        <w:t xml:space="preserve">в Республике Казахстан </w:t>
      </w:r>
      <w:r w:rsidR="00EC796A" w:rsidRPr="00170B7C">
        <w:rPr>
          <w:color w:val="000000"/>
          <w:sz w:val="28"/>
          <w:szCs w:val="28"/>
        </w:rPr>
        <w:t>проведено</w:t>
      </w:r>
      <w:r w:rsidR="002401C7" w:rsidRPr="00170B7C">
        <w:rPr>
          <w:color w:val="000000"/>
          <w:sz w:val="28"/>
          <w:szCs w:val="28"/>
        </w:rPr>
        <w:t xml:space="preserve"> 422 трансплантаци</w:t>
      </w:r>
      <w:r w:rsidR="00EC796A" w:rsidRPr="00170B7C">
        <w:rPr>
          <w:color w:val="000000"/>
          <w:sz w:val="28"/>
          <w:szCs w:val="28"/>
        </w:rPr>
        <w:t>й</w:t>
      </w:r>
      <w:r w:rsidR="002401C7" w:rsidRPr="00170B7C">
        <w:rPr>
          <w:color w:val="000000"/>
          <w:sz w:val="28"/>
          <w:szCs w:val="28"/>
        </w:rPr>
        <w:t xml:space="preserve"> печени, 90% из которых </w:t>
      </w:r>
      <w:r w:rsidR="00EC796A" w:rsidRPr="00170B7C">
        <w:rPr>
          <w:color w:val="000000"/>
          <w:sz w:val="28"/>
          <w:szCs w:val="28"/>
        </w:rPr>
        <w:t xml:space="preserve">проведены </w:t>
      </w:r>
      <w:r w:rsidR="002401C7" w:rsidRPr="00170B7C">
        <w:rPr>
          <w:color w:val="000000"/>
          <w:sz w:val="28"/>
          <w:szCs w:val="28"/>
        </w:rPr>
        <w:t>от живого родственного донора (рисунок 2). </w:t>
      </w:r>
    </w:p>
    <w:p w14:paraId="6D40D16A" w14:textId="77777777" w:rsidR="00EC796A" w:rsidRPr="00170B7C" w:rsidRDefault="00EC796A" w:rsidP="005604C3">
      <w:pPr>
        <w:pStyle w:val="ab"/>
        <w:jc w:val="center"/>
        <w:rPr>
          <w:rFonts w:ascii="Times New Roman" w:hAnsi="Times New Roman" w:cs="Times New Roman"/>
          <w:color w:val="000000"/>
          <w:sz w:val="28"/>
          <w:szCs w:val="28"/>
          <w:lang w:val="ru-RU"/>
        </w:rPr>
      </w:pPr>
      <w:r w:rsidRPr="00170B7C">
        <w:rPr>
          <w:rFonts w:ascii="Times New Roman" w:hAnsi="Times New Roman" w:cs="Times New Roman"/>
          <w:noProof/>
          <w:sz w:val="28"/>
          <w:szCs w:val="28"/>
          <w:lang w:val="ru-RU" w:eastAsia="ru-RU"/>
        </w:rPr>
        <w:drawing>
          <wp:inline distT="114300" distB="114300" distL="114300" distR="114300" wp14:anchorId="7E3D7A16" wp14:editId="17819D39">
            <wp:extent cx="5587365" cy="2237591"/>
            <wp:effectExtent l="0" t="0" r="635" b="0"/>
            <wp:docPr id="40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rotWithShape="1">
                    <a:blip r:embed="rId11" cstate="print"/>
                    <a:srcRect l="4687" r="6081"/>
                    <a:stretch/>
                  </pic:blipFill>
                  <pic:spPr bwMode="auto">
                    <a:xfrm>
                      <a:off x="0" y="0"/>
                      <a:ext cx="5600919" cy="2243019"/>
                    </a:xfrm>
                    <a:prstGeom prst="rect">
                      <a:avLst/>
                    </a:prstGeom>
                    <a:ln>
                      <a:noFill/>
                    </a:ln>
                    <a:extLst>
                      <a:ext uri="{53640926-AAD7-44D8-BBD7-CCE9431645EC}">
                        <a14:shadowObscured xmlns:a14="http://schemas.microsoft.com/office/drawing/2010/main"/>
                      </a:ext>
                    </a:extLst>
                  </pic:spPr>
                </pic:pic>
              </a:graphicData>
            </a:graphic>
          </wp:inline>
        </w:drawing>
      </w:r>
    </w:p>
    <w:p w14:paraId="6AAEC4D8" w14:textId="77777777" w:rsidR="005604C3"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sz w:val="28"/>
          <w:szCs w:val="28"/>
        </w:rPr>
      </w:pPr>
      <w:r w:rsidRPr="00170B7C">
        <w:rPr>
          <w:sz w:val="28"/>
          <w:szCs w:val="28"/>
        </w:rPr>
        <w:t xml:space="preserve"> </w:t>
      </w:r>
    </w:p>
    <w:p w14:paraId="4DC27DB1" w14:textId="77777777" w:rsidR="00164467" w:rsidRPr="00170B7C" w:rsidRDefault="00164467"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sz w:val="28"/>
          <w:szCs w:val="28"/>
        </w:rPr>
        <w:t xml:space="preserve">Рисунок </w:t>
      </w:r>
      <w:r w:rsidR="009327C3" w:rsidRPr="00170B7C">
        <w:rPr>
          <w:sz w:val="28"/>
          <w:szCs w:val="28"/>
        </w:rPr>
        <w:t xml:space="preserve">2 </w:t>
      </w:r>
      <w:r w:rsidR="00820DF0" w:rsidRPr="00170B7C">
        <w:rPr>
          <w:color w:val="000000"/>
          <w:sz w:val="28"/>
          <w:szCs w:val="28"/>
        </w:rPr>
        <w:t xml:space="preserve">– </w:t>
      </w:r>
      <w:r w:rsidRPr="00170B7C">
        <w:rPr>
          <w:sz w:val="28"/>
          <w:szCs w:val="28"/>
        </w:rPr>
        <w:t xml:space="preserve">количество </w:t>
      </w:r>
      <w:r w:rsidRPr="00170B7C">
        <w:rPr>
          <w:color w:val="000000"/>
          <w:sz w:val="28"/>
          <w:szCs w:val="28"/>
        </w:rPr>
        <w:t xml:space="preserve">проведения трансплантаций печени в Казахстане </w:t>
      </w:r>
    </w:p>
    <w:p w14:paraId="395CC65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lastRenderedPageBreak/>
        <w:t>Национальн</w:t>
      </w:r>
      <w:r w:rsidR="002401C7" w:rsidRPr="00170B7C">
        <w:rPr>
          <w:color w:val="000000"/>
          <w:sz w:val="28"/>
          <w:szCs w:val="28"/>
        </w:rPr>
        <w:t>ый</w:t>
      </w:r>
      <w:r w:rsidRPr="00170B7C">
        <w:rPr>
          <w:color w:val="000000"/>
          <w:sz w:val="28"/>
          <w:szCs w:val="28"/>
        </w:rPr>
        <w:t xml:space="preserve"> научн</w:t>
      </w:r>
      <w:r w:rsidR="002401C7" w:rsidRPr="00170B7C">
        <w:rPr>
          <w:color w:val="000000"/>
          <w:sz w:val="28"/>
          <w:szCs w:val="28"/>
        </w:rPr>
        <w:t>ый</w:t>
      </w:r>
      <w:r w:rsidRPr="00170B7C">
        <w:rPr>
          <w:color w:val="000000"/>
          <w:sz w:val="28"/>
          <w:szCs w:val="28"/>
        </w:rPr>
        <w:t xml:space="preserve"> центр хирургии им. А.Н. Сызганова (ННЦХ) </w:t>
      </w:r>
      <w:r w:rsidR="002401C7" w:rsidRPr="00170B7C">
        <w:rPr>
          <w:color w:val="000000"/>
          <w:sz w:val="28"/>
          <w:szCs w:val="28"/>
        </w:rPr>
        <w:t xml:space="preserve">является </w:t>
      </w:r>
      <w:r w:rsidR="00EC796A" w:rsidRPr="00170B7C">
        <w:rPr>
          <w:color w:val="000000"/>
          <w:sz w:val="28"/>
          <w:szCs w:val="28"/>
        </w:rPr>
        <w:t>ведущим центром трансплантации</w:t>
      </w:r>
      <w:r w:rsidR="00820DF0">
        <w:rPr>
          <w:color w:val="000000"/>
          <w:sz w:val="28"/>
          <w:szCs w:val="28"/>
        </w:rPr>
        <w:t xml:space="preserve"> Республики Казахстан</w:t>
      </w:r>
      <w:r w:rsidR="00EC796A" w:rsidRPr="00170B7C">
        <w:rPr>
          <w:color w:val="000000"/>
          <w:sz w:val="28"/>
          <w:szCs w:val="28"/>
        </w:rPr>
        <w:t xml:space="preserve">, где за 2011-2022 </w:t>
      </w:r>
      <w:r w:rsidR="00965F37" w:rsidRPr="00170B7C">
        <w:rPr>
          <w:color w:val="000000"/>
          <w:sz w:val="28"/>
          <w:szCs w:val="28"/>
        </w:rPr>
        <w:t>годы выполнено</w:t>
      </w:r>
      <w:r w:rsidRPr="00170B7C">
        <w:rPr>
          <w:color w:val="000000"/>
          <w:sz w:val="28"/>
          <w:szCs w:val="28"/>
        </w:rPr>
        <w:t xml:space="preserve"> 202 трансплантаций печени от живого родственного донора из них 165 (81,6%) взрослых (рисунок </w:t>
      </w:r>
      <w:r w:rsidR="009327C3" w:rsidRPr="00170B7C">
        <w:rPr>
          <w:color w:val="000000"/>
          <w:sz w:val="28"/>
          <w:szCs w:val="28"/>
        </w:rPr>
        <w:t>3</w:t>
      </w:r>
      <w:r w:rsidRPr="00170B7C">
        <w:rPr>
          <w:color w:val="000000"/>
          <w:sz w:val="28"/>
          <w:szCs w:val="28"/>
        </w:rPr>
        <w:t>).  </w:t>
      </w:r>
    </w:p>
    <w:p w14:paraId="3732E089"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jc w:val="both"/>
        <w:rPr>
          <w:sz w:val="28"/>
          <w:szCs w:val="28"/>
        </w:rPr>
      </w:pPr>
    </w:p>
    <w:p w14:paraId="35DCC030" w14:textId="77777777" w:rsidR="00C700B8" w:rsidRPr="00170B7C" w:rsidRDefault="00274D3C" w:rsidP="005604C3">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627957AA" wp14:editId="64250B4B">
            <wp:extent cx="5958743" cy="3334870"/>
            <wp:effectExtent l="0" t="0" r="0" b="5715"/>
            <wp:docPr id="406" name="image29.png" descr="IMG_257"/>
            <wp:cNvGraphicFramePr/>
            <a:graphic xmlns:a="http://schemas.openxmlformats.org/drawingml/2006/main">
              <a:graphicData uri="http://schemas.openxmlformats.org/drawingml/2006/picture">
                <pic:pic xmlns:pic="http://schemas.openxmlformats.org/drawingml/2006/picture">
                  <pic:nvPicPr>
                    <pic:cNvPr id="0" name="image29.png" descr="IMG_257"/>
                    <pic:cNvPicPr preferRelativeResize="0"/>
                  </pic:nvPicPr>
                  <pic:blipFill>
                    <a:blip r:embed="rId12"/>
                    <a:srcRect/>
                    <a:stretch>
                      <a:fillRect/>
                    </a:stretch>
                  </pic:blipFill>
                  <pic:spPr>
                    <a:xfrm>
                      <a:off x="0" y="0"/>
                      <a:ext cx="5972779" cy="3342725"/>
                    </a:xfrm>
                    <a:prstGeom prst="rect">
                      <a:avLst/>
                    </a:prstGeom>
                    <a:ln/>
                  </pic:spPr>
                </pic:pic>
              </a:graphicData>
            </a:graphic>
          </wp:inline>
        </w:drawing>
      </w:r>
    </w:p>
    <w:p w14:paraId="70C5B1CC" w14:textId="77777777" w:rsidR="005604C3" w:rsidRDefault="005604C3"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6B42E06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 xml:space="preserve">Рисунок </w:t>
      </w:r>
      <w:r w:rsidR="00130DBE" w:rsidRPr="00170B7C">
        <w:rPr>
          <w:color w:val="000000"/>
          <w:sz w:val="28"/>
          <w:szCs w:val="28"/>
        </w:rPr>
        <w:t>3</w:t>
      </w:r>
      <w:r w:rsidR="00820DF0">
        <w:rPr>
          <w:color w:val="000000"/>
          <w:sz w:val="28"/>
          <w:szCs w:val="28"/>
        </w:rPr>
        <w:t xml:space="preserve"> </w:t>
      </w:r>
      <w:r w:rsidRPr="00170B7C">
        <w:rPr>
          <w:color w:val="000000"/>
          <w:sz w:val="28"/>
          <w:szCs w:val="28"/>
        </w:rPr>
        <w:t>– Трансплантация печени в ННЦХ за 2011-2022 гг. </w:t>
      </w:r>
    </w:p>
    <w:p w14:paraId="7FA8EFF1"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p>
    <w:p w14:paraId="0F09E6D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У 147/165 (89,1%) </w:t>
      </w:r>
      <w:r w:rsidR="005F2DF2">
        <w:rPr>
          <w:color w:val="000000"/>
          <w:sz w:val="28"/>
          <w:szCs w:val="28"/>
        </w:rPr>
        <w:t>реципиентов</w:t>
      </w:r>
      <w:r w:rsidRPr="00170B7C">
        <w:rPr>
          <w:color w:val="000000"/>
          <w:sz w:val="28"/>
          <w:szCs w:val="28"/>
        </w:rPr>
        <w:t xml:space="preserve"> проведена правосторонняя ге</w:t>
      </w:r>
      <w:r w:rsidR="007034D5">
        <w:rPr>
          <w:color w:val="000000"/>
          <w:sz w:val="28"/>
          <w:szCs w:val="28"/>
        </w:rPr>
        <w:t>миге</w:t>
      </w:r>
      <w:r w:rsidRPr="00170B7C">
        <w:rPr>
          <w:color w:val="000000"/>
          <w:sz w:val="28"/>
          <w:szCs w:val="28"/>
        </w:rPr>
        <w:t>патэктомия, у 17/165 (10,3%) левосторонняя ге</w:t>
      </w:r>
      <w:r w:rsidR="007034D5">
        <w:rPr>
          <w:color w:val="000000"/>
          <w:sz w:val="28"/>
          <w:szCs w:val="28"/>
        </w:rPr>
        <w:t>миге</w:t>
      </w:r>
      <w:r w:rsidRPr="00170B7C">
        <w:rPr>
          <w:color w:val="000000"/>
          <w:sz w:val="28"/>
          <w:szCs w:val="28"/>
        </w:rPr>
        <w:t xml:space="preserve">патэктомия и у 1/165 (0,6%) </w:t>
      </w:r>
      <w:r w:rsidR="005F2DF2">
        <w:rPr>
          <w:color w:val="000000"/>
          <w:sz w:val="28"/>
          <w:szCs w:val="28"/>
        </w:rPr>
        <w:t>реципиентов</w:t>
      </w:r>
      <w:r w:rsidRPr="00170B7C">
        <w:rPr>
          <w:color w:val="000000"/>
          <w:sz w:val="28"/>
          <w:szCs w:val="28"/>
        </w:rPr>
        <w:t xml:space="preserve"> - dual graft (две пересаженные левые доли печени от двух доноров).  </w:t>
      </w:r>
    </w:p>
    <w:p w14:paraId="09EA7EEF" w14:textId="77777777" w:rsidR="00820DF0" w:rsidRPr="00B43769" w:rsidRDefault="00192034"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B43769">
        <w:rPr>
          <w:color w:val="000000"/>
          <w:sz w:val="28"/>
          <w:szCs w:val="28"/>
        </w:rPr>
        <w:t>За</w:t>
      </w:r>
      <w:r w:rsidR="00274D3C" w:rsidRPr="00B43769">
        <w:rPr>
          <w:color w:val="000000"/>
          <w:sz w:val="28"/>
          <w:szCs w:val="28"/>
        </w:rPr>
        <w:t xml:space="preserve"> период 2018-202</w:t>
      </w:r>
      <w:r w:rsidRPr="00B43769">
        <w:rPr>
          <w:color w:val="000000"/>
          <w:sz w:val="28"/>
          <w:szCs w:val="28"/>
        </w:rPr>
        <w:t>1</w:t>
      </w:r>
      <w:r w:rsidR="00274D3C" w:rsidRPr="00B43769">
        <w:rPr>
          <w:color w:val="000000"/>
          <w:sz w:val="28"/>
          <w:szCs w:val="28"/>
        </w:rPr>
        <w:t xml:space="preserve"> год</w:t>
      </w:r>
      <w:r w:rsidR="00B43769" w:rsidRPr="00B43769">
        <w:rPr>
          <w:color w:val="000000"/>
          <w:sz w:val="28"/>
          <w:szCs w:val="28"/>
        </w:rPr>
        <w:t>а</w:t>
      </w:r>
      <w:r w:rsidRPr="00B43769">
        <w:rPr>
          <w:color w:val="000000"/>
          <w:sz w:val="28"/>
          <w:szCs w:val="28"/>
        </w:rPr>
        <w:t xml:space="preserve"> в ННЦХ среди 2</w:t>
      </w:r>
      <w:r w:rsidR="00B43769" w:rsidRPr="00B43769">
        <w:rPr>
          <w:color w:val="000000"/>
          <w:sz w:val="28"/>
          <w:szCs w:val="28"/>
        </w:rPr>
        <w:t>90</w:t>
      </w:r>
      <w:r w:rsidRPr="00B43769">
        <w:rPr>
          <w:color w:val="000000"/>
          <w:sz w:val="28"/>
          <w:szCs w:val="28"/>
        </w:rPr>
        <w:t xml:space="preserve"> </w:t>
      </w:r>
      <w:r w:rsidR="00B43769" w:rsidRPr="00B43769">
        <w:rPr>
          <w:color w:val="000000"/>
          <w:sz w:val="28"/>
          <w:szCs w:val="28"/>
        </w:rPr>
        <w:t xml:space="preserve">обследованных </w:t>
      </w:r>
      <w:r w:rsidRPr="00B43769">
        <w:rPr>
          <w:color w:val="000000"/>
          <w:sz w:val="28"/>
          <w:szCs w:val="28"/>
        </w:rPr>
        <w:t xml:space="preserve">потенциальных доноров печени </w:t>
      </w:r>
      <w:r w:rsidR="00B43769" w:rsidRPr="00B43769">
        <w:rPr>
          <w:color w:val="000000"/>
          <w:sz w:val="28"/>
          <w:szCs w:val="28"/>
        </w:rPr>
        <w:t>145 (50,5%)</w:t>
      </w:r>
      <w:r w:rsidRPr="00B43769">
        <w:rPr>
          <w:color w:val="000000"/>
          <w:sz w:val="28"/>
          <w:szCs w:val="28"/>
        </w:rPr>
        <w:t xml:space="preserve"> не прошли отбор</w:t>
      </w:r>
      <w:r w:rsidR="00274D3C" w:rsidRPr="00B43769">
        <w:rPr>
          <w:color w:val="000000"/>
          <w:sz w:val="28"/>
          <w:szCs w:val="28"/>
        </w:rPr>
        <w:t xml:space="preserve">. </w:t>
      </w:r>
    </w:p>
    <w:p w14:paraId="041457B7" w14:textId="77777777" w:rsidR="00C700B8" w:rsidRPr="00B43769"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B43769">
        <w:rPr>
          <w:color w:val="000000"/>
          <w:sz w:val="28"/>
          <w:szCs w:val="28"/>
        </w:rPr>
        <w:t xml:space="preserve">У </w:t>
      </w:r>
      <w:r w:rsidR="00192034" w:rsidRPr="00B43769">
        <w:rPr>
          <w:color w:val="000000"/>
          <w:sz w:val="28"/>
          <w:szCs w:val="28"/>
        </w:rPr>
        <w:t>95</w:t>
      </w:r>
      <w:r w:rsidRPr="00B43769">
        <w:rPr>
          <w:color w:val="000000"/>
          <w:sz w:val="28"/>
          <w:szCs w:val="28"/>
        </w:rPr>
        <w:t xml:space="preserve"> (</w:t>
      </w:r>
      <w:r w:rsidR="00192034" w:rsidRPr="00B43769">
        <w:rPr>
          <w:color w:val="000000"/>
          <w:sz w:val="28"/>
          <w:szCs w:val="28"/>
        </w:rPr>
        <w:t>33,2</w:t>
      </w:r>
      <w:r w:rsidRPr="00B43769">
        <w:rPr>
          <w:color w:val="000000"/>
          <w:sz w:val="28"/>
          <w:szCs w:val="28"/>
        </w:rPr>
        <w:t xml:space="preserve">%) </w:t>
      </w:r>
      <w:r w:rsidR="005F2DF2">
        <w:rPr>
          <w:color w:val="000000"/>
          <w:sz w:val="28"/>
          <w:szCs w:val="28"/>
        </w:rPr>
        <w:t>доноров</w:t>
      </w:r>
      <w:r w:rsidRPr="00B43769">
        <w:rPr>
          <w:color w:val="000000"/>
          <w:sz w:val="28"/>
          <w:szCs w:val="28"/>
        </w:rPr>
        <w:t xml:space="preserve"> </w:t>
      </w:r>
      <w:r w:rsidR="00B43769" w:rsidRPr="00B43769">
        <w:rPr>
          <w:color w:val="000000"/>
          <w:sz w:val="28"/>
          <w:szCs w:val="28"/>
        </w:rPr>
        <w:t xml:space="preserve">по данным КТ-волюметрии печени </w:t>
      </w:r>
      <w:r w:rsidRPr="00B43769">
        <w:rPr>
          <w:color w:val="000000"/>
          <w:sz w:val="28"/>
          <w:szCs w:val="28"/>
        </w:rPr>
        <w:t>объем остаточной печени составил менее 35% от общего объема.   </w:t>
      </w:r>
    </w:p>
    <w:p w14:paraId="1B75C67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B43769">
        <w:rPr>
          <w:color w:val="000000"/>
          <w:sz w:val="28"/>
          <w:szCs w:val="28"/>
        </w:rPr>
        <w:t xml:space="preserve">Помимо недостаточного объема печени потенциальным донорам отказано по ряду других причин: </w:t>
      </w:r>
      <w:r w:rsidR="00192034" w:rsidRPr="00B43769">
        <w:rPr>
          <w:color w:val="000000"/>
          <w:sz w:val="28"/>
          <w:szCs w:val="28"/>
        </w:rPr>
        <w:t>16</w:t>
      </w:r>
      <w:r w:rsidRPr="00B43769">
        <w:rPr>
          <w:color w:val="000000"/>
          <w:sz w:val="28"/>
          <w:szCs w:val="28"/>
        </w:rPr>
        <w:t xml:space="preserve"> (</w:t>
      </w:r>
      <w:r w:rsidR="00192034" w:rsidRPr="00B43769">
        <w:rPr>
          <w:color w:val="000000"/>
          <w:sz w:val="28"/>
          <w:szCs w:val="28"/>
        </w:rPr>
        <w:t>5,5</w:t>
      </w:r>
      <w:r w:rsidRPr="00B43769">
        <w:rPr>
          <w:color w:val="000000"/>
          <w:sz w:val="28"/>
          <w:szCs w:val="28"/>
        </w:rPr>
        <w:t xml:space="preserve">%) </w:t>
      </w:r>
      <w:r w:rsidR="005F2DF2">
        <w:rPr>
          <w:color w:val="000000"/>
          <w:sz w:val="28"/>
          <w:szCs w:val="28"/>
        </w:rPr>
        <w:t>потенциальным донорам</w:t>
      </w:r>
      <w:r w:rsidRPr="00B43769">
        <w:rPr>
          <w:color w:val="000000"/>
          <w:sz w:val="28"/>
          <w:szCs w:val="28"/>
        </w:rPr>
        <w:t xml:space="preserve"> отказано из-за жировой дегенерации печени</w:t>
      </w:r>
      <w:r w:rsidR="00192034" w:rsidRPr="00B43769">
        <w:rPr>
          <w:color w:val="000000"/>
          <w:sz w:val="28"/>
          <w:szCs w:val="28"/>
        </w:rPr>
        <w:t xml:space="preserve"> и фиброза различной степени</w:t>
      </w:r>
      <w:r w:rsidRPr="00B43769">
        <w:rPr>
          <w:color w:val="000000"/>
          <w:sz w:val="28"/>
          <w:szCs w:val="28"/>
        </w:rPr>
        <w:t xml:space="preserve">, </w:t>
      </w:r>
      <w:r w:rsidR="00192034" w:rsidRPr="00B43769">
        <w:rPr>
          <w:color w:val="000000"/>
          <w:sz w:val="28"/>
          <w:szCs w:val="28"/>
        </w:rPr>
        <w:t>34</w:t>
      </w:r>
      <w:r w:rsidRPr="00B43769">
        <w:rPr>
          <w:color w:val="000000"/>
          <w:sz w:val="28"/>
          <w:szCs w:val="28"/>
        </w:rPr>
        <w:t xml:space="preserve"> (</w:t>
      </w:r>
      <w:r w:rsidR="00192034" w:rsidRPr="00B43769">
        <w:rPr>
          <w:color w:val="000000"/>
          <w:sz w:val="28"/>
          <w:szCs w:val="28"/>
        </w:rPr>
        <w:t>10,8</w:t>
      </w:r>
      <w:r w:rsidRPr="00B43769">
        <w:rPr>
          <w:color w:val="000000"/>
          <w:sz w:val="28"/>
          <w:szCs w:val="28"/>
        </w:rPr>
        <w:t xml:space="preserve">%) </w:t>
      </w:r>
      <w:r w:rsidR="005F2DF2">
        <w:rPr>
          <w:color w:val="000000"/>
          <w:sz w:val="28"/>
          <w:szCs w:val="28"/>
        </w:rPr>
        <w:t xml:space="preserve">доноров </w:t>
      </w:r>
      <w:r w:rsidRPr="00B43769">
        <w:rPr>
          <w:color w:val="000000"/>
          <w:sz w:val="28"/>
          <w:szCs w:val="28"/>
        </w:rPr>
        <w:t xml:space="preserve"> не допущены за счет выявления патологий по данным лабораторно-инструментальных данных (рисунок </w:t>
      </w:r>
      <w:r w:rsidR="00130DBE" w:rsidRPr="00B43769">
        <w:rPr>
          <w:color w:val="000000"/>
          <w:sz w:val="28"/>
          <w:szCs w:val="28"/>
        </w:rPr>
        <w:t>4</w:t>
      </w:r>
      <w:r w:rsidRPr="00B43769">
        <w:rPr>
          <w:color w:val="000000"/>
          <w:sz w:val="28"/>
          <w:szCs w:val="28"/>
        </w:rPr>
        <w:t>).</w:t>
      </w:r>
      <w:r w:rsidRPr="00170B7C">
        <w:rPr>
          <w:color w:val="000000"/>
          <w:sz w:val="28"/>
          <w:szCs w:val="28"/>
        </w:rPr>
        <w:t> </w:t>
      </w:r>
    </w:p>
    <w:p w14:paraId="104CC6C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170B7C">
        <w:rPr>
          <w:rFonts w:eastAsia="Calibri"/>
          <w:color w:val="000000"/>
          <w:sz w:val="28"/>
          <w:szCs w:val="28"/>
        </w:rPr>
        <w:t>  </w:t>
      </w:r>
    </w:p>
    <w:p w14:paraId="6C71EB66" w14:textId="77777777" w:rsidR="00C700B8" w:rsidRPr="00170B7C" w:rsidRDefault="00192034"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Pr>
          <w:noProof/>
          <w:lang w:eastAsia="ru-RU"/>
        </w:rPr>
        <w:lastRenderedPageBreak/>
        <w:drawing>
          <wp:inline distT="0" distB="0" distL="0" distR="0" wp14:anchorId="7C2F23B8" wp14:editId="377A4421">
            <wp:extent cx="5909945" cy="2549563"/>
            <wp:effectExtent l="0" t="0" r="0" b="3175"/>
            <wp:docPr id="1683429617" name="Диаграмма 16834296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274D3C" w:rsidRPr="00170B7C">
        <w:rPr>
          <w:rFonts w:eastAsia="Calibri"/>
          <w:color w:val="000000"/>
          <w:sz w:val="28"/>
          <w:szCs w:val="28"/>
        </w:rPr>
        <w:t> </w:t>
      </w:r>
    </w:p>
    <w:p w14:paraId="6960899C" w14:textId="77777777" w:rsidR="005604C3" w:rsidRDefault="005604C3"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378C12B2" w14:textId="77777777" w:rsidR="001E1C93"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sz w:val="28"/>
          <w:szCs w:val="28"/>
        </w:rPr>
      </w:pPr>
      <w:r w:rsidRPr="00170B7C">
        <w:rPr>
          <w:color w:val="000000"/>
          <w:sz w:val="28"/>
          <w:szCs w:val="28"/>
        </w:rPr>
        <w:t xml:space="preserve">Рисунок </w:t>
      </w:r>
      <w:r w:rsidR="00130DBE" w:rsidRPr="00170B7C">
        <w:rPr>
          <w:color w:val="000000"/>
          <w:sz w:val="28"/>
          <w:szCs w:val="28"/>
        </w:rPr>
        <w:t xml:space="preserve">4 </w:t>
      </w:r>
      <w:r w:rsidRPr="00170B7C">
        <w:rPr>
          <w:color w:val="000000"/>
          <w:sz w:val="28"/>
          <w:szCs w:val="28"/>
        </w:rPr>
        <w:t xml:space="preserve">– </w:t>
      </w:r>
      <w:r w:rsidRPr="00170B7C">
        <w:rPr>
          <w:sz w:val="28"/>
          <w:szCs w:val="28"/>
        </w:rPr>
        <w:t>Отбор потенциальных доноров для</w:t>
      </w:r>
    </w:p>
    <w:p w14:paraId="13B5F528"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sz w:val="28"/>
          <w:szCs w:val="28"/>
        </w:rPr>
      </w:pPr>
      <w:r w:rsidRPr="00170B7C">
        <w:rPr>
          <w:sz w:val="28"/>
          <w:szCs w:val="28"/>
        </w:rPr>
        <w:t xml:space="preserve"> родственной трансплантации печени </w:t>
      </w:r>
    </w:p>
    <w:p w14:paraId="468AC5B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sz w:val="28"/>
          <w:szCs w:val="28"/>
        </w:rPr>
      </w:pPr>
      <w:r w:rsidRPr="00170B7C">
        <w:rPr>
          <w:rFonts w:eastAsia="Calibri"/>
          <w:sz w:val="28"/>
          <w:szCs w:val="28"/>
        </w:rPr>
        <w:t> </w:t>
      </w:r>
    </w:p>
    <w:p w14:paraId="54D0C511" w14:textId="77777777" w:rsidR="00465965" w:rsidRDefault="00274D3C" w:rsidP="00465965">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Нами проведен анализ за период 2018-2021 годы в Национальном Научном центре хирургии им. А.Н. Сызганова, где выполнена 101 трансплантация печени от живого родственного донора, из них 71 - у взрослых. Среди них 60 </w:t>
      </w:r>
      <w:r w:rsidR="005F2DF2">
        <w:rPr>
          <w:color w:val="000000"/>
          <w:sz w:val="28"/>
          <w:szCs w:val="28"/>
        </w:rPr>
        <w:t>доноров</w:t>
      </w:r>
      <w:r w:rsidRPr="00170B7C">
        <w:rPr>
          <w:color w:val="000000"/>
          <w:sz w:val="28"/>
          <w:szCs w:val="28"/>
        </w:rPr>
        <w:t xml:space="preserve"> прошли предоперационную КТ-волюметрию в отделении лучевой диагностики и составили конечную популяцию исследования.</w:t>
      </w:r>
      <w:r w:rsidR="00465965">
        <w:rPr>
          <w:color w:val="000000"/>
          <w:sz w:val="28"/>
          <w:szCs w:val="28"/>
        </w:rPr>
        <w:t xml:space="preserve"> </w:t>
      </w:r>
      <w:r w:rsidRPr="00170B7C">
        <w:rPr>
          <w:color w:val="000000"/>
          <w:sz w:val="28"/>
          <w:szCs w:val="28"/>
        </w:rPr>
        <w:t xml:space="preserve">Все участники для проведения КТ-волюметрии отобраны в соответствии с критериями включения и исключения (рисунок </w:t>
      </w:r>
      <w:r w:rsidR="00130DBE" w:rsidRPr="00170B7C">
        <w:rPr>
          <w:color w:val="000000"/>
          <w:sz w:val="28"/>
          <w:szCs w:val="28"/>
        </w:rPr>
        <w:t>5</w:t>
      </w:r>
      <w:r w:rsidRPr="00170B7C">
        <w:rPr>
          <w:color w:val="000000"/>
          <w:sz w:val="28"/>
          <w:szCs w:val="28"/>
        </w:rPr>
        <w:t>).  </w:t>
      </w:r>
    </w:p>
    <w:p w14:paraId="6824FC1C" w14:textId="77777777" w:rsidR="00465965" w:rsidRPr="00170B7C" w:rsidRDefault="00465965" w:rsidP="00465965">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p>
    <w:p w14:paraId="6DE89D5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360"/>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68946A3F" wp14:editId="20BCDEF0">
            <wp:extent cx="4709568" cy="3356386"/>
            <wp:effectExtent l="0" t="0" r="2540" b="0"/>
            <wp:docPr id="408" name="image35.png" descr="IMG_259"/>
            <wp:cNvGraphicFramePr/>
            <a:graphic xmlns:a="http://schemas.openxmlformats.org/drawingml/2006/main">
              <a:graphicData uri="http://schemas.openxmlformats.org/drawingml/2006/picture">
                <pic:pic xmlns:pic="http://schemas.openxmlformats.org/drawingml/2006/picture">
                  <pic:nvPicPr>
                    <pic:cNvPr id="0" name="image35.png" descr="IMG_259"/>
                    <pic:cNvPicPr preferRelativeResize="0"/>
                  </pic:nvPicPr>
                  <pic:blipFill>
                    <a:blip r:embed="rId14"/>
                    <a:srcRect/>
                    <a:stretch>
                      <a:fillRect/>
                    </a:stretch>
                  </pic:blipFill>
                  <pic:spPr>
                    <a:xfrm>
                      <a:off x="0" y="0"/>
                      <a:ext cx="4731835" cy="3372255"/>
                    </a:xfrm>
                    <a:prstGeom prst="rect">
                      <a:avLst/>
                    </a:prstGeom>
                    <a:ln/>
                  </pic:spPr>
                </pic:pic>
              </a:graphicData>
            </a:graphic>
          </wp:inline>
        </w:drawing>
      </w:r>
    </w:p>
    <w:p w14:paraId="0FE8939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 xml:space="preserve">Рисунок </w:t>
      </w:r>
      <w:r w:rsidR="00130DBE" w:rsidRPr="00170B7C">
        <w:rPr>
          <w:color w:val="000000"/>
          <w:sz w:val="28"/>
          <w:szCs w:val="28"/>
        </w:rPr>
        <w:t>5</w:t>
      </w:r>
      <w:r w:rsidRPr="00170B7C">
        <w:rPr>
          <w:color w:val="000000"/>
          <w:sz w:val="28"/>
          <w:szCs w:val="28"/>
        </w:rPr>
        <w:t xml:space="preserve"> – Блок-схема популяции исследования</w:t>
      </w:r>
    </w:p>
    <w:p w14:paraId="68727C8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Calibri"/>
          <w:color w:val="000000"/>
          <w:sz w:val="28"/>
          <w:szCs w:val="28"/>
        </w:rPr>
        <w:t> </w:t>
      </w:r>
    </w:p>
    <w:p w14:paraId="0B20A9E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lastRenderedPageBreak/>
        <w:t>Критерии включения: взрослые доноры (от 18 лет), со здоровой печенью, перенесшие трансплантацию печени от живого родственного донора с правосторонней ге</w:t>
      </w:r>
      <w:r w:rsidR="007034D5">
        <w:rPr>
          <w:color w:val="000000"/>
          <w:sz w:val="28"/>
          <w:szCs w:val="28"/>
        </w:rPr>
        <w:t>миге</w:t>
      </w:r>
      <w:r w:rsidRPr="00170B7C">
        <w:rPr>
          <w:color w:val="000000"/>
          <w:sz w:val="28"/>
          <w:szCs w:val="28"/>
        </w:rPr>
        <w:t xml:space="preserve">патэктомией в ННЦХ и объемом остаточной печени не менее чем 35%, </w:t>
      </w:r>
      <w:r w:rsidRPr="00170B7C">
        <w:rPr>
          <w:color w:val="202124"/>
          <w:sz w:val="28"/>
          <w:szCs w:val="28"/>
        </w:rPr>
        <w:t xml:space="preserve">graft-to-recipient weight ratio (GRWR) </w:t>
      </w:r>
      <w:r w:rsidRPr="00170B7C">
        <w:rPr>
          <w:rFonts w:eastAsia="Gungsuh"/>
          <w:color w:val="040C28"/>
          <w:sz w:val="28"/>
          <w:szCs w:val="28"/>
        </w:rPr>
        <w:t>≥</w:t>
      </w:r>
      <w:r w:rsidR="00465965">
        <w:rPr>
          <w:rFonts w:eastAsia="Gungsuh"/>
          <w:color w:val="040C28"/>
          <w:sz w:val="28"/>
          <w:szCs w:val="28"/>
        </w:rPr>
        <w:t xml:space="preserve"> </w:t>
      </w:r>
      <w:r w:rsidRPr="00170B7C">
        <w:rPr>
          <w:rFonts w:eastAsia="Gungsuh"/>
          <w:color w:val="040C28"/>
          <w:sz w:val="28"/>
          <w:szCs w:val="28"/>
        </w:rPr>
        <w:t>0,8%. </w:t>
      </w:r>
    </w:p>
    <w:p w14:paraId="7F23C33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Критерии исключения: детская трансплантация; доноры, предоперационная компьютерная томография которым проводилась в других центрах, </w:t>
      </w:r>
      <w:r w:rsidR="00164467" w:rsidRPr="00170B7C">
        <w:rPr>
          <w:color w:val="000000"/>
          <w:sz w:val="28"/>
          <w:szCs w:val="28"/>
        </w:rPr>
        <w:t xml:space="preserve">доноры с наличием доброкачественных образований печени или кист, </w:t>
      </w:r>
      <w:r w:rsidR="00465965">
        <w:rPr>
          <w:color w:val="000000"/>
          <w:sz w:val="28"/>
          <w:szCs w:val="28"/>
        </w:rPr>
        <w:t xml:space="preserve">с </w:t>
      </w:r>
      <w:r w:rsidR="00661766" w:rsidRPr="00170B7C">
        <w:rPr>
          <w:color w:val="000000"/>
          <w:sz w:val="28"/>
          <w:szCs w:val="28"/>
        </w:rPr>
        <w:t>наличие</w:t>
      </w:r>
      <w:r w:rsidR="00465965">
        <w:rPr>
          <w:color w:val="000000"/>
          <w:sz w:val="28"/>
          <w:szCs w:val="28"/>
        </w:rPr>
        <w:t>м</w:t>
      </w:r>
      <w:r w:rsidR="00661766" w:rsidRPr="00170B7C">
        <w:rPr>
          <w:color w:val="000000"/>
          <w:sz w:val="28"/>
          <w:szCs w:val="28"/>
        </w:rPr>
        <w:t xml:space="preserve"> жировой дегенерации печени, </w:t>
      </w:r>
      <w:r w:rsidRPr="00170B7C">
        <w:rPr>
          <w:color w:val="000000"/>
          <w:sz w:val="28"/>
          <w:szCs w:val="28"/>
        </w:rPr>
        <w:t>доноры перенесшие левостороннюю ге</w:t>
      </w:r>
      <w:r w:rsidR="007034D5">
        <w:rPr>
          <w:color w:val="000000"/>
          <w:sz w:val="28"/>
          <w:szCs w:val="28"/>
        </w:rPr>
        <w:t>миге</w:t>
      </w:r>
      <w:r w:rsidRPr="00170B7C">
        <w:rPr>
          <w:color w:val="000000"/>
          <w:sz w:val="28"/>
          <w:szCs w:val="28"/>
        </w:rPr>
        <w:t>патэктомию</w:t>
      </w:r>
      <w:r w:rsidR="00661766" w:rsidRPr="00170B7C">
        <w:rPr>
          <w:color w:val="000000"/>
          <w:sz w:val="28"/>
          <w:szCs w:val="28"/>
        </w:rPr>
        <w:t xml:space="preserve">, левый латеральный сектор, правый задний сектор </w:t>
      </w:r>
      <w:r w:rsidRPr="00170B7C">
        <w:rPr>
          <w:color w:val="000000"/>
          <w:sz w:val="28"/>
          <w:szCs w:val="28"/>
        </w:rPr>
        <w:t>или dual graft. </w:t>
      </w:r>
    </w:p>
    <w:p w14:paraId="1A05C258"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Данное исследование одобрено этическим комитетом Казахского национального медицинского университета им. С.Д. Асфендиярова (№3 (109) от 31.03.2021</w:t>
      </w:r>
      <w:r w:rsidR="00465965">
        <w:rPr>
          <w:color w:val="000000"/>
          <w:sz w:val="28"/>
          <w:szCs w:val="28"/>
        </w:rPr>
        <w:t xml:space="preserve"> года</w:t>
      </w:r>
      <w:r w:rsidRPr="00170B7C">
        <w:rPr>
          <w:color w:val="000000"/>
          <w:sz w:val="28"/>
          <w:szCs w:val="28"/>
        </w:rPr>
        <w:t>). Участники информированы о предлагаемом исследовании в полном объеме. </w:t>
      </w:r>
    </w:p>
    <w:p w14:paraId="69FD7306" w14:textId="77777777" w:rsidR="00164467" w:rsidRPr="00170B7C" w:rsidRDefault="00164467"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3B328AD7" w14:textId="77777777"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b/>
          <w:color w:val="000000"/>
          <w:sz w:val="28"/>
          <w:szCs w:val="28"/>
        </w:rPr>
        <w:t>Общая характеристика доноров</w:t>
      </w:r>
      <w:r w:rsidRPr="00170B7C">
        <w:rPr>
          <w:color w:val="000000"/>
          <w:sz w:val="28"/>
          <w:szCs w:val="28"/>
        </w:rPr>
        <w:t> </w:t>
      </w:r>
    </w:p>
    <w:p w14:paraId="1D0535E5" w14:textId="77777777" w:rsidR="00465965" w:rsidRPr="00170B7C" w:rsidRDefault="00465965"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p>
    <w:p w14:paraId="6BF1593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КТ-волюметрия проведена 60 родственным донорам печени (39 (65%) мужчин и 21 (35%) женщин), в возрасте от 18 лет до 51 года (средний возраст составил 28,8±7,7). Данные доноров представлены в таблице 5. </w:t>
      </w:r>
    </w:p>
    <w:p w14:paraId="24F8C10A"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p>
    <w:p w14:paraId="761274A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center"/>
        <w:rPr>
          <w:rFonts w:eastAsia="Calibri"/>
          <w:color w:val="000000"/>
          <w:sz w:val="28"/>
          <w:szCs w:val="28"/>
        </w:rPr>
      </w:pPr>
      <w:r w:rsidRPr="00170B7C">
        <w:rPr>
          <w:color w:val="000000"/>
          <w:sz w:val="28"/>
          <w:szCs w:val="28"/>
        </w:rPr>
        <w:t>Таблица 5 - Общая характеристика доноров</w:t>
      </w:r>
    </w:p>
    <w:p w14:paraId="3D12D4B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tbl>
      <w:tblPr>
        <w:tblStyle w:val="afd"/>
        <w:tblW w:w="9639" w:type="dxa"/>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4536"/>
        <w:gridCol w:w="5103"/>
      </w:tblGrid>
      <w:tr w:rsidR="00C700B8" w:rsidRPr="00170B7C" w14:paraId="142A5969" w14:textId="77777777" w:rsidTr="005604C3">
        <w:trPr>
          <w:cantSplit/>
          <w:trHeight w:val="400"/>
          <w:tblHeader/>
          <w:jc w:val="center"/>
        </w:trPr>
        <w:tc>
          <w:tcPr>
            <w:tcW w:w="4536" w:type="dxa"/>
            <w:tcBorders>
              <w:top w:val="single" w:sz="8" w:space="0" w:color="000000"/>
              <w:left w:val="single" w:sz="8" w:space="0" w:color="000000"/>
              <w:bottom w:val="single" w:sz="8" w:space="0" w:color="000000"/>
              <w:right w:val="single" w:sz="8" w:space="0" w:color="000000"/>
            </w:tcBorders>
            <w:shd w:val="clear" w:color="auto" w:fill="auto"/>
          </w:tcPr>
          <w:p w14:paraId="1677F9A8"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Параметры </w:t>
            </w:r>
          </w:p>
        </w:tc>
        <w:tc>
          <w:tcPr>
            <w:tcW w:w="5103" w:type="dxa"/>
            <w:tcBorders>
              <w:top w:val="single" w:sz="8" w:space="0" w:color="000000"/>
              <w:left w:val="single" w:sz="8" w:space="0" w:color="000000"/>
              <w:bottom w:val="single" w:sz="8" w:space="0" w:color="000000"/>
              <w:right w:val="single" w:sz="8" w:space="0" w:color="000000"/>
            </w:tcBorders>
            <w:shd w:val="clear" w:color="auto" w:fill="auto"/>
          </w:tcPr>
          <w:p w14:paraId="13B14ED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Показатели  </w:t>
            </w:r>
          </w:p>
        </w:tc>
      </w:tr>
      <w:tr w:rsidR="00C700B8" w:rsidRPr="00170B7C" w14:paraId="60D78BFD" w14:textId="77777777" w:rsidTr="005604C3">
        <w:trPr>
          <w:cantSplit/>
          <w:trHeight w:val="360"/>
          <w:tblHeader/>
          <w:jc w:val="center"/>
        </w:trPr>
        <w:tc>
          <w:tcPr>
            <w:tcW w:w="4536" w:type="dxa"/>
            <w:tcBorders>
              <w:top w:val="single" w:sz="8" w:space="0" w:color="000000"/>
              <w:left w:val="single" w:sz="8" w:space="0" w:color="000000"/>
              <w:bottom w:val="single" w:sz="8" w:space="0" w:color="000000"/>
              <w:right w:val="single" w:sz="8" w:space="0" w:color="000000"/>
            </w:tcBorders>
            <w:shd w:val="clear" w:color="auto" w:fill="auto"/>
          </w:tcPr>
          <w:p w14:paraId="37B4D9AD" w14:textId="77777777" w:rsidR="00C700B8" w:rsidRPr="00170B7C" w:rsidRDefault="00465965"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w:t>
            </w:r>
            <w:r w:rsidR="00274D3C" w:rsidRPr="00170B7C">
              <w:rPr>
                <w:color w:val="000000"/>
                <w:sz w:val="28"/>
                <w:szCs w:val="28"/>
              </w:rPr>
              <w:t>Возраст (лет) среднее±SD </w:t>
            </w:r>
          </w:p>
        </w:tc>
        <w:tc>
          <w:tcPr>
            <w:tcW w:w="5103" w:type="dxa"/>
            <w:tcBorders>
              <w:top w:val="single" w:sz="8" w:space="0" w:color="000000"/>
              <w:left w:val="single" w:sz="8" w:space="0" w:color="000000"/>
              <w:bottom w:val="single" w:sz="8" w:space="0" w:color="000000"/>
              <w:right w:val="single" w:sz="8" w:space="0" w:color="000000"/>
            </w:tcBorders>
            <w:shd w:val="clear" w:color="auto" w:fill="auto"/>
          </w:tcPr>
          <w:p w14:paraId="300F9518"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28,7±7,8 </w:t>
            </w:r>
          </w:p>
        </w:tc>
      </w:tr>
      <w:tr w:rsidR="00C700B8" w:rsidRPr="00170B7C" w14:paraId="2B6C30EA" w14:textId="77777777" w:rsidTr="005604C3">
        <w:trPr>
          <w:cantSplit/>
          <w:trHeight w:val="400"/>
          <w:tblHeader/>
          <w:jc w:val="center"/>
        </w:trPr>
        <w:tc>
          <w:tcPr>
            <w:tcW w:w="4536" w:type="dxa"/>
            <w:tcBorders>
              <w:top w:val="single" w:sz="8" w:space="0" w:color="000000"/>
              <w:left w:val="single" w:sz="8" w:space="0" w:color="000000"/>
              <w:bottom w:val="single" w:sz="8" w:space="0" w:color="000000"/>
              <w:right w:val="single" w:sz="8" w:space="0" w:color="000000"/>
            </w:tcBorders>
            <w:shd w:val="clear" w:color="auto" w:fill="auto"/>
          </w:tcPr>
          <w:p w14:paraId="482253AF" w14:textId="77777777" w:rsidR="00C700B8" w:rsidRPr="00170B7C" w:rsidRDefault="001E1C93"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w:t>
            </w:r>
            <w:r w:rsidR="00274D3C" w:rsidRPr="00170B7C">
              <w:rPr>
                <w:color w:val="000000"/>
                <w:sz w:val="28"/>
                <w:szCs w:val="28"/>
              </w:rPr>
              <w:t>Пол (количество) (ж:м)  </w:t>
            </w:r>
          </w:p>
        </w:tc>
        <w:tc>
          <w:tcPr>
            <w:tcW w:w="5103" w:type="dxa"/>
            <w:tcBorders>
              <w:top w:val="single" w:sz="8" w:space="0" w:color="000000"/>
              <w:left w:val="single" w:sz="8" w:space="0" w:color="000000"/>
              <w:bottom w:val="single" w:sz="8" w:space="0" w:color="000000"/>
              <w:right w:val="single" w:sz="8" w:space="0" w:color="000000"/>
            </w:tcBorders>
            <w:shd w:val="clear" w:color="auto" w:fill="auto"/>
          </w:tcPr>
          <w:p w14:paraId="67F1343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39:21 </w:t>
            </w:r>
          </w:p>
        </w:tc>
      </w:tr>
      <w:tr w:rsidR="00C700B8" w:rsidRPr="00170B7C" w14:paraId="56DFD1AF" w14:textId="77777777" w:rsidTr="005604C3">
        <w:trPr>
          <w:cantSplit/>
          <w:trHeight w:val="400"/>
          <w:tblHeader/>
          <w:jc w:val="center"/>
        </w:trPr>
        <w:tc>
          <w:tcPr>
            <w:tcW w:w="4536" w:type="dxa"/>
            <w:tcBorders>
              <w:top w:val="single" w:sz="8" w:space="0" w:color="000000"/>
              <w:left w:val="single" w:sz="8" w:space="0" w:color="000000"/>
              <w:bottom w:val="single" w:sz="8" w:space="0" w:color="000000"/>
              <w:right w:val="single" w:sz="8" w:space="0" w:color="000000"/>
            </w:tcBorders>
            <w:shd w:val="clear" w:color="auto" w:fill="auto"/>
          </w:tcPr>
          <w:p w14:paraId="709D572C" w14:textId="77777777" w:rsidR="00C700B8" w:rsidRPr="00170B7C" w:rsidRDefault="001E1C93"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w:t>
            </w:r>
            <w:r w:rsidR="00274D3C" w:rsidRPr="00170B7C">
              <w:rPr>
                <w:color w:val="000000"/>
                <w:sz w:val="28"/>
                <w:szCs w:val="28"/>
              </w:rPr>
              <w:t>ИМТ (кг/м</w:t>
            </w:r>
            <w:r w:rsidR="00274D3C" w:rsidRPr="00C60723">
              <w:rPr>
                <w:color w:val="000000"/>
                <w:sz w:val="28"/>
                <w:szCs w:val="28"/>
                <w:vertAlign w:val="superscript"/>
              </w:rPr>
              <w:t>2</w:t>
            </w:r>
            <w:r w:rsidR="00274D3C" w:rsidRPr="00170B7C">
              <w:rPr>
                <w:color w:val="000000"/>
                <w:sz w:val="28"/>
                <w:szCs w:val="28"/>
              </w:rPr>
              <w:t>) среднее±SD </w:t>
            </w:r>
          </w:p>
        </w:tc>
        <w:tc>
          <w:tcPr>
            <w:tcW w:w="5103" w:type="dxa"/>
            <w:tcBorders>
              <w:top w:val="single" w:sz="8" w:space="0" w:color="000000"/>
              <w:left w:val="single" w:sz="8" w:space="0" w:color="000000"/>
              <w:bottom w:val="single" w:sz="8" w:space="0" w:color="000000"/>
              <w:right w:val="single" w:sz="8" w:space="0" w:color="000000"/>
            </w:tcBorders>
            <w:shd w:val="clear" w:color="auto" w:fill="auto"/>
          </w:tcPr>
          <w:p w14:paraId="5F262ED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23,2±3,4 </w:t>
            </w:r>
          </w:p>
        </w:tc>
      </w:tr>
      <w:tr w:rsidR="00C700B8" w:rsidRPr="00170B7C" w14:paraId="2DF7EDB0" w14:textId="77777777" w:rsidTr="005604C3">
        <w:trPr>
          <w:cantSplit/>
          <w:trHeight w:val="360"/>
          <w:tblHeader/>
          <w:jc w:val="center"/>
        </w:trPr>
        <w:tc>
          <w:tcPr>
            <w:tcW w:w="4536" w:type="dxa"/>
            <w:tcBorders>
              <w:top w:val="single" w:sz="8" w:space="0" w:color="000000"/>
              <w:left w:val="single" w:sz="8" w:space="0" w:color="000000"/>
              <w:bottom w:val="single" w:sz="8" w:space="0" w:color="000000"/>
              <w:right w:val="single" w:sz="8" w:space="0" w:color="000000"/>
            </w:tcBorders>
            <w:shd w:val="clear" w:color="auto" w:fill="auto"/>
          </w:tcPr>
          <w:p w14:paraId="637C0FC6" w14:textId="77777777" w:rsidR="00C700B8" w:rsidRPr="00170B7C" w:rsidRDefault="001E1C93"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Pr>
                <w:color w:val="000000"/>
                <w:sz w:val="28"/>
                <w:szCs w:val="28"/>
              </w:rPr>
              <w:t xml:space="preserve"> </w:t>
            </w:r>
            <w:r w:rsidR="00274D3C" w:rsidRPr="00170B7C">
              <w:rPr>
                <w:color w:val="000000"/>
                <w:sz w:val="28"/>
                <w:szCs w:val="28"/>
              </w:rPr>
              <w:t>Вес графта (г) среднее±SD </w:t>
            </w:r>
          </w:p>
        </w:tc>
        <w:tc>
          <w:tcPr>
            <w:tcW w:w="5103" w:type="dxa"/>
            <w:tcBorders>
              <w:top w:val="single" w:sz="8" w:space="0" w:color="000000"/>
              <w:left w:val="single" w:sz="8" w:space="0" w:color="000000"/>
              <w:bottom w:val="single" w:sz="8" w:space="0" w:color="000000"/>
              <w:right w:val="single" w:sz="8" w:space="0" w:color="000000"/>
            </w:tcBorders>
            <w:shd w:val="clear" w:color="auto" w:fill="auto"/>
          </w:tcPr>
          <w:p w14:paraId="2975F9A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721,2 ±138,8 </w:t>
            </w:r>
          </w:p>
        </w:tc>
      </w:tr>
      <w:tr w:rsidR="00C700B8" w:rsidRPr="00170B7C" w14:paraId="3365C2F5" w14:textId="77777777" w:rsidTr="005604C3">
        <w:trPr>
          <w:cantSplit/>
          <w:trHeight w:val="360"/>
          <w:tblHeader/>
          <w:jc w:val="center"/>
        </w:trPr>
        <w:tc>
          <w:tcPr>
            <w:tcW w:w="4536" w:type="dxa"/>
            <w:tcBorders>
              <w:top w:val="single" w:sz="8" w:space="0" w:color="000000"/>
              <w:left w:val="single" w:sz="8" w:space="0" w:color="000000"/>
              <w:bottom w:val="single" w:sz="8" w:space="0" w:color="000000"/>
              <w:right w:val="single" w:sz="8" w:space="0" w:color="000000"/>
            </w:tcBorders>
            <w:shd w:val="clear" w:color="auto" w:fill="auto"/>
          </w:tcPr>
          <w:p w14:paraId="1B66473D" w14:textId="77777777" w:rsidR="00C700B8" w:rsidRPr="00D32828" w:rsidRDefault="001E1C93"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lang w:val="en-US"/>
              </w:rPr>
            </w:pPr>
            <w:r w:rsidRPr="001E1C93">
              <w:rPr>
                <w:color w:val="202124"/>
                <w:sz w:val="28"/>
                <w:szCs w:val="28"/>
                <w:lang w:val="en-US"/>
              </w:rPr>
              <w:t xml:space="preserve"> </w:t>
            </w:r>
            <w:r w:rsidR="00274D3C" w:rsidRPr="00D32828">
              <w:rPr>
                <w:color w:val="202124"/>
                <w:sz w:val="28"/>
                <w:szCs w:val="28"/>
                <w:lang w:val="en-US"/>
              </w:rPr>
              <w:t xml:space="preserve">graft-to-recipient weight ratio (%) </w:t>
            </w:r>
            <w:r w:rsidR="00274D3C" w:rsidRPr="00170B7C">
              <w:rPr>
                <w:color w:val="202124"/>
                <w:sz w:val="28"/>
                <w:szCs w:val="28"/>
              </w:rPr>
              <w:t>среднее</w:t>
            </w:r>
            <w:r w:rsidR="00274D3C" w:rsidRPr="00D32828">
              <w:rPr>
                <w:color w:val="000000"/>
                <w:sz w:val="28"/>
                <w:szCs w:val="28"/>
                <w:lang w:val="en-US"/>
              </w:rPr>
              <w:t>±SD </w:t>
            </w:r>
          </w:p>
        </w:tc>
        <w:tc>
          <w:tcPr>
            <w:tcW w:w="5103" w:type="dxa"/>
            <w:tcBorders>
              <w:top w:val="single" w:sz="8" w:space="0" w:color="000000"/>
              <w:left w:val="single" w:sz="8" w:space="0" w:color="000000"/>
              <w:bottom w:val="single" w:sz="8" w:space="0" w:color="000000"/>
              <w:right w:val="single" w:sz="8" w:space="0" w:color="000000"/>
            </w:tcBorders>
            <w:shd w:val="clear" w:color="auto" w:fill="auto"/>
          </w:tcPr>
          <w:p w14:paraId="3DC7C1E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1,2±0,3 </w:t>
            </w:r>
          </w:p>
        </w:tc>
      </w:tr>
    </w:tbl>
    <w:p w14:paraId="61F51242" w14:textId="77777777" w:rsidR="00C700B8" w:rsidRPr="00170B7C" w:rsidRDefault="00274D3C" w:rsidP="00526B4F">
      <w:pPr>
        <w:pBdr>
          <w:top w:val="none" w:sz="0" w:space="0" w:color="000000"/>
          <w:left w:val="none" w:sz="0" w:space="0" w:color="000000"/>
          <w:bottom w:val="none" w:sz="0" w:space="0" w:color="000000"/>
          <w:right w:val="none" w:sz="0" w:space="0" w:color="000000"/>
          <w:between w:val="none" w:sz="0" w:space="0" w:color="000000"/>
        </w:pBdr>
        <w:ind w:firstLine="567"/>
        <w:rPr>
          <w:color w:val="000000"/>
          <w:sz w:val="28"/>
          <w:szCs w:val="28"/>
        </w:rPr>
      </w:pPr>
      <w:r w:rsidRPr="00170B7C">
        <w:rPr>
          <w:color w:val="000000"/>
          <w:sz w:val="28"/>
          <w:szCs w:val="28"/>
        </w:rPr>
        <w:t>Примечание</w:t>
      </w:r>
      <w:r w:rsidR="001E1C93">
        <w:rPr>
          <w:color w:val="000000"/>
          <w:sz w:val="28"/>
          <w:szCs w:val="28"/>
        </w:rPr>
        <w:t xml:space="preserve">: </w:t>
      </w:r>
      <w:r w:rsidRPr="00170B7C">
        <w:rPr>
          <w:color w:val="000000"/>
          <w:sz w:val="28"/>
          <w:szCs w:val="28"/>
        </w:rPr>
        <w:t>SD - стандартное отклонение </w:t>
      </w:r>
    </w:p>
    <w:p w14:paraId="11CA6557" w14:textId="77777777" w:rsidR="00465965" w:rsidRDefault="00465965" w:rsidP="00465965">
      <w:pPr>
        <w:pBdr>
          <w:top w:val="none" w:sz="0" w:space="0" w:color="000000"/>
          <w:left w:val="none" w:sz="0" w:space="0" w:color="000000"/>
          <w:bottom w:val="none" w:sz="0" w:space="0" w:color="000000"/>
          <w:right w:val="none" w:sz="0" w:space="0" w:color="000000"/>
          <w:between w:val="none" w:sz="0" w:space="0" w:color="000000"/>
        </w:pBdr>
        <w:ind w:firstLine="567"/>
        <w:rPr>
          <w:rFonts w:eastAsia="Calibri"/>
          <w:color w:val="000000"/>
          <w:sz w:val="28"/>
          <w:szCs w:val="28"/>
        </w:rPr>
      </w:pPr>
    </w:p>
    <w:p w14:paraId="1C9E7BA5" w14:textId="77777777" w:rsidR="00465965" w:rsidRDefault="00274D3C" w:rsidP="00465965">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Согласно </w:t>
      </w:r>
      <w:r w:rsidR="00465965">
        <w:rPr>
          <w:rFonts w:eastAsia="Calibri"/>
          <w:color w:val="000000"/>
          <w:sz w:val="28"/>
          <w:szCs w:val="28"/>
        </w:rPr>
        <w:t>С</w:t>
      </w:r>
      <w:r w:rsidR="00465965" w:rsidRPr="00170B7C">
        <w:rPr>
          <w:rFonts w:eastAsia="Calibri"/>
          <w:color w:val="000000"/>
          <w:sz w:val="28"/>
          <w:szCs w:val="28"/>
        </w:rPr>
        <w:t>тать</w:t>
      </w:r>
      <w:r w:rsidR="00465965">
        <w:rPr>
          <w:rFonts w:eastAsia="Calibri"/>
          <w:color w:val="000000"/>
          <w:sz w:val="28"/>
          <w:szCs w:val="28"/>
        </w:rPr>
        <w:t>е</w:t>
      </w:r>
      <w:r w:rsidR="00465965" w:rsidRPr="00170B7C">
        <w:rPr>
          <w:rFonts w:eastAsia="Calibri"/>
          <w:color w:val="000000"/>
          <w:sz w:val="28"/>
          <w:szCs w:val="28"/>
        </w:rPr>
        <w:t xml:space="preserve"> 210. Порядок трансплантации органов (части органа) и (или) тканей (части ткани) от прижизненного донора Кодекса Республики Казахстан от 7 июля 2020 года № 360-VI «О здоровье народа и системе здравоохранения» (с изменениями и дополнениями по состоянию на 09.09.2024 г.)</w:t>
      </w:r>
      <w:r w:rsidR="00465965">
        <w:rPr>
          <w:rFonts w:eastAsia="Calibri"/>
          <w:color w:val="000000"/>
          <w:sz w:val="28"/>
          <w:szCs w:val="28"/>
        </w:rPr>
        <w:t xml:space="preserve"> </w:t>
      </w:r>
      <w:r w:rsidRPr="00170B7C">
        <w:rPr>
          <w:color w:val="000000"/>
          <w:sz w:val="28"/>
          <w:szCs w:val="28"/>
        </w:rPr>
        <w:t xml:space="preserve">доноры печени находились с реципиентом в генетической связи. </w:t>
      </w:r>
    </w:p>
    <w:p w14:paraId="06FA35E6" w14:textId="77777777" w:rsidR="0047469A" w:rsidRPr="00465965" w:rsidRDefault="00274D3C" w:rsidP="00465965">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К родству первой степени относятся родители и дети, ко второй степени братья и сестры (полнородные и не полнородные), а также дедушка, бабушка и внуки</w:t>
      </w:r>
      <w:r w:rsidR="00661766" w:rsidRPr="00170B7C">
        <w:rPr>
          <w:color w:val="000000"/>
          <w:sz w:val="28"/>
          <w:szCs w:val="28"/>
        </w:rPr>
        <w:t xml:space="preserve"> (рисунок 6).</w:t>
      </w:r>
    </w:p>
    <w:p w14:paraId="47F25A9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lastRenderedPageBreak/>
        <w:drawing>
          <wp:inline distT="0" distB="0" distL="114300" distR="114300" wp14:anchorId="08C14DD2" wp14:editId="7AD32057">
            <wp:extent cx="6056578" cy="2958353"/>
            <wp:effectExtent l="0" t="0" r="1905" b="1270"/>
            <wp:docPr id="412" name="image40.png" descr="IMG_261"/>
            <wp:cNvGraphicFramePr/>
            <a:graphic xmlns:a="http://schemas.openxmlformats.org/drawingml/2006/main">
              <a:graphicData uri="http://schemas.openxmlformats.org/drawingml/2006/picture">
                <pic:pic xmlns:pic="http://schemas.openxmlformats.org/drawingml/2006/picture">
                  <pic:nvPicPr>
                    <pic:cNvPr id="0" name="image40.png" descr="IMG_261"/>
                    <pic:cNvPicPr preferRelativeResize="0"/>
                  </pic:nvPicPr>
                  <pic:blipFill>
                    <a:blip r:embed="rId15"/>
                    <a:srcRect/>
                    <a:stretch>
                      <a:fillRect/>
                    </a:stretch>
                  </pic:blipFill>
                  <pic:spPr>
                    <a:xfrm>
                      <a:off x="0" y="0"/>
                      <a:ext cx="6116697" cy="2987718"/>
                    </a:xfrm>
                    <a:prstGeom prst="rect">
                      <a:avLst/>
                    </a:prstGeom>
                    <a:ln/>
                  </pic:spPr>
                </pic:pic>
              </a:graphicData>
            </a:graphic>
          </wp:inline>
        </w:drawing>
      </w:r>
    </w:p>
    <w:p w14:paraId="37897EB6" w14:textId="77777777" w:rsidR="005604C3" w:rsidRDefault="005604C3"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30CEE6A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Рисунок 6 – Родственная связь донора и реципиента </w:t>
      </w:r>
    </w:p>
    <w:p w14:paraId="0C72988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2351B44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Как видно из рисунка 6, родственные связи второго порядка (65%) превалировали над первым (35%).  </w:t>
      </w:r>
    </w:p>
    <w:p w14:paraId="107CF337" w14:textId="77777777" w:rsidR="003476E4" w:rsidRPr="00170B7C" w:rsidRDefault="00661766" w:rsidP="00465965">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Для оценки равномерности возрастной выборки </w:t>
      </w:r>
      <w:r w:rsidR="005F2DF2">
        <w:rPr>
          <w:color w:val="000000"/>
          <w:sz w:val="28"/>
          <w:szCs w:val="28"/>
        </w:rPr>
        <w:t>доноров</w:t>
      </w:r>
      <w:r w:rsidRPr="00170B7C">
        <w:rPr>
          <w:color w:val="000000"/>
          <w:sz w:val="28"/>
          <w:szCs w:val="28"/>
        </w:rPr>
        <w:t xml:space="preserve">, которым проведена КТ-волюметрия построена гистограмма (рисунок </w:t>
      </w:r>
      <w:r w:rsidR="00130DBE" w:rsidRPr="00170B7C">
        <w:rPr>
          <w:color w:val="000000"/>
          <w:sz w:val="28"/>
          <w:szCs w:val="28"/>
        </w:rPr>
        <w:t>7</w:t>
      </w:r>
      <w:r w:rsidRPr="00170B7C">
        <w:rPr>
          <w:color w:val="000000"/>
          <w:sz w:val="28"/>
          <w:szCs w:val="28"/>
        </w:rPr>
        <w:t>).</w:t>
      </w:r>
    </w:p>
    <w:p w14:paraId="248B310A" w14:textId="77777777" w:rsidR="00661766" w:rsidRPr="00170B7C" w:rsidRDefault="00661766" w:rsidP="00170B7C">
      <w:pPr>
        <w:pBdr>
          <w:top w:val="none" w:sz="0" w:space="0" w:color="000000"/>
          <w:left w:val="none" w:sz="0" w:space="0" w:color="000000"/>
          <w:bottom w:val="none" w:sz="0" w:space="0" w:color="000000"/>
          <w:right w:val="none" w:sz="0" w:space="0" w:color="000000"/>
          <w:between w:val="none" w:sz="0" w:space="0" w:color="000000"/>
        </w:pBdr>
        <w:ind w:firstLine="740"/>
        <w:jc w:val="both"/>
        <w:rPr>
          <w:rFonts w:eastAsia="Calibri"/>
          <w:color w:val="000000"/>
          <w:sz w:val="28"/>
          <w:szCs w:val="28"/>
        </w:rPr>
      </w:pPr>
      <w:r w:rsidRPr="00170B7C">
        <w:rPr>
          <w:color w:val="000000"/>
          <w:sz w:val="28"/>
          <w:szCs w:val="28"/>
        </w:rPr>
        <w:t> </w:t>
      </w:r>
    </w:p>
    <w:p w14:paraId="0AE51EFC" w14:textId="77777777" w:rsidR="00661766" w:rsidRPr="00170B7C" w:rsidRDefault="00661766"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108CAC82" wp14:editId="7FC2B749">
            <wp:extent cx="5372100" cy="3898900"/>
            <wp:effectExtent l="0" t="0" r="0" b="0"/>
            <wp:docPr id="407" name="image32.png" descr="IMG_260"/>
            <wp:cNvGraphicFramePr/>
            <a:graphic xmlns:a="http://schemas.openxmlformats.org/drawingml/2006/main">
              <a:graphicData uri="http://schemas.openxmlformats.org/drawingml/2006/picture">
                <pic:pic xmlns:pic="http://schemas.openxmlformats.org/drawingml/2006/picture">
                  <pic:nvPicPr>
                    <pic:cNvPr id="0" name="image32.png" descr="IMG_260"/>
                    <pic:cNvPicPr preferRelativeResize="0"/>
                  </pic:nvPicPr>
                  <pic:blipFill>
                    <a:blip r:embed="rId16"/>
                    <a:srcRect/>
                    <a:stretch>
                      <a:fillRect/>
                    </a:stretch>
                  </pic:blipFill>
                  <pic:spPr>
                    <a:xfrm>
                      <a:off x="0" y="0"/>
                      <a:ext cx="5372100" cy="3898900"/>
                    </a:xfrm>
                    <a:prstGeom prst="rect">
                      <a:avLst/>
                    </a:prstGeom>
                    <a:ln/>
                  </pic:spPr>
                </pic:pic>
              </a:graphicData>
            </a:graphic>
          </wp:inline>
        </w:drawing>
      </w:r>
      <w:r w:rsidRPr="00170B7C">
        <w:rPr>
          <w:color w:val="000000"/>
          <w:sz w:val="28"/>
          <w:szCs w:val="28"/>
        </w:rPr>
        <w:t>  </w:t>
      </w:r>
    </w:p>
    <w:p w14:paraId="12E24E91" w14:textId="77777777" w:rsidR="00661766" w:rsidRPr="00170B7C" w:rsidRDefault="00661766" w:rsidP="00170B7C">
      <w:pPr>
        <w:pBdr>
          <w:top w:val="none" w:sz="0" w:space="0" w:color="000000"/>
          <w:left w:val="none" w:sz="0" w:space="0" w:color="000000"/>
          <w:bottom w:val="none" w:sz="0" w:space="0" w:color="000000"/>
          <w:right w:val="none" w:sz="0" w:space="0" w:color="000000"/>
          <w:between w:val="none" w:sz="0" w:space="0" w:color="000000"/>
        </w:pBdr>
        <w:spacing w:before="320" w:after="320"/>
        <w:jc w:val="center"/>
        <w:rPr>
          <w:color w:val="000000"/>
          <w:sz w:val="28"/>
          <w:szCs w:val="28"/>
        </w:rPr>
      </w:pPr>
      <w:r w:rsidRPr="00170B7C">
        <w:rPr>
          <w:color w:val="000000"/>
          <w:sz w:val="28"/>
          <w:szCs w:val="28"/>
        </w:rPr>
        <w:t xml:space="preserve">Рисунок </w:t>
      </w:r>
      <w:r w:rsidR="00130DBE" w:rsidRPr="00170B7C">
        <w:rPr>
          <w:color w:val="000000"/>
          <w:sz w:val="28"/>
          <w:szCs w:val="28"/>
        </w:rPr>
        <w:t xml:space="preserve">7 </w:t>
      </w:r>
      <w:r w:rsidRPr="00170B7C">
        <w:rPr>
          <w:color w:val="000000"/>
          <w:sz w:val="28"/>
          <w:szCs w:val="28"/>
        </w:rPr>
        <w:t>– Гистограмма распределения доноров по возрасту </w:t>
      </w:r>
    </w:p>
    <w:p w14:paraId="0EECB9D1" w14:textId="77777777" w:rsidR="005604C3" w:rsidRDefault="00661766" w:rsidP="005604C3">
      <w:pPr>
        <w:pBdr>
          <w:top w:val="none" w:sz="0" w:space="0" w:color="000000"/>
          <w:left w:val="none" w:sz="0" w:space="0" w:color="000000"/>
          <w:bottom w:val="none" w:sz="0" w:space="0" w:color="000000"/>
          <w:right w:val="none" w:sz="0" w:space="0" w:color="000000"/>
          <w:between w:val="none" w:sz="0" w:space="0" w:color="000000"/>
        </w:pBdr>
        <w:tabs>
          <w:tab w:val="left" w:pos="567"/>
        </w:tabs>
        <w:spacing w:before="320" w:after="320"/>
        <w:jc w:val="both"/>
        <w:rPr>
          <w:color w:val="000000"/>
          <w:sz w:val="28"/>
          <w:szCs w:val="28"/>
        </w:rPr>
      </w:pPr>
      <w:r w:rsidRPr="00170B7C">
        <w:rPr>
          <w:color w:val="000000"/>
          <w:sz w:val="28"/>
          <w:szCs w:val="28"/>
        </w:rPr>
        <w:lastRenderedPageBreak/>
        <w:tab/>
        <w:t xml:space="preserve">Как видно из рисунка </w:t>
      </w:r>
      <w:r w:rsidR="00130DBE" w:rsidRPr="00170B7C">
        <w:rPr>
          <w:color w:val="000000"/>
          <w:sz w:val="28"/>
          <w:szCs w:val="28"/>
        </w:rPr>
        <w:t>7</w:t>
      </w:r>
      <w:r w:rsidRPr="00170B7C">
        <w:rPr>
          <w:color w:val="000000"/>
          <w:sz w:val="28"/>
          <w:szCs w:val="28"/>
        </w:rPr>
        <w:t xml:space="preserve">, распределение </w:t>
      </w:r>
      <w:r w:rsidR="005F2DF2">
        <w:rPr>
          <w:color w:val="000000"/>
          <w:sz w:val="28"/>
          <w:szCs w:val="28"/>
        </w:rPr>
        <w:t>доноров</w:t>
      </w:r>
      <w:r w:rsidRPr="00170B7C">
        <w:rPr>
          <w:color w:val="000000"/>
          <w:sz w:val="28"/>
          <w:szCs w:val="28"/>
        </w:rPr>
        <w:t xml:space="preserve"> по возрасту, которым проведена КТ-волюметрия, было нормальным равномерным. </w:t>
      </w:r>
    </w:p>
    <w:p w14:paraId="2AA12FB0" w14:textId="77777777" w:rsidR="007E0C72" w:rsidRPr="003B7A42" w:rsidRDefault="00746A80" w:rsidP="003B7A42">
      <w:pPr>
        <w:pBdr>
          <w:top w:val="none" w:sz="0" w:space="0" w:color="000000"/>
          <w:left w:val="none" w:sz="0" w:space="0" w:color="000000"/>
          <w:bottom w:val="none" w:sz="0" w:space="0" w:color="000000"/>
          <w:right w:val="none" w:sz="0" w:space="0" w:color="000000"/>
          <w:between w:val="none" w:sz="0" w:space="0" w:color="000000"/>
        </w:pBdr>
        <w:tabs>
          <w:tab w:val="left" w:pos="567"/>
        </w:tabs>
        <w:spacing w:before="320" w:after="320"/>
        <w:jc w:val="both"/>
        <w:rPr>
          <w:color w:val="000000"/>
          <w:sz w:val="28"/>
          <w:szCs w:val="28"/>
        </w:rPr>
      </w:pPr>
      <w:r>
        <w:rPr>
          <w:color w:val="000000"/>
          <w:sz w:val="28"/>
          <w:szCs w:val="28"/>
        </w:rPr>
        <w:tab/>
      </w:r>
      <w:r w:rsidR="00274D3C" w:rsidRPr="00170B7C">
        <w:rPr>
          <w:color w:val="000000"/>
          <w:sz w:val="28"/>
          <w:szCs w:val="28"/>
        </w:rPr>
        <w:t>В 100% случаев трансплантация печени проводилась реципиентам в исходе терминальной стадии цирроза печени. В нашем исследовании у 60 реципиентов причин</w:t>
      </w:r>
      <w:r w:rsidR="00465965">
        <w:rPr>
          <w:color w:val="000000"/>
          <w:sz w:val="28"/>
          <w:szCs w:val="28"/>
        </w:rPr>
        <w:t>ой</w:t>
      </w:r>
      <w:r w:rsidR="00274D3C" w:rsidRPr="00170B7C">
        <w:rPr>
          <w:color w:val="000000"/>
          <w:sz w:val="28"/>
          <w:szCs w:val="28"/>
        </w:rPr>
        <w:t xml:space="preserve"> цирроза в 43,3% (26/60) случаев</w:t>
      </w:r>
      <w:r w:rsidR="00465965">
        <w:rPr>
          <w:color w:val="000000"/>
          <w:sz w:val="28"/>
          <w:szCs w:val="28"/>
        </w:rPr>
        <w:t xml:space="preserve"> являлось</w:t>
      </w:r>
      <w:r w:rsidR="00274D3C" w:rsidRPr="00170B7C">
        <w:rPr>
          <w:color w:val="000000"/>
          <w:sz w:val="28"/>
          <w:szCs w:val="28"/>
        </w:rPr>
        <w:t xml:space="preserve"> сочетание вирусного гепатита В+D (HBV+HDV), в 11,7% (7/60) </w:t>
      </w:r>
      <w:r w:rsidR="00465965">
        <w:rPr>
          <w:color w:val="000000"/>
          <w:sz w:val="28"/>
          <w:szCs w:val="28"/>
        </w:rPr>
        <w:t xml:space="preserve">случаях </w:t>
      </w:r>
      <w:r w:rsidR="00274D3C" w:rsidRPr="00170B7C">
        <w:rPr>
          <w:color w:val="000000"/>
          <w:sz w:val="28"/>
          <w:szCs w:val="28"/>
        </w:rPr>
        <w:t xml:space="preserve"> первичный билиарный цирроз (ПБЦ), в 13,3% (8/60) – вирусный гепатит B (HBV), в 13,3% (8/60) - гепатит С (HCV), в 11,7% (7/60) – стеатогепатит, в 5,0% (3/60) - аутоиммунный гепатит, в 1,7% (1/60) - цирроз в исходе синдрома Бадда-Киари (рисунок </w:t>
      </w:r>
      <w:r w:rsidR="00130DBE" w:rsidRPr="00170B7C">
        <w:rPr>
          <w:color w:val="000000"/>
          <w:sz w:val="28"/>
          <w:szCs w:val="28"/>
        </w:rPr>
        <w:t>8</w:t>
      </w:r>
      <w:r w:rsidR="00274D3C" w:rsidRPr="00170B7C">
        <w:rPr>
          <w:color w:val="000000"/>
          <w:sz w:val="28"/>
          <w:szCs w:val="28"/>
        </w:rPr>
        <w:t xml:space="preserve">). </w:t>
      </w:r>
    </w:p>
    <w:p w14:paraId="04AF459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6BFE7755" wp14:editId="1C34F5FC">
            <wp:extent cx="6064250" cy="4163209"/>
            <wp:effectExtent l="0" t="0" r="0" b="2540"/>
            <wp:docPr id="411" name="image38.png" descr="IMG_262"/>
            <wp:cNvGraphicFramePr/>
            <a:graphic xmlns:a="http://schemas.openxmlformats.org/drawingml/2006/main">
              <a:graphicData uri="http://schemas.openxmlformats.org/drawingml/2006/picture">
                <pic:pic xmlns:pic="http://schemas.openxmlformats.org/drawingml/2006/picture">
                  <pic:nvPicPr>
                    <pic:cNvPr id="0" name="image38.png" descr="IMG_262"/>
                    <pic:cNvPicPr preferRelativeResize="0"/>
                  </pic:nvPicPr>
                  <pic:blipFill>
                    <a:blip r:embed="rId17"/>
                    <a:srcRect/>
                    <a:stretch>
                      <a:fillRect/>
                    </a:stretch>
                  </pic:blipFill>
                  <pic:spPr>
                    <a:xfrm>
                      <a:off x="0" y="0"/>
                      <a:ext cx="6174439" cy="4238856"/>
                    </a:xfrm>
                    <a:prstGeom prst="rect">
                      <a:avLst/>
                    </a:prstGeom>
                    <a:ln/>
                  </pic:spPr>
                </pic:pic>
              </a:graphicData>
            </a:graphic>
          </wp:inline>
        </w:drawing>
      </w:r>
      <w:r w:rsidRPr="00170B7C">
        <w:rPr>
          <w:rFonts w:eastAsia="Calibri"/>
          <w:color w:val="000000"/>
          <w:sz w:val="28"/>
          <w:szCs w:val="28"/>
        </w:rPr>
        <w:t> </w:t>
      </w:r>
    </w:p>
    <w:p w14:paraId="530D4C61" w14:textId="77777777" w:rsidR="00465965" w:rsidRDefault="00465965"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40380A9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 xml:space="preserve">Рисунок </w:t>
      </w:r>
      <w:r w:rsidR="00130DBE" w:rsidRPr="00170B7C">
        <w:rPr>
          <w:color w:val="000000"/>
          <w:sz w:val="28"/>
          <w:szCs w:val="28"/>
        </w:rPr>
        <w:t>8</w:t>
      </w:r>
      <w:r w:rsidRPr="00170B7C">
        <w:rPr>
          <w:color w:val="000000"/>
          <w:sz w:val="28"/>
          <w:szCs w:val="28"/>
        </w:rPr>
        <w:t xml:space="preserve"> – Этиология развития цирроза печени у реципиентов</w:t>
      </w:r>
    </w:p>
    <w:p w14:paraId="40FC200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Calibri"/>
          <w:color w:val="000000"/>
          <w:sz w:val="28"/>
          <w:szCs w:val="28"/>
        </w:rPr>
        <w:t> </w:t>
      </w:r>
    </w:p>
    <w:p w14:paraId="23654ABE" w14:textId="77777777" w:rsidR="007E0C72"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1A1B1D"/>
          <w:sz w:val="28"/>
          <w:szCs w:val="28"/>
        </w:rPr>
        <w:t xml:space="preserve">Как видно из рисунка </w:t>
      </w:r>
      <w:r w:rsidR="00130DBE" w:rsidRPr="00170B7C">
        <w:rPr>
          <w:color w:val="1A1B1D"/>
          <w:sz w:val="28"/>
          <w:szCs w:val="28"/>
        </w:rPr>
        <w:t>8</w:t>
      </w:r>
      <w:r w:rsidRPr="00170B7C">
        <w:rPr>
          <w:color w:val="1A1B1D"/>
          <w:sz w:val="28"/>
          <w:szCs w:val="28"/>
        </w:rPr>
        <w:t xml:space="preserve">, количество реципиентов с циррозом в исходе </w:t>
      </w:r>
      <w:r w:rsidRPr="00170B7C">
        <w:rPr>
          <w:color w:val="000000"/>
          <w:sz w:val="28"/>
          <w:szCs w:val="28"/>
        </w:rPr>
        <w:t>сочетания вирусного гепатита В+D (HBV+HDV) превалировало над остальными причинами.  </w:t>
      </w:r>
    </w:p>
    <w:p w14:paraId="7FF1163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У 6 (10%) </w:t>
      </w:r>
      <w:r w:rsidR="005F2DF2">
        <w:rPr>
          <w:color w:val="000000"/>
          <w:sz w:val="28"/>
          <w:szCs w:val="28"/>
        </w:rPr>
        <w:t>реципиентов</w:t>
      </w:r>
      <w:r w:rsidRPr="00170B7C">
        <w:rPr>
          <w:color w:val="000000"/>
          <w:sz w:val="28"/>
          <w:szCs w:val="28"/>
        </w:rPr>
        <w:t xml:space="preserve"> на фоне цирроза печени выявлена гепатоцеллюлярная карцинома</w:t>
      </w:r>
      <w:r w:rsidR="00465965">
        <w:rPr>
          <w:color w:val="000000"/>
          <w:sz w:val="28"/>
          <w:szCs w:val="28"/>
        </w:rPr>
        <w:t xml:space="preserve"> </w:t>
      </w:r>
      <w:r w:rsidRPr="00170B7C">
        <w:rPr>
          <w:color w:val="000000"/>
          <w:sz w:val="28"/>
          <w:szCs w:val="28"/>
        </w:rPr>
        <w:t>(ГЦК). Средний показатель тяжести состояния реципиентов с циррозом печени по шкале MELD (Model for End-stage Liver Disease, 2016) составил 18,8 (минимум - 10, максимум - 27).  </w:t>
      </w:r>
    </w:p>
    <w:p w14:paraId="5EEE28D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В послеоперационном периоде у 38,3% (23/60) реципиентов после пересадки печени выявили осложнения (рисунок </w:t>
      </w:r>
      <w:r w:rsidR="00130DBE" w:rsidRPr="00170B7C">
        <w:rPr>
          <w:color w:val="000000"/>
          <w:sz w:val="28"/>
          <w:szCs w:val="28"/>
        </w:rPr>
        <w:t>9</w:t>
      </w:r>
      <w:r w:rsidRPr="00170B7C">
        <w:rPr>
          <w:color w:val="000000"/>
          <w:sz w:val="28"/>
          <w:szCs w:val="28"/>
        </w:rPr>
        <w:t>).  </w:t>
      </w:r>
    </w:p>
    <w:p w14:paraId="71A20A2F" w14:textId="77777777" w:rsidR="00465965" w:rsidRPr="00465965" w:rsidRDefault="00274D3C" w:rsidP="0046596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lastRenderedPageBreak/>
        <w:drawing>
          <wp:inline distT="0" distB="0" distL="114300" distR="114300" wp14:anchorId="36CD92FF" wp14:editId="078D214C">
            <wp:extent cx="6133017" cy="4087906"/>
            <wp:effectExtent l="0" t="0" r="1270" b="1905"/>
            <wp:docPr id="417" name="image64.png" descr="IMG_263"/>
            <wp:cNvGraphicFramePr/>
            <a:graphic xmlns:a="http://schemas.openxmlformats.org/drawingml/2006/main">
              <a:graphicData uri="http://schemas.openxmlformats.org/drawingml/2006/picture">
                <pic:pic xmlns:pic="http://schemas.openxmlformats.org/drawingml/2006/picture">
                  <pic:nvPicPr>
                    <pic:cNvPr id="0" name="image64.png" descr="IMG_263"/>
                    <pic:cNvPicPr preferRelativeResize="0"/>
                  </pic:nvPicPr>
                  <pic:blipFill>
                    <a:blip r:embed="rId18"/>
                    <a:srcRect/>
                    <a:stretch>
                      <a:fillRect/>
                    </a:stretch>
                  </pic:blipFill>
                  <pic:spPr>
                    <a:xfrm>
                      <a:off x="0" y="0"/>
                      <a:ext cx="6183549" cy="4121587"/>
                    </a:xfrm>
                    <a:prstGeom prst="rect">
                      <a:avLst/>
                    </a:prstGeom>
                    <a:ln/>
                  </pic:spPr>
                </pic:pic>
              </a:graphicData>
            </a:graphic>
          </wp:inline>
        </w:drawing>
      </w:r>
    </w:p>
    <w:p w14:paraId="706DA8DA" w14:textId="77777777" w:rsidR="00465965" w:rsidRDefault="00465965"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39F3B61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 xml:space="preserve">Рисунок </w:t>
      </w:r>
      <w:r w:rsidR="00130DBE" w:rsidRPr="00170B7C">
        <w:rPr>
          <w:color w:val="000000"/>
          <w:sz w:val="28"/>
          <w:szCs w:val="28"/>
        </w:rPr>
        <w:t>9</w:t>
      </w:r>
      <w:r w:rsidRPr="00170B7C">
        <w:rPr>
          <w:color w:val="000000"/>
          <w:sz w:val="28"/>
          <w:szCs w:val="28"/>
        </w:rPr>
        <w:t>– Послеоперационные осложнения реципиентов  </w:t>
      </w:r>
    </w:p>
    <w:p w14:paraId="559D9D25" w14:textId="77777777" w:rsidR="007E0C72"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rFonts w:eastAsia="Calibri"/>
          <w:color w:val="000000"/>
          <w:sz w:val="28"/>
          <w:szCs w:val="28"/>
        </w:rPr>
        <w:t> </w:t>
      </w:r>
    </w:p>
    <w:p w14:paraId="1AA279E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Как видно из рисунка </w:t>
      </w:r>
      <w:r w:rsidR="00496251" w:rsidRPr="00170B7C">
        <w:rPr>
          <w:color w:val="000000"/>
          <w:sz w:val="28"/>
          <w:szCs w:val="28"/>
        </w:rPr>
        <w:t>9</w:t>
      </w:r>
      <w:r w:rsidRPr="00170B7C">
        <w:rPr>
          <w:color w:val="000000"/>
          <w:sz w:val="28"/>
          <w:szCs w:val="28"/>
        </w:rPr>
        <w:t xml:space="preserve">, большинство осложнений связано с </w:t>
      </w:r>
      <w:r w:rsidR="00FE6510">
        <w:rPr>
          <w:color w:val="000000"/>
          <w:sz w:val="28"/>
          <w:szCs w:val="28"/>
        </w:rPr>
        <w:t>гепатопульмональным синдромом</w:t>
      </w:r>
      <w:r w:rsidRPr="00170B7C">
        <w:rPr>
          <w:color w:val="000000"/>
          <w:sz w:val="28"/>
          <w:szCs w:val="28"/>
        </w:rPr>
        <w:t xml:space="preserve">, отторжением </w:t>
      </w:r>
      <w:r w:rsidR="00FE6510">
        <w:rPr>
          <w:color w:val="000000"/>
          <w:sz w:val="28"/>
          <w:szCs w:val="28"/>
        </w:rPr>
        <w:t xml:space="preserve">трансплантата </w:t>
      </w:r>
      <w:r w:rsidRPr="00170B7C">
        <w:rPr>
          <w:color w:val="000000"/>
          <w:sz w:val="28"/>
          <w:szCs w:val="28"/>
        </w:rPr>
        <w:t xml:space="preserve">и </w:t>
      </w:r>
      <w:r w:rsidR="00FE6510">
        <w:rPr>
          <w:color w:val="000000"/>
          <w:sz w:val="28"/>
          <w:szCs w:val="28"/>
        </w:rPr>
        <w:t>кровотечением</w:t>
      </w:r>
      <w:r w:rsidRPr="00170B7C">
        <w:rPr>
          <w:color w:val="000000"/>
          <w:sz w:val="28"/>
          <w:szCs w:val="28"/>
        </w:rPr>
        <w:t>.  </w:t>
      </w:r>
    </w:p>
    <w:p w14:paraId="662B1DC8"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В послеоперационном периоде летальный исход наблюдался в 8,3% (5/60) случаев вследствие осложнений не совместимых с жизнью, в 8,3% (5/60) случаев проведена релапаротомия, в 6,6% (4/60) случаев – спленэктомия, в остальных 76,8% (47/60) случаев осложнения не наблюдались либо купировались консервативным лечением.   </w:t>
      </w:r>
    </w:p>
    <w:p w14:paraId="1F226876" w14:textId="77777777" w:rsidR="00FE6510"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Также в послеоперационном периоде у 42 </w:t>
      </w:r>
      <w:r w:rsidR="005F2DF2">
        <w:rPr>
          <w:color w:val="000000"/>
          <w:sz w:val="28"/>
          <w:szCs w:val="28"/>
        </w:rPr>
        <w:t>реципиентов</w:t>
      </w:r>
      <w:r w:rsidRPr="00170B7C">
        <w:rPr>
          <w:color w:val="000000"/>
          <w:sz w:val="28"/>
          <w:szCs w:val="28"/>
        </w:rPr>
        <w:t xml:space="preserve"> наблюдались изменения в лабораторных анализах крови. </w:t>
      </w:r>
    </w:p>
    <w:p w14:paraId="060E327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Средний показатель общего билирубина у реципиентов в послеоперационном периоде </w:t>
      </w:r>
      <w:r w:rsidR="00FE6510" w:rsidRPr="00170B7C">
        <w:rPr>
          <w:color w:val="000000"/>
          <w:sz w:val="28"/>
          <w:szCs w:val="28"/>
        </w:rPr>
        <w:t>достигал 81</w:t>
      </w:r>
      <w:r w:rsidRPr="00170B7C">
        <w:rPr>
          <w:color w:val="000000"/>
          <w:sz w:val="28"/>
          <w:szCs w:val="28"/>
        </w:rPr>
        <w:t xml:space="preserve"> ммоль/л (минимальный - 7,3 ммоль/л, максимальный - 338 ммоль/л), средний показатель международного нормализованного отношения (МНО) - 1,9 (минимальный-1,0 максимальный - 6,1) (</w:t>
      </w:r>
      <w:r w:rsidR="00FE6510" w:rsidRPr="00170B7C">
        <w:rPr>
          <w:color w:val="000000"/>
          <w:sz w:val="28"/>
          <w:szCs w:val="28"/>
        </w:rPr>
        <w:t>рисунок 10</w:t>
      </w:r>
      <w:r w:rsidRPr="00170B7C">
        <w:rPr>
          <w:color w:val="000000"/>
          <w:sz w:val="28"/>
          <w:szCs w:val="28"/>
        </w:rPr>
        <w:t>).  </w:t>
      </w:r>
    </w:p>
    <w:p w14:paraId="69B1B5A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lastRenderedPageBreak/>
        <w:drawing>
          <wp:inline distT="0" distB="0" distL="114300" distR="114300" wp14:anchorId="4C432039" wp14:editId="46380CB7">
            <wp:extent cx="6060686" cy="3259567"/>
            <wp:effectExtent l="0" t="0" r="0" b="4445"/>
            <wp:docPr id="415" name="image41.png" descr="IMG_264"/>
            <wp:cNvGraphicFramePr/>
            <a:graphic xmlns:a="http://schemas.openxmlformats.org/drawingml/2006/main">
              <a:graphicData uri="http://schemas.openxmlformats.org/drawingml/2006/picture">
                <pic:pic xmlns:pic="http://schemas.openxmlformats.org/drawingml/2006/picture">
                  <pic:nvPicPr>
                    <pic:cNvPr id="0" name="image41.png" descr="IMG_264"/>
                    <pic:cNvPicPr preferRelativeResize="0"/>
                  </pic:nvPicPr>
                  <pic:blipFill>
                    <a:blip r:embed="rId19"/>
                    <a:srcRect/>
                    <a:stretch>
                      <a:fillRect/>
                    </a:stretch>
                  </pic:blipFill>
                  <pic:spPr>
                    <a:xfrm>
                      <a:off x="0" y="0"/>
                      <a:ext cx="6105649" cy="3283749"/>
                    </a:xfrm>
                    <a:prstGeom prst="rect">
                      <a:avLst/>
                    </a:prstGeom>
                    <a:ln/>
                  </pic:spPr>
                </pic:pic>
              </a:graphicData>
            </a:graphic>
          </wp:inline>
        </w:drawing>
      </w:r>
    </w:p>
    <w:p w14:paraId="61937028" w14:textId="77777777" w:rsidR="00FE6510" w:rsidRDefault="00FE6510"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7042A537" w14:textId="77777777" w:rsidR="00C700B8" w:rsidRDefault="00274D3C" w:rsidP="00FE6510">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 xml:space="preserve">Рисунок </w:t>
      </w:r>
      <w:r w:rsidR="00130DBE" w:rsidRPr="00170B7C">
        <w:rPr>
          <w:color w:val="000000"/>
          <w:sz w:val="28"/>
          <w:szCs w:val="28"/>
        </w:rPr>
        <w:t>10</w:t>
      </w:r>
      <w:r w:rsidRPr="00170B7C">
        <w:rPr>
          <w:color w:val="000000"/>
          <w:sz w:val="28"/>
          <w:szCs w:val="28"/>
        </w:rPr>
        <w:t xml:space="preserve"> – Послеоперационные осложнения реципиентов</w:t>
      </w:r>
    </w:p>
    <w:p w14:paraId="47C92465" w14:textId="77777777" w:rsidR="00FE6510" w:rsidRPr="00170B7C" w:rsidRDefault="00FE6510" w:rsidP="00FE6510">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p>
    <w:p w14:paraId="0A86027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Как видно из рисунка </w:t>
      </w:r>
      <w:r w:rsidR="00130DBE" w:rsidRPr="00170B7C">
        <w:rPr>
          <w:color w:val="000000"/>
          <w:sz w:val="28"/>
          <w:szCs w:val="28"/>
        </w:rPr>
        <w:t>10</w:t>
      </w:r>
      <w:r w:rsidRPr="00170B7C">
        <w:rPr>
          <w:color w:val="000000"/>
          <w:sz w:val="28"/>
          <w:szCs w:val="28"/>
        </w:rPr>
        <w:t>, повышение уровня билирубина наблюдалось у 26% (11/42) реципиентов, повышение уровня МНО у 29% (12/42), накопление жидкости в брюшной полости (асцит) у 35% (15/42) и признаки энцефалопатии выявлены у 9% (4/42) реципиентов. </w:t>
      </w:r>
    </w:p>
    <w:p w14:paraId="52189B6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150E2C3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r w:rsidRPr="00170B7C">
        <w:rPr>
          <w:b/>
          <w:color w:val="000000"/>
          <w:sz w:val="28"/>
          <w:szCs w:val="28"/>
        </w:rPr>
        <w:t>2.3 Методы исследования </w:t>
      </w:r>
    </w:p>
    <w:p w14:paraId="5BC2E82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w:t>
      </w:r>
    </w:p>
    <w:p w14:paraId="5F505C5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Всем донорам проведено КТ-исследование органов брюшной полости на мультиспиральном компьютерном томографе </w:t>
      </w:r>
      <w:r w:rsidR="00000E18" w:rsidRPr="00C371D6">
        <w:rPr>
          <w:rFonts w:asciiTheme="majorBidi" w:hAnsiTheme="majorBidi" w:cstheme="majorBidi"/>
          <w:color w:val="000000"/>
          <w:sz w:val="28"/>
          <w:szCs w:val="28"/>
        </w:rPr>
        <w:t xml:space="preserve">Aquilion </w:t>
      </w:r>
      <w:r w:rsidR="00000E18">
        <w:rPr>
          <w:rFonts w:asciiTheme="majorBidi" w:hAnsiTheme="majorBidi" w:cstheme="majorBidi"/>
          <w:color w:val="000000"/>
          <w:sz w:val="28"/>
          <w:szCs w:val="28"/>
        </w:rPr>
        <w:t>Prime</w:t>
      </w:r>
      <w:r w:rsidR="00000E18" w:rsidRPr="005F3D18">
        <w:rPr>
          <w:rFonts w:asciiTheme="majorBidi" w:hAnsiTheme="majorBidi" w:cstheme="majorBidi"/>
          <w:color w:val="000000"/>
          <w:sz w:val="28"/>
          <w:szCs w:val="28"/>
        </w:rPr>
        <w:t xml:space="preserve"> </w:t>
      </w:r>
      <w:r w:rsidR="00000E18">
        <w:rPr>
          <w:rFonts w:asciiTheme="majorBidi" w:hAnsiTheme="majorBidi" w:cstheme="majorBidi"/>
          <w:color w:val="000000"/>
          <w:sz w:val="28"/>
          <w:szCs w:val="28"/>
        </w:rPr>
        <w:t>SP</w:t>
      </w:r>
      <w:r w:rsidR="00000E18" w:rsidRPr="00170B7C">
        <w:rPr>
          <w:color w:val="000000"/>
          <w:sz w:val="28"/>
          <w:szCs w:val="28"/>
        </w:rPr>
        <w:t xml:space="preserve"> </w:t>
      </w:r>
      <w:r w:rsidRPr="00170B7C">
        <w:rPr>
          <w:color w:val="000000"/>
          <w:sz w:val="28"/>
          <w:szCs w:val="28"/>
        </w:rPr>
        <w:t>(Canon), с болюсным введением неионного рентгеноконтрастного средства</w:t>
      </w:r>
      <w:r w:rsidRPr="00170B7C">
        <w:rPr>
          <w:color w:val="FF0000"/>
          <w:sz w:val="28"/>
          <w:szCs w:val="28"/>
        </w:rPr>
        <w:t xml:space="preserve"> </w:t>
      </w:r>
      <w:r w:rsidRPr="00170B7C">
        <w:rPr>
          <w:color w:val="000000"/>
          <w:sz w:val="28"/>
          <w:szCs w:val="28"/>
        </w:rPr>
        <w:t>с расчетом 1.8*мг/кг, со скоростью 4.0 мл/с, триггер 150 Hounsfield Units (HU), в 4 фазы: нативная, артериальная, порто-венозная и отсроченная (рисунок 1</w:t>
      </w:r>
      <w:r w:rsidR="00130DBE" w:rsidRPr="00170B7C">
        <w:rPr>
          <w:color w:val="000000"/>
          <w:sz w:val="28"/>
          <w:szCs w:val="28"/>
        </w:rPr>
        <w:t>1</w:t>
      </w:r>
      <w:r w:rsidRPr="00170B7C">
        <w:rPr>
          <w:color w:val="000000"/>
          <w:sz w:val="28"/>
          <w:szCs w:val="28"/>
        </w:rPr>
        <w:t>). </w:t>
      </w:r>
    </w:p>
    <w:p w14:paraId="28F4008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33C4087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b/>
          <w:noProof/>
          <w:color w:val="000000"/>
          <w:sz w:val="28"/>
          <w:szCs w:val="28"/>
          <w:lang w:eastAsia="ru-RU"/>
        </w:rPr>
        <w:drawing>
          <wp:inline distT="0" distB="0" distL="0" distR="0" wp14:anchorId="6F4C926F" wp14:editId="679A90E0">
            <wp:extent cx="5439608" cy="2217913"/>
            <wp:effectExtent l="0" t="0" r="0" b="0"/>
            <wp:docPr id="422" name="image47.png" descr="https://lh7-us.googleusercontent.com/LyWg8hrJTDjbZuzT5n64LPJPMl30Fxye3zuXpO7b7mMn1WiRdmCnlR1LxQIwdHaJetO6YUhLCtzkpmKVXE-EBBGfK7O38dgSQCfqsNfngP0oWalLUnnbjz5da5590Gicu_zqttVUji_uQosdclK6ng"/>
            <wp:cNvGraphicFramePr/>
            <a:graphic xmlns:a="http://schemas.openxmlformats.org/drawingml/2006/main">
              <a:graphicData uri="http://schemas.openxmlformats.org/drawingml/2006/picture">
                <pic:pic xmlns:pic="http://schemas.openxmlformats.org/drawingml/2006/picture">
                  <pic:nvPicPr>
                    <pic:cNvPr id="0" name="image47.png" descr="https://lh7-us.googleusercontent.com/LyWg8hrJTDjbZuzT5n64LPJPMl30Fxye3zuXpO7b7mMn1WiRdmCnlR1LxQIwdHaJetO6YUhLCtzkpmKVXE-EBBGfK7O38dgSQCfqsNfngP0oWalLUnnbjz5da5590Gicu_zqttVUji_uQosdclK6ng"/>
                    <pic:cNvPicPr preferRelativeResize="0"/>
                  </pic:nvPicPr>
                  <pic:blipFill>
                    <a:blip r:embed="rId20"/>
                    <a:srcRect l="32527" t="24800" r="29335" b="46718"/>
                    <a:stretch>
                      <a:fillRect/>
                    </a:stretch>
                  </pic:blipFill>
                  <pic:spPr>
                    <a:xfrm>
                      <a:off x="0" y="0"/>
                      <a:ext cx="5439608" cy="2217913"/>
                    </a:xfrm>
                    <a:prstGeom prst="rect">
                      <a:avLst/>
                    </a:prstGeom>
                    <a:ln/>
                  </pic:spPr>
                </pic:pic>
              </a:graphicData>
            </a:graphic>
          </wp:inline>
        </w:drawing>
      </w:r>
      <w:r w:rsidRPr="00170B7C">
        <w:rPr>
          <w:rFonts w:eastAsia="Calibri"/>
          <w:color w:val="000000"/>
          <w:sz w:val="28"/>
          <w:szCs w:val="28"/>
        </w:rPr>
        <w:t> </w:t>
      </w:r>
    </w:p>
    <w:p w14:paraId="0286830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b/>
          <w:noProof/>
          <w:color w:val="000000"/>
          <w:sz w:val="28"/>
          <w:szCs w:val="28"/>
          <w:lang w:eastAsia="ru-RU"/>
        </w:rPr>
        <w:lastRenderedPageBreak/>
        <w:drawing>
          <wp:inline distT="0" distB="0" distL="0" distR="0" wp14:anchorId="2FB4D896" wp14:editId="47E5CBF5">
            <wp:extent cx="5439608" cy="2238308"/>
            <wp:effectExtent l="0" t="0" r="0" b="0"/>
            <wp:docPr id="418" name="image47.png" descr="https://lh7-us.googleusercontent.com/LyWg8hrJTDjbZuzT5n64LPJPMl30Fxye3zuXpO7b7mMn1WiRdmCnlR1LxQIwdHaJetO6YUhLCtzkpmKVXE-EBBGfK7O38dgSQCfqsNfngP0oWalLUnnbjz5da5590Gicu_zqttVUji_uQosdclK6ng"/>
            <wp:cNvGraphicFramePr/>
            <a:graphic xmlns:a="http://schemas.openxmlformats.org/drawingml/2006/main">
              <a:graphicData uri="http://schemas.openxmlformats.org/drawingml/2006/picture">
                <pic:pic xmlns:pic="http://schemas.openxmlformats.org/drawingml/2006/picture">
                  <pic:nvPicPr>
                    <pic:cNvPr id="0" name="image47.png" descr="https://lh7-us.googleusercontent.com/LyWg8hrJTDjbZuzT5n64LPJPMl30Fxye3zuXpO7b7mMn1WiRdmCnlR1LxQIwdHaJetO6YUhLCtzkpmKVXE-EBBGfK7O38dgSQCfqsNfngP0oWalLUnnbjz5da5590Gicu_zqttVUji_uQosdclK6ng"/>
                    <pic:cNvPicPr preferRelativeResize="0"/>
                  </pic:nvPicPr>
                  <pic:blipFill>
                    <a:blip r:embed="rId20"/>
                    <a:srcRect l="32527" t="53649" r="29335" b="17608"/>
                    <a:stretch>
                      <a:fillRect/>
                    </a:stretch>
                  </pic:blipFill>
                  <pic:spPr>
                    <a:xfrm>
                      <a:off x="0" y="0"/>
                      <a:ext cx="5439608" cy="2238308"/>
                    </a:xfrm>
                    <a:prstGeom prst="rect">
                      <a:avLst/>
                    </a:prstGeom>
                    <a:ln/>
                  </pic:spPr>
                </pic:pic>
              </a:graphicData>
            </a:graphic>
          </wp:inline>
        </w:drawing>
      </w:r>
    </w:p>
    <w:p w14:paraId="7D5D27F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Calibri"/>
          <w:color w:val="000000"/>
          <w:sz w:val="28"/>
          <w:szCs w:val="28"/>
        </w:rPr>
        <w:t> </w:t>
      </w:r>
    </w:p>
    <w:p w14:paraId="79D2FDB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Рисунок 1</w:t>
      </w:r>
      <w:r w:rsidR="00130DBE" w:rsidRPr="00170B7C">
        <w:rPr>
          <w:color w:val="000000"/>
          <w:sz w:val="28"/>
          <w:szCs w:val="28"/>
        </w:rPr>
        <w:t>1</w:t>
      </w:r>
      <w:r w:rsidRPr="00170B7C">
        <w:rPr>
          <w:color w:val="000000"/>
          <w:sz w:val="28"/>
          <w:szCs w:val="28"/>
        </w:rPr>
        <w:t xml:space="preserve"> – КТ-сканы органов брюшной полости, аксиальная </w:t>
      </w:r>
      <w:r w:rsidR="00FE6510" w:rsidRPr="00170B7C">
        <w:rPr>
          <w:color w:val="000000"/>
          <w:sz w:val="28"/>
          <w:szCs w:val="28"/>
        </w:rPr>
        <w:t xml:space="preserve">плоскость,  </w:t>
      </w:r>
      <w:r w:rsidRPr="00170B7C">
        <w:rPr>
          <w:color w:val="000000"/>
          <w:sz w:val="28"/>
          <w:szCs w:val="28"/>
        </w:rPr>
        <w:t xml:space="preserve">                4 фазы: a) нативная, b) артериальная, с) порто-венозная, d) отсроченная  </w:t>
      </w:r>
    </w:p>
    <w:p w14:paraId="2E5BE48B" w14:textId="77777777" w:rsidR="00B318AD" w:rsidRPr="00170B7C" w:rsidRDefault="00B318AD"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p>
    <w:p w14:paraId="165B6F9B" w14:textId="77777777" w:rsidR="00AE66C6" w:rsidRPr="00170B7C" w:rsidRDefault="00661766"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rFonts w:eastAsia="Calibri"/>
          <w:color w:val="000000"/>
          <w:sz w:val="28"/>
          <w:szCs w:val="28"/>
        </w:rPr>
        <w:t xml:space="preserve">       </w:t>
      </w:r>
      <w:r w:rsidR="00B318AD" w:rsidRPr="00170B7C">
        <w:rPr>
          <w:rFonts w:eastAsia="Calibri"/>
          <w:color w:val="000000"/>
          <w:sz w:val="28"/>
          <w:szCs w:val="28"/>
        </w:rPr>
        <w:t xml:space="preserve">КТ органов брюшной полости проводится всем потенциальным донорам печени для исключения патологий печени и других органов, а также для визуализации анатомического строения печеночных артерий, </w:t>
      </w:r>
      <w:r w:rsidR="00FE6510">
        <w:rPr>
          <w:rFonts w:eastAsia="Calibri"/>
          <w:color w:val="000000"/>
          <w:sz w:val="28"/>
          <w:szCs w:val="28"/>
        </w:rPr>
        <w:t>воротной</w:t>
      </w:r>
      <w:r w:rsidR="00B318AD" w:rsidRPr="00170B7C">
        <w:rPr>
          <w:rFonts w:eastAsia="Calibri"/>
          <w:color w:val="000000"/>
          <w:sz w:val="28"/>
          <w:szCs w:val="28"/>
        </w:rPr>
        <w:t xml:space="preserve"> вены и печеночных вен</w:t>
      </w:r>
      <w:r w:rsidR="00356292" w:rsidRPr="00170B7C">
        <w:rPr>
          <w:rFonts w:eastAsia="Calibri"/>
          <w:color w:val="000000"/>
          <w:sz w:val="28"/>
          <w:szCs w:val="28"/>
        </w:rPr>
        <w:t>,</w:t>
      </w:r>
      <w:r w:rsidR="00AE66C6" w:rsidRPr="00170B7C">
        <w:rPr>
          <w:rFonts w:eastAsia="Calibri"/>
          <w:color w:val="000000"/>
          <w:sz w:val="28"/>
          <w:szCs w:val="28"/>
        </w:rPr>
        <w:t xml:space="preserve"> построения 3</w:t>
      </w:r>
      <w:r w:rsidR="00AE66C6" w:rsidRPr="00170B7C">
        <w:rPr>
          <w:rFonts w:eastAsia="Calibri"/>
          <w:color w:val="000000"/>
          <w:sz w:val="28"/>
          <w:szCs w:val="28"/>
          <w:lang w:val="en-US"/>
        </w:rPr>
        <w:t>D</w:t>
      </w:r>
      <w:r w:rsidR="00AE66C6" w:rsidRPr="00170B7C">
        <w:rPr>
          <w:rFonts w:eastAsia="Calibri"/>
          <w:color w:val="000000"/>
          <w:sz w:val="28"/>
          <w:szCs w:val="28"/>
        </w:rPr>
        <w:t xml:space="preserve"> реконструкции </w:t>
      </w:r>
      <w:r w:rsidR="0018387D" w:rsidRPr="00170B7C">
        <w:rPr>
          <w:rFonts w:eastAsia="Calibri"/>
          <w:color w:val="000000"/>
          <w:sz w:val="28"/>
          <w:szCs w:val="28"/>
        </w:rPr>
        <w:t>(рисунок 1</w:t>
      </w:r>
      <w:r w:rsidR="00496251" w:rsidRPr="00170B7C">
        <w:rPr>
          <w:rFonts w:eastAsia="Calibri"/>
          <w:color w:val="000000"/>
          <w:sz w:val="28"/>
          <w:szCs w:val="28"/>
        </w:rPr>
        <w:t>2</w:t>
      </w:r>
      <w:r w:rsidR="0018387D" w:rsidRPr="00170B7C">
        <w:rPr>
          <w:rFonts w:eastAsia="Calibri"/>
          <w:color w:val="000000"/>
          <w:sz w:val="28"/>
          <w:szCs w:val="28"/>
        </w:rPr>
        <w:t>а,</w:t>
      </w:r>
      <w:r w:rsidR="0018387D" w:rsidRPr="00170B7C">
        <w:rPr>
          <w:rFonts w:eastAsia="Calibri"/>
          <w:color w:val="000000"/>
          <w:sz w:val="28"/>
          <w:szCs w:val="28"/>
          <w:lang w:val="en-US"/>
        </w:rPr>
        <w:t>b</w:t>
      </w:r>
      <w:r w:rsidR="0018387D" w:rsidRPr="00170B7C">
        <w:rPr>
          <w:rFonts w:eastAsia="Calibri"/>
          <w:color w:val="000000"/>
          <w:sz w:val="28"/>
          <w:szCs w:val="28"/>
        </w:rPr>
        <w:t>)</w:t>
      </w:r>
      <w:r w:rsidR="00B318AD" w:rsidRPr="00170B7C">
        <w:rPr>
          <w:rFonts w:eastAsia="Calibri"/>
          <w:color w:val="000000"/>
          <w:sz w:val="28"/>
          <w:szCs w:val="28"/>
        </w:rPr>
        <w:t>.</w:t>
      </w:r>
      <w:r w:rsidR="00AE66C6" w:rsidRPr="00170B7C">
        <w:rPr>
          <w:rFonts w:eastAsia="Calibri"/>
          <w:color w:val="000000"/>
          <w:sz w:val="28"/>
          <w:szCs w:val="28"/>
        </w:rPr>
        <w:t xml:space="preserve"> </w:t>
      </w:r>
    </w:p>
    <w:p w14:paraId="4CD54F3F" w14:textId="77777777" w:rsidR="00AE66C6" w:rsidRPr="00170B7C" w:rsidRDefault="00AE66C6"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p>
    <w:p w14:paraId="2E4DF7BC" w14:textId="77777777" w:rsidR="0018387D" w:rsidRPr="00170B7C" w:rsidRDefault="00AE66C6" w:rsidP="00FE6510">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Calibri"/>
          <w:noProof/>
          <w:color w:val="000000"/>
          <w:sz w:val="28"/>
          <w:szCs w:val="28"/>
          <w:lang w:eastAsia="ru-RU"/>
        </w:rPr>
        <w:drawing>
          <wp:inline distT="0" distB="0" distL="0" distR="0" wp14:anchorId="55CE4B32" wp14:editId="6627AB28">
            <wp:extent cx="3277950" cy="221313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6186" t="12244" r="18656" b="39689"/>
                    <a:stretch/>
                  </pic:blipFill>
                  <pic:spPr bwMode="auto">
                    <a:xfrm>
                      <a:off x="0" y="0"/>
                      <a:ext cx="3306670" cy="2232528"/>
                    </a:xfrm>
                    <a:prstGeom prst="rect">
                      <a:avLst/>
                    </a:prstGeom>
                    <a:ln>
                      <a:noFill/>
                    </a:ln>
                    <a:extLst>
                      <a:ext uri="{53640926-AAD7-44D8-BBD7-CCE9431645EC}">
                        <a14:shadowObscured xmlns:a14="http://schemas.microsoft.com/office/drawing/2010/main"/>
                      </a:ext>
                    </a:extLst>
                  </pic:spPr>
                </pic:pic>
              </a:graphicData>
            </a:graphic>
          </wp:inline>
        </w:drawing>
      </w:r>
      <w:r w:rsidR="00813C62" w:rsidRPr="00170B7C">
        <w:rPr>
          <w:rFonts w:eastAsia="Calibri"/>
          <w:noProof/>
          <w:color w:val="000000"/>
          <w:sz w:val="28"/>
          <w:szCs w:val="28"/>
          <w:lang w:eastAsia="ru-RU"/>
        </w:rPr>
        <w:drawing>
          <wp:inline distT="0" distB="0" distL="0" distR="0" wp14:anchorId="1ADE1040" wp14:editId="54221E3F">
            <wp:extent cx="2755781" cy="2080895"/>
            <wp:effectExtent l="0" t="0" r="635"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3943" t="11110" r="4545" b="13389"/>
                    <a:stretch/>
                  </pic:blipFill>
                  <pic:spPr bwMode="auto">
                    <a:xfrm>
                      <a:off x="0" y="0"/>
                      <a:ext cx="2789078" cy="2106038"/>
                    </a:xfrm>
                    <a:prstGeom prst="rect">
                      <a:avLst/>
                    </a:prstGeom>
                    <a:ln>
                      <a:noFill/>
                    </a:ln>
                    <a:extLst>
                      <a:ext uri="{53640926-AAD7-44D8-BBD7-CCE9431645EC}">
                        <a14:shadowObscured xmlns:a14="http://schemas.microsoft.com/office/drawing/2010/main"/>
                      </a:ext>
                    </a:extLst>
                  </pic:spPr>
                </pic:pic>
              </a:graphicData>
            </a:graphic>
          </wp:inline>
        </w:drawing>
      </w:r>
    </w:p>
    <w:p w14:paraId="0025A498" w14:textId="77777777" w:rsidR="0018387D" w:rsidRPr="00170B7C" w:rsidRDefault="001D3B01" w:rsidP="00170B7C">
      <w:pPr>
        <w:pStyle w:val="ac"/>
        <w:numPr>
          <w:ilvl w:val="0"/>
          <w:numId w:val="6"/>
        </w:num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lang w:val="en-US"/>
        </w:rPr>
      </w:pPr>
      <w:r w:rsidRPr="00170B7C">
        <w:rPr>
          <w:rFonts w:eastAsia="Calibri"/>
          <w:color w:val="000000"/>
          <w:sz w:val="28"/>
          <w:szCs w:val="28"/>
          <w:lang w:val="en-US"/>
        </w:rPr>
        <w:t xml:space="preserve">                                                                   b)</w:t>
      </w:r>
    </w:p>
    <w:p w14:paraId="3F27FEA9" w14:textId="77777777" w:rsidR="00FE6510" w:rsidRDefault="00FE6510"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p>
    <w:p w14:paraId="7C617002" w14:textId="77777777" w:rsidR="0018387D" w:rsidRPr="00170B7C" w:rsidRDefault="00AE66C6"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Calibri"/>
          <w:color w:val="000000"/>
          <w:sz w:val="28"/>
          <w:szCs w:val="28"/>
        </w:rPr>
        <w:t>Рисунок 1</w:t>
      </w:r>
      <w:r w:rsidR="00130DBE" w:rsidRPr="00170B7C">
        <w:rPr>
          <w:rFonts w:eastAsia="Calibri"/>
          <w:color w:val="000000"/>
          <w:sz w:val="28"/>
          <w:szCs w:val="28"/>
        </w:rPr>
        <w:t>2</w:t>
      </w:r>
      <w:r w:rsidR="00496251" w:rsidRPr="00170B7C">
        <w:rPr>
          <w:rFonts w:eastAsia="Calibri"/>
          <w:color w:val="000000"/>
          <w:sz w:val="28"/>
          <w:szCs w:val="28"/>
        </w:rPr>
        <w:t xml:space="preserve"> </w:t>
      </w:r>
      <w:r w:rsidR="00496251" w:rsidRPr="00170B7C">
        <w:rPr>
          <w:color w:val="000000"/>
          <w:sz w:val="28"/>
          <w:szCs w:val="28"/>
        </w:rPr>
        <w:t xml:space="preserve">– </w:t>
      </w:r>
      <w:r w:rsidRPr="00170B7C">
        <w:rPr>
          <w:rFonts w:eastAsia="Calibri"/>
          <w:color w:val="000000"/>
          <w:sz w:val="28"/>
          <w:szCs w:val="28"/>
        </w:rPr>
        <w:t xml:space="preserve">3D визуализация печеночных сосудов: а) I тип артериального кровоснабжения, </w:t>
      </w:r>
      <w:r w:rsidRPr="00170B7C">
        <w:rPr>
          <w:rFonts w:eastAsia="Calibri"/>
          <w:color w:val="000000"/>
          <w:sz w:val="28"/>
          <w:szCs w:val="28"/>
          <w:lang w:val="en-US"/>
        </w:rPr>
        <w:t>b</w:t>
      </w:r>
      <w:r w:rsidRPr="00170B7C">
        <w:rPr>
          <w:rFonts w:eastAsia="Calibri"/>
          <w:color w:val="000000"/>
          <w:sz w:val="28"/>
          <w:szCs w:val="28"/>
        </w:rPr>
        <w:t xml:space="preserve">) </w:t>
      </w:r>
      <w:r w:rsidR="007C318C" w:rsidRPr="00170B7C">
        <w:rPr>
          <w:rFonts w:eastAsia="Calibri"/>
          <w:color w:val="000000"/>
          <w:sz w:val="28"/>
          <w:szCs w:val="28"/>
          <w:lang w:val="en-US"/>
        </w:rPr>
        <w:t>I</w:t>
      </w:r>
      <w:r w:rsidR="007C318C" w:rsidRPr="00170B7C">
        <w:rPr>
          <w:rFonts w:eastAsia="Calibri"/>
          <w:color w:val="000000"/>
          <w:sz w:val="28"/>
          <w:szCs w:val="28"/>
        </w:rPr>
        <w:t xml:space="preserve"> тип воротной вены</w:t>
      </w:r>
    </w:p>
    <w:p w14:paraId="41130A6B" w14:textId="77777777" w:rsidR="0018387D" w:rsidRPr="00170B7C" w:rsidRDefault="0018387D"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p>
    <w:p w14:paraId="128370EF" w14:textId="13F000D1" w:rsidR="00C700B8" w:rsidRPr="00170B7C" w:rsidRDefault="00F675BA" w:rsidP="00170B7C">
      <w:pPr>
        <w:pBdr>
          <w:top w:val="none" w:sz="0" w:space="0" w:color="000000"/>
          <w:left w:val="none" w:sz="0" w:space="0" w:color="000000"/>
          <w:bottom w:val="none" w:sz="0" w:space="0" w:color="000000"/>
          <w:right w:val="none" w:sz="0" w:space="0" w:color="000000"/>
          <w:between w:val="none" w:sz="0" w:space="0" w:color="000000"/>
        </w:pBdr>
        <w:ind w:firstLine="720"/>
        <w:jc w:val="both"/>
        <w:rPr>
          <w:rFonts w:eastAsia="Calibri"/>
          <w:color w:val="FF0000"/>
          <w:sz w:val="28"/>
          <w:szCs w:val="28"/>
        </w:rPr>
      </w:pPr>
      <w:r w:rsidRPr="00170B7C">
        <w:rPr>
          <w:rFonts w:eastAsia="Calibri"/>
          <w:color w:val="000000"/>
          <w:sz w:val="28"/>
          <w:szCs w:val="28"/>
        </w:rPr>
        <w:t>Вариация</w:t>
      </w:r>
      <w:r w:rsidR="009A20F7" w:rsidRPr="00170B7C">
        <w:rPr>
          <w:rFonts w:eastAsia="Calibri"/>
          <w:color w:val="000000"/>
          <w:sz w:val="28"/>
          <w:szCs w:val="28"/>
        </w:rPr>
        <w:t xml:space="preserve"> печеночных артерий </w:t>
      </w:r>
      <w:r w:rsidRPr="00170B7C">
        <w:rPr>
          <w:rFonts w:eastAsia="Calibri"/>
          <w:color w:val="000000"/>
          <w:sz w:val="28"/>
          <w:szCs w:val="28"/>
        </w:rPr>
        <w:t xml:space="preserve">проводится </w:t>
      </w:r>
      <w:r w:rsidRPr="00170B7C">
        <w:rPr>
          <w:rFonts w:eastAsia="Calibri"/>
          <w:sz w:val="28"/>
          <w:szCs w:val="28"/>
        </w:rPr>
        <w:t>согласно классификаци</w:t>
      </w:r>
      <w:r w:rsidR="003272B3" w:rsidRPr="00170B7C">
        <w:rPr>
          <w:rFonts w:eastAsia="Calibri"/>
          <w:sz w:val="28"/>
          <w:szCs w:val="28"/>
        </w:rPr>
        <w:t>и</w:t>
      </w:r>
      <w:r w:rsidRPr="00170B7C">
        <w:rPr>
          <w:rFonts w:eastAsia="Calibri"/>
          <w:sz w:val="28"/>
          <w:szCs w:val="28"/>
        </w:rPr>
        <w:t>, предложенной</w:t>
      </w:r>
      <w:r w:rsidR="009A20F7" w:rsidRPr="00170B7C">
        <w:rPr>
          <w:rFonts w:eastAsia="Calibri"/>
          <w:sz w:val="28"/>
          <w:szCs w:val="28"/>
        </w:rPr>
        <w:t xml:space="preserve"> Michels</w:t>
      </w:r>
      <w:r w:rsidR="003B42CD" w:rsidRPr="00170B7C">
        <w:rPr>
          <w:rFonts w:eastAsia="Calibri"/>
          <w:sz w:val="28"/>
          <w:szCs w:val="28"/>
        </w:rPr>
        <w:t xml:space="preserve"> </w:t>
      </w:r>
      <w:r w:rsidR="000440FD" w:rsidRPr="00170B7C">
        <w:rPr>
          <w:rFonts w:eastAsia="Calibri"/>
          <w:sz w:val="28"/>
          <w:szCs w:val="28"/>
        </w:rPr>
        <w:t>N.</w:t>
      </w:r>
      <w:r w:rsidR="00CA2AE5" w:rsidRPr="00170B7C">
        <w:rPr>
          <w:rFonts w:eastAsia="Calibri"/>
          <w:sz w:val="28"/>
          <w:szCs w:val="28"/>
        </w:rPr>
        <w:t xml:space="preserve"> </w:t>
      </w:r>
      <w:r w:rsidR="003B42CD" w:rsidRPr="00170B7C">
        <w:rPr>
          <w:rFonts w:eastAsia="Calibri"/>
          <w:sz w:val="28"/>
          <w:szCs w:val="28"/>
        </w:rPr>
        <w:t>(1955)</w:t>
      </w:r>
      <w:r w:rsidR="00FE6510">
        <w:rPr>
          <w:rFonts w:eastAsia="Calibri"/>
          <w:sz w:val="28"/>
          <w:szCs w:val="28"/>
        </w:rPr>
        <w:t xml:space="preserve">, </w:t>
      </w:r>
      <w:r w:rsidRPr="00170B7C">
        <w:rPr>
          <w:rFonts w:eastAsia="Calibri"/>
          <w:sz w:val="28"/>
          <w:szCs w:val="28"/>
        </w:rPr>
        <w:t xml:space="preserve">вариация </w:t>
      </w:r>
      <w:r w:rsidR="009A20F7" w:rsidRPr="00170B7C">
        <w:rPr>
          <w:rFonts w:eastAsia="Calibri"/>
          <w:color w:val="000000" w:themeColor="text1"/>
          <w:sz w:val="28"/>
          <w:szCs w:val="28"/>
        </w:rPr>
        <w:t xml:space="preserve">воротной вены </w:t>
      </w:r>
      <w:r w:rsidR="009241F9" w:rsidRPr="00170B7C">
        <w:rPr>
          <w:rFonts w:eastAsia="Calibri"/>
          <w:color w:val="000000" w:themeColor="text1"/>
          <w:sz w:val="28"/>
          <w:szCs w:val="28"/>
        </w:rPr>
        <w:t xml:space="preserve">по </w:t>
      </w:r>
      <w:r w:rsidRPr="00170B7C">
        <w:rPr>
          <w:rFonts w:eastAsia="Calibri"/>
          <w:color w:val="000000" w:themeColor="text1"/>
          <w:sz w:val="28"/>
          <w:szCs w:val="28"/>
        </w:rPr>
        <w:t xml:space="preserve">классификации </w:t>
      </w:r>
      <w:r w:rsidR="000B595C" w:rsidRPr="00170B7C">
        <w:rPr>
          <w:rFonts w:eastAsia="Calibri"/>
          <w:color w:val="000000" w:themeColor="text1"/>
          <w:sz w:val="28"/>
          <w:szCs w:val="28"/>
        </w:rPr>
        <w:t xml:space="preserve">Nakamura </w:t>
      </w:r>
      <w:r w:rsidR="003272B3" w:rsidRPr="00170B7C">
        <w:rPr>
          <w:rFonts w:eastAsia="Calibri"/>
          <w:color w:val="000000" w:themeColor="text1"/>
          <w:sz w:val="28"/>
          <w:szCs w:val="28"/>
        </w:rPr>
        <w:t xml:space="preserve">Т. </w:t>
      </w:r>
      <w:r w:rsidR="000440FD" w:rsidRPr="00170B7C">
        <w:rPr>
          <w:rFonts w:eastAsia="Calibri"/>
          <w:color w:val="000000" w:themeColor="text1"/>
          <w:sz w:val="28"/>
          <w:szCs w:val="28"/>
        </w:rPr>
        <w:t>(2002)</w:t>
      </w:r>
      <w:r w:rsidR="00EE02E7" w:rsidRPr="00170B7C">
        <w:rPr>
          <w:rFonts w:eastAsia="Calibri"/>
          <w:color w:val="000000"/>
          <w:sz w:val="28"/>
          <w:szCs w:val="28"/>
        </w:rPr>
        <w:t>.</w:t>
      </w:r>
    </w:p>
    <w:p w14:paraId="57902DEE" w14:textId="77777777" w:rsidR="000440FD" w:rsidRPr="00170B7C" w:rsidRDefault="000440FD" w:rsidP="00170B7C">
      <w:pPr>
        <w:ind w:firstLine="720"/>
        <w:jc w:val="both"/>
        <w:rPr>
          <w:sz w:val="28"/>
          <w:szCs w:val="28"/>
          <w:shd w:val="clear" w:color="auto" w:fill="FFFFFF"/>
        </w:rPr>
      </w:pPr>
      <w:r w:rsidRPr="00170B7C">
        <w:rPr>
          <w:sz w:val="28"/>
          <w:szCs w:val="28"/>
          <w:shd w:val="clear" w:color="auto" w:fill="FFFFFF"/>
        </w:rPr>
        <w:t>Наиболее распространенным вариантом артериального кровоснабжения по классификации</w:t>
      </w:r>
      <w:r w:rsidRPr="00170B7C">
        <w:rPr>
          <w:sz w:val="28"/>
          <w:szCs w:val="28"/>
        </w:rPr>
        <w:t xml:space="preserve"> </w:t>
      </w:r>
      <w:r w:rsidRPr="00170B7C">
        <w:rPr>
          <w:sz w:val="28"/>
          <w:szCs w:val="28"/>
          <w:shd w:val="clear" w:color="auto" w:fill="FFFFFF"/>
        </w:rPr>
        <w:t xml:space="preserve">Michels </w:t>
      </w:r>
      <w:r w:rsidR="00CA2AE5" w:rsidRPr="00170B7C">
        <w:rPr>
          <w:sz w:val="28"/>
          <w:szCs w:val="28"/>
          <w:shd w:val="clear" w:color="auto" w:fill="FFFFFF"/>
        </w:rPr>
        <w:t xml:space="preserve">N. </w:t>
      </w:r>
      <w:r w:rsidRPr="00170B7C">
        <w:rPr>
          <w:sz w:val="28"/>
          <w:szCs w:val="28"/>
          <w:shd w:val="clear" w:color="auto" w:fill="FFFFFF"/>
        </w:rPr>
        <w:t xml:space="preserve">является тип I, выявленный </w:t>
      </w:r>
      <w:r w:rsidR="00FE6510" w:rsidRPr="00170B7C">
        <w:rPr>
          <w:sz w:val="28"/>
          <w:szCs w:val="28"/>
          <w:shd w:val="clear" w:color="auto" w:fill="FFFFFF"/>
        </w:rPr>
        <w:t>в (</w:t>
      </w:r>
      <w:r w:rsidRPr="00170B7C">
        <w:rPr>
          <w:sz w:val="28"/>
          <w:szCs w:val="28"/>
          <w:shd w:val="clear" w:color="auto" w:fill="FFFFFF"/>
        </w:rPr>
        <w:t>71,5%) наблюдениях. Тип II и тип III обнаружили в 8,6 и 7,9%</w:t>
      </w:r>
      <w:r w:rsidRPr="00170B7C">
        <w:rPr>
          <w:sz w:val="28"/>
          <w:szCs w:val="28"/>
        </w:rPr>
        <w:t xml:space="preserve"> </w:t>
      </w:r>
      <w:r w:rsidRPr="00170B7C">
        <w:rPr>
          <w:sz w:val="28"/>
          <w:szCs w:val="28"/>
          <w:shd w:val="clear" w:color="auto" w:fill="FFFFFF"/>
        </w:rPr>
        <w:t>наблюдений соответственно. Типы IV и IX определены у одинакового числа доноров (по 2,6%). Типы</w:t>
      </w:r>
      <w:r w:rsidRPr="00170B7C">
        <w:rPr>
          <w:sz w:val="28"/>
          <w:szCs w:val="28"/>
        </w:rPr>
        <w:t xml:space="preserve"> </w:t>
      </w:r>
      <w:r w:rsidRPr="00170B7C">
        <w:rPr>
          <w:sz w:val="28"/>
          <w:szCs w:val="28"/>
          <w:shd w:val="clear" w:color="auto" w:fill="FFFFFF"/>
        </w:rPr>
        <w:t xml:space="preserve">VII и VIII – наиболее редкие (0,7 и 1,3%). Типы V, VI, X не были </w:t>
      </w:r>
      <w:r w:rsidRPr="00170B7C">
        <w:rPr>
          <w:sz w:val="28"/>
          <w:szCs w:val="28"/>
          <w:shd w:val="clear" w:color="auto" w:fill="FFFFFF"/>
        </w:rPr>
        <w:lastRenderedPageBreak/>
        <w:t>выявлены. Отсутствующие в классификации</w:t>
      </w:r>
      <w:r w:rsidRPr="00170B7C">
        <w:rPr>
          <w:sz w:val="28"/>
          <w:szCs w:val="28"/>
        </w:rPr>
        <w:t xml:space="preserve"> </w:t>
      </w:r>
      <w:r w:rsidRPr="00170B7C">
        <w:rPr>
          <w:sz w:val="28"/>
          <w:szCs w:val="28"/>
          <w:shd w:val="clear" w:color="auto" w:fill="FFFFFF"/>
        </w:rPr>
        <w:t xml:space="preserve">Michels </w:t>
      </w:r>
      <w:r w:rsidR="00FE6510" w:rsidRPr="00170B7C">
        <w:rPr>
          <w:sz w:val="28"/>
          <w:szCs w:val="28"/>
          <w:shd w:val="clear" w:color="auto" w:fill="FFFFFF"/>
        </w:rPr>
        <w:t xml:space="preserve">N. </w:t>
      </w:r>
      <w:r w:rsidRPr="00170B7C">
        <w:rPr>
          <w:sz w:val="28"/>
          <w:szCs w:val="28"/>
          <w:shd w:val="clear" w:color="auto" w:fill="FFFFFF"/>
        </w:rPr>
        <w:t>варианты анатомии артерий печени идентифицированы в 4,6% наблюдениях</w:t>
      </w:r>
      <w:r w:rsidR="00CA2AE5" w:rsidRPr="00170B7C">
        <w:rPr>
          <w:sz w:val="28"/>
          <w:szCs w:val="28"/>
          <w:shd w:val="clear" w:color="auto" w:fill="FFFFFF"/>
        </w:rPr>
        <w:t>.</w:t>
      </w:r>
    </w:p>
    <w:p w14:paraId="513EEAA3" w14:textId="77777777" w:rsidR="00E7500F" w:rsidRDefault="00CA2AE5" w:rsidP="00170B7C">
      <w:pPr>
        <w:ind w:firstLine="720"/>
        <w:jc w:val="both"/>
        <w:rPr>
          <w:sz w:val="28"/>
          <w:szCs w:val="28"/>
          <w:shd w:val="clear" w:color="auto" w:fill="FFFFFF"/>
        </w:rPr>
      </w:pPr>
      <w:r w:rsidRPr="00170B7C">
        <w:rPr>
          <w:sz w:val="28"/>
          <w:szCs w:val="28"/>
          <w:shd w:val="clear" w:color="auto" w:fill="FFFFFF"/>
        </w:rPr>
        <w:t xml:space="preserve">По классификации Nakamura </w:t>
      </w:r>
      <w:r w:rsidR="003920A5" w:rsidRPr="00170B7C">
        <w:rPr>
          <w:sz w:val="28"/>
          <w:szCs w:val="28"/>
          <w:shd w:val="clear" w:color="auto" w:fill="FFFFFF"/>
        </w:rPr>
        <w:t>T.</w:t>
      </w:r>
      <w:r w:rsidRPr="00170B7C">
        <w:rPr>
          <w:sz w:val="28"/>
          <w:szCs w:val="28"/>
          <w:shd w:val="clear" w:color="auto" w:fill="FFFFFF"/>
        </w:rPr>
        <w:t xml:space="preserve"> ветвление воротной вены подразделяют на 5 типов. В проведенном исследовании венозного кровоснабжения печени у потенциальных доноров наблюдали только 3 типа: бифуркацию (Type </w:t>
      </w:r>
      <w:r w:rsidR="003920A5" w:rsidRPr="00170B7C">
        <w:rPr>
          <w:sz w:val="28"/>
          <w:szCs w:val="28"/>
          <w:shd w:val="clear" w:color="auto" w:fill="FFFFFF"/>
        </w:rPr>
        <w:t>I</w:t>
      </w:r>
      <w:r w:rsidRPr="00170B7C">
        <w:rPr>
          <w:sz w:val="28"/>
          <w:szCs w:val="28"/>
          <w:shd w:val="clear" w:color="auto" w:fill="FFFFFF"/>
        </w:rPr>
        <w:t xml:space="preserve">), трифуркацию (Type </w:t>
      </w:r>
      <w:r w:rsidR="003920A5" w:rsidRPr="00170B7C">
        <w:rPr>
          <w:sz w:val="28"/>
          <w:szCs w:val="28"/>
          <w:shd w:val="clear" w:color="auto" w:fill="FFFFFF"/>
          <w:lang w:val="en-US"/>
        </w:rPr>
        <w:t>II</w:t>
      </w:r>
      <w:r w:rsidRPr="00170B7C">
        <w:rPr>
          <w:sz w:val="28"/>
          <w:szCs w:val="28"/>
          <w:shd w:val="clear" w:color="auto" w:fill="FFFFFF"/>
        </w:rPr>
        <w:t xml:space="preserve">) и транспозицию правых парамедианных вен (Type </w:t>
      </w:r>
      <w:r w:rsidR="003920A5" w:rsidRPr="00170B7C">
        <w:rPr>
          <w:sz w:val="28"/>
          <w:szCs w:val="28"/>
          <w:shd w:val="clear" w:color="auto" w:fill="FFFFFF"/>
          <w:lang w:val="en-US"/>
        </w:rPr>
        <w:t>III</w:t>
      </w:r>
      <w:r w:rsidRPr="00170B7C">
        <w:rPr>
          <w:sz w:val="28"/>
          <w:szCs w:val="28"/>
          <w:shd w:val="clear" w:color="auto" w:fill="FFFFFF"/>
        </w:rPr>
        <w:t>). Не описанных в указанной классификации вариантов ветвления воротной вены среди обследованных потенциальных доноров не выявлено.</w:t>
      </w:r>
      <w:r w:rsidR="003920A5" w:rsidRPr="00170B7C">
        <w:rPr>
          <w:sz w:val="28"/>
          <w:szCs w:val="28"/>
          <w:shd w:val="clear" w:color="auto" w:fill="FFFFFF"/>
        </w:rPr>
        <w:t xml:space="preserve"> </w:t>
      </w:r>
      <w:r w:rsidR="00FE6510">
        <w:rPr>
          <w:sz w:val="28"/>
          <w:szCs w:val="28"/>
          <w:shd w:val="clear" w:color="auto" w:fill="FFFFFF"/>
        </w:rPr>
        <w:t xml:space="preserve">Классификация </w:t>
      </w:r>
      <w:r w:rsidR="00FE6510" w:rsidRPr="00170B7C">
        <w:rPr>
          <w:color w:val="000000" w:themeColor="text1"/>
          <w:sz w:val="28"/>
          <w:szCs w:val="28"/>
        </w:rPr>
        <w:t xml:space="preserve">печеночных артерий по </w:t>
      </w:r>
      <w:r w:rsidR="00FE6510" w:rsidRPr="00170B7C">
        <w:rPr>
          <w:rFonts w:eastAsia="Calibri"/>
          <w:color w:val="000000" w:themeColor="text1"/>
          <w:sz w:val="28"/>
          <w:szCs w:val="28"/>
        </w:rPr>
        <w:t>Michels</w:t>
      </w:r>
      <w:r w:rsidR="00FE6510" w:rsidRPr="00170B7C">
        <w:rPr>
          <w:sz w:val="28"/>
          <w:szCs w:val="28"/>
          <w:shd w:val="clear" w:color="auto" w:fill="FFFFFF"/>
        </w:rPr>
        <w:t xml:space="preserve"> </w:t>
      </w:r>
      <w:r w:rsidR="00FE6510" w:rsidRPr="00170B7C">
        <w:rPr>
          <w:rFonts w:eastAsia="Calibri"/>
          <w:color w:val="000000" w:themeColor="text1"/>
          <w:sz w:val="28"/>
          <w:szCs w:val="28"/>
        </w:rPr>
        <w:t>N.</w:t>
      </w:r>
      <w:r w:rsidR="00FE6510" w:rsidRPr="00170B7C">
        <w:rPr>
          <w:sz w:val="28"/>
          <w:szCs w:val="28"/>
          <w:shd w:val="clear" w:color="auto" w:fill="FFFFFF"/>
        </w:rPr>
        <w:t xml:space="preserve"> </w:t>
      </w:r>
      <w:r w:rsidR="005A2FAF">
        <w:rPr>
          <w:sz w:val="28"/>
          <w:szCs w:val="28"/>
          <w:shd w:val="clear" w:color="auto" w:fill="FFFFFF"/>
        </w:rPr>
        <w:t>и</w:t>
      </w:r>
      <w:r w:rsidR="00FE6510">
        <w:rPr>
          <w:sz w:val="28"/>
          <w:szCs w:val="28"/>
          <w:shd w:val="clear" w:color="auto" w:fill="FFFFFF"/>
        </w:rPr>
        <w:t xml:space="preserve"> </w:t>
      </w:r>
      <w:r w:rsidR="00FE6510" w:rsidRPr="00170B7C">
        <w:rPr>
          <w:rFonts w:eastAsia="Calibri"/>
          <w:color w:val="000000" w:themeColor="text1"/>
          <w:sz w:val="28"/>
          <w:szCs w:val="28"/>
        </w:rPr>
        <w:t xml:space="preserve">вариация портальной вены по </w:t>
      </w:r>
      <w:r w:rsidR="005A2FAF" w:rsidRPr="00170B7C">
        <w:rPr>
          <w:rFonts w:eastAsia="Calibri"/>
          <w:color w:val="000000" w:themeColor="text1"/>
          <w:sz w:val="28"/>
          <w:szCs w:val="28"/>
        </w:rPr>
        <w:t xml:space="preserve">классификации </w:t>
      </w:r>
      <w:r w:rsidR="005A2FAF">
        <w:rPr>
          <w:rFonts w:eastAsia="Calibri"/>
          <w:color w:val="000000" w:themeColor="text1"/>
          <w:sz w:val="28"/>
          <w:szCs w:val="28"/>
        </w:rPr>
        <w:t>Nakamura</w:t>
      </w:r>
      <w:r w:rsidR="00FE6510" w:rsidRPr="00170B7C">
        <w:rPr>
          <w:sz w:val="28"/>
          <w:szCs w:val="28"/>
          <w:shd w:val="clear" w:color="auto" w:fill="FFFFFF"/>
        </w:rPr>
        <w:t xml:space="preserve"> T. </w:t>
      </w:r>
      <w:r w:rsidR="005A2FAF">
        <w:rPr>
          <w:sz w:val="28"/>
          <w:szCs w:val="28"/>
          <w:shd w:val="clear" w:color="auto" w:fill="FFFFFF"/>
        </w:rPr>
        <w:t xml:space="preserve"> п</w:t>
      </w:r>
      <w:r w:rsidR="00FE6510">
        <w:rPr>
          <w:sz w:val="28"/>
          <w:szCs w:val="28"/>
          <w:shd w:val="clear" w:color="auto" w:fill="FFFFFF"/>
        </w:rPr>
        <w:t xml:space="preserve">редставлены ниже </w:t>
      </w:r>
      <w:r w:rsidR="003920A5" w:rsidRPr="00170B7C">
        <w:rPr>
          <w:sz w:val="28"/>
          <w:szCs w:val="28"/>
          <w:shd w:val="clear" w:color="auto" w:fill="FFFFFF"/>
        </w:rPr>
        <w:t xml:space="preserve">(рисунок 13 </w:t>
      </w:r>
      <w:r w:rsidR="005A2FAF">
        <w:rPr>
          <w:sz w:val="28"/>
          <w:szCs w:val="28"/>
          <w:shd w:val="clear" w:color="auto" w:fill="FFFFFF"/>
          <w:lang w:val="en-US"/>
        </w:rPr>
        <w:t xml:space="preserve">a, </w:t>
      </w:r>
      <w:r w:rsidR="003920A5" w:rsidRPr="00170B7C">
        <w:rPr>
          <w:sz w:val="28"/>
          <w:szCs w:val="28"/>
          <w:shd w:val="clear" w:color="auto" w:fill="FFFFFF"/>
          <w:lang w:val="en-US"/>
        </w:rPr>
        <w:t>b</w:t>
      </w:r>
      <w:r w:rsidR="00AB5BAD">
        <w:rPr>
          <w:sz w:val="28"/>
          <w:szCs w:val="28"/>
          <w:shd w:val="clear" w:color="auto" w:fill="FFFFFF"/>
        </w:rPr>
        <w:t>).</w:t>
      </w:r>
      <w:r w:rsidR="00FE6510">
        <w:rPr>
          <w:sz w:val="28"/>
          <w:szCs w:val="28"/>
          <w:shd w:val="clear" w:color="auto" w:fill="FFFFFF"/>
        </w:rPr>
        <w:t xml:space="preserve"> </w:t>
      </w:r>
    </w:p>
    <w:p w14:paraId="75BC4D9F" w14:textId="77777777" w:rsidR="005A2FAF" w:rsidRPr="00170B7C" w:rsidRDefault="005A2FAF" w:rsidP="00170B7C">
      <w:pPr>
        <w:ind w:firstLine="720"/>
        <w:jc w:val="both"/>
        <w:rPr>
          <w:sz w:val="28"/>
          <w:szCs w:val="28"/>
          <w:shd w:val="clear" w:color="auto" w:fill="FFFFFF"/>
        </w:rPr>
      </w:pPr>
    </w:p>
    <w:p w14:paraId="53FAC7DE" w14:textId="77777777" w:rsidR="000B595C" w:rsidRPr="00170B7C" w:rsidRDefault="009A20F7" w:rsidP="00170B7C">
      <w:pPr>
        <w:jc w:val="center"/>
        <w:rPr>
          <w:sz w:val="28"/>
          <w:szCs w:val="28"/>
        </w:rPr>
      </w:pPr>
      <w:r w:rsidRPr="00170B7C">
        <w:rPr>
          <w:rFonts w:eastAsia="Calibri"/>
          <w:noProof/>
          <w:color w:val="000000"/>
          <w:sz w:val="28"/>
          <w:szCs w:val="28"/>
          <w:lang w:eastAsia="ru-RU"/>
        </w:rPr>
        <w:drawing>
          <wp:inline distT="0" distB="0" distL="0" distR="0" wp14:anchorId="3BEF3D2A" wp14:editId="640A4BC6">
            <wp:extent cx="3021468" cy="374904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9000" t="8393" r="10877" b="16761"/>
                    <a:stretch/>
                  </pic:blipFill>
                  <pic:spPr bwMode="auto">
                    <a:xfrm>
                      <a:off x="0" y="0"/>
                      <a:ext cx="3021882" cy="3749554"/>
                    </a:xfrm>
                    <a:prstGeom prst="rect">
                      <a:avLst/>
                    </a:prstGeom>
                    <a:noFill/>
                    <a:ln>
                      <a:noFill/>
                    </a:ln>
                    <a:extLst>
                      <a:ext uri="{53640926-AAD7-44D8-BBD7-CCE9431645EC}">
                        <a14:shadowObscured xmlns:a14="http://schemas.microsoft.com/office/drawing/2010/main"/>
                      </a:ext>
                    </a:extLst>
                  </pic:spPr>
                </pic:pic>
              </a:graphicData>
            </a:graphic>
          </wp:inline>
        </w:drawing>
      </w:r>
      <w:r w:rsidR="00F91410" w:rsidRPr="00170B7C">
        <w:rPr>
          <w:sz w:val="28"/>
          <w:szCs w:val="28"/>
        </w:rPr>
        <w:fldChar w:fldCharType="begin"/>
      </w:r>
      <w:r w:rsidR="000B595C" w:rsidRPr="00170B7C">
        <w:rPr>
          <w:sz w:val="28"/>
          <w:szCs w:val="28"/>
        </w:rPr>
        <w:instrText xml:space="preserve"> INCLUDEPICTURE "https://www.researchgate.net/profile/Ser-Lee/publication/235604410/figure/fig1/AS:299647059939332@1448452834872/Classification-of-portal-vein-anatomy-5-6-PV-portal-vein-RAS-right-anterior_W640.jpg" \* MERGEFORMATINET </w:instrText>
      </w:r>
      <w:r w:rsidR="00F91410" w:rsidRPr="00170B7C">
        <w:rPr>
          <w:sz w:val="28"/>
          <w:szCs w:val="28"/>
        </w:rPr>
        <w:fldChar w:fldCharType="separate"/>
      </w:r>
      <w:r w:rsidR="000B595C" w:rsidRPr="00170B7C">
        <w:rPr>
          <w:noProof/>
          <w:sz w:val="28"/>
          <w:szCs w:val="28"/>
          <w:lang w:eastAsia="ru-RU"/>
        </w:rPr>
        <w:drawing>
          <wp:inline distT="0" distB="0" distL="0" distR="0" wp14:anchorId="7A09CAC2" wp14:editId="64B480E4">
            <wp:extent cx="3078480" cy="3743410"/>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639" r="-231" b="-13"/>
                    <a:stretch/>
                  </pic:blipFill>
                  <pic:spPr bwMode="auto">
                    <a:xfrm>
                      <a:off x="0" y="0"/>
                      <a:ext cx="3078620" cy="3743580"/>
                    </a:xfrm>
                    <a:prstGeom prst="rect">
                      <a:avLst/>
                    </a:prstGeom>
                    <a:noFill/>
                    <a:ln>
                      <a:noFill/>
                    </a:ln>
                    <a:extLst>
                      <a:ext uri="{53640926-AAD7-44D8-BBD7-CCE9431645EC}">
                        <a14:shadowObscured xmlns:a14="http://schemas.microsoft.com/office/drawing/2010/main"/>
                      </a:ext>
                    </a:extLst>
                  </pic:spPr>
                </pic:pic>
              </a:graphicData>
            </a:graphic>
          </wp:inline>
        </w:drawing>
      </w:r>
      <w:r w:rsidR="00F91410" w:rsidRPr="00170B7C">
        <w:rPr>
          <w:sz w:val="28"/>
          <w:szCs w:val="28"/>
        </w:rPr>
        <w:fldChar w:fldCharType="end"/>
      </w:r>
    </w:p>
    <w:p w14:paraId="56D27A45" w14:textId="77777777" w:rsidR="00F675BA" w:rsidRPr="00170B7C" w:rsidRDefault="00F675BA" w:rsidP="00170B7C">
      <w:pPr>
        <w:jc w:val="center"/>
        <w:rPr>
          <w:sz w:val="28"/>
          <w:szCs w:val="28"/>
        </w:rPr>
      </w:pPr>
    </w:p>
    <w:p w14:paraId="63A9951C" w14:textId="77777777" w:rsidR="007C318C" w:rsidRPr="00E35F86" w:rsidRDefault="00E35F86" w:rsidP="00E35F86">
      <w:pPr>
        <w:pStyle w:val="ac"/>
        <w:numPr>
          <w:ilvl w:val="0"/>
          <w:numId w:val="9"/>
        </w:numPr>
        <w:rPr>
          <w:sz w:val="28"/>
          <w:szCs w:val="28"/>
          <w:lang w:val="en-US"/>
        </w:rPr>
      </w:pPr>
      <w:r>
        <w:rPr>
          <w:sz w:val="28"/>
          <w:szCs w:val="28"/>
          <w:lang w:val="en-US"/>
        </w:rPr>
        <w:t xml:space="preserve">                                                          b)</w:t>
      </w:r>
    </w:p>
    <w:p w14:paraId="7BCA5086" w14:textId="77777777" w:rsidR="00E35F86" w:rsidRDefault="00E35F86" w:rsidP="00170B7C">
      <w:pPr>
        <w:jc w:val="both"/>
        <w:rPr>
          <w:sz w:val="28"/>
          <w:szCs w:val="28"/>
        </w:rPr>
      </w:pPr>
    </w:p>
    <w:p w14:paraId="1B802077" w14:textId="77777777" w:rsidR="000B5D82" w:rsidRDefault="000B595C" w:rsidP="00E35F86">
      <w:pPr>
        <w:jc w:val="center"/>
        <w:rPr>
          <w:noProof/>
          <w:color w:val="000000"/>
          <w:sz w:val="28"/>
          <w:szCs w:val="28"/>
        </w:rPr>
      </w:pPr>
      <w:r w:rsidRPr="00170B7C">
        <w:rPr>
          <w:sz w:val="28"/>
          <w:szCs w:val="28"/>
        </w:rPr>
        <w:t xml:space="preserve">Рисунок </w:t>
      </w:r>
      <w:r w:rsidR="00130DBE" w:rsidRPr="00170B7C">
        <w:rPr>
          <w:sz w:val="28"/>
          <w:szCs w:val="28"/>
        </w:rPr>
        <w:t>13</w:t>
      </w:r>
      <w:r w:rsidR="00356292" w:rsidRPr="00170B7C">
        <w:rPr>
          <w:sz w:val="28"/>
          <w:szCs w:val="28"/>
        </w:rPr>
        <w:t xml:space="preserve"> </w:t>
      </w:r>
      <w:r w:rsidR="00E35F86" w:rsidRPr="00170B7C">
        <w:rPr>
          <w:color w:val="000000"/>
          <w:sz w:val="28"/>
          <w:szCs w:val="28"/>
        </w:rPr>
        <w:t xml:space="preserve">– </w:t>
      </w:r>
      <w:r w:rsidR="002358CF" w:rsidRPr="00170B7C">
        <w:rPr>
          <w:sz w:val="28"/>
          <w:szCs w:val="28"/>
        </w:rPr>
        <w:t>а</w:t>
      </w:r>
      <w:r w:rsidR="00356292" w:rsidRPr="00170B7C">
        <w:rPr>
          <w:sz w:val="28"/>
          <w:szCs w:val="28"/>
        </w:rPr>
        <w:t>)</w:t>
      </w:r>
      <w:r w:rsidRPr="00170B7C">
        <w:rPr>
          <w:sz w:val="28"/>
          <w:szCs w:val="28"/>
        </w:rPr>
        <w:t xml:space="preserve"> </w:t>
      </w:r>
      <w:r w:rsidR="007C318C" w:rsidRPr="00170B7C">
        <w:rPr>
          <w:sz w:val="28"/>
          <w:szCs w:val="28"/>
        </w:rPr>
        <w:t>вариация</w:t>
      </w:r>
      <w:r w:rsidR="002358CF" w:rsidRPr="00170B7C">
        <w:rPr>
          <w:sz w:val="28"/>
          <w:szCs w:val="28"/>
        </w:rPr>
        <w:t xml:space="preserve"> </w:t>
      </w:r>
      <w:r w:rsidR="002358CF" w:rsidRPr="00170B7C">
        <w:rPr>
          <w:color w:val="000000" w:themeColor="text1"/>
          <w:sz w:val="28"/>
          <w:szCs w:val="28"/>
        </w:rPr>
        <w:t xml:space="preserve">печеночных артерий по </w:t>
      </w:r>
      <w:r w:rsidR="007C318C" w:rsidRPr="00170B7C">
        <w:rPr>
          <w:color w:val="000000" w:themeColor="text1"/>
          <w:sz w:val="28"/>
          <w:szCs w:val="28"/>
        </w:rPr>
        <w:t xml:space="preserve">классификации </w:t>
      </w:r>
      <w:r w:rsidR="002358CF" w:rsidRPr="00170B7C">
        <w:rPr>
          <w:rFonts w:eastAsia="Calibri"/>
          <w:color w:val="000000" w:themeColor="text1"/>
          <w:sz w:val="28"/>
          <w:szCs w:val="28"/>
        </w:rPr>
        <w:t>Michels</w:t>
      </w:r>
      <w:r w:rsidR="00FE6510" w:rsidRPr="00FE6510">
        <w:rPr>
          <w:rFonts w:eastAsia="Calibri"/>
          <w:color w:val="000000" w:themeColor="text1"/>
          <w:sz w:val="28"/>
          <w:szCs w:val="28"/>
        </w:rPr>
        <w:t xml:space="preserve"> </w:t>
      </w:r>
      <w:r w:rsidR="00FE6510" w:rsidRPr="00170B7C">
        <w:rPr>
          <w:rFonts w:eastAsia="Calibri"/>
          <w:color w:val="000000" w:themeColor="text1"/>
          <w:sz w:val="28"/>
          <w:szCs w:val="28"/>
        </w:rPr>
        <w:t>N.</w:t>
      </w:r>
      <w:r w:rsidR="002358CF" w:rsidRPr="00170B7C">
        <w:rPr>
          <w:rFonts w:eastAsia="Calibri"/>
          <w:color w:val="000000" w:themeColor="text1"/>
          <w:sz w:val="28"/>
          <w:szCs w:val="28"/>
        </w:rPr>
        <w:t xml:space="preserve">, </w:t>
      </w:r>
      <w:r w:rsidR="00F675BA" w:rsidRPr="00170B7C">
        <w:rPr>
          <w:rFonts w:eastAsia="Calibri"/>
          <w:color w:val="000000" w:themeColor="text1"/>
          <w:sz w:val="28"/>
          <w:szCs w:val="28"/>
          <w:lang w:val="en-US"/>
        </w:rPr>
        <w:t>b</w:t>
      </w:r>
      <w:r w:rsidR="00F675BA" w:rsidRPr="00170B7C">
        <w:rPr>
          <w:rFonts w:eastAsia="Calibri"/>
          <w:color w:val="000000" w:themeColor="text1"/>
          <w:sz w:val="28"/>
          <w:szCs w:val="28"/>
        </w:rPr>
        <w:t xml:space="preserve">) </w:t>
      </w:r>
      <w:r w:rsidR="007C318C" w:rsidRPr="00170B7C">
        <w:rPr>
          <w:rFonts w:eastAsia="Calibri"/>
          <w:color w:val="000000" w:themeColor="text1"/>
          <w:sz w:val="28"/>
          <w:szCs w:val="28"/>
        </w:rPr>
        <w:t>вариация</w:t>
      </w:r>
      <w:r w:rsidR="002358CF" w:rsidRPr="00170B7C">
        <w:rPr>
          <w:rFonts w:eastAsia="Calibri"/>
          <w:color w:val="000000" w:themeColor="text1"/>
          <w:sz w:val="28"/>
          <w:szCs w:val="28"/>
        </w:rPr>
        <w:t xml:space="preserve"> портальной вены по </w:t>
      </w:r>
      <w:r w:rsidR="007C318C" w:rsidRPr="00170B7C">
        <w:rPr>
          <w:rFonts w:eastAsia="Calibri"/>
          <w:color w:val="000000" w:themeColor="text1"/>
          <w:sz w:val="28"/>
          <w:szCs w:val="28"/>
        </w:rPr>
        <w:t xml:space="preserve">классификации </w:t>
      </w:r>
      <w:r w:rsidR="002358CF" w:rsidRPr="00170B7C">
        <w:rPr>
          <w:rFonts w:eastAsia="Calibri"/>
          <w:color w:val="000000" w:themeColor="text1"/>
          <w:sz w:val="28"/>
          <w:szCs w:val="28"/>
        </w:rPr>
        <w:t>N</w:t>
      </w:r>
      <w:r w:rsidR="002358CF" w:rsidRPr="00170B7C">
        <w:rPr>
          <w:rFonts w:eastAsia="Calibri"/>
          <w:color w:val="000000" w:themeColor="text1"/>
          <w:sz w:val="28"/>
          <w:szCs w:val="28"/>
          <w:lang w:val="en-US"/>
        </w:rPr>
        <w:t>akamura</w:t>
      </w:r>
      <w:r w:rsidR="00F675BA" w:rsidRPr="00170B7C">
        <w:rPr>
          <w:rFonts w:eastAsia="Calibri"/>
          <w:color w:val="000000" w:themeColor="text1"/>
          <w:sz w:val="28"/>
          <w:szCs w:val="28"/>
        </w:rPr>
        <w:t xml:space="preserve"> (PV- воротная вена; RAS - правая передняя секторальная ветвь; RPS - правая задняя секторальная ветвь; S -сегментарные ветви)</w:t>
      </w:r>
      <w:r w:rsidR="003B42CD" w:rsidRPr="00170B7C">
        <w:rPr>
          <w:rFonts w:eastAsia="Calibri"/>
          <w:color w:val="000000" w:themeColor="text1"/>
          <w:sz w:val="28"/>
          <w:szCs w:val="28"/>
        </w:rPr>
        <w:t>.</w:t>
      </w:r>
    </w:p>
    <w:p w14:paraId="1D6A2B68" w14:textId="77777777" w:rsidR="00E35F86" w:rsidRPr="00170B7C" w:rsidRDefault="00E35F86" w:rsidP="00170B7C">
      <w:pPr>
        <w:jc w:val="both"/>
        <w:rPr>
          <w:noProof/>
          <w:color w:val="000000"/>
          <w:sz w:val="28"/>
          <w:szCs w:val="28"/>
        </w:rPr>
      </w:pPr>
    </w:p>
    <w:p w14:paraId="0D0FF4C6" w14:textId="77777777" w:rsidR="001D3B01" w:rsidRDefault="001D3B01" w:rsidP="00170B7C">
      <w:pPr>
        <w:ind w:firstLine="720"/>
        <w:jc w:val="both"/>
        <w:rPr>
          <w:rFonts w:eastAsia="Calibri"/>
          <w:color w:val="000000" w:themeColor="text1"/>
          <w:sz w:val="28"/>
          <w:szCs w:val="28"/>
        </w:rPr>
      </w:pPr>
      <w:r w:rsidRPr="00170B7C">
        <w:rPr>
          <w:rFonts w:eastAsia="Calibri"/>
          <w:color w:val="000000" w:themeColor="text1"/>
          <w:sz w:val="28"/>
          <w:szCs w:val="28"/>
        </w:rPr>
        <w:t xml:space="preserve">Визуализация печеночных вен </w:t>
      </w:r>
      <w:r w:rsidR="00E35F86">
        <w:rPr>
          <w:rFonts w:eastAsia="Calibri"/>
          <w:color w:val="000000" w:themeColor="text1"/>
          <w:sz w:val="28"/>
          <w:szCs w:val="28"/>
        </w:rPr>
        <w:t xml:space="preserve">печени </w:t>
      </w:r>
      <w:r w:rsidRPr="00170B7C">
        <w:rPr>
          <w:rFonts w:eastAsia="Calibri"/>
          <w:color w:val="000000" w:themeColor="text1"/>
          <w:sz w:val="28"/>
          <w:szCs w:val="28"/>
        </w:rPr>
        <w:t xml:space="preserve">необходима для </w:t>
      </w:r>
      <w:r w:rsidR="00E35F86" w:rsidRPr="00E35F86">
        <w:rPr>
          <w:rFonts w:eastAsia="Calibri"/>
          <w:color w:val="000000" w:themeColor="text1"/>
          <w:sz w:val="28"/>
          <w:szCs w:val="28"/>
        </w:rPr>
        <w:t>и</w:t>
      </w:r>
      <w:r w:rsidR="00E35F86">
        <w:rPr>
          <w:rFonts w:eastAsia="Calibri"/>
          <w:color w:val="000000" w:themeColor="text1"/>
          <w:sz w:val="28"/>
          <w:szCs w:val="28"/>
        </w:rPr>
        <w:t xml:space="preserve">зучения анатомических особенностей строения, выявления дополнительных вен либо анамалий развития, а также для </w:t>
      </w:r>
      <w:r w:rsidRPr="00170B7C">
        <w:rPr>
          <w:rFonts w:eastAsia="Calibri"/>
          <w:color w:val="000000" w:themeColor="text1"/>
          <w:sz w:val="28"/>
          <w:szCs w:val="28"/>
        </w:rPr>
        <w:t>построения линии резекции, планирования их пережатий и наложения анастомозов (рис</w:t>
      </w:r>
      <w:r w:rsidR="00496251" w:rsidRPr="00170B7C">
        <w:rPr>
          <w:rFonts w:eastAsia="Calibri"/>
          <w:color w:val="000000" w:themeColor="text1"/>
          <w:sz w:val="28"/>
          <w:szCs w:val="28"/>
        </w:rPr>
        <w:t>унок</w:t>
      </w:r>
      <w:r w:rsidRPr="00170B7C">
        <w:rPr>
          <w:rFonts w:eastAsia="Calibri"/>
          <w:color w:val="000000" w:themeColor="text1"/>
          <w:sz w:val="28"/>
          <w:szCs w:val="28"/>
        </w:rPr>
        <w:t xml:space="preserve"> </w:t>
      </w:r>
      <w:r w:rsidR="00496251" w:rsidRPr="00170B7C">
        <w:rPr>
          <w:rFonts w:eastAsia="Calibri"/>
          <w:color w:val="000000" w:themeColor="text1"/>
          <w:sz w:val="28"/>
          <w:szCs w:val="28"/>
        </w:rPr>
        <w:t>14</w:t>
      </w:r>
      <w:r w:rsidRPr="00170B7C">
        <w:rPr>
          <w:rFonts w:eastAsia="Calibri"/>
          <w:color w:val="000000" w:themeColor="text1"/>
          <w:sz w:val="28"/>
          <w:szCs w:val="28"/>
        </w:rPr>
        <w:t>).</w:t>
      </w:r>
    </w:p>
    <w:p w14:paraId="382E080D" w14:textId="77777777" w:rsidR="00E35F86" w:rsidRDefault="00E35F86" w:rsidP="00170B7C">
      <w:pPr>
        <w:ind w:firstLine="720"/>
        <w:jc w:val="both"/>
        <w:rPr>
          <w:rFonts w:eastAsia="Calibri"/>
          <w:color w:val="000000" w:themeColor="text1"/>
          <w:sz w:val="28"/>
          <w:szCs w:val="28"/>
        </w:rPr>
      </w:pPr>
    </w:p>
    <w:p w14:paraId="58F7B66F" w14:textId="77777777" w:rsidR="00E35F86" w:rsidRDefault="00E35F86" w:rsidP="00170B7C">
      <w:pPr>
        <w:ind w:firstLine="720"/>
        <w:jc w:val="both"/>
        <w:rPr>
          <w:rFonts w:eastAsia="Calibri"/>
          <w:color w:val="000000" w:themeColor="text1"/>
          <w:sz w:val="28"/>
          <w:szCs w:val="28"/>
        </w:rPr>
      </w:pPr>
    </w:p>
    <w:p w14:paraId="321EA6C1" w14:textId="77777777" w:rsidR="00E35F86" w:rsidRDefault="00E35F86" w:rsidP="00170B7C">
      <w:pPr>
        <w:ind w:firstLine="720"/>
        <w:jc w:val="both"/>
        <w:rPr>
          <w:rFonts w:eastAsia="Calibri"/>
          <w:color w:val="000000" w:themeColor="text1"/>
          <w:sz w:val="28"/>
          <w:szCs w:val="28"/>
        </w:rPr>
      </w:pPr>
    </w:p>
    <w:p w14:paraId="5CEFF934" w14:textId="77777777" w:rsidR="00E35F86" w:rsidRDefault="00E35F86" w:rsidP="00170B7C">
      <w:pPr>
        <w:ind w:firstLine="720"/>
        <w:jc w:val="both"/>
        <w:rPr>
          <w:rFonts w:eastAsia="Calibri"/>
          <w:color w:val="000000" w:themeColor="text1"/>
          <w:sz w:val="28"/>
          <w:szCs w:val="28"/>
        </w:rPr>
      </w:pPr>
    </w:p>
    <w:p w14:paraId="7D38177A" w14:textId="77777777" w:rsidR="00E35F86" w:rsidRPr="00170B7C" w:rsidRDefault="00E35F86" w:rsidP="00170B7C">
      <w:pPr>
        <w:ind w:firstLine="720"/>
        <w:jc w:val="both"/>
        <w:rPr>
          <w:rFonts w:eastAsia="Calibri"/>
          <w:color w:val="000000" w:themeColor="text1"/>
          <w:sz w:val="28"/>
          <w:szCs w:val="28"/>
        </w:rPr>
      </w:pPr>
    </w:p>
    <w:p w14:paraId="6BE9B07C" w14:textId="77777777" w:rsidR="003B42CD" w:rsidRPr="00170B7C" w:rsidRDefault="00F91410" w:rsidP="00170B7C">
      <w:pPr>
        <w:ind w:hanging="993"/>
        <w:jc w:val="center"/>
        <w:rPr>
          <w:sz w:val="28"/>
          <w:szCs w:val="28"/>
        </w:rPr>
      </w:pPr>
      <w:r w:rsidRPr="00170B7C">
        <w:rPr>
          <w:sz w:val="28"/>
          <w:szCs w:val="28"/>
        </w:rPr>
        <w:fldChar w:fldCharType="begin"/>
      </w:r>
      <w:r w:rsidR="003B42CD" w:rsidRPr="00170B7C">
        <w:rPr>
          <w:sz w:val="28"/>
          <w:szCs w:val="28"/>
        </w:rPr>
        <w:instrText xml:space="preserve"> INCLUDEPICTURE "https://mail.google.com/mail/u/0?ui=2&amp;ik=4391642871&amp;attid=0.1&amp;permmsgid=msg-a:r-5599737609385341099&amp;th=19268420c7300f22&amp;view=fimg&amp;fur=ip&amp;sz=s0-l75-ft&amp;attbid=ANGjdJ_oc2VTdHv5LRBEtUVP159dYTQ1un7ttRTUS5heCqcXb-qivdAU1Wls7oVn6Eudsb83T4RVSxjsjZKe6L3q90GJFnQlquYEf85gFU-FPeY1XGYQFDA-cIgkS4g&amp;disp=emb&amp;realattid=ii_m1zcoh840" \* MERGEFORMATINET </w:instrText>
      </w:r>
      <w:r w:rsidRPr="00170B7C">
        <w:rPr>
          <w:sz w:val="28"/>
          <w:szCs w:val="28"/>
        </w:rPr>
        <w:fldChar w:fldCharType="separate"/>
      </w:r>
      <w:r w:rsidR="001E740B">
        <w:rPr>
          <w:noProof/>
          <w:sz w:val="28"/>
          <w:szCs w:val="28"/>
          <w:lang w:eastAsia="ru-RU"/>
        </w:rPr>
        <mc:AlternateContent>
          <mc:Choice Requires="wps">
            <w:drawing>
              <wp:inline distT="0" distB="0" distL="0" distR="0" wp14:anchorId="7BC193F3" wp14:editId="4C55CB69">
                <wp:extent cx="304800" cy="304800"/>
                <wp:effectExtent l="0" t="0" r="0" b="0"/>
                <wp:docPr id="1221267138"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E244A8" id="Прямоугольник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" filled="f" stroked="f">
                <v:path arrowok="t"/>
                <w10:anchorlock/>
              </v:rect>
            </w:pict>
          </mc:Fallback>
        </mc:AlternateContent>
      </w:r>
      <w:r w:rsidRPr="00170B7C">
        <w:rPr>
          <w:sz w:val="28"/>
          <w:szCs w:val="28"/>
        </w:rPr>
        <w:fldChar w:fldCharType="end"/>
      </w:r>
      <w:r w:rsidR="003B42CD" w:rsidRPr="00170B7C">
        <w:rPr>
          <w:sz w:val="28"/>
          <w:szCs w:val="28"/>
        </w:rPr>
        <w:t xml:space="preserve"> </w:t>
      </w:r>
      <w:r w:rsidRPr="00170B7C">
        <w:rPr>
          <w:sz w:val="28"/>
          <w:szCs w:val="28"/>
        </w:rPr>
        <w:fldChar w:fldCharType="begin"/>
      </w:r>
      <w:r w:rsidR="003B42CD" w:rsidRPr="00170B7C">
        <w:rPr>
          <w:sz w:val="28"/>
          <w:szCs w:val="28"/>
        </w:rPr>
        <w:instrText xml:space="preserve"> INCLUDEPICTURE "https://mail.google.com/mail/u/0?ui=2&amp;ik=4391642871&amp;attid=0.1&amp;permmsgid=msg-a:r-5599737609385341099&amp;th=19268420c7300f22&amp;view=fimg&amp;fur=ip&amp;sz=s0-l75-ft&amp;attbid=ANGjdJ_oc2VTdHv5LRBEtUVP159dYTQ1un7ttRTUS5heCqcXb-qivdAU1Wls7oVn6Eudsb83T4RVSxjsjZKe6L3q90GJFnQlquYEf85gFU-FPeY1XGYQFDA-cIgkS4g&amp;disp=emb&amp;realattid=ii_m1zcoh840" \* MERGEFORMATINET </w:instrText>
      </w:r>
      <w:r w:rsidRPr="00170B7C">
        <w:rPr>
          <w:sz w:val="28"/>
          <w:szCs w:val="28"/>
        </w:rPr>
        <w:fldChar w:fldCharType="separate"/>
      </w:r>
      <w:r w:rsidR="001E740B">
        <w:rPr>
          <w:noProof/>
          <w:sz w:val="28"/>
          <w:szCs w:val="28"/>
          <w:lang w:eastAsia="ru-RU"/>
        </w:rPr>
        <mc:AlternateContent>
          <mc:Choice Requires="wps">
            <w:drawing>
              <wp:inline distT="0" distB="0" distL="0" distR="0" wp14:anchorId="126957FC" wp14:editId="6E61140B">
                <wp:extent cx="304800" cy="304800"/>
                <wp:effectExtent l="0" t="0" r="0" b="0"/>
                <wp:docPr id="115843934"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C6FD2F" id="Прямоугольник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" filled="f" stroked="f">
                <v:path arrowok="t"/>
                <w10:anchorlock/>
              </v:rect>
            </w:pict>
          </mc:Fallback>
        </mc:AlternateContent>
      </w:r>
      <w:r w:rsidRPr="00170B7C">
        <w:rPr>
          <w:sz w:val="28"/>
          <w:szCs w:val="28"/>
        </w:rPr>
        <w:fldChar w:fldCharType="end"/>
      </w:r>
      <w:r w:rsidR="003B42CD" w:rsidRPr="00170B7C">
        <w:rPr>
          <w:noProof/>
          <w:sz w:val="28"/>
          <w:szCs w:val="28"/>
          <w:lang w:eastAsia="ru-RU"/>
        </w:rPr>
        <w:drawing>
          <wp:inline distT="0" distB="0" distL="0" distR="0" wp14:anchorId="1D4ADE5D" wp14:editId="5C414CB5">
            <wp:extent cx="3125880" cy="2695699"/>
            <wp:effectExtent l="0" t="0" r="0" b="0"/>
            <wp:docPr id="2655826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82654" name="Рисунок 265582654"/>
                    <pic:cNvPicPr/>
                  </pic:nvPicPr>
                  <pic:blipFill>
                    <a:blip r:embed="rId25">
                      <a:extLst>
                        <a:ext uri="{28A0092B-C50C-407E-A947-70E740481C1C}">
                          <a14:useLocalDpi xmlns:a14="http://schemas.microsoft.com/office/drawing/2010/main" val="0"/>
                        </a:ext>
                      </a:extLst>
                    </a:blip>
                    <a:stretch>
                      <a:fillRect/>
                    </a:stretch>
                  </pic:blipFill>
                  <pic:spPr>
                    <a:xfrm>
                      <a:off x="0" y="0"/>
                      <a:ext cx="3231815" cy="2787055"/>
                    </a:xfrm>
                    <a:prstGeom prst="rect">
                      <a:avLst/>
                    </a:prstGeom>
                  </pic:spPr>
                </pic:pic>
              </a:graphicData>
            </a:graphic>
          </wp:inline>
        </w:drawing>
      </w:r>
      <w:r w:rsidR="003B42CD" w:rsidRPr="00170B7C">
        <w:rPr>
          <w:noProof/>
          <w:color w:val="000000"/>
          <w:sz w:val="28"/>
          <w:szCs w:val="28"/>
          <w:lang w:eastAsia="ru-RU"/>
        </w:rPr>
        <w:drawing>
          <wp:inline distT="0" distB="0" distL="0" distR="0" wp14:anchorId="50289B10" wp14:editId="40D19073">
            <wp:extent cx="2915131" cy="2692998"/>
            <wp:effectExtent l="0" t="0" r="0" b="0"/>
            <wp:docPr id="66719679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196794" name="Рисунок 667196794"/>
                    <pic:cNvPicPr/>
                  </pic:nvPicPr>
                  <pic:blipFill>
                    <a:blip r:embed="rId26">
                      <a:extLst>
                        <a:ext uri="{28A0092B-C50C-407E-A947-70E740481C1C}">
                          <a14:useLocalDpi xmlns:a14="http://schemas.microsoft.com/office/drawing/2010/main" val="0"/>
                        </a:ext>
                      </a:extLst>
                    </a:blip>
                    <a:stretch>
                      <a:fillRect/>
                    </a:stretch>
                  </pic:blipFill>
                  <pic:spPr>
                    <a:xfrm>
                      <a:off x="0" y="0"/>
                      <a:ext cx="3002648" cy="2773846"/>
                    </a:xfrm>
                    <a:prstGeom prst="rect">
                      <a:avLst/>
                    </a:prstGeom>
                  </pic:spPr>
                </pic:pic>
              </a:graphicData>
            </a:graphic>
          </wp:inline>
        </w:drawing>
      </w:r>
    </w:p>
    <w:p w14:paraId="7F2466FA" w14:textId="77777777" w:rsidR="00B318AD" w:rsidRPr="00170B7C" w:rsidRDefault="00B318AD"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p>
    <w:p w14:paraId="328F6E3F" w14:textId="77777777" w:rsidR="001D3B01" w:rsidRPr="00170B7C" w:rsidRDefault="001D3B01" w:rsidP="00170B7C">
      <w:pPr>
        <w:pBdr>
          <w:top w:val="none" w:sz="0" w:space="0" w:color="000000"/>
          <w:left w:val="none" w:sz="0" w:space="0" w:color="000000"/>
          <w:bottom w:val="none" w:sz="0" w:space="0" w:color="000000"/>
          <w:right w:val="none" w:sz="0" w:space="0" w:color="000000"/>
          <w:between w:val="none" w:sz="0" w:space="0" w:color="000000"/>
        </w:pBdr>
        <w:ind w:firstLine="567"/>
        <w:jc w:val="center"/>
        <w:rPr>
          <w:color w:val="000000"/>
          <w:sz w:val="28"/>
          <w:szCs w:val="28"/>
        </w:rPr>
      </w:pPr>
      <w:r w:rsidRPr="00170B7C">
        <w:rPr>
          <w:color w:val="000000"/>
          <w:sz w:val="28"/>
          <w:szCs w:val="28"/>
        </w:rPr>
        <w:t xml:space="preserve">Рисунок </w:t>
      </w:r>
      <w:r w:rsidR="00130DBE" w:rsidRPr="00170B7C">
        <w:rPr>
          <w:color w:val="000000"/>
          <w:sz w:val="28"/>
          <w:szCs w:val="28"/>
        </w:rPr>
        <w:t>14 -</w:t>
      </w:r>
      <w:r w:rsidRPr="00170B7C">
        <w:rPr>
          <w:color w:val="000000"/>
          <w:sz w:val="28"/>
          <w:szCs w:val="28"/>
        </w:rPr>
        <w:t xml:space="preserve"> 3</w:t>
      </w:r>
      <w:r w:rsidRPr="00170B7C">
        <w:rPr>
          <w:color w:val="000000"/>
          <w:sz w:val="28"/>
          <w:szCs w:val="28"/>
          <w:lang w:val="en-US"/>
        </w:rPr>
        <w:t>D</w:t>
      </w:r>
      <w:r w:rsidRPr="00170B7C">
        <w:rPr>
          <w:color w:val="000000"/>
          <w:sz w:val="28"/>
          <w:szCs w:val="28"/>
        </w:rPr>
        <w:t xml:space="preserve"> визуализация печеночных вен</w:t>
      </w:r>
    </w:p>
    <w:p w14:paraId="4385303E" w14:textId="77777777" w:rsidR="001D3B01" w:rsidRPr="00170B7C" w:rsidRDefault="001D3B01"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p>
    <w:p w14:paraId="67988DB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Объем печени рассчитан</w:t>
      </w:r>
      <w:r w:rsidR="00E35F86">
        <w:rPr>
          <w:color w:val="000000"/>
          <w:sz w:val="28"/>
          <w:szCs w:val="28"/>
        </w:rPr>
        <w:t xml:space="preserve"> тремя методами</w:t>
      </w:r>
      <w:r w:rsidRPr="00170B7C">
        <w:rPr>
          <w:color w:val="000000"/>
          <w:sz w:val="28"/>
          <w:szCs w:val="28"/>
        </w:rPr>
        <w:t>:  </w:t>
      </w:r>
    </w:p>
    <w:p w14:paraId="6280B0F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1. Мануальный метод на рабочей станции Vitrеа (Volume analysis);  </w:t>
      </w:r>
    </w:p>
    <w:p w14:paraId="7E11E29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2. Полуавтоматическ</w:t>
      </w:r>
      <w:r w:rsidR="00E35F86">
        <w:rPr>
          <w:color w:val="000000"/>
          <w:sz w:val="28"/>
          <w:szCs w:val="28"/>
        </w:rPr>
        <w:t xml:space="preserve">ий метод в </w:t>
      </w:r>
      <w:r w:rsidRPr="00170B7C">
        <w:rPr>
          <w:color w:val="000000"/>
          <w:sz w:val="28"/>
          <w:szCs w:val="28"/>
        </w:rPr>
        <w:t xml:space="preserve"> программ</w:t>
      </w:r>
      <w:r w:rsidR="00E35F86">
        <w:rPr>
          <w:color w:val="000000"/>
          <w:sz w:val="28"/>
          <w:szCs w:val="28"/>
        </w:rPr>
        <w:t>е</w:t>
      </w:r>
      <w:r w:rsidRPr="00170B7C">
        <w:rPr>
          <w:color w:val="000000"/>
          <w:sz w:val="28"/>
          <w:szCs w:val="28"/>
        </w:rPr>
        <w:t xml:space="preserve"> OsiriX MD;  </w:t>
      </w:r>
    </w:p>
    <w:p w14:paraId="0F2FE76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3. Автоматическ</w:t>
      </w:r>
      <w:r w:rsidR="00E35F86">
        <w:rPr>
          <w:color w:val="000000"/>
          <w:sz w:val="28"/>
          <w:szCs w:val="28"/>
        </w:rPr>
        <w:t xml:space="preserve">ий метод в </w:t>
      </w:r>
      <w:r w:rsidRPr="00170B7C">
        <w:rPr>
          <w:color w:val="000000"/>
          <w:sz w:val="28"/>
          <w:szCs w:val="28"/>
        </w:rPr>
        <w:t xml:space="preserve"> программ</w:t>
      </w:r>
      <w:r w:rsidR="00E35F86">
        <w:rPr>
          <w:color w:val="000000"/>
          <w:sz w:val="28"/>
          <w:szCs w:val="28"/>
        </w:rPr>
        <w:t>е</w:t>
      </w:r>
      <w:r w:rsidRPr="00170B7C">
        <w:rPr>
          <w:color w:val="000000"/>
          <w:sz w:val="28"/>
          <w:szCs w:val="28"/>
        </w:rPr>
        <w:t xml:space="preserve"> CT Liver Analysis. </w:t>
      </w:r>
    </w:p>
    <w:p w14:paraId="3BCBF9D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60 Digital Imaging and Communications in Medicine (DICOM) со срезом скана в 3 мм загружены с Picture Archiving and Communication System (PACS) и исследованы в 3 программах: мануальный (Volume analysis), полуавтоматичес- кий (OsiriX MD) и автоматическая программа (CT Liver Analysis). </w:t>
      </w:r>
    </w:p>
    <w:p w14:paraId="1B3D384D" w14:textId="77777777" w:rsidR="00E35F86"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Расчет объема печени проводился в две фазы: расчет общего объема печени и левой доли печени включая I сегмент. </w:t>
      </w:r>
    </w:p>
    <w:p w14:paraId="16A5B179" w14:textId="77777777" w:rsidR="007F41DB" w:rsidRDefault="00274D3C" w:rsidP="007F41DB">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Объем правой доли равен разнице общего объема печени и левой доли. Полученный объем измеряется в миллилитрах (мл).  </w:t>
      </w:r>
    </w:p>
    <w:p w14:paraId="6D963E14" w14:textId="77777777" w:rsidR="007F41DB" w:rsidRPr="007F41DB" w:rsidRDefault="007F41DB" w:rsidP="007F41DB">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p>
    <w:p w14:paraId="37D87E47" w14:textId="77777777"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u w:val="single"/>
        </w:rPr>
      </w:pPr>
      <w:r w:rsidRPr="007F41DB">
        <w:rPr>
          <w:color w:val="000000"/>
          <w:sz w:val="28"/>
          <w:szCs w:val="28"/>
          <w:u w:val="single"/>
        </w:rPr>
        <w:t xml:space="preserve">Мануальный </w:t>
      </w:r>
      <w:r w:rsidR="00DE4CAF">
        <w:rPr>
          <w:color w:val="000000"/>
          <w:sz w:val="28"/>
          <w:szCs w:val="28"/>
          <w:u w:val="single"/>
        </w:rPr>
        <w:t xml:space="preserve">метод </w:t>
      </w:r>
      <w:r w:rsidRPr="007F41DB">
        <w:rPr>
          <w:color w:val="000000"/>
          <w:sz w:val="28"/>
          <w:szCs w:val="28"/>
          <w:u w:val="single"/>
        </w:rPr>
        <w:t>расчет</w:t>
      </w:r>
      <w:r w:rsidR="00DE4CAF">
        <w:rPr>
          <w:color w:val="000000"/>
          <w:sz w:val="28"/>
          <w:szCs w:val="28"/>
          <w:u w:val="single"/>
        </w:rPr>
        <w:t>а</w:t>
      </w:r>
      <w:r w:rsidRPr="007F41DB">
        <w:rPr>
          <w:color w:val="000000"/>
          <w:sz w:val="28"/>
          <w:szCs w:val="28"/>
          <w:u w:val="single"/>
        </w:rPr>
        <w:t xml:space="preserve"> объема печени в программе Volume Analysis  </w:t>
      </w:r>
    </w:p>
    <w:p w14:paraId="07712AC2" w14:textId="77777777" w:rsidR="00DE4CAF" w:rsidRPr="007F41DB" w:rsidRDefault="00DE4CAF"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u w:val="single"/>
        </w:rPr>
      </w:pPr>
    </w:p>
    <w:p w14:paraId="1B821A76" w14:textId="77777777" w:rsidR="00E35F86" w:rsidRDefault="00274D3C" w:rsidP="00E35F86">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На рабочей станции Vitrea в панели управления выбирается функция «Volume calc.». На каждом аксиальном срезе (толщина среза 3 мм) вручную курсором мышки обводится по контуру печень, исключая крупные сосуды, такие как нижняя полая вена и воротная вена. </w:t>
      </w:r>
    </w:p>
    <w:p w14:paraId="693DED5E" w14:textId="77777777" w:rsidR="00E35F86" w:rsidRDefault="00274D3C" w:rsidP="00E35F86">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Желчный пузырь также исключается из области исследования. Далее при нажатии на панели инструментов кнопки «Calculate» программа проводит расчет объема печени путем суммирования площади печени на каждом срезе. </w:t>
      </w:r>
    </w:p>
    <w:p w14:paraId="07C81A73" w14:textId="77777777" w:rsidR="003476E4" w:rsidRDefault="00274D3C" w:rsidP="00E35F86">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Объем печени в миллилитрах отображается на экране (рисунок 1</w:t>
      </w:r>
      <w:r w:rsidR="00130DBE" w:rsidRPr="00170B7C">
        <w:rPr>
          <w:color w:val="000000"/>
          <w:sz w:val="28"/>
          <w:szCs w:val="28"/>
        </w:rPr>
        <w:t>5</w:t>
      </w:r>
      <w:r w:rsidRPr="00170B7C">
        <w:rPr>
          <w:color w:val="000000"/>
          <w:sz w:val="28"/>
          <w:szCs w:val="28"/>
        </w:rPr>
        <w:t>).  </w:t>
      </w:r>
    </w:p>
    <w:p w14:paraId="22AB6574" w14:textId="77777777" w:rsidR="00DE4CAF" w:rsidRDefault="00DE4CAF" w:rsidP="00E35F86">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p>
    <w:p w14:paraId="245FC50B" w14:textId="77777777" w:rsidR="00DE4CAF" w:rsidRDefault="00DE4CAF" w:rsidP="00E35F86">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p>
    <w:p w14:paraId="09170FCA" w14:textId="77777777" w:rsidR="00DE4CAF" w:rsidRDefault="00DE4CAF" w:rsidP="00E35F86">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p>
    <w:p w14:paraId="54C57539" w14:textId="77777777" w:rsidR="00DE4CAF" w:rsidRPr="00170B7C" w:rsidRDefault="00DE4CAF" w:rsidP="00E35F86">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p>
    <w:p w14:paraId="362EF86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429F6B3C" wp14:editId="78E1C65E">
            <wp:extent cx="2982894" cy="2530288"/>
            <wp:effectExtent l="0" t="0" r="1905" b="0"/>
            <wp:docPr id="420" name="image49.png" descr="IMG_266"/>
            <wp:cNvGraphicFramePr/>
            <a:graphic xmlns:a="http://schemas.openxmlformats.org/drawingml/2006/main">
              <a:graphicData uri="http://schemas.openxmlformats.org/drawingml/2006/picture">
                <pic:pic xmlns:pic="http://schemas.openxmlformats.org/drawingml/2006/picture">
                  <pic:nvPicPr>
                    <pic:cNvPr id="0" name="image49.png" descr="IMG_266"/>
                    <pic:cNvPicPr preferRelativeResize="0"/>
                  </pic:nvPicPr>
                  <pic:blipFill>
                    <a:blip r:embed="rId27"/>
                    <a:srcRect/>
                    <a:stretch>
                      <a:fillRect/>
                    </a:stretch>
                  </pic:blipFill>
                  <pic:spPr>
                    <a:xfrm>
                      <a:off x="0" y="0"/>
                      <a:ext cx="2990887" cy="2537068"/>
                    </a:xfrm>
                    <a:prstGeom prst="rect">
                      <a:avLst/>
                    </a:prstGeom>
                    <a:ln/>
                  </pic:spPr>
                </pic:pic>
              </a:graphicData>
            </a:graphic>
          </wp:inline>
        </w:drawing>
      </w:r>
      <w:r w:rsidRPr="00170B7C">
        <w:rPr>
          <w:rFonts w:eastAsia="Arial"/>
          <w:noProof/>
          <w:color w:val="000000"/>
          <w:sz w:val="28"/>
          <w:szCs w:val="28"/>
          <w:lang w:eastAsia="ru-RU"/>
        </w:rPr>
        <w:drawing>
          <wp:inline distT="0" distB="0" distL="114300" distR="114300" wp14:anchorId="088401BB" wp14:editId="4B4326E5">
            <wp:extent cx="3001383" cy="2531521"/>
            <wp:effectExtent l="0" t="0" r="0" b="0"/>
            <wp:docPr id="423" name="image53.png" descr="IMG_267"/>
            <wp:cNvGraphicFramePr/>
            <a:graphic xmlns:a="http://schemas.openxmlformats.org/drawingml/2006/main">
              <a:graphicData uri="http://schemas.openxmlformats.org/drawingml/2006/picture">
                <pic:pic xmlns:pic="http://schemas.openxmlformats.org/drawingml/2006/picture">
                  <pic:nvPicPr>
                    <pic:cNvPr id="0" name="image53.png" descr="IMG_267"/>
                    <pic:cNvPicPr preferRelativeResize="0"/>
                  </pic:nvPicPr>
                  <pic:blipFill>
                    <a:blip r:embed="rId28"/>
                    <a:srcRect/>
                    <a:stretch>
                      <a:fillRect/>
                    </a:stretch>
                  </pic:blipFill>
                  <pic:spPr>
                    <a:xfrm>
                      <a:off x="0" y="0"/>
                      <a:ext cx="3011542" cy="2540089"/>
                    </a:xfrm>
                    <a:prstGeom prst="rect">
                      <a:avLst/>
                    </a:prstGeom>
                    <a:ln/>
                  </pic:spPr>
                </pic:pic>
              </a:graphicData>
            </a:graphic>
          </wp:inline>
        </w:drawing>
      </w:r>
    </w:p>
    <w:p w14:paraId="42FD5CF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Calibri"/>
          <w:color w:val="000000"/>
          <w:sz w:val="28"/>
          <w:szCs w:val="28"/>
        </w:rPr>
        <w:t> </w:t>
      </w:r>
    </w:p>
    <w:p w14:paraId="0CE3603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Рисунок 1</w:t>
      </w:r>
      <w:r w:rsidR="00130DBE" w:rsidRPr="00170B7C">
        <w:rPr>
          <w:color w:val="000000"/>
          <w:sz w:val="28"/>
          <w:szCs w:val="28"/>
        </w:rPr>
        <w:t>5</w:t>
      </w:r>
      <w:r w:rsidRPr="00170B7C">
        <w:rPr>
          <w:color w:val="000000"/>
          <w:sz w:val="28"/>
          <w:szCs w:val="28"/>
        </w:rPr>
        <w:t xml:space="preserve"> – КТ-волюметрия печени в программе Volume analysis</w:t>
      </w:r>
    </w:p>
    <w:p w14:paraId="09F00A6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Calibri"/>
          <w:color w:val="000000"/>
          <w:sz w:val="28"/>
          <w:szCs w:val="28"/>
        </w:rPr>
        <w:t> </w:t>
      </w:r>
    </w:p>
    <w:p w14:paraId="58CD0AFB" w14:textId="77777777"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Расчёт левой доли печени проводится аналогичным путем. Линия виртуальной резекции печени проводится по правому краю средней печеночной вены, вен VIII и V сегментов, по дну желчного пузыря, далее обводится левая доля печени и I сегмент. Объем левой доли печени и I сегмента отображается на экране. Полученные результаты сохраняются в виде скриншота в DICOM при нажатии на панели инструментов кнопки «Tool1», «Screen Save». </w:t>
      </w:r>
    </w:p>
    <w:p w14:paraId="4D2B2409" w14:textId="77777777" w:rsidR="007F41DB" w:rsidRPr="00170B7C" w:rsidRDefault="007F41DB"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p>
    <w:p w14:paraId="0B1259D8" w14:textId="77777777"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u w:val="single"/>
        </w:rPr>
        <w:t>Полуавтоматическ</w:t>
      </w:r>
      <w:r w:rsidR="00DE4CAF">
        <w:rPr>
          <w:color w:val="000000"/>
          <w:sz w:val="28"/>
          <w:szCs w:val="28"/>
          <w:u w:val="single"/>
        </w:rPr>
        <w:t xml:space="preserve">ий метод расчета объема печени в </w:t>
      </w:r>
      <w:r w:rsidRPr="00170B7C">
        <w:rPr>
          <w:color w:val="000000"/>
          <w:sz w:val="28"/>
          <w:szCs w:val="28"/>
          <w:u w:val="single"/>
        </w:rPr>
        <w:t xml:space="preserve"> программ</w:t>
      </w:r>
      <w:r w:rsidR="00DE4CAF">
        <w:rPr>
          <w:color w:val="000000"/>
          <w:sz w:val="28"/>
          <w:szCs w:val="28"/>
          <w:u w:val="single"/>
        </w:rPr>
        <w:t>е</w:t>
      </w:r>
      <w:r w:rsidRPr="00170B7C">
        <w:rPr>
          <w:color w:val="000000"/>
          <w:sz w:val="28"/>
          <w:szCs w:val="28"/>
          <w:u w:val="single"/>
        </w:rPr>
        <w:t xml:space="preserve"> OsiriX MD</w:t>
      </w:r>
      <w:r w:rsidRPr="00170B7C">
        <w:rPr>
          <w:color w:val="000000"/>
          <w:sz w:val="28"/>
          <w:szCs w:val="28"/>
        </w:rPr>
        <w:t> </w:t>
      </w:r>
    </w:p>
    <w:p w14:paraId="5A0D6E83" w14:textId="77777777" w:rsidR="00DE4CAF" w:rsidRPr="00170B7C" w:rsidRDefault="00DE4CAF"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p>
    <w:p w14:paraId="50557686" w14:textId="77777777" w:rsidR="00DE4CAF"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В программу OsiriX MD также загружается КТ исследование донора </w:t>
      </w:r>
      <w:r w:rsidR="007F41DB">
        <w:rPr>
          <w:color w:val="000000"/>
          <w:sz w:val="28"/>
          <w:szCs w:val="28"/>
        </w:rPr>
        <w:t xml:space="preserve">в порто-венозную фазу </w:t>
      </w:r>
      <w:r w:rsidRPr="00170B7C">
        <w:rPr>
          <w:color w:val="000000"/>
          <w:sz w:val="28"/>
          <w:szCs w:val="28"/>
        </w:rPr>
        <w:t xml:space="preserve">в DICOM формате. На каждом 3 срезе (каждый по 3 мм) </w:t>
      </w:r>
      <w:r w:rsidR="00D02182">
        <w:rPr>
          <w:color w:val="000000"/>
          <w:sz w:val="28"/>
          <w:szCs w:val="28"/>
        </w:rPr>
        <w:t xml:space="preserve">курсором мышки </w:t>
      </w:r>
      <w:r w:rsidRPr="00170B7C">
        <w:rPr>
          <w:color w:val="000000"/>
          <w:sz w:val="28"/>
          <w:szCs w:val="28"/>
        </w:rPr>
        <w:t xml:space="preserve">по контуру обводится </w:t>
      </w:r>
      <w:r w:rsidR="007F41DB" w:rsidRPr="00170B7C">
        <w:rPr>
          <w:color w:val="000000"/>
          <w:sz w:val="28"/>
          <w:szCs w:val="28"/>
        </w:rPr>
        <w:t xml:space="preserve">сначала </w:t>
      </w:r>
      <w:r w:rsidR="007F41DB">
        <w:rPr>
          <w:color w:val="000000"/>
          <w:sz w:val="28"/>
          <w:szCs w:val="28"/>
        </w:rPr>
        <w:t xml:space="preserve">вся </w:t>
      </w:r>
      <w:r w:rsidR="007F41DB" w:rsidRPr="00170B7C">
        <w:rPr>
          <w:color w:val="000000"/>
          <w:sz w:val="28"/>
          <w:szCs w:val="28"/>
        </w:rPr>
        <w:t>печень</w:t>
      </w:r>
      <w:r w:rsidRPr="00170B7C">
        <w:rPr>
          <w:color w:val="000000"/>
          <w:sz w:val="28"/>
          <w:szCs w:val="28"/>
        </w:rPr>
        <w:t>, также исключая крупные сосуды</w:t>
      </w:r>
      <w:r w:rsidR="00D02182">
        <w:rPr>
          <w:color w:val="000000"/>
          <w:sz w:val="28"/>
          <w:szCs w:val="28"/>
        </w:rPr>
        <w:t xml:space="preserve">, такие как нижняя полая вена, </w:t>
      </w:r>
      <w:r w:rsidR="00DE4CAF">
        <w:rPr>
          <w:color w:val="000000"/>
          <w:sz w:val="28"/>
          <w:szCs w:val="28"/>
        </w:rPr>
        <w:t xml:space="preserve">главные </w:t>
      </w:r>
      <w:r w:rsidR="00D02182">
        <w:rPr>
          <w:color w:val="000000"/>
          <w:sz w:val="28"/>
          <w:szCs w:val="28"/>
        </w:rPr>
        <w:t xml:space="preserve">правая и левая ветви воротной вены </w:t>
      </w:r>
      <w:r w:rsidRPr="00170B7C">
        <w:rPr>
          <w:color w:val="000000"/>
          <w:sz w:val="28"/>
          <w:szCs w:val="28"/>
        </w:rPr>
        <w:t>и желчный пузырь</w:t>
      </w:r>
      <w:r w:rsidR="00DE4CAF">
        <w:rPr>
          <w:color w:val="000000"/>
          <w:sz w:val="28"/>
          <w:szCs w:val="28"/>
        </w:rPr>
        <w:t xml:space="preserve">. </w:t>
      </w:r>
    </w:p>
    <w:p w14:paraId="79B0D1D6" w14:textId="77777777" w:rsidR="00DE4CAF" w:rsidRDefault="00DE4CAF"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Pr>
          <w:color w:val="000000"/>
          <w:sz w:val="28"/>
          <w:szCs w:val="28"/>
        </w:rPr>
        <w:t>Н</w:t>
      </w:r>
      <w:r w:rsidR="00274D3C" w:rsidRPr="00170B7C">
        <w:rPr>
          <w:color w:val="000000"/>
          <w:sz w:val="28"/>
          <w:szCs w:val="28"/>
        </w:rPr>
        <w:t xml:space="preserve">а панели инструментов в разделе «ROI», далее «ROI volume» выбираем функцию «Generate missing ROIs», после чего программа автоматически обводит </w:t>
      </w:r>
      <w:r w:rsidR="00D02182">
        <w:rPr>
          <w:color w:val="000000"/>
          <w:sz w:val="28"/>
          <w:szCs w:val="28"/>
        </w:rPr>
        <w:t xml:space="preserve">по контуру </w:t>
      </w:r>
      <w:r w:rsidR="00274D3C" w:rsidRPr="00170B7C">
        <w:rPr>
          <w:color w:val="000000"/>
          <w:sz w:val="28"/>
          <w:szCs w:val="28"/>
        </w:rPr>
        <w:t>недостающие области печени</w:t>
      </w:r>
      <w:r w:rsidR="00D02182">
        <w:rPr>
          <w:color w:val="000000"/>
          <w:sz w:val="28"/>
          <w:szCs w:val="28"/>
        </w:rPr>
        <w:t>.</w:t>
      </w:r>
      <w:r w:rsidR="00274D3C" w:rsidRPr="00170B7C">
        <w:rPr>
          <w:color w:val="000000"/>
          <w:sz w:val="28"/>
          <w:szCs w:val="28"/>
        </w:rPr>
        <w:t xml:space="preserve"> </w:t>
      </w:r>
    </w:p>
    <w:p w14:paraId="0F6EF2CF" w14:textId="77777777" w:rsidR="00C700B8" w:rsidRPr="00170B7C" w:rsidRDefault="00D02182"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Pr>
          <w:color w:val="000000"/>
          <w:sz w:val="28"/>
          <w:szCs w:val="28"/>
        </w:rPr>
        <w:t xml:space="preserve">Для расчета общего объема печени </w:t>
      </w:r>
      <w:r w:rsidRPr="00170B7C">
        <w:rPr>
          <w:color w:val="000000"/>
          <w:sz w:val="28"/>
          <w:szCs w:val="28"/>
        </w:rPr>
        <w:t xml:space="preserve">в разделе «ROI volume» выбираем «Compute volume». На экране появляется окно с 3D моделью печени и ее объем. Полученные результаты сохраняются в виде скриншота в DICOM </w:t>
      </w:r>
      <w:r w:rsidR="00274D3C" w:rsidRPr="00170B7C">
        <w:rPr>
          <w:color w:val="000000"/>
          <w:sz w:val="28"/>
          <w:szCs w:val="28"/>
        </w:rPr>
        <w:t>(рисунок 1</w:t>
      </w:r>
      <w:r w:rsidR="00130DBE" w:rsidRPr="00170B7C">
        <w:rPr>
          <w:color w:val="000000"/>
          <w:sz w:val="28"/>
          <w:szCs w:val="28"/>
        </w:rPr>
        <w:t>6</w:t>
      </w:r>
      <w:r w:rsidR="00274D3C" w:rsidRPr="00170B7C">
        <w:rPr>
          <w:color w:val="000000"/>
          <w:sz w:val="28"/>
          <w:szCs w:val="28"/>
        </w:rPr>
        <w:t>). </w:t>
      </w:r>
    </w:p>
    <w:p w14:paraId="2E65B09D" w14:textId="77777777" w:rsidR="00C700B8" w:rsidRPr="00170B7C" w:rsidRDefault="007F41DB" w:rsidP="00D02182">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lastRenderedPageBreak/>
        <w:drawing>
          <wp:inline distT="0" distB="0" distL="114300" distR="114300" wp14:anchorId="6A37EF5D" wp14:editId="7EE6AA42">
            <wp:extent cx="6046484" cy="3646805"/>
            <wp:effectExtent l="0" t="0" r="0" b="0"/>
            <wp:docPr id="427" name="image62.png" descr="IMG_269"/>
            <wp:cNvGraphicFramePr/>
            <a:graphic xmlns:a="http://schemas.openxmlformats.org/drawingml/2006/main">
              <a:graphicData uri="http://schemas.openxmlformats.org/drawingml/2006/picture">
                <pic:pic xmlns:pic="http://schemas.openxmlformats.org/drawingml/2006/picture">
                  <pic:nvPicPr>
                    <pic:cNvPr id="0" name="image62.png" descr="IMG_269"/>
                    <pic:cNvPicPr preferRelativeResize="0"/>
                  </pic:nvPicPr>
                  <pic:blipFill>
                    <a:blip r:embed="rId29"/>
                    <a:srcRect/>
                    <a:stretch>
                      <a:fillRect/>
                    </a:stretch>
                  </pic:blipFill>
                  <pic:spPr>
                    <a:xfrm>
                      <a:off x="0" y="0"/>
                      <a:ext cx="6053674" cy="3651142"/>
                    </a:xfrm>
                    <a:prstGeom prst="rect">
                      <a:avLst/>
                    </a:prstGeom>
                    <a:ln/>
                  </pic:spPr>
                </pic:pic>
              </a:graphicData>
            </a:graphic>
          </wp:inline>
        </w:drawing>
      </w:r>
      <w:r w:rsidR="00274D3C" w:rsidRPr="00170B7C">
        <w:rPr>
          <w:rFonts w:eastAsia="Arial"/>
          <w:noProof/>
          <w:color w:val="000000"/>
          <w:sz w:val="28"/>
          <w:szCs w:val="28"/>
          <w:lang w:eastAsia="ru-RU"/>
        </w:rPr>
        <w:drawing>
          <wp:inline distT="0" distB="0" distL="114300" distR="114300" wp14:anchorId="721EA042" wp14:editId="1BF6EE9A">
            <wp:extent cx="6029960" cy="3818964"/>
            <wp:effectExtent l="0" t="0" r="2540" b="3810"/>
            <wp:docPr id="425" name="image58.png" descr="IMG_268"/>
            <wp:cNvGraphicFramePr/>
            <a:graphic xmlns:a="http://schemas.openxmlformats.org/drawingml/2006/main">
              <a:graphicData uri="http://schemas.openxmlformats.org/drawingml/2006/picture">
                <pic:pic xmlns:pic="http://schemas.openxmlformats.org/drawingml/2006/picture">
                  <pic:nvPicPr>
                    <pic:cNvPr id="0" name="image58.png" descr="IMG_268"/>
                    <pic:cNvPicPr preferRelativeResize="0"/>
                  </pic:nvPicPr>
                  <pic:blipFill>
                    <a:blip r:embed="rId30"/>
                    <a:srcRect/>
                    <a:stretch>
                      <a:fillRect/>
                    </a:stretch>
                  </pic:blipFill>
                  <pic:spPr>
                    <a:xfrm>
                      <a:off x="0" y="0"/>
                      <a:ext cx="6042898" cy="3827158"/>
                    </a:xfrm>
                    <a:prstGeom prst="rect">
                      <a:avLst/>
                    </a:prstGeom>
                    <a:ln/>
                  </pic:spPr>
                </pic:pic>
              </a:graphicData>
            </a:graphic>
          </wp:inline>
        </w:drawing>
      </w:r>
    </w:p>
    <w:p w14:paraId="0E354078" w14:textId="77777777" w:rsidR="00C700B8" w:rsidRPr="00D02182" w:rsidRDefault="00274D3C" w:rsidP="00D02182">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Calibri"/>
          <w:color w:val="000000"/>
          <w:sz w:val="28"/>
          <w:szCs w:val="28"/>
        </w:rPr>
        <w:t> </w:t>
      </w:r>
    </w:p>
    <w:p w14:paraId="2BF6EF5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Рисунок 1</w:t>
      </w:r>
      <w:r w:rsidR="00130DBE" w:rsidRPr="00170B7C">
        <w:rPr>
          <w:color w:val="000000"/>
          <w:sz w:val="28"/>
          <w:szCs w:val="28"/>
        </w:rPr>
        <w:t>6</w:t>
      </w:r>
      <w:r w:rsidRPr="00170B7C">
        <w:rPr>
          <w:color w:val="000000"/>
          <w:sz w:val="28"/>
          <w:szCs w:val="28"/>
        </w:rPr>
        <w:t xml:space="preserve"> – Панель инструментов программы OsiriX MD</w:t>
      </w:r>
    </w:p>
    <w:p w14:paraId="3B49D6B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rFonts w:eastAsia="Calibri"/>
          <w:color w:val="000000"/>
          <w:sz w:val="28"/>
          <w:szCs w:val="28"/>
        </w:rPr>
        <w:t> </w:t>
      </w:r>
    </w:p>
    <w:p w14:paraId="1ABE3392" w14:textId="77777777" w:rsidR="00C700B8" w:rsidRPr="00170B7C" w:rsidRDefault="00D02182"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Pr>
          <w:color w:val="000000"/>
          <w:sz w:val="28"/>
          <w:szCs w:val="28"/>
        </w:rPr>
        <w:t>При необходимости к</w:t>
      </w:r>
      <w:r w:rsidR="00274D3C" w:rsidRPr="00170B7C">
        <w:rPr>
          <w:color w:val="000000"/>
          <w:sz w:val="28"/>
          <w:szCs w:val="28"/>
        </w:rPr>
        <w:t>урсором мышки вручную исправляются ложноположительны</w:t>
      </w:r>
      <w:r w:rsidR="007F41DB">
        <w:rPr>
          <w:color w:val="000000"/>
          <w:sz w:val="28"/>
          <w:szCs w:val="28"/>
        </w:rPr>
        <w:t>й</w:t>
      </w:r>
      <w:r w:rsidR="00274D3C" w:rsidRPr="00170B7C">
        <w:rPr>
          <w:color w:val="000000"/>
          <w:sz w:val="28"/>
          <w:szCs w:val="28"/>
        </w:rPr>
        <w:t xml:space="preserve"> и ложноотрицательны</w:t>
      </w:r>
      <w:r w:rsidR="007F41DB">
        <w:rPr>
          <w:color w:val="000000"/>
          <w:sz w:val="28"/>
          <w:szCs w:val="28"/>
        </w:rPr>
        <w:t>й</w:t>
      </w:r>
      <w:r w:rsidR="00274D3C" w:rsidRPr="00170B7C">
        <w:rPr>
          <w:color w:val="000000"/>
          <w:sz w:val="28"/>
          <w:szCs w:val="28"/>
        </w:rPr>
        <w:t xml:space="preserve"> </w:t>
      </w:r>
      <w:r w:rsidR="007F41DB">
        <w:rPr>
          <w:color w:val="000000"/>
          <w:sz w:val="28"/>
          <w:szCs w:val="28"/>
        </w:rPr>
        <w:t>контуринг</w:t>
      </w:r>
      <w:r w:rsidR="00274D3C" w:rsidRPr="00170B7C">
        <w:rPr>
          <w:color w:val="000000"/>
          <w:sz w:val="28"/>
          <w:szCs w:val="28"/>
        </w:rPr>
        <w:t xml:space="preserve"> </w:t>
      </w:r>
      <w:r w:rsidR="007F41DB">
        <w:rPr>
          <w:color w:val="000000"/>
          <w:sz w:val="28"/>
          <w:szCs w:val="28"/>
        </w:rPr>
        <w:t xml:space="preserve">на нужных срезах </w:t>
      </w:r>
      <w:r w:rsidR="00274D3C" w:rsidRPr="00170B7C">
        <w:rPr>
          <w:color w:val="000000"/>
          <w:sz w:val="28"/>
          <w:szCs w:val="28"/>
        </w:rPr>
        <w:t>(рисунок 1</w:t>
      </w:r>
      <w:r w:rsidR="00130DBE" w:rsidRPr="00170B7C">
        <w:rPr>
          <w:color w:val="000000"/>
          <w:sz w:val="28"/>
          <w:szCs w:val="28"/>
        </w:rPr>
        <w:t>7</w:t>
      </w:r>
      <w:r w:rsidR="00274D3C" w:rsidRPr="00170B7C">
        <w:rPr>
          <w:color w:val="000000"/>
          <w:sz w:val="28"/>
          <w:szCs w:val="28"/>
        </w:rPr>
        <w:t>).  </w:t>
      </w:r>
    </w:p>
    <w:p w14:paraId="0DCD37C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lastRenderedPageBreak/>
        <w:drawing>
          <wp:inline distT="0" distB="0" distL="114300" distR="114300" wp14:anchorId="6B2C4FB4" wp14:editId="1DFA8A5A">
            <wp:extent cx="5982148" cy="3593054"/>
            <wp:effectExtent l="0" t="0" r="0" b="1270"/>
            <wp:docPr id="429" name="image52.png" descr="IMG_270"/>
            <wp:cNvGraphicFramePr/>
            <a:graphic xmlns:a="http://schemas.openxmlformats.org/drawingml/2006/main">
              <a:graphicData uri="http://schemas.openxmlformats.org/drawingml/2006/picture">
                <pic:pic xmlns:pic="http://schemas.openxmlformats.org/drawingml/2006/picture">
                  <pic:nvPicPr>
                    <pic:cNvPr id="0" name="image52.png" descr="IMG_270"/>
                    <pic:cNvPicPr preferRelativeResize="0"/>
                  </pic:nvPicPr>
                  <pic:blipFill>
                    <a:blip r:embed="rId31"/>
                    <a:srcRect/>
                    <a:stretch>
                      <a:fillRect/>
                    </a:stretch>
                  </pic:blipFill>
                  <pic:spPr>
                    <a:xfrm>
                      <a:off x="0" y="0"/>
                      <a:ext cx="5991182" cy="3598480"/>
                    </a:xfrm>
                    <a:prstGeom prst="rect">
                      <a:avLst/>
                    </a:prstGeom>
                    <a:ln/>
                  </pic:spPr>
                </pic:pic>
              </a:graphicData>
            </a:graphic>
          </wp:inline>
        </w:drawing>
      </w:r>
      <w:r w:rsidRPr="00170B7C">
        <w:rPr>
          <w:rFonts w:eastAsia="Calibri"/>
          <w:color w:val="000000"/>
          <w:sz w:val="28"/>
          <w:szCs w:val="28"/>
        </w:rPr>
        <w:t> </w:t>
      </w:r>
    </w:p>
    <w:p w14:paraId="14E117D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rFonts w:eastAsia="Calibri"/>
          <w:color w:val="000000"/>
          <w:sz w:val="28"/>
          <w:szCs w:val="28"/>
        </w:rPr>
        <w:t> </w:t>
      </w:r>
    </w:p>
    <w:p w14:paraId="1A5D8C4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Рисунок 1</w:t>
      </w:r>
      <w:r w:rsidR="00130DBE" w:rsidRPr="00170B7C">
        <w:rPr>
          <w:color w:val="000000"/>
          <w:sz w:val="28"/>
          <w:szCs w:val="28"/>
        </w:rPr>
        <w:t>7</w:t>
      </w:r>
      <w:r w:rsidRPr="00170B7C">
        <w:rPr>
          <w:color w:val="000000"/>
          <w:sz w:val="28"/>
          <w:szCs w:val="28"/>
        </w:rPr>
        <w:t xml:space="preserve"> – Ложноположительный контуринг</w:t>
      </w:r>
      <w:r w:rsidR="001C516B">
        <w:rPr>
          <w:color w:val="000000"/>
          <w:sz w:val="28"/>
          <w:szCs w:val="28"/>
        </w:rPr>
        <w:t xml:space="preserve"> </w:t>
      </w:r>
      <w:r w:rsidRPr="00170B7C">
        <w:rPr>
          <w:color w:val="000000"/>
          <w:sz w:val="28"/>
          <w:szCs w:val="28"/>
        </w:rPr>
        <w:t>полуавтоматической программой OsiriX MD. Автоматически сгенерированные программой контуры (красная линия) не соответствуют</w:t>
      </w:r>
      <w:r w:rsidR="001C516B">
        <w:rPr>
          <w:color w:val="000000"/>
          <w:sz w:val="28"/>
          <w:szCs w:val="28"/>
        </w:rPr>
        <w:t xml:space="preserve"> </w:t>
      </w:r>
      <w:r w:rsidRPr="00170B7C">
        <w:rPr>
          <w:color w:val="000000"/>
          <w:sz w:val="28"/>
          <w:szCs w:val="28"/>
        </w:rPr>
        <w:t>анатомическим границам печени </w:t>
      </w:r>
    </w:p>
    <w:p w14:paraId="11DC01A0"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p>
    <w:p w14:paraId="40370B93" w14:textId="77777777" w:rsidR="00C700B8" w:rsidRPr="00DE4CAF" w:rsidRDefault="00274D3C" w:rsidP="00DE4CAF">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Аналогичным образом проводится волюметрия левой доли печени, </w:t>
      </w:r>
      <w:r w:rsidR="00DE4CAF">
        <w:rPr>
          <w:color w:val="000000"/>
          <w:sz w:val="28"/>
          <w:szCs w:val="28"/>
        </w:rPr>
        <w:t xml:space="preserve">по контуру обводится левая доля печени включая </w:t>
      </w:r>
      <w:r w:rsidR="00DE4CAF">
        <w:rPr>
          <w:color w:val="000000"/>
          <w:sz w:val="28"/>
          <w:szCs w:val="28"/>
          <w:lang w:val="en-US"/>
        </w:rPr>
        <w:t>I</w:t>
      </w:r>
      <w:r w:rsidR="00DE4CAF" w:rsidRPr="00DE4CAF">
        <w:rPr>
          <w:color w:val="000000"/>
          <w:sz w:val="28"/>
          <w:szCs w:val="28"/>
        </w:rPr>
        <w:t xml:space="preserve"> </w:t>
      </w:r>
      <w:r w:rsidR="00DE4CAF">
        <w:rPr>
          <w:color w:val="000000"/>
          <w:sz w:val="28"/>
          <w:szCs w:val="28"/>
        </w:rPr>
        <w:t>сегмент. Л</w:t>
      </w:r>
      <w:r w:rsidR="00D02182">
        <w:rPr>
          <w:color w:val="000000"/>
          <w:sz w:val="28"/>
          <w:szCs w:val="28"/>
        </w:rPr>
        <w:t xml:space="preserve">иния резекции проводится по правому краю средней печеночной вены и дну желчного пузыря, </w:t>
      </w:r>
      <w:r w:rsidRPr="00170B7C">
        <w:rPr>
          <w:color w:val="000000"/>
          <w:sz w:val="28"/>
          <w:szCs w:val="28"/>
        </w:rPr>
        <w:t>окно с изображением полученных данных сохраняется в виде скриншота</w:t>
      </w:r>
      <w:r w:rsidR="00D02182">
        <w:rPr>
          <w:color w:val="000000"/>
          <w:sz w:val="28"/>
          <w:szCs w:val="28"/>
        </w:rPr>
        <w:t xml:space="preserve"> </w:t>
      </w:r>
      <w:r w:rsidRPr="00170B7C">
        <w:rPr>
          <w:color w:val="000000"/>
          <w:sz w:val="28"/>
          <w:szCs w:val="28"/>
        </w:rPr>
        <w:t>(рисунок 1</w:t>
      </w:r>
      <w:r w:rsidR="00130DBE" w:rsidRPr="00170B7C">
        <w:rPr>
          <w:color w:val="000000"/>
          <w:sz w:val="28"/>
          <w:szCs w:val="28"/>
        </w:rPr>
        <w:t>8</w:t>
      </w:r>
      <w:r w:rsidRPr="00170B7C">
        <w:rPr>
          <w:color w:val="000000"/>
          <w:sz w:val="28"/>
          <w:szCs w:val="28"/>
        </w:rPr>
        <w:t>).   </w:t>
      </w:r>
      <w:r w:rsidRPr="00170B7C">
        <w:rPr>
          <w:rFonts w:eastAsia="Calibri"/>
          <w:color w:val="000000"/>
          <w:sz w:val="28"/>
          <w:szCs w:val="28"/>
        </w:rPr>
        <w:t> </w:t>
      </w:r>
    </w:p>
    <w:p w14:paraId="1AC3E5F0" w14:textId="77777777" w:rsidR="00D02182" w:rsidRPr="00170B7C" w:rsidRDefault="00D02182"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p>
    <w:p w14:paraId="6858F25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2F9A7025" wp14:editId="52CCFFED">
            <wp:extent cx="2762547" cy="2686339"/>
            <wp:effectExtent l="0" t="0" r="0" b="0"/>
            <wp:docPr id="431" name="image54.png" descr="IMG_271"/>
            <wp:cNvGraphicFramePr/>
            <a:graphic xmlns:a="http://schemas.openxmlformats.org/drawingml/2006/main">
              <a:graphicData uri="http://schemas.openxmlformats.org/drawingml/2006/picture">
                <pic:pic xmlns:pic="http://schemas.openxmlformats.org/drawingml/2006/picture">
                  <pic:nvPicPr>
                    <pic:cNvPr id="0" name="image54.png" descr="IMG_271"/>
                    <pic:cNvPicPr preferRelativeResize="0"/>
                  </pic:nvPicPr>
                  <pic:blipFill>
                    <a:blip r:embed="rId32"/>
                    <a:srcRect l="23108" r="20916"/>
                    <a:stretch>
                      <a:fillRect/>
                    </a:stretch>
                  </pic:blipFill>
                  <pic:spPr>
                    <a:xfrm>
                      <a:off x="0" y="0"/>
                      <a:ext cx="2762547" cy="2686339"/>
                    </a:xfrm>
                    <a:prstGeom prst="rect">
                      <a:avLst/>
                    </a:prstGeom>
                    <a:ln/>
                  </pic:spPr>
                </pic:pic>
              </a:graphicData>
            </a:graphic>
          </wp:inline>
        </w:drawing>
      </w:r>
      <w:r w:rsidRPr="00170B7C">
        <w:rPr>
          <w:rFonts w:eastAsia="Arial"/>
          <w:noProof/>
          <w:color w:val="000000"/>
          <w:sz w:val="28"/>
          <w:szCs w:val="28"/>
          <w:lang w:eastAsia="ru-RU"/>
        </w:rPr>
        <w:drawing>
          <wp:inline distT="0" distB="0" distL="114300" distR="114300" wp14:anchorId="1D8301B0" wp14:editId="45E48791">
            <wp:extent cx="3248373" cy="2676812"/>
            <wp:effectExtent l="0" t="0" r="0" b="0"/>
            <wp:docPr id="432" name="image60.png" descr="IMG_272"/>
            <wp:cNvGraphicFramePr/>
            <a:graphic xmlns:a="http://schemas.openxmlformats.org/drawingml/2006/main">
              <a:graphicData uri="http://schemas.openxmlformats.org/drawingml/2006/picture">
                <pic:pic xmlns:pic="http://schemas.openxmlformats.org/drawingml/2006/picture">
                  <pic:nvPicPr>
                    <pic:cNvPr id="0" name="image60.png" descr="IMG_272"/>
                    <pic:cNvPicPr preferRelativeResize="0"/>
                  </pic:nvPicPr>
                  <pic:blipFill>
                    <a:blip r:embed="rId33"/>
                    <a:srcRect/>
                    <a:stretch>
                      <a:fillRect/>
                    </a:stretch>
                  </pic:blipFill>
                  <pic:spPr>
                    <a:xfrm>
                      <a:off x="0" y="0"/>
                      <a:ext cx="3248373" cy="2676812"/>
                    </a:xfrm>
                    <a:prstGeom prst="rect">
                      <a:avLst/>
                    </a:prstGeom>
                    <a:ln/>
                  </pic:spPr>
                </pic:pic>
              </a:graphicData>
            </a:graphic>
          </wp:inline>
        </w:drawing>
      </w:r>
    </w:p>
    <w:p w14:paraId="3756D33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170B7C">
        <w:rPr>
          <w:rFonts w:eastAsia="Calibri"/>
          <w:color w:val="000000"/>
          <w:sz w:val="28"/>
          <w:szCs w:val="28"/>
        </w:rPr>
        <w:t> </w:t>
      </w:r>
    </w:p>
    <w:p w14:paraId="18F2DC39" w14:textId="77777777" w:rsidR="007F41DB" w:rsidRDefault="00274D3C" w:rsidP="00DE4CAF">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 xml:space="preserve">Pисунок </w:t>
      </w:r>
      <w:r w:rsidR="00130DBE" w:rsidRPr="00170B7C">
        <w:rPr>
          <w:color w:val="000000"/>
          <w:sz w:val="28"/>
          <w:szCs w:val="28"/>
        </w:rPr>
        <w:t>18</w:t>
      </w:r>
      <w:r w:rsidR="00D02182">
        <w:rPr>
          <w:color w:val="000000"/>
          <w:sz w:val="28"/>
          <w:szCs w:val="28"/>
        </w:rPr>
        <w:t xml:space="preserve"> </w:t>
      </w:r>
      <w:r w:rsidRPr="00170B7C">
        <w:rPr>
          <w:color w:val="000000"/>
          <w:sz w:val="28"/>
          <w:szCs w:val="28"/>
        </w:rPr>
        <w:t>– КТ-волюметрия в полуавтоматической программе OsiriX MD </w:t>
      </w:r>
    </w:p>
    <w:p w14:paraId="37F7435C" w14:textId="77777777"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rPr>
          <w:color w:val="000000"/>
          <w:sz w:val="28"/>
          <w:szCs w:val="28"/>
        </w:rPr>
      </w:pPr>
      <w:r w:rsidRPr="00170B7C">
        <w:rPr>
          <w:rFonts w:eastAsia="Calibri"/>
          <w:color w:val="000000"/>
          <w:sz w:val="28"/>
          <w:szCs w:val="28"/>
        </w:rPr>
        <w:lastRenderedPageBreak/>
        <w:t> </w:t>
      </w:r>
      <w:r w:rsidR="00DE4CAF">
        <w:rPr>
          <w:color w:val="000000"/>
          <w:sz w:val="28"/>
          <w:szCs w:val="28"/>
          <w:u w:val="single"/>
        </w:rPr>
        <w:t xml:space="preserve">Автоматический метод расчета объема печени в </w:t>
      </w:r>
      <w:r w:rsidRPr="00170B7C">
        <w:rPr>
          <w:color w:val="000000"/>
          <w:sz w:val="28"/>
          <w:szCs w:val="28"/>
          <w:u w:val="single"/>
        </w:rPr>
        <w:t xml:space="preserve"> программе CT Liver Analysis.</w:t>
      </w:r>
      <w:r w:rsidRPr="00170B7C">
        <w:rPr>
          <w:color w:val="000000"/>
          <w:sz w:val="28"/>
          <w:szCs w:val="28"/>
        </w:rPr>
        <w:t> </w:t>
      </w:r>
    </w:p>
    <w:p w14:paraId="23DFF34B" w14:textId="77777777" w:rsidR="00DE4CAF" w:rsidRPr="00170B7C" w:rsidRDefault="00DE4CAF" w:rsidP="00170B7C">
      <w:pPr>
        <w:pBdr>
          <w:top w:val="none" w:sz="0" w:space="0" w:color="000000"/>
          <w:left w:val="none" w:sz="0" w:space="0" w:color="000000"/>
          <w:bottom w:val="none" w:sz="0" w:space="0" w:color="000000"/>
          <w:right w:val="none" w:sz="0" w:space="0" w:color="000000"/>
          <w:between w:val="none" w:sz="0" w:space="0" w:color="000000"/>
        </w:pBdr>
        <w:ind w:firstLine="567"/>
        <w:rPr>
          <w:rFonts w:eastAsia="Calibri"/>
          <w:color w:val="000000"/>
          <w:sz w:val="28"/>
          <w:szCs w:val="28"/>
        </w:rPr>
      </w:pPr>
    </w:p>
    <w:p w14:paraId="61855A0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В программу загружается КТ исследование донора в DICOM формате после чего на панели инструментов выбираем «Liver Segmentation» и направляем курсор на паренхиму печени. Программа автоматически выделяет область печени и выдает на экране 3D реконструкцию и автоматически рассчитанный объем печени (рисунок 1</w:t>
      </w:r>
      <w:r w:rsidR="00496251" w:rsidRPr="00170B7C">
        <w:rPr>
          <w:color w:val="000000"/>
          <w:sz w:val="28"/>
          <w:szCs w:val="28"/>
        </w:rPr>
        <w:t>9</w:t>
      </w:r>
      <w:r w:rsidRPr="00170B7C">
        <w:rPr>
          <w:color w:val="000000"/>
          <w:sz w:val="28"/>
          <w:szCs w:val="28"/>
        </w:rPr>
        <w:t>,</w:t>
      </w:r>
      <w:r w:rsidR="00496251" w:rsidRPr="00170B7C">
        <w:rPr>
          <w:color w:val="000000"/>
          <w:sz w:val="28"/>
          <w:szCs w:val="28"/>
        </w:rPr>
        <w:t>20</w:t>
      </w:r>
      <w:r w:rsidRPr="00170B7C">
        <w:rPr>
          <w:color w:val="000000"/>
          <w:sz w:val="28"/>
          <w:szCs w:val="28"/>
        </w:rPr>
        <w:t>,</w:t>
      </w:r>
      <w:r w:rsidR="00496251" w:rsidRPr="00170B7C">
        <w:rPr>
          <w:color w:val="000000"/>
          <w:sz w:val="28"/>
          <w:szCs w:val="28"/>
        </w:rPr>
        <w:t>21</w:t>
      </w:r>
      <w:r w:rsidRPr="00170B7C">
        <w:rPr>
          <w:color w:val="000000"/>
          <w:sz w:val="28"/>
          <w:szCs w:val="28"/>
        </w:rPr>
        <w:t>).  </w:t>
      </w:r>
    </w:p>
    <w:p w14:paraId="53DC0AA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170B7C">
        <w:rPr>
          <w:rFonts w:eastAsia="Calibri"/>
          <w:color w:val="000000"/>
          <w:sz w:val="28"/>
          <w:szCs w:val="28"/>
        </w:rPr>
        <w:t> </w:t>
      </w:r>
    </w:p>
    <w:p w14:paraId="3B91540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rFonts w:eastAsia="Arial"/>
          <w:noProof/>
          <w:color w:val="000000"/>
          <w:sz w:val="28"/>
          <w:szCs w:val="28"/>
          <w:lang w:eastAsia="ru-RU"/>
        </w:rPr>
        <w:drawing>
          <wp:inline distT="0" distB="0" distL="114300" distR="114300" wp14:anchorId="6B319C37" wp14:editId="6942E250">
            <wp:extent cx="6025347" cy="3685540"/>
            <wp:effectExtent l="0" t="0" r="0" b="0"/>
            <wp:docPr id="433" name="image61.png" descr="IMG_273"/>
            <wp:cNvGraphicFramePr/>
            <a:graphic xmlns:a="http://schemas.openxmlformats.org/drawingml/2006/main">
              <a:graphicData uri="http://schemas.openxmlformats.org/drawingml/2006/picture">
                <pic:pic xmlns:pic="http://schemas.openxmlformats.org/drawingml/2006/picture">
                  <pic:nvPicPr>
                    <pic:cNvPr id="0" name="image61.png" descr="IMG_273"/>
                    <pic:cNvPicPr preferRelativeResize="0"/>
                  </pic:nvPicPr>
                  <pic:blipFill>
                    <a:blip r:embed="rId34"/>
                    <a:srcRect/>
                    <a:stretch>
                      <a:fillRect/>
                    </a:stretch>
                  </pic:blipFill>
                  <pic:spPr>
                    <a:xfrm>
                      <a:off x="0" y="0"/>
                      <a:ext cx="6031019" cy="3689010"/>
                    </a:xfrm>
                    <a:prstGeom prst="rect">
                      <a:avLst/>
                    </a:prstGeom>
                    <a:ln/>
                  </pic:spPr>
                </pic:pic>
              </a:graphicData>
            </a:graphic>
          </wp:inline>
        </w:drawing>
      </w:r>
    </w:p>
    <w:p w14:paraId="51525714" w14:textId="77777777" w:rsidR="007F41DB" w:rsidRDefault="007F41DB"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5EE38AB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Рисунок 1</w:t>
      </w:r>
      <w:r w:rsidR="00496251" w:rsidRPr="00170B7C">
        <w:rPr>
          <w:color w:val="000000"/>
          <w:sz w:val="28"/>
          <w:szCs w:val="28"/>
        </w:rPr>
        <w:t>9</w:t>
      </w:r>
      <w:r w:rsidR="00DE4CAF">
        <w:rPr>
          <w:color w:val="000000"/>
          <w:sz w:val="28"/>
          <w:szCs w:val="28"/>
        </w:rPr>
        <w:t xml:space="preserve"> </w:t>
      </w:r>
      <w:r w:rsidRPr="00170B7C">
        <w:rPr>
          <w:color w:val="000000"/>
          <w:sz w:val="28"/>
          <w:szCs w:val="28"/>
        </w:rPr>
        <w:t>– Панель инструментов программы CT Liver </w:t>
      </w:r>
      <w:r w:rsidR="00DE4CAF" w:rsidRPr="00170B7C">
        <w:rPr>
          <w:color w:val="000000"/>
          <w:sz w:val="28"/>
          <w:szCs w:val="28"/>
        </w:rPr>
        <w:t>Analysis </w:t>
      </w:r>
    </w:p>
    <w:p w14:paraId="5A4E1A6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170B7C">
        <w:rPr>
          <w:rFonts w:eastAsia="Calibri"/>
          <w:color w:val="000000"/>
          <w:sz w:val="28"/>
          <w:szCs w:val="28"/>
        </w:rPr>
        <w:t> </w:t>
      </w:r>
    </w:p>
    <w:p w14:paraId="0158900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45F10C7A" wp14:editId="4B786FFF">
            <wp:extent cx="3084307" cy="2419350"/>
            <wp:effectExtent l="0" t="0" r="1905" b="0"/>
            <wp:docPr id="434" name="image59.png" descr="IMG_274"/>
            <wp:cNvGraphicFramePr/>
            <a:graphic xmlns:a="http://schemas.openxmlformats.org/drawingml/2006/main">
              <a:graphicData uri="http://schemas.openxmlformats.org/drawingml/2006/picture">
                <pic:pic xmlns:pic="http://schemas.openxmlformats.org/drawingml/2006/picture">
                  <pic:nvPicPr>
                    <pic:cNvPr id="0" name="image59.png" descr="IMG_274"/>
                    <pic:cNvPicPr preferRelativeResize="0"/>
                  </pic:nvPicPr>
                  <pic:blipFill>
                    <a:blip r:embed="rId35"/>
                    <a:srcRect l="14119" t="5732" r="12212" b="14269"/>
                    <a:stretch>
                      <a:fillRect/>
                    </a:stretch>
                  </pic:blipFill>
                  <pic:spPr>
                    <a:xfrm>
                      <a:off x="0" y="0"/>
                      <a:ext cx="3087493" cy="2421849"/>
                    </a:xfrm>
                    <a:prstGeom prst="rect">
                      <a:avLst/>
                    </a:prstGeom>
                    <a:ln/>
                  </pic:spPr>
                </pic:pic>
              </a:graphicData>
            </a:graphic>
          </wp:inline>
        </w:drawing>
      </w:r>
      <w:r w:rsidRPr="00170B7C">
        <w:rPr>
          <w:rFonts w:eastAsia="Arial"/>
          <w:noProof/>
          <w:color w:val="000000"/>
          <w:sz w:val="28"/>
          <w:szCs w:val="28"/>
          <w:lang w:eastAsia="ru-RU"/>
        </w:rPr>
        <w:drawing>
          <wp:inline distT="0" distB="0" distL="114300" distR="114300" wp14:anchorId="666D7502" wp14:editId="102EB2BC">
            <wp:extent cx="2962574" cy="2419594"/>
            <wp:effectExtent l="0" t="0" r="0" b="0"/>
            <wp:docPr id="393" name="image28.png" descr="IMG_275"/>
            <wp:cNvGraphicFramePr/>
            <a:graphic xmlns:a="http://schemas.openxmlformats.org/drawingml/2006/main">
              <a:graphicData uri="http://schemas.openxmlformats.org/drawingml/2006/picture">
                <pic:pic xmlns:pic="http://schemas.openxmlformats.org/drawingml/2006/picture">
                  <pic:nvPicPr>
                    <pic:cNvPr id="0" name="image28.png" descr="IMG_275"/>
                    <pic:cNvPicPr preferRelativeResize="0"/>
                  </pic:nvPicPr>
                  <pic:blipFill>
                    <a:blip r:embed="rId36"/>
                    <a:srcRect/>
                    <a:stretch>
                      <a:fillRect/>
                    </a:stretch>
                  </pic:blipFill>
                  <pic:spPr>
                    <a:xfrm>
                      <a:off x="0" y="0"/>
                      <a:ext cx="2962574" cy="2419594"/>
                    </a:xfrm>
                    <a:prstGeom prst="rect">
                      <a:avLst/>
                    </a:prstGeom>
                    <a:ln/>
                  </pic:spPr>
                </pic:pic>
              </a:graphicData>
            </a:graphic>
          </wp:inline>
        </w:drawing>
      </w:r>
    </w:p>
    <w:p w14:paraId="3D9B355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170B7C">
        <w:rPr>
          <w:rFonts w:eastAsia="Calibri"/>
          <w:color w:val="000000"/>
          <w:sz w:val="28"/>
          <w:szCs w:val="28"/>
        </w:rPr>
        <w:t> </w:t>
      </w:r>
    </w:p>
    <w:p w14:paraId="065B072F" w14:textId="77777777" w:rsidR="00A67B72"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 xml:space="preserve">Pисунок </w:t>
      </w:r>
      <w:r w:rsidR="00496251" w:rsidRPr="00170B7C">
        <w:rPr>
          <w:color w:val="000000"/>
          <w:sz w:val="28"/>
          <w:szCs w:val="28"/>
        </w:rPr>
        <w:t>20</w:t>
      </w:r>
      <w:r w:rsidRPr="00170B7C">
        <w:rPr>
          <w:color w:val="000000"/>
          <w:sz w:val="28"/>
          <w:szCs w:val="28"/>
        </w:rPr>
        <w:t xml:space="preserve"> – КТ-волюметрия в программе CT Liver Analysis </w:t>
      </w:r>
    </w:p>
    <w:p w14:paraId="6D2F3F3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lastRenderedPageBreak/>
        <w:t> </w:t>
      </w:r>
    </w:p>
    <w:p w14:paraId="4898C9B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6A8B8413" wp14:editId="0556CC6F">
            <wp:extent cx="5981623" cy="3518535"/>
            <wp:effectExtent l="0" t="0" r="635" b="0"/>
            <wp:docPr id="394" name="image20.png" descr="IMG_276"/>
            <wp:cNvGraphicFramePr/>
            <a:graphic xmlns:a="http://schemas.openxmlformats.org/drawingml/2006/main">
              <a:graphicData uri="http://schemas.openxmlformats.org/drawingml/2006/picture">
                <pic:pic xmlns:pic="http://schemas.openxmlformats.org/drawingml/2006/picture">
                  <pic:nvPicPr>
                    <pic:cNvPr id="0" name="image20.png" descr="IMG_276"/>
                    <pic:cNvPicPr preferRelativeResize="0"/>
                  </pic:nvPicPr>
                  <pic:blipFill rotWithShape="1">
                    <a:blip r:embed="rId37"/>
                    <a:srcRect l="6484" t="7248"/>
                    <a:stretch/>
                  </pic:blipFill>
                  <pic:spPr bwMode="auto">
                    <a:xfrm>
                      <a:off x="0" y="0"/>
                      <a:ext cx="6004830" cy="3532186"/>
                    </a:xfrm>
                    <a:prstGeom prst="rect">
                      <a:avLst/>
                    </a:prstGeom>
                    <a:ln>
                      <a:noFill/>
                    </a:ln>
                    <a:extLst>
                      <a:ext uri="{53640926-AAD7-44D8-BBD7-CCE9431645EC}">
                        <a14:shadowObscured xmlns:a14="http://schemas.microsoft.com/office/drawing/2010/main"/>
                      </a:ext>
                    </a:extLst>
                  </pic:spPr>
                </pic:pic>
              </a:graphicData>
            </a:graphic>
          </wp:inline>
        </w:drawing>
      </w:r>
      <w:r w:rsidRPr="00170B7C">
        <w:rPr>
          <w:rFonts w:eastAsia="Calibri"/>
          <w:color w:val="000000"/>
          <w:sz w:val="28"/>
          <w:szCs w:val="28"/>
        </w:rPr>
        <w:t> </w:t>
      </w:r>
    </w:p>
    <w:p w14:paraId="288050A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170B7C">
        <w:rPr>
          <w:rFonts w:eastAsia="Calibri"/>
          <w:color w:val="000000"/>
          <w:sz w:val="28"/>
          <w:szCs w:val="28"/>
        </w:rPr>
        <w:t> </w:t>
      </w:r>
    </w:p>
    <w:p w14:paraId="5DA3975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 xml:space="preserve">Рисунок </w:t>
      </w:r>
      <w:r w:rsidR="00496251" w:rsidRPr="00170B7C">
        <w:rPr>
          <w:color w:val="000000"/>
          <w:sz w:val="28"/>
          <w:szCs w:val="28"/>
        </w:rPr>
        <w:t>21</w:t>
      </w:r>
      <w:r w:rsidRPr="00170B7C">
        <w:rPr>
          <w:color w:val="000000"/>
          <w:sz w:val="28"/>
          <w:szCs w:val="28"/>
        </w:rPr>
        <w:t xml:space="preserve"> – 3D-реконструкция и волюметрия внутрипеченочных вен </w:t>
      </w:r>
    </w:p>
    <w:p w14:paraId="67F2FCE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Calibri"/>
          <w:color w:val="000000"/>
          <w:sz w:val="28"/>
          <w:szCs w:val="28"/>
        </w:rPr>
        <w:t> </w:t>
      </w:r>
    </w:p>
    <w:p w14:paraId="6FDC877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Для корректировки выбранной области нажимаем на кнопку «Edit». После чего, вручную исправляются ложноположительны</w:t>
      </w:r>
      <w:r w:rsidR="00DE4CAF">
        <w:rPr>
          <w:color w:val="000000"/>
          <w:sz w:val="28"/>
          <w:szCs w:val="28"/>
        </w:rPr>
        <w:t>й</w:t>
      </w:r>
      <w:r w:rsidRPr="00170B7C">
        <w:rPr>
          <w:color w:val="000000"/>
          <w:sz w:val="28"/>
          <w:szCs w:val="28"/>
        </w:rPr>
        <w:t xml:space="preserve"> и ложноотрицательны</w:t>
      </w:r>
      <w:r w:rsidR="00DE4CAF">
        <w:rPr>
          <w:color w:val="000000"/>
          <w:sz w:val="28"/>
          <w:szCs w:val="28"/>
        </w:rPr>
        <w:t>й</w:t>
      </w:r>
      <w:r w:rsidRPr="00170B7C">
        <w:rPr>
          <w:color w:val="000000"/>
          <w:sz w:val="28"/>
          <w:szCs w:val="28"/>
        </w:rPr>
        <w:t xml:space="preserve"> </w:t>
      </w:r>
      <w:r w:rsidR="00DE4CAF">
        <w:rPr>
          <w:color w:val="000000"/>
          <w:sz w:val="28"/>
          <w:szCs w:val="28"/>
        </w:rPr>
        <w:t>контуринг</w:t>
      </w:r>
      <w:r w:rsidRPr="00170B7C">
        <w:rPr>
          <w:color w:val="000000"/>
          <w:sz w:val="28"/>
          <w:szCs w:val="28"/>
        </w:rPr>
        <w:t xml:space="preserve"> (рисунок </w:t>
      </w:r>
      <w:r w:rsidR="00496251" w:rsidRPr="00170B7C">
        <w:rPr>
          <w:color w:val="000000"/>
          <w:sz w:val="28"/>
          <w:szCs w:val="28"/>
        </w:rPr>
        <w:t>22</w:t>
      </w:r>
      <w:r w:rsidRPr="00170B7C">
        <w:rPr>
          <w:color w:val="000000"/>
          <w:sz w:val="28"/>
          <w:szCs w:val="28"/>
        </w:rPr>
        <w:t>).  </w:t>
      </w:r>
    </w:p>
    <w:p w14:paraId="7A4531B2"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p>
    <w:p w14:paraId="4B9081A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6DED77A4" wp14:editId="4A13CD0F">
            <wp:extent cx="5950846" cy="3072466"/>
            <wp:effectExtent l="0" t="0" r="5715" b="1270"/>
            <wp:docPr id="395" name="image19.png" descr="IMG_277"/>
            <wp:cNvGraphicFramePr/>
            <a:graphic xmlns:a="http://schemas.openxmlformats.org/drawingml/2006/main">
              <a:graphicData uri="http://schemas.openxmlformats.org/drawingml/2006/picture">
                <pic:pic xmlns:pic="http://schemas.openxmlformats.org/drawingml/2006/picture">
                  <pic:nvPicPr>
                    <pic:cNvPr id="0" name="image19.png" descr="IMG_277"/>
                    <pic:cNvPicPr preferRelativeResize="0"/>
                  </pic:nvPicPr>
                  <pic:blipFill>
                    <a:blip r:embed="rId38"/>
                    <a:srcRect t="8579"/>
                    <a:stretch>
                      <a:fillRect/>
                    </a:stretch>
                  </pic:blipFill>
                  <pic:spPr>
                    <a:xfrm>
                      <a:off x="0" y="0"/>
                      <a:ext cx="5979619" cy="3087322"/>
                    </a:xfrm>
                    <a:prstGeom prst="rect">
                      <a:avLst/>
                    </a:prstGeom>
                    <a:ln/>
                  </pic:spPr>
                </pic:pic>
              </a:graphicData>
            </a:graphic>
          </wp:inline>
        </w:drawing>
      </w:r>
      <w:r w:rsidRPr="00170B7C">
        <w:rPr>
          <w:rFonts w:eastAsia="Calibri"/>
          <w:color w:val="000000"/>
          <w:sz w:val="28"/>
          <w:szCs w:val="28"/>
        </w:rPr>
        <w:t> </w:t>
      </w:r>
    </w:p>
    <w:p w14:paraId="01CAFDF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Calibri"/>
          <w:color w:val="000000"/>
          <w:sz w:val="28"/>
          <w:szCs w:val="28"/>
        </w:rPr>
        <w:t> </w:t>
      </w:r>
    </w:p>
    <w:p w14:paraId="637D06A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 xml:space="preserve">Рисунок </w:t>
      </w:r>
      <w:r w:rsidR="00496251" w:rsidRPr="00170B7C">
        <w:rPr>
          <w:color w:val="000000"/>
          <w:sz w:val="28"/>
          <w:szCs w:val="28"/>
        </w:rPr>
        <w:t>22</w:t>
      </w:r>
      <w:r w:rsidRPr="00170B7C">
        <w:rPr>
          <w:color w:val="000000"/>
          <w:sz w:val="28"/>
          <w:szCs w:val="28"/>
        </w:rPr>
        <w:t xml:space="preserve"> – Ложноположительный контуринг, полученный с помощью </w:t>
      </w:r>
      <w:r w:rsidR="00DE4CAF">
        <w:rPr>
          <w:color w:val="000000"/>
          <w:sz w:val="28"/>
          <w:szCs w:val="28"/>
        </w:rPr>
        <w:t>программы</w:t>
      </w:r>
      <w:r w:rsidRPr="00170B7C">
        <w:rPr>
          <w:color w:val="000000"/>
          <w:sz w:val="28"/>
          <w:szCs w:val="28"/>
        </w:rPr>
        <w:t xml:space="preserve"> CT Liver Analysis, которое включает паренхиму правой почки и поджелудочной железы </w:t>
      </w:r>
    </w:p>
    <w:p w14:paraId="4E760BE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lastRenderedPageBreak/>
        <w:t> </w:t>
      </w:r>
    </w:p>
    <w:p w14:paraId="21B40486" w14:textId="77777777"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Для проведения виртуальной резекции печени на панели инструментов нажимаем кнопку «Resection». Проводится на одном скане линия виртуальной резекции по правому краю средней печеночной вены и дна желчного пузыря, на остальных сканах программа автоматически достраивает линию. Пролистав все сканы с изображением печени можно вручную исправить направление линии. В списке «Options» выбираем функцию «Show Volumes». На экране отображается 3D реконструкция печени, резецируемая и остаточная области печени выделяются разными цветами, отображается общий объем печени, объем резецируемой и остаточной печени. Полученные данные КТ-волюметрии сохраняются в DICOM формате.  </w:t>
      </w:r>
    </w:p>
    <w:p w14:paraId="121E4D78" w14:textId="77777777" w:rsidR="00DE4CAF" w:rsidRPr="00170B7C" w:rsidRDefault="00DE4CAF"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p>
    <w:p w14:paraId="2F8E9E55" w14:textId="77777777" w:rsidR="00C700B8" w:rsidRDefault="00DE4CAF"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u w:val="single"/>
        </w:rPr>
      </w:pPr>
      <w:r>
        <w:rPr>
          <w:color w:val="000000"/>
          <w:sz w:val="28"/>
          <w:szCs w:val="28"/>
          <w:u w:val="single"/>
        </w:rPr>
        <w:t xml:space="preserve">Способ оптимизации мануальной </w:t>
      </w:r>
      <w:r w:rsidR="00274D3C" w:rsidRPr="00170B7C">
        <w:rPr>
          <w:color w:val="000000"/>
          <w:sz w:val="28"/>
          <w:szCs w:val="28"/>
          <w:u w:val="single"/>
        </w:rPr>
        <w:t>КТ-волюметри</w:t>
      </w:r>
      <w:r w:rsidR="00274D3C" w:rsidRPr="00DE4CAF">
        <w:rPr>
          <w:color w:val="000000"/>
          <w:sz w:val="28"/>
          <w:szCs w:val="28"/>
          <w:u w:val="single"/>
        </w:rPr>
        <w:t>и </w:t>
      </w:r>
      <w:r w:rsidRPr="00DE4CAF">
        <w:rPr>
          <w:color w:val="000000"/>
          <w:sz w:val="28"/>
          <w:szCs w:val="28"/>
          <w:u w:val="single"/>
        </w:rPr>
        <w:t>печени донора</w:t>
      </w:r>
    </w:p>
    <w:p w14:paraId="0D5CDD07" w14:textId="77777777" w:rsidR="00DE4CAF" w:rsidRPr="00170B7C" w:rsidRDefault="00DE4CAF"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p>
    <w:p w14:paraId="3E98073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При оптимизированном методе подсчет объема проводился так же, как и при мануальном: на каждом аксиальном скане контур печени выводится с помощью курсора мыши и инструмента «карандаш». Сосуды также исключаются из области исследования. На панели инструментов в разделе «CT value range» задается минимальный и максимальный порог плотности. Минимальный порог выставляется на уровне 20 HU, что соответствует минимальной плотности паренхимы печени, максимальный порог выставляется индивидуально, таким образом, чтобы область интереса покрывала всю паренхиму печени за исключением сосудов. Для оптимизации метода изменен допустимый порог плотности. Минимум остался прежним - </w:t>
      </w:r>
      <w:r w:rsidR="00DE4CAF">
        <w:rPr>
          <w:color w:val="000000"/>
          <w:sz w:val="28"/>
          <w:szCs w:val="28"/>
        </w:rPr>
        <w:t>3</w:t>
      </w:r>
      <w:r w:rsidRPr="00170B7C">
        <w:rPr>
          <w:color w:val="000000"/>
          <w:sz w:val="28"/>
          <w:szCs w:val="28"/>
        </w:rPr>
        <w:t>0 HU. Максимальный порог снижен на 10 HU и на 20 HU</w:t>
      </w:r>
      <w:r w:rsidR="00DE4CAF">
        <w:rPr>
          <w:color w:val="000000"/>
          <w:sz w:val="28"/>
          <w:szCs w:val="28"/>
        </w:rPr>
        <w:t xml:space="preserve"> (приложение А)</w:t>
      </w:r>
      <w:r w:rsidRPr="00170B7C">
        <w:rPr>
          <w:color w:val="000000"/>
          <w:sz w:val="28"/>
          <w:szCs w:val="28"/>
        </w:rPr>
        <w:t xml:space="preserve">. Полученные результаты сохранены в виде скриншота (рисунок </w:t>
      </w:r>
      <w:r w:rsidR="00496251" w:rsidRPr="00170B7C">
        <w:rPr>
          <w:color w:val="000000"/>
          <w:sz w:val="28"/>
          <w:szCs w:val="28"/>
        </w:rPr>
        <w:t>23,24</w:t>
      </w:r>
      <w:r w:rsidRPr="00170B7C">
        <w:rPr>
          <w:color w:val="000000"/>
          <w:sz w:val="28"/>
          <w:szCs w:val="28"/>
        </w:rPr>
        <w:t>). </w:t>
      </w:r>
    </w:p>
    <w:p w14:paraId="6959D99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rFonts w:eastAsia="Calibri"/>
          <w:color w:val="000000"/>
          <w:sz w:val="28"/>
          <w:szCs w:val="28"/>
        </w:rPr>
        <w:t> </w:t>
      </w:r>
    </w:p>
    <w:p w14:paraId="36FD656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74AE834D" wp14:editId="65F00C6B">
            <wp:extent cx="6026849" cy="2334260"/>
            <wp:effectExtent l="0" t="0" r="5715" b="2540"/>
            <wp:docPr id="396" name="image27.png" descr="IMG_278"/>
            <wp:cNvGraphicFramePr/>
            <a:graphic xmlns:a="http://schemas.openxmlformats.org/drawingml/2006/main">
              <a:graphicData uri="http://schemas.openxmlformats.org/drawingml/2006/picture">
                <pic:pic xmlns:pic="http://schemas.openxmlformats.org/drawingml/2006/picture">
                  <pic:nvPicPr>
                    <pic:cNvPr id="0" name="image27.png" descr="IMG_278"/>
                    <pic:cNvPicPr preferRelativeResize="0"/>
                  </pic:nvPicPr>
                  <pic:blipFill>
                    <a:blip r:embed="rId39"/>
                    <a:srcRect/>
                    <a:stretch>
                      <a:fillRect/>
                    </a:stretch>
                  </pic:blipFill>
                  <pic:spPr>
                    <a:xfrm>
                      <a:off x="0" y="0"/>
                      <a:ext cx="6038803" cy="2338890"/>
                    </a:xfrm>
                    <a:prstGeom prst="rect">
                      <a:avLst/>
                    </a:prstGeom>
                    <a:ln/>
                  </pic:spPr>
                </pic:pic>
              </a:graphicData>
            </a:graphic>
          </wp:inline>
        </w:drawing>
      </w:r>
      <w:r w:rsidRPr="00170B7C">
        <w:rPr>
          <w:rFonts w:eastAsia="Calibri"/>
          <w:color w:val="000000"/>
          <w:sz w:val="28"/>
          <w:szCs w:val="28"/>
        </w:rPr>
        <w:t> </w:t>
      </w:r>
    </w:p>
    <w:p w14:paraId="3228CBD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Calibri"/>
          <w:color w:val="000000"/>
          <w:sz w:val="28"/>
          <w:szCs w:val="28"/>
        </w:rPr>
        <w:t> </w:t>
      </w:r>
    </w:p>
    <w:p w14:paraId="62207DE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 xml:space="preserve">Рисунок </w:t>
      </w:r>
      <w:r w:rsidR="00496251" w:rsidRPr="00170B7C">
        <w:rPr>
          <w:color w:val="000000"/>
          <w:sz w:val="28"/>
          <w:szCs w:val="28"/>
        </w:rPr>
        <w:t>23</w:t>
      </w:r>
      <w:r w:rsidRPr="00170B7C">
        <w:rPr>
          <w:color w:val="000000"/>
          <w:sz w:val="28"/>
          <w:szCs w:val="28"/>
        </w:rPr>
        <w:t xml:space="preserve"> – Расчет объема печени оптимизированным методом. Порог максимальной плотности 160 HU </w:t>
      </w:r>
    </w:p>
    <w:p w14:paraId="138BB4E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71A6F60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lastRenderedPageBreak/>
        <w:drawing>
          <wp:inline distT="0" distB="0" distL="114300" distR="114300" wp14:anchorId="451950FE" wp14:editId="7744FE3B">
            <wp:extent cx="5983669" cy="2280285"/>
            <wp:effectExtent l="0" t="0" r="0" b="5715"/>
            <wp:docPr id="397" name="image46.png" descr="IMG_279"/>
            <wp:cNvGraphicFramePr/>
            <a:graphic xmlns:a="http://schemas.openxmlformats.org/drawingml/2006/main">
              <a:graphicData uri="http://schemas.openxmlformats.org/drawingml/2006/picture">
                <pic:pic xmlns:pic="http://schemas.openxmlformats.org/drawingml/2006/picture">
                  <pic:nvPicPr>
                    <pic:cNvPr id="0" name="image46.png" descr="IMG_279"/>
                    <pic:cNvPicPr preferRelativeResize="0"/>
                  </pic:nvPicPr>
                  <pic:blipFill>
                    <a:blip r:embed="rId40"/>
                    <a:srcRect/>
                    <a:stretch>
                      <a:fillRect/>
                    </a:stretch>
                  </pic:blipFill>
                  <pic:spPr>
                    <a:xfrm>
                      <a:off x="0" y="0"/>
                      <a:ext cx="5988748" cy="2282221"/>
                    </a:xfrm>
                    <a:prstGeom prst="rect">
                      <a:avLst/>
                    </a:prstGeom>
                    <a:ln/>
                  </pic:spPr>
                </pic:pic>
              </a:graphicData>
            </a:graphic>
          </wp:inline>
        </w:drawing>
      </w:r>
      <w:r w:rsidRPr="00170B7C">
        <w:rPr>
          <w:rFonts w:eastAsia="Calibri"/>
          <w:color w:val="000000"/>
          <w:sz w:val="28"/>
          <w:szCs w:val="28"/>
        </w:rPr>
        <w:t> </w:t>
      </w:r>
    </w:p>
    <w:p w14:paraId="2D393FA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rFonts w:eastAsia="Calibri"/>
          <w:color w:val="000000"/>
          <w:sz w:val="28"/>
          <w:szCs w:val="28"/>
        </w:rPr>
        <w:t> </w:t>
      </w:r>
    </w:p>
    <w:p w14:paraId="084C1D6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Рисунок 2</w:t>
      </w:r>
      <w:r w:rsidR="00496251" w:rsidRPr="00170B7C">
        <w:rPr>
          <w:color w:val="000000"/>
          <w:sz w:val="28"/>
          <w:szCs w:val="28"/>
        </w:rPr>
        <w:t>4</w:t>
      </w:r>
      <w:r w:rsidRPr="00170B7C">
        <w:rPr>
          <w:color w:val="000000"/>
          <w:sz w:val="28"/>
          <w:szCs w:val="28"/>
        </w:rPr>
        <w:t xml:space="preserve"> – Расчет объема печени оптимизированным методом.  </w:t>
      </w:r>
    </w:p>
    <w:p w14:paraId="6B1188B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0"/>
        <w:jc w:val="center"/>
        <w:rPr>
          <w:rFonts w:eastAsia="Calibri"/>
          <w:color w:val="000000"/>
          <w:sz w:val="28"/>
          <w:szCs w:val="28"/>
        </w:rPr>
      </w:pPr>
      <w:r w:rsidRPr="00170B7C">
        <w:rPr>
          <w:color w:val="000000"/>
          <w:sz w:val="28"/>
          <w:szCs w:val="28"/>
        </w:rPr>
        <w:t>Порог максимальной плотности 150 HU</w:t>
      </w:r>
    </w:p>
    <w:p w14:paraId="1AB664B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170B7C">
        <w:rPr>
          <w:rFonts w:eastAsia="Calibri"/>
          <w:color w:val="000000"/>
          <w:sz w:val="28"/>
          <w:szCs w:val="28"/>
        </w:rPr>
        <w:t> </w:t>
      </w:r>
    </w:p>
    <w:p w14:paraId="62439088" w14:textId="77777777"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u w:val="single"/>
        </w:rPr>
        <w:t>Объективность расчёт</w:t>
      </w:r>
      <w:r w:rsidR="00DE4CAF">
        <w:rPr>
          <w:color w:val="000000"/>
          <w:sz w:val="28"/>
          <w:szCs w:val="28"/>
          <w:u w:val="single"/>
        </w:rPr>
        <w:t xml:space="preserve">ов </w:t>
      </w:r>
      <w:r w:rsidRPr="00170B7C">
        <w:rPr>
          <w:color w:val="000000"/>
          <w:sz w:val="28"/>
          <w:szCs w:val="28"/>
          <w:u w:val="single"/>
        </w:rPr>
        <w:t>и измерение затраченного времени при проведении КТ-волюметрии. </w:t>
      </w:r>
      <w:r w:rsidRPr="00170B7C">
        <w:rPr>
          <w:color w:val="000000"/>
          <w:sz w:val="28"/>
          <w:szCs w:val="28"/>
        </w:rPr>
        <w:t> </w:t>
      </w:r>
    </w:p>
    <w:p w14:paraId="550CA47F" w14:textId="77777777" w:rsidR="00DE4CAF" w:rsidRPr="00170B7C" w:rsidRDefault="00DE4CAF"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p>
    <w:p w14:paraId="610F75F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С целью оценки объективности между расчётами, КТ-волюметрия проводилась двумя радиологами. Два радиолога (радиолог-1, радиолог-2) с разным опытом работы в абдоминальной радиологии и КТ-волюметрии (10 лет и 4 года стажа соответственно) выполняли ручную, полуавтоматическую и автоматическую сегментацию печени. Время, необходимое для оценки общего и остаточного объема печени, измеряли с момента нанесения первого контура до последнего с помощью секундомера. Измеренное время включало коррекцию ложноположительных результатов для OsiriX MD и построение виртуальной линии резекции для программы CT Liver Analysis. Радиологи записывали результаты затраченного на измерение объема каждого донора времени в минутах. Радиологи не были осведомлены о результатах КТ-волюметрии печени каждого их участников. Среднее значение времени двух радиологов было использовано для дальнейшего анализа.</w:t>
      </w:r>
    </w:p>
    <w:p w14:paraId="292DC97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rFonts w:eastAsia="Calibri"/>
          <w:color w:val="000000"/>
          <w:sz w:val="28"/>
          <w:szCs w:val="28"/>
        </w:rPr>
        <w:t> </w:t>
      </w:r>
    </w:p>
    <w:p w14:paraId="5C97C029" w14:textId="77777777" w:rsidR="00C700B8" w:rsidRPr="00C873B2" w:rsidRDefault="00FB2912" w:rsidP="00C873B2">
      <w:pPr>
        <w:pStyle w:val="ac"/>
        <w:numPr>
          <w:ilvl w:val="1"/>
          <w:numId w:val="10"/>
        </w:num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Pr>
          <w:b/>
          <w:color w:val="000000"/>
          <w:sz w:val="28"/>
          <w:szCs w:val="28"/>
        </w:rPr>
        <w:t xml:space="preserve"> </w:t>
      </w:r>
      <w:r w:rsidR="00274D3C" w:rsidRPr="00C873B2">
        <w:rPr>
          <w:b/>
          <w:color w:val="000000"/>
          <w:sz w:val="28"/>
          <w:szCs w:val="28"/>
        </w:rPr>
        <w:t>Интраоперационный этап Back table</w:t>
      </w:r>
      <w:r w:rsidR="00274D3C" w:rsidRPr="00C873B2">
        <w:rPr>
          <w:color w:val="000000"/>
          <w:sz w:val="28"/>
          <w:szCs w:val="28"/>
        </w:rPr>
        <w:t> </w:t>
      </w:r>
    </w:p>
    <w:p w14:paraId="44B3D97C"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ind w:firstLine="567"/>
        <w:rPr>
          <w:rFonts w:eastAsia="Calibri"/>
          <w:color w:val="000000"/>
          <w:sz w:val="28"/>
          <w:szCs w:val="28"/>
        </w:rPr>
      </w:pPr>
    </w:p>
    <w:p w14:paraId="42AB35CD" w14:textId="77777777" w:rsidR="00C873B2" w:rsidRDefault="00274D3C" w:rsidP="00C873B2">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Трансплантация печени проводи</w:t>
      </w:r>
      <w:r w:rsidR="00A67A8C">
        <w:rPr>
          <w:color w:val="000000"/>
          <w:sz w:val="28"/>
          <w:szCs w:val="28"/>
        </w:rPr>
        <w:t>лся</w:t>
      </w:r>
      <w:r w:rsidRPr="00170B7C">
        <w:rPr>
          <w:color w:val="000000"/>
          <w:sz w:val="28"/>
          <w:szCs w:val="28"/>
        </w:rPr>
        <w:t xml:space="preserve"> одной командой хирургов в отделении «Гепатобилиарная хирургия и трансплантация» ННЦХ.  </w:t>
      </w:r>
    </w:p>
    <w:p w14:paraId="3D3BC573" w14:textId="77777777" w:rsidR="00C873B2" w:rsidRPr="00C873B2" w:rsidRDefault="00274D3C" w:rsidP="00C873B2">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Забор органа в интраоперационном периоде проводился согласно </w:t>
      </w:r>
      <w:r w:rsidR="00C873B2" w:rsidRPr="00170B7C">
        <w:rPr>
          <w:bCs/>
          <w:color w:val="000000"/>
          <w:sz w:val="28"/>
          <w:szCs w:val="28"/>
          <w:shd w:val="clear" w:color="auto" w:fill="FFFFFF"/>
        </w:rPr>
        <w:t>Стать</w:t>
      </w:r>
      <w:r w:rsidR="00C873B2">
        <w:rPr>
          <w:bCs/>
          <w:color w:val="000000"/>
          <w:sz w:val="28"/>
          <w:szCs w:val="28"/>
          <w:shd w:val="clear" w:color="auto" w:fill="FFFFFF"/>
        </w:rPr>
        <w:t>е</w:t>
      </w:r>
      <w:r w:rsidR="00C873B2" w:rsidRPr="00170B7C">
        <w:rPr>
          <w:bCs/>
          <w:color w:val="000000"/>
          <w:sz w:val="28"/>
          <w:szCs w:val="28"/>
          <w:shd w:val="clear" w:color="auto" w:fill="FFFFFF"/>
        </w:rPr>
        <w:t xml:space="preserve"> 209. Трансплантация органов (части органа) и (или) тканей (части ткани) и условия их изъятия </w:t>
      </w:r>
      <w:r w:rsidR="00C873B2" w:rsidRPr="00170B7C">
        <w:rPr>
          <w:rFonts w:eastAsia="Calibri"/>
          <w:color w:val="000000"/>
          <w:sz w:val="28"/>
          <w:szCs w:val="28"/>
        </w:rPr>
        <w:t xml:space="preserve">Кодекса Республики Казахстан от 7 июля 2020 года № 360-VI «О здоровье народа и системе здравоохранения» (с изменениями и дополнениями по состоянию на 09.09.2024 г.) </w:t>
      </w:r>
    </w:p>
    <w:p w14:paraId="3912ADA9" w14:textId="77777777" w:rsidR="00C873B2" w:rsidRDefault="00C873B2"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p>
    <w:p w14:paraId="1C9D00EB" w14:textId="77777777" w:rsidR="00C700B8" w:rsidRPr="00170B7C" w:rsidRDefault="00274D3C" w:rsidP="00A67A8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lastRenderedPageBreak/>
        <w:t>В операционной</w:t>
      </w:r>
      <w:r w:rsidR="00AD66F2">
        <w:rPr>
          <w:color w:val="000000"/>
          <w:sz w:val="28"/>
          <w:szCs w:val="28"/>
        </w:rPr>
        <w:t xml:space="preserve"> </w:t>
      </w:r>
      <w:r w:rsidR="00A67A8C">
        <w:rPr>
          <w:color w:val="000000"/>
          <w:sz w:val="28"/>
          <w:szCs w:val="28"/>
        </w:rPr>
        <w:t>трансплантологом выполнена</w:t>
      </w:r>
      <w:r w:rsidRPr="00170B7C">
        <w:rPr>
          <w:color w:val="000000"/>
          <w:sz w:val="28"/>
          <w:szCs w:val="28"/>
        </w:rPr>
        <w:t xml:space="preserve"> правосторонн</w:t>
      </w:r>
      <w:r w:rsidR="00A67A8C">
        <w:rPr>
          <w:color w:val="000000"/>
          <w:sz w:val="28"/>
          <w:szCs w:val="28"/>
        </w:rPr>
        <w:t xml:space="preserve">яя </w:t>
      </w:r>
      <w:r w:rsidRPr="00170B7C">
        <w:rPr>
          <w:color w:val="000000"/>
          <w:sz w:val="28"/>
          <w:szCs w:val="28"/>
        </w:rPr>
        <w:t>ге</w:t>
      </w:r>
      <w:r w:rsidR="007034D5">
        <w:rPr>
          <w:color w:val="000000"/>
          <w:sz w:val="28"/>
          <w:szCs w:val="28"/>
        </w:rPr>
        <w:t>миге</w:t>
      </w:r>
      <w:r w:rsidRPr="00170B7C">
        <w:rPr>
          <w:color w:val="000000"/>
          <w:sz w:val="28"/>
          <w:szCs w:val="28"/>
        </w:rPr>
        <w:t>патэктоми</w:t>
      </w:r>
      <w:r w:rsidR="00A67A8C">
        <w:rPr>
          <w:color w:val="000000"/>
          <w:sz w:val="28"/>
          <w:szCs w:val="28"/>
        </w:rPr>
        <w:t xml:space="preserve">я, </w:t>
      </w:r>
      <w:r w:rsidR="00C873B2">
        <w:rPr>
          <w:color w:val="000000"/>
          <w:sz w:val="28"/>
          <w:szCs w:val="28"/>
        </w:rPr>
        <w:t>линия резекции проводи</w:t>
      </w:r>
      <w:r w:rsidR="00A67A8C">
        <w:rPr>
          <w:color w:val="000000"/>
          <w:sz w:val="28"/>
          <w:szCs w:val="28"/>
        </w:rPr>
        <w:t>лась</w:t>
      </w:r>
      <w:r w:rsidR="00C873B2">
        <w:rPr>
          <w:color w:val="000000"/>
          <w:sz w:val="28"/>
          <w:szCs w:val="28"/>
        </w:rPr>
        <w:t xml:space="preserve"> по дну желчного пузыря и вдоль средней печеночной вены</w:t>
      </w:r>
      <w:r w:rsidR="00A67A8C">
        <w:rPr>
          <w:color w:val="000000"/>
          <w:sz w:val="28"/>
          <w:szCs w:val="28"/>
        </w:rPr>
        <w:t xml:space="preserve"> (рисунок 25). </w:t>
      </w:r>
      <w:r w:rsidR="00C873B2">
        <w:rPr>
          <w:color w:val="000000"/>
          <w:sz w:val="28"/>
          <w:szCs w:val="28"/>
        </w:rPr>
        <w:t xml:space="preserve"> </w:t>
      </w:r>
    </w:p>
    <w:p w14:paraId="4E38E6A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rFonts w:eastAsia="Calibri"/>
          <w:color w:val="000000"/>
          <w:sz w:val="28"/>
          <w:szCs w:val="28"/>
        </w:rPr>
        <w:t> </w:t>
      </w:r>
    </w:p>
    <w:p w14:paraId="77F55FB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2CDA1518" wp14:editId="456816B4">
            <wp:extent cx="6006801" cy="3119755"/>
            <wp:effectExtent l="0" t="0" r="635" b="4445"/>
            <wp:docPr id="398" name="image34.png" descr="IMG_280"/>
            <wp:cNvGraphicFramePr/>
            <a:graphic xmlns:a="http://schemas.openxmlformats.org/drawingml/2006/main">
              <a:graphicData uri="http://schemas.openxmlformats.org/drawingml/2006/picture">
                <pic:pic xmlns:pic="http://schemas.openxmlformats.org/drawingml/2006/picture">
                  <pic:nvPicPr>
                    <pic:cNvPr id="0" name="image34.png" descr="IMG_280"/>
                    <pic:cNvPicPr preferRelativeResize="0"/>
                  </pic:nvPicPr>
                  <pic:blipFill>
                    <a:blip r:embed="rId41"/>
                    <a:srcRect l="544" b="10460"/>
                    <a:stretch>
                      <a:fillRect/>
                    </a:stretch>
                  </pic:blipFill>
                  <pic:spPr>
                    <a:xfrm>
                      <a:off x="0" y="0"/>
                      <a:ext cx="6007512" cy="3120124"/>
                    </a:xfrm>
                    <a:prstGeom prst="rect">
                      <a:avLst/>
                    </a:prstGeom>
                    <a:ln/>
                  </pic:spPr>
                </pic:pic>
              </a:graphicData>
            </a:graphic>
          </wp:inline>
        </w:drawing>
      </w:r>
      <w:r w:rsidRPr="00170B7C">
        <w:rPr>
          <w:rFonts w:eastAsia="Calibri"/>
          <w:color w:val="000000"/>
          <w:sz w:val="28"/>
          <w:szCs w:val="28"/>
        </w:rPr>
        <w:t> </w:t>
      </w:r>
    </w:p>
    <w:p w14:paraId="1B66FC6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rFonts w:eastAsia="Calibri"/>
          <w:color w:val="000000"/>
          <w:sz w:val="28"/>
          <w:szCs w:val="28"/>
        </w:rPr>
        <w:t> </w:t>
      </w:r>
    </w:p>
    <w:p w14:paraId="58ECCE8F" w14:textId="77777777"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Рисунок 2</w:t>
      </w:r>
      <w:r w:rsidR="00496251" w:rsidRPr="00170B7C">
        <w:rPr>
          <w:color w:val="000000"/>
          <w:sz w:val="28"/>
          <w:szCs w:val="28"/>
        </w:rPr>
        <w:t>5</w:t>
      </w:r>
      <w:r w:rsidRPr="00170B7C">
        <w:rPr>
          <w:color w:val="000000"/>
          <w:sz w:val="28"/>
          <w:szCs w:val="28"/>
        </w:rPr>
        <w:t xml:space="preserve"> – Интраоперационный вид. Резекция печени донора </w:t>
      </w:r>
    </w:p>
    <w:p w14:paraId="0FBD1C11" w14:textId="77777777" w:rsidR="00A67A8C" w:rsidRDefault="00A67A8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64EA8307" w14:textId="77777777" w:rsidR="00A67A8C" w:rsidRPr="00170B7C" w:rsidRDefault="00A67A8C" w:rsidP="00A67A8C">
      <w:pPr>
        <w:pBdr>
          <w:top w:val="none" w:sz="0" w:space="0" w:color="000000"/>
          <w:left w:val="none" w:sz="0" w:space="0" w:color="000000"/>
          <w:bottom w:val="none" w:sz="0" w:space="0" w:color="000000"/>
          <w:right w:val="none" w:sz="0" w:space="0" w:color="000000"/>
          <w:between w:val="none" w:sz="0" w:space="0" w:color="000000"/>
        </w:pBdr>
        <w:ind w:firstLine="720"/>
        <w:jc w:val="both"/>
        <w:rPr>
          <w:color w:val="000000"/>
          <w:sz w:val="28"/>
          <w:szCs w:val="28"/>
        </w:rPr>
      </w:pPr>
      <w:r>
        <w:rPr>
          <w:color w:val="000000"/>
          <w:sz w:val="28"/>
          <w:szCs w:val="28"/>
        </w:rPr>
        <w:t xml:space="preserve">Следующий этап </w:t>
      </w:r>
      <w:r w:rsidRPr="00170B7C">
        <w:rPr>
          <w:color w:val="000000"/>
          <w:sz w:val="28"/>
          <w:szCs w:val="28"/>
        </w:rPr>
        <w:t>– back table. Трансплантат помещается в лоток со стерильным льдом, проводится промывка сосудов физиологическим раствором 500 мл, далее кардиоплегическим раствором гистидин-триптофан-кетоглутарат (Кустадиол). После промывки сосудов графт помещается на электронные весы, где фиксируется вес в граммах (гр) и документируется (рисунок 26).  </w:t>
      </w:r>
    </w:p>
    <w:p w14:paraId="13B18EF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Calibri"/>
          <w:color w:val="000000"/>
          <w:sz w:val="28"/>
          <w:szCs w:val="28"/>
        </w:rPr>
        <w:t> </w:t>
      </w:r>
    </w:p>
    <w:p w14:paraId="1DC76BE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453BE130" wp14:editId="253ADA90">
            <wp:extent cx="3427207" cy="2429510"/>
            <wp:effectExtent l="0" t="0" r="1905" b="0"/>
            <wp:docPr id="399" name="image25.png" descr="IMG_281"/>
            <wp:cNvGraphicFramePr/>
            <a:graphic xmlns:a="http://schemas.openxmlformats.org/drawingml/2006/main">
              <a:graphicData uri="http://schemas.openxmlformats.org/drawingml/2006/picture">
                <pic:pic xmlns:pic="http://schemas.openxmlformats.org/drawingml/2006/picture">
                  <pic:nvPicPr>
                    <pic:cNvPr id="0" name="image25.png" descr="IMG_281"/>
                    <pic:cNvPicPr preferRelativeResize="0"/>
                  </pic:nvPicPr>
                  <pic:blipFill>
                    <a:blip r:embed="rId42"/>
                    <a:srcRect/>
                    <a:stretch>
                      <a:fillRect/>
                    </a:stretch>
                  </pic:blipFill>
                  <pic:spPr>
                    <a:xfrm>
                      <a:off x="0" y="0"/>
                      <a:ext cx="3430257" cy="2431672"/>
                    </a:xfrm>
                    <a:prstGeom prst="rect">
                      <a:avLst/>
                    </a:prstGeom>
                    <a:ln/>
                  </pic:spPr>
                </pic:pic>
              </a:graphicData>
            </a:graphic>
          </wp:inline>
        </w:drawing>
      </w:r>
      <w:r w:rsidRPr="00170B7C">
        <w:rPr>
          <w:rFonts w:eastAsia="Arial"/>
          <w:noProof/>
          <w:color w:val="000000"/>
          <w:sz w:val="28"/>
          <w:szCs w:val="28"/>
          <w:lang w:eastAsia="ru-RU"/>
        </w:rPr>
        <w:drawing>
          <wp:inline distT="0" distB="0" distL="114300" distR="114300" wp14:anchorId="5DDF7DE8" wp14:editId="61EE24F1">
            <wp:extent cx="2601285" cy="2429772"/>
            <wp:effectExtent l="0" t="0" r="0" b="0"/>
            <wp:docPr id="400" name="image26.png" descr="IMG_282"/>
            <wp:cNvGraphicFramePr/>
            <a:graphic xmlns:a="http://schemas.openxmlformats.org/drawingml/2006/main">
              <a:graphicData uri="http://schemas.openxmlformats.org/drawingml/2006/picture">
                <pic:pic xmlns:pic="http://schemas.openxmlformats.org/drawingml/2006/picture">
                  <pic:nvPicPr>
                    <pic:cNvPr id="0" name="image26.png" descr="IMG_282"/>
                    <pic:cNvPicPr preferRelativeResize="0"/>
                  </pic:nvPicPr>
                  <pic:blipFill>
                    <a:blip r:embed="rId43"/>
                    <a:srcRect t="4959" b="22917"/>
                    <a:stretch>
                      <a:fillRect/>
                    </a:stretch>
                  </pic:blipFill>
                  <pic:spPr>
                    <a:xfrm>
                      <a:off x="0" y="0"/>
                      <a:ext cx="2601285" cy="2429772"/>
                    </a:xfrm>
                    <a:prstGeom prst="rect">
                      <a:avLst/>
                    </a:prstGeom>
                    <a:ln/>
                  </pic:spPr>
                </pic:pic>
              </a:graphicData>
            </a:graphic>
          </wp:inline>
        </w:drawing>
      </w:r>
    </w:p>
    <w:p w14:paraId="06828D2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rFonts w:eastAsia="Calibri"/>
          <w:color w:val="000000"/>
          <w:sz w:val="28"/>
          <w:szCs w:val="28"/>
        </w:rPr>
        <w:t> </w:t>
      </w:r>
    </w:p>
    <w:p w14:paraId="596CDE2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Рисунок 2</w:t>
      </w:r>
      <w:r w:rsidR="00496251" w:rsidRPr="00170B7C">
        <w:rPr>
          <w:color w:val="000000"/>
          <w:sz w:val="28"/>
          <w:szCs w:val="28"/>
        </w:rPr>
        <w:t>6</w:t>
      </w:r>
      <w:r w:rsidRPr="00170B7C">
        <w:rPr>
          <w:color w:val="000000"/>
          <w:sz w:val="28"/>
          <w:szCs w:val="28"/>
        </w:rPr>
        <w:t xml:space="preserve"> – Back table </w:t>
      </w:r>
    </w:p>
    <w:p w14:paraId="4093CD6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rFonts w:eastAsia="Calibri"/>
          <w:color w:val="000000"/>
          <w:sz w:val="28"/>
          <w:szCs w:val="28"/>
        </w:rPr>
        <w:t> </w:t>
      </w:r>
    </w:p>
    <w:p w14:paraId="013C6BC0" w14:textId="77777777" w:rsidR="003272B3" w:rsidRPr="00170B7C" w:rsidRDefault="003272B3" w:rsidP="00170B7C">
      <w:pPr>
        <w:pBdr>
          <w:top w:val="none" w:sz="0" w:space="0" w:color="000000"/>
          <w:left w:val="none" w:sz="0" w:space="0" w:color="000000"/>
          <w:bottom w:val="none" w:sz="0" w:space="0" w:color="000000"/>
          <w:right w:val="none" w:sz="0" w:space="0" w:color="000000"/>
          <w:between w:val="none" w:sz="0" w:space="0" w:color="000000"/>
        </w:pBdr>
        <w:ind w:firstLine="567"/>
        <w:rPr>
          <w:b/>
          <w:color w:val="000000"/>
          <w:sz w:val="28"/>
          <w:szCs w:val="28"/>
        </w:rPr>
      </w:pPr>
    </w:p>
    <w:p w14:paraId="05FE4B1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rPr>
          <w:color w:val="000000"/>
          <w:sz w:val="28"/>
          <w:szCs w:val="28"/>
        </w:rPr>
      </w:pPr>
      <w:r w:rsidRPr="00170B7C">
        <w:rPr>
          <w:b/>
          <w:color w:val="000000"/>
          <w:sz w:val="28"/>
          <w:szCs w:val="28"/>
        </w:rPr>
        <w:lastRenderedPageBreak/>
        <w:t>2.5 Статистический анализ данных</w:t>
      </w:r>
      <w:r w:rsidRPr="00170B7C">
        <w:rPr>
          <w:color w:val="000000"/>
          <w:sz w:val="28"/>
          <w:szCs w:val="28"/>
        </w:rPr>
        <w:t> </w:t>
      </w:r>
    </w:p>
    <w:p w14:paraId="07947161"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ind w:firstLine="567"/>
        <w:rPr>
          <w:color w:val="000000"/>
          <w:sz w:val="28"/>
          <w:szCs w:val="28"/>
        </w:rPr>
      </w:pPr>
    </w:p>
    <w:p w14:paraId="64CE4D0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Результаты проведенных исследований подвергнуты статистической обработке. Статистическая обработка полученных материалов и их графическое представление выполнены с помощью статистической программы SPSS (IBM corp., 28 version). </w:t>
      </w:r>
    </w:p>
    <w:p w14:paraId="596E7F6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Определялись средние величины – среднее значение ± стандартное отклонение (SD), 25 и 75 процентиль также использованы для демонстрации полученных результатов.  </w:t>
      </w:r>
    </w:p>
    <w:p w14:paraId="7F1AB81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Корреляция Пирсона использована для определения коэффициента корреляции (r) между весом графта и объемом печени рассчитанны</w:t>
      </w:r>
      <w:r w:rsidR="00A67A8C">
        <w:rPr>
          <w:color w:val="000000"/>
          <w:sz w:val="28"/>
          <w:szCs w:val="28"/>
        </w:rPr>
        <w:t>й</w:t>
      </w:r>
      <w:r w:rsidRPr="00170B7C">
        <w:rPr>
          <w:color w:val="000000"/>
          <w:sz w:val="28"/>
          <w:szCs w:val="28"/>
        </w:rPr>
        <w:t xml:space="preserve"> в трех программах: мануальный метод Volume Analysis, </w:t>
      </w:r>
      <w:r w:rsidR="00A67A8C">
        <w:rPr>
          <w:color w:val="000000"/>
          <w:sz w:val="28"/>
          <w:szCs w:val="28"/>
        </w:rPr>
        <w:t xml:space="preserve">полуавтоматический метод </w:t>
      </w:r>
      <w:r w:rsidRPr="00170B7C">
        <w:rPr>
          <w:color w:val="000000"/>
          <w:sz w:val="28"/>
          <w:szCs w:val="28"/>
        </w:rPr>
        <w:t xml:space="preserve">OsiriX MD и </w:t>
      </w:r>
      <w:r w:rsidR="00A67A8C">
        <w:rPr>
          <w:color w:val="000000"/>
          <w:sz w:val="28"/>
          <w:szCs w:val="28"/>
        </w:rPr>
        <w:t xml:space="preserve">автоматический </w:t>
      </w:r>
      <w:r w:rsidRPr="00170B7C">
        <w:rPr>
          <w:color w:val="000000"/>
          <w:sz w:val="28"/>
          <w:szCs w:val="28"/>
        </w:rPr>
        <w:t xml:space="preserve"> CT Liver Analysis.  </w:t>
      </w:r>
    </w:p>
    <w:p w14:paraId="3F14EEC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Для сравнения оптимизированного и стандартного методов также использовалась корреляция Пирсона.  </w:t>
      </w:r>
    </w:p>
    <w:p w14:paraId="2118E033" w14:textId="521A1E28"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10205"/>
          <w:sz w:val="28"/>
          <w:szCs w:val="28"/>
        </w:rPr>
      </w:pPr>
      <w:r w:rsidRPr="00170B7C">
        <w:rPr>
          <w:color w:val="010205"/>
          <w:sz w:val="28"/>
          <w:szCs w:val="28"/>
        </w:rPr>
        <w:t xml:space="preserve">Для расчета </w:t>
      </w:r>
      <w:r w:rsidR="00A67A8C">
        <w:rPr>
          <w:color w:val="010205"/>
          <w:sz w:val="28"/>
          <w:szCs w:val="28"/>
        </w:rPr>
        <w:t xml:space="preserve">процента ошибки </w:t>
      </w:r>
      <w:r w:rsidRPr="00170B7C">
        <w:rPr>
          <w:color w:val="010205"/>
          <w:sz w:val="28"/>
          <w:szCs w:val="28"/>
        </w:rPr>
        <w:t xml:space="preserve"> (Error ratio)</w:t>
      </w:r>
      <w:r w:rsidR="00573C1C">
        <w:rPr>
          <w:color w:val="000000"/>
          <w:sz w:val="28"/>
          <w:szCs w:val="28"/>
        </w:rPr>
        <w:t xml:space="preserve"> </w:t>
      </w:r>
      <w:r w:rsidRPr="00170B7C">
        <w:rPr>
          <w:color w:val="010205"/>
          <w:sz w:val="28"/>
          <w:szCs w:val="28"/>
        </w:rPr>
        <w:t xml:space="preserve">и разницы (Difference) между </w:t>
      </w:r>
      <w:r w:rsidR="00A67A8C" w:rsidRPr="00170B7C">
        <w:rPr>
          <w:color w:val="010205"/>
          <w:sz w:val="28"/>
          <w:szCs w:val="28"/>
        </w:rPr>
        <w:t xml:space="preserve">рассчитанным объемом правой доли печени </w:t>
      </w:r>
      <w:r w:rsidR="00A67A8C">
        <w:rPr>
          <w:color w:val="010205"/>
          <w:sz w:val="28"/>
          <w:szCs w:val="28"/>
        </w:rPr>
        <w:t xml:space="preserve">и весом </w:t>
      </w:r>
      <w:r w:rsidRPr="00170B7C">
        <w:rPr>
          <w:color w:val="010205"/>
          <w:sz w:val="28"/>
          <w:szCs w:val="28"/>
        </w:rPr>
        <w:t>графт</w:t>
      </w:r>
      <w:r w:rsidR="00A67A8C">
        <w:rPr>
          <w:color w:val="010205"/>
          <w:sz w:val="28"/>
          <w:szCs w:val="28"/>
        </w:rPr>
        <w:t>а</w:t>
      </w:r>
      <w:r w:rsidRPr="00170B7C">
        <w:rPr>
          <w:color w:val="010205"/>
          <w:sz w:val="28"/>
          <w:szCs w:val="28"/>
        </w:rPr>
        <w:t xml:space="preserve"> использовались специальные формулы</w:t>
      </w:r>
      <w:r w:rsidR="00A67A8C">
        <w:rPr>
          <w:color w:val="010205"/>
          <w:sz w:val="28"/>
          <w:szCs w:val="28"/>
        </w:rPr>
        <w:t xml:space="preserve"> (2</w:t>
      </w:r>
      <w:r w:rsidR="00977918" w:rsidRPr="00977918">
        <w:rPr>
          <w:color w:val="010205"/>
          <w:sz w:val="28"/>
          <w:szCs w:val="28"/>
        </w:rPr>
        <w:t>,3</w:t>
      </w:r>
      <w:r w:rsidR="00A67A8C">
        <w:rPr>
          <w:color w:val="010205"/>
          <w:sz w:val="28"/>
          <w:szCs w:val="28"/>
        </w:rPr>
        <w:t>)</w:t>
      </w:r>
      <w:r w:rsidRPr="00170B7C">
        <w:rPr>
          <w:color w:val="010205"/>
          <w:sz w:val="28"/>
          <w:szCs w:val="28"/>
        </w:rPr>
        <w:t>:  </w:t>
      </w:r>
    </w:p>
    <w:p w14:paraId="525DB5D4" w14:textId="77777777" w:rsidR="00A67A8C" w:rsidRPr="00170B7C" w:rsidRDefault="00A67A8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p>
    <w:p w14:paraId="701573C8" w14:textId="77777777" w:rsidR="00C700B8" w:rsidRDefault="00274D3C" w:rsidP="00977918">
      <w:pPr>
        <w:pBdr>
          <w:top w:val="none" w:sz="0" w:space="0" w:color="000000"/>
          <w:left w:val="none" w:sz="0" w:space="0" w:color="000000"/>
          <w:bottom w:val="none" w:sz="0" w:space="0" w:color="000000"/>
          <w:right w:val="none" w:sz="0" w:space="0" w:color="000000"/>
          <w:between w:val="none" w:sz="0" w:space="0" w:color="000000"/>
        </w:pBdr>
        <w:spacing w:before="7" w:after="40"/>
        <w:ind w:right="40"/>
        <w:jc w:val="right"/>
        <w:rPr>
          <w:color w:val="000000"/>
          <w:sz w:val="28"/>
          <w:szCs w:val="28"/>
        </w:rPr>
      </w:pPr>
      <w:r w:rsidRPr="00170B7C">
        <w:rPr>
          <w:color w:val="010205"/>
          <w:sz w:val="28"/>
          <w:szCs w:val="28"/>
        </w:rPr>
        <w:t>Difference (мл) = объем правой доли печени-</w:t>
      </w:r>
      <w:r w:rsidR="00A67A8C">
        <w:rPr>
          <w:color w:val="010205"/>
          <w:sz w:val="28"/>
          <w:szCs w:val="28"/>
        </w:rPr>
        <w:t xml:space="preserve"> вес </w:t>
      </w:r>
      <w:r w:rsidRPr="00170B7C">
        <w:rPr>
          <w:color w:val="010205"/>
          <w:sz w:val="28"/>
          <w:szCs w:val="28"/>
        </w:rPr>
        <w:t>графт</w:t>
      </w:r>
      <w:r w:rsidR="00A67A8C">
        <w:rPr>
          <w:color w:val="010205"/>
          <w:sz w:val="28"/>
          <w:szCs w:val="28"/>
        </w:rPr>
        <w:t>а</w:t>
      </w:r>
      <w:r w:rsidRPr="00170B7C">
        <w:rPr>
          <w:color w:val="010205"/>
          <w:sz w:val="28"/>
          <w:szCs w:val="28"/>
        </w:rPr>
        <w:t>;</w:t>
      </w:r>
      <w:r w:rsidR="00A67A8C">
        <w:rPr>
          <w:color w:val="010205"/>
          <w:sz w:val="28"/>
          <w:szCs w:val="28"/>
        </w:rPr>
        <w:t xml:space="preserve">        </w:t>
      </w:r>
      <w:r w:rsidRPr="00170B7C">
        <w:rPr>
          <w:color w:val="000000"/>
          <w:sz w:val="28"/>
          <w:szCs w:val="28"/>
        </w:rPr>
        <w:t> </w:t>
      </w:r>
      <w:r w:rsidR="00977918" w:rsidRPr="00977918">
        <w:rPr>
          <w:color w:val="000000"/>
          <w:sz w:val="28"/>
          <w:szCs w:val="28"/>
        </w:rPr>
        <w:t xml:space="preserve">           </w:t>
      </w:r>
      <w:r w:rsidR="00A67A8C" w:rsidRPr="00170B7C">
        <w:rPr>
          <w:color w:val="000000"/>
          <w:sz w:val="28"/>
          <w:szCs w:val="28"/>
        </w:rPr>
        <w:t>(</w:t>
      </w:r>
      <w:r w:rsidR="00A67A8C">
        <w:rPr>
          <w:color w:val="000000"/>
          <w:sz w:val="28"/>
          <w:szCs w:val="28"/>
        </w:rPr>
        <w:t>2</w:t>
      </w:r>
      <w:r w:rsidR="00A67A8C" w:rsidRPr="00170B7C">
        <w:rPr>
          <w:color w:val="000000"/>
          <w:sz w:val="28"/>
          <w:szCs w:val="28"/>
        </w:rPr>
        <w:t>)</w:t>
      </w:r>
    </w:p>
    <w:p w14:paraId="0207C3D5" w14:textId="77777777" w:rsidR="00A67A8C" w:rsidRPr="00170B7C" w:rsidRDefault="00A67A8C" w:rsidP="00A67A8C">
      <w:pPr>
        <w:pBdr>
          <w:top w:val="none" w:sz="0" w:space="0" w:color="000000"/>
          <w:left w:val="none" w:sz="0" w:space="0" w:color="000000"/>
          <w:bottom w:val="none" w:sz="0" w:space="0" w:color="000000"/>
          <w:right w:val="none" w:sz="0" w:space="0" w:color="000000"/>
          <w:between w:val="none" w:sz="0" w:space="0" w:color="000000"/>
        </w:pBdr>
        <w:spacing w:before="7" w:after="40"/>
        <w:ind w:right="40"/>
        <w:jc w:val="both"/>
        <w:rPr>
          <w:rFonts w:eastAsia="Calibri"/>
          <w:color w:val="000000"/>
          <w:sz w:val="28"/>
          <w:szCs w:val="28"/>
        </w:rPr>
      </w:pPr>
    </w:p>
    <w:p w14:paraId="7EF085BC" w14:textId="77777777" w:rsidR="00A67A8C" w:rsidRDefault="00274D3C" w:rsidP="00977918">
      <w:pPr>
        <w:pBdr>
          <w:top w:val="none" w:sz="0" w:space="0" w:color="000000"/>
          <w:left w:val="none" w:sz="0" w:space="0" w:color="000000"/>
          <w:bottom w:val="none" w:sz="0" w:space="0" w:color="000000"/>
          <w:right w:val="none" w:sz="0" w:space="0" w:color="000000"/>
          <w:between w:val="none" w:sz="0" w:space="0" w:color="000000"/>
        </w:pBdr>
        <w:spacing w:after="40"/>
        <w:ind w:left="40" w:right="40"/>
        <w:jc w:val="right"/>
        <w:rPr>
          <w:color w:val="010205"/>
          <w:sz w:val="28"/>
          <w:szCs w:val="28"/>
        </w:rPr>
      </w:pPr>
      <w:r w:rsidRPr="00170B7C">
        <w:rPr>
          <w:color w:val="010205"/>
          <w:sz w:val="28"/>
          <w:szCs w:val="28"/>
        </w:rPr>
        <w:t>Error ratio</w:t>
      </w:r>
      <w:r w:rsidR="00A67A8C">
        <w:rPr>
          <w:color w:val="010205"/>
          <w:sz w:val="28"/>
          <w:szCs w:val="28"/>
        </w:rPr>
        <w:t xml:space="preserve"> </w:t>
      </w:r>
      <w:r w:rsidRPr="00170B7C">
        <w:rPr>
          <w:color w:val="010205"/>
          <w:sz w:val="28"/>
          <w:szCs w:val="28"/>
        </w:rPr>
        <w:t xml:space="preserve">(%) = </w:t>
      </w:r>
      <w:r w:rsidRPr="00A67A8C">
        <w:rPr>
          <w:color w:val="010205"/>
          <w:sz w:val="28"/>
          <w:szCs w:val="28"/>
          <w:u w:val="single"/>
        </w:rPr>
        <w:t>(объем правой доли печени-</w:t>
      </w:r>
      <w:r w:rsidR="00A67A8C">
        <w:rPr>
          <w:color w:val="010205"/>
          <w:sz w:val="28"/>
          <w:szCs w:val="28"/>
          <w:u w:val="single"/>
        </w:rPr>
        <w:t xml:space="preserve">вес </w:t>
      </w:r>
      <w:r w:rsidRPr="00A67A8C">
        <w:rPr>
          <w:color w:val="010205"/>
          <w:sz w:val="28"/>
          <w:szCs w:val="28"/>
          <w:u w:val="single"/>
        </w:rPr>
        <w:t>графт</w:t>
      </w:r>
      <w:r w:rsidR="00A67A8C">
        <w:rPr>
          <w:color w:val="010205"/>
          <w:sz w:val="28"/>
          <w:szCs w:val="28"/>
          <w:u w:val="single"/>
        </w:rPr>
        <w:t>а</w:t>
      </w:r>
      <w:r w:rsidRPr="00A67A8C">
        <w:rPr>
          <w:color w:val="010205"/>
          <w:sz w:val="28"/>
          <w:szCs w:val="28"/>
          <w:u w:val="single"/>
        </w:rPr>
        <w:t>)</w:t>
      </w:r>
      <w:r w:rsidRPr="00170B7C">
        <w:rPr>
          <w:color w:val="010205"/>
          <w:sz w:val="28"/>
          <w:szCs w:val="28"/>
        </w:rPr>
        <w:t xml:space="preserve"> </w:t>
      </w:r>
      <w:r w:rsidR="00A67A8C" w:rsidRPr="00170B7C">
        <w:rPr>
          <w:color w:val="010205"/>
          <w:sz w:val="28"/>
          <w:szCs w:val="28"/>
        </w:rPr>
        <w:t>*100%; </w:t>
      </w:r>
      <w:r w:rsidR="00977918" w:rsidRPr="00977918">
        <w:rPr>
          <w:color w:val="010205"/>
          <w:sz w:val="28"/>
          <w:szCs w:val="28"/>
        </w:rPr>
        <w:t xml:space="preserve">           </w:t>
      </w:r>
      <w:r w:rsidR="00977918" w:rsidRPr="00170B7C">
        <w:rPr>
          <w:color w:val="000000"/>
          <w:sz w:val="28"/>
          <w:szCs w:val="28"/>
        </w:rPr>
        <w:t>(</w:t>
      </w:r>
      <w:r w:rsidR="00977918" w:rsidRPr="00977918">
        <w:rPr>
          <w:color w:val="000000"/>
          <w:sz w:val="28"/>
          <w:szCs w:val="28"/>
        </w:rPr>
        <w:t>3</w:t>
      </w:r>
      <w:r w:rsidR="00977918" w:rsidRPr="00170B7C">
        <w:rPr>
          <w:color w:val="000000"/>
          <w:sz w:val="28"/>
          <w:szCs w:val="28"/>
        </w:rPr>
        <w:t>)</w:t>
      </w:r>
    </w:p>
    <w:p w14:paraId="6C4788D0" w14:textId="77777777" w:rsidR="00A67A8C" w:rsidRDefault="00A67A8C" w:rsidP="00977918">
      <w:pPr>
        <w:pBdr>
          <w:top w:val="none" w:sz="0" w:space="0" w:color="000000"/>
          <w:left w:val="none" w:sz="0" w:space="0" w:color="000000"/>
          <w:bottom w:val="none" w:sz="0" w:space="0" w:color="000000"/>
          <w:right w:val="none" w:sz="0" w:space="0" w:color="000000"/>
          <w:between w:val="none" w:sz="0" w:space="0" w:color="000000"/>
        </w:pBdr>
        <w:spacing w:after="40"/>
        <w:ind w:right="40"/>
        <w:jc w:val="center"/>
        <w:rPr>
          <w:color w:val="010205"/>
          <w:sz w:val="28"/>
          <w:szCs w:val="28"/>
        </w:rPr>
      </w:pPr>
      <w:r>
        <w:rPr>
          <w:color w:val="010205"/>
          <w:sz w:val="28"/>
          <w:szCs w:val="28"/>
        </w:rPr>
        <w:t xml:space="preserve">вес </w:t>
      </w:r>
      <w:r w:rsidR="00274D3C" w:rsidRPr="00170B7C">
        <w:rPr>
          <w:color w:val="010205"/>
          <w:sz w:val="28"/>
          <w:szCs w:val="28"/>
        </w:rPr>
        <w:t>графт</w:t>
      </w:r>
      <w:r>
        <w:rPr>
          <w:color w:val="010205"/>
          <w:sz w:val="28"/>
          <w:szCs w:val="28"/>
        </w:rPr>
        <w:t>а</w:t>
      </w:r>
    </w:p>
    <w:p w14:paraId="0F588CBA" w14:textId="77777777" w:rsidR="00A67A8C" w:rsidRPr="00A67A8C" w:rsidRDefault="00A67A8C" w:rsidP="00A67A8C">
      <w:pPr>
        <w:pBdr>
          <w:top w:val="none" w:sz="0" w:space="0" w:color="000000"/>
          <w:left w:val="none" w:sz="0" w:space="0" w:color="000000"/>
          <w:bottom w:val="none" w:sz="0" w:space="0" w:color="000000"/>
          <w:right w:val="none" w:sz="0" w:space="0" w:color="000000"/>
          <w:between w:val="none" w:sz="0" w:space="0" w:color="000000"/>
        </w:pBdr>
        <w:spacing w:before="7" w:after="40"/>
        <w:ind w:right="40"/>
        <w:jc w:val="both"/>
        <w:rPr>
          <w:color w:val="010205"/>
          <w:sz w:val="28"/>
          <w:szCs w:val="28"/>
        </w:rPr>
      </w:pPr>
    </w:p>
    <w:p w14:paraId="531B641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spacing w:before="7" w:after="40"/>
        <w:ind w:left="40" w:right="40" w:firstLine="527"/>
        <w:jc w:val="both"/>
        <w:rPr>
          <w:rFonts w:eastAsia="Calibri"/>
          <w:color w:val="000000"/>
          <w:sz w:val="28"/>
          <w:szCs w:val="28"/>
        </w:rPr>
      </w:pPr>
      <w:r w:rsidRPr="00170B7C">
        <w:rPr>
          <w:color w:val="000000"/>
          <w:sz w:val="28"/>
          <w:szCs w:val="28"/>
        </w:rPr>
        <w:t xml:space="preserve">Парный </w:t>
      </w:r>
      <w:r w:rsidRPr="00170B7C">
        <w:rPr>
          <w:i/>
          <w:color w:val="000000"/>
          <w:sz w:val="28"/>
          <w:szCs w:val="28"/>
        </w:rPr>
        <w:t>t</w:t>
      </w:r>
      <w:r w:rsidRPr="00170B7C">
        <w:rPr>
          <w:color w:val="000000"/>
          <w:sz w:val="28"/>
          <w:szCs w:val="28"/>
        </w:rPr>
        <w:t>-критерий использовали для определения статистически значимых различий объемных измерений между радиологом-1 и радиологом-2. Различия между результатами расчета радиологов представлены на графиках Бланд-Альтмана, с использованием 95% доверительного интервала.  </w:t>
      </w:r>
    </w:p>
    <w:p w14:paraId="5CDC43E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spacing w:before="7" w:after="40"/>
        <w:ind w:left="40" w:right="40" w:firstLine="527"/>
        <w:jc w:val="both"/>
        <w:rPr>
          <w:rFonts w:eastAsia="Calibri"/>
          <w:color w:val="000000"/>
          <w:sz w:val="28"/>
          <w:szCs w:val="28"/>
        </w:rPr>
      </w:pPr>
      <w:r w:rsidRPr="00170B7C">
        <w:rPr>
          <w:color w:val="000000"/>
          <w:sz w:val="28"/>
          <w:szCs w:val="28"/>
        </w:rPr>
        <w:t>Значение p &lt;0,05 считалось показателем статистической значимости. </w:t>
      </w:r>
    </w:p>
    <w:p w14:paraId="0926354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spacing w:before="7" w:after="40"/>
        <w:ind w:left="40" w:right="40" w:firstLine="527"/>
        <w:jc w:val="both"/>
        <w:rPr>
          <w:rFonts w:eastAsia="Calibri"/>
          <w:color w:val="000000"/>
          <w:sz w:val="28"/>
          <w:szCs w:val="28"/>
        </w:rPr>
      </w:pPr>
      <w:r w:rsidRPr="00170B7C">
        <w:rPr>
          <w:color w:val="000000"/>
          <w:sz w:val="28"/>
          <w:szCs w:val="28"/>
        </w:rPr>
        <w:t xml:space="preserve">Boxplot использован для демонстрации и сравнения разницы и </w:t>
      </w:r>
      <w:r w:rsidR="00FB2912">
        <w:rPr>
          <w:color w:val="000000"/>
          <w:sz w:val="28"/>
          <w:szCs w:val="28"/>
        </w:rPr>
        <w:t>процента ошибки</w:t>
      </w:r>
      <w:r w:rsidRPr="00170B7C">
        <w:rPr>
          <w:color w:val="000000"/>
          <w:sz w:val="28"/>
          <w:szCs w:val="28"/>
        </w:rPr>
        <w:t xml:space="preserve"> между рассчитанными объемами правой доли печени и графтом.  </w:t>
      </w:r>
    </w:p>
    <w:p w14:paraId="19D6093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spacing w:before="7" w:after="40"/>
        <w:ind w:left="40" w:right="40" w:firstLine="527"/>
        <w:jc w:val="both"/>
        <w:rPr>
          <w:rFonts w:eastAsia="Calibri"/>
          <w:color w:val="000000"/>
          <w:sz w:val="28"/>
          <w:szCs w:val="28"/>
        </w:rPr>
      </w:pPr>
      <w:r w:rsidRPr="00170B7C">
        <w:rPr>
          <w:color w:val="000000"/>
          <w:sz w:val="28"/>
          <w:szCs w:val="28"/>
        </w:rPr>
        <w:t>Фактериальный тест ANOVA использован для поиска статистически значимых различий между возрастом, полом, индексом массы тела (ИМТ), количеством дней между проведением КТ-волюметрии и операции со средним значением разницы (difference) между весом графта и каждой из программ: Volume analysis, OsiriX MD и CT Liver Analysis, 95% доверительный интервал использован в расчёте.  </w:t>
      </w:r>
    </w:p>
    <w:p w14:paraId="432CF79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Время, затраченное на расчет объема печени каждой программой представлено как среднее значение и диапазон (минимум-максимум). U-критерий Манна-Уитни использовался для определения статистически значимых различий между проведением времени в трех программах. </w:t>
      </w:r>
    </w:p>
    <w:p w14:paraId="2F246AC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232109DE" w14:textId="77777777" w:rsidR="00C700B8" w:rsidRPr="00170B7C" w:rsidRDefault="00C700B8" w:rsidP="00FB2912">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45845E9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rPr>
          <w:rFonts w:eastAsia="Calibri"/>
          <w:color w:val="000000"/>
          <w:sz w:val="28"/>
          <w:szCs w:val="28"/>
        </w:rPr>
      </w:pPr>
      <w:r w:rsidRPr="00170B7C">
        <w:rPr>
          <w:rFonts w:eastAsia="Calibri"/>
          <w:color w:val="000000"/>
          <w:sz w:val="28"/>
          <w:szCs w:val="28"/>
        </w:rPr>
        <w:lastRenderedPageBreak/>
        <w:t> </w:t>
      </w:r>
      <w:r w:rsidRPr="00170B7C">
        <w:rPr>
          <w:b/>
          <w:color w:val="000000"/>
          <w:sz w:val="28"/>
          <w:szCs w:val="28"/>
        </w:rPr>
        <w:t>3 РЕЗУЛЬТАТЫ СОБСТВЕННЫХ ИССЛЕДОВАНИЙ </w:t>
      </w:r>
      <w:r w:rsidRPr="00170B7C">
        <w:rPr>
          <w:color w:val="000000"/>
          <w:sz w:val="28"/>
          <w:szCs w:val="28"/>
        </w:rPr>
        <w:t> </w:t>
      </w:r>
    </w:p>
    <w:p w14:paraId="022EAC7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rFonts w:eastAsia="Calibri"/>
          <w:color w:val="000000"/>
          <w:sz w:val="28"/>
          <w:szCs w:val="28"/>
        </w:rPr>
        <w:t> </w:t>
      </w:r>
    </w:p>
    <w:p w14:paraId="539C1020" w14:textId="77777777"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sz w:val="28"/>
          <w:szCs w:val="28"/>
        </w:rPr>
      </w:pPr>
      <w:r w:rsidRPr="00170B7C">
        <w:rPr>
          <w:b/>
          <w:color w:val="000000"/>
          <w:sz w:val="28"/>
          <w:szCs w:val="28"/>
        </w:rPr>
        <w:t xml:space="preserve">3.1 </w:t>
      </w:r>
      <w:r w:rsidRPr="00170B7C">
        <w:rPr>
          <w:b/>
          <w:sz w:val="28"/>
          <w:szCs w:val="28"/>
        </w:rPr>
        <w:t xml:space="preserve">Возможности </w:t>
      </w:r>
      <w:r w:rsidR="0090350F" w:rsidRPr="00170B7C">
        <w:rPr>
          <w:b/>
          <w:sz w:val="28"/>
          <w:szCs w:val="28"/>
        </w:rPr>
        <w:t>мануального, полуавтоматического и автоматического методов КТ-волюметрии печени донора при родственной трансплантации</w:t>
      </w:r>
    </w:p>
    <w:p w14:paraId="252377DE" w14:textId="77777777" w:rsidR="00746A80" w:rsidRPr="00170B7C" w:rsidRDefault="00746A80"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5CBA3AC4" w14:textId="77777777" w:rsidR="00C700B8" w:rsidRPr="00170B7C" w:rsidRDefault="00274D3C" w:rsidP="00135057">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С целью изучения возможностей методик предоперационной оценки объема донорской печени при родственной трансплантации проведен анализ результатов КТ-волюметрии 60 родственных доноров печени (39 мужчин, 21 женщина), в возрасте от 18</w:t>
      </w:r>
      <w:r w:rsidR="00AD66F2">
        <w:rPr>
          <w:color w:val="000000"/>
          <w:sz w:val="28"/>
          <w:szCs w:val="28"/>
        </w:rPr>
        <w:t xml:space="preserve"> лет</w:t>
      </w:r>
      <w:r w:rsidRPr="00170B7C">
        <w:rPr>
          <w:color w:val="000000"/>
          <w:sz w:val="28"/>
          <w:szCs w:val="28"/>
        </w:rPr>
        <w:t xml:space="preserve"> до 51 года (средний возраст - 28,8±7,7 лет), рассчитанный тремя методами: мануальный (Volume Analysis), полуавтоматический (Osirix MD) и автоматический (CT Liver Analysis). Результаты КТ-волюметрии печени сравнивались с весом графта, измеренным интраоперационно.  Для исключения субъективности в расчете как общего, так и остаточного объема печени, и изучения возможных погрешностей </w:t>
      </w:r>
      <w:r w:rsidR="00AD66F2">
        <w:rPr>
          <w:color w:val="000000"/>
          <w:sz w:val="28"/>
          <w:szCs w:val="28"/>
        </w:rPr>
        <w:t xml:space="preserve">в расчетах </w:t>
      </w:r>
      <w:r w:rsidRPr="00170B7C">
        <w:rPr>
          <w:color w:val="000000"/>
          <w:sz w:val="28"/>
          <w:szCs w:val="28"/>
        </w:rPr>
        <w:t>в данном исследовании КТ-волюметрию в трех программах выполняли два врача-радиолога (радиолог-1, радиолог-2) с разным опытом работы в абдоминальной радиологии и КТ-волюметрии (10 лет и 4 года стажа соответственно). </w:t>
      </w:r>
    </w:p>
    <w:p w14:paraId="6F6D571A" w14:textId="77777777" w:rsidR="00746A80" w:rsidRDefault="00274D3C" w:rsidP="00B909A5">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Анализ результатов измерений показал отсутствие статистически значимых различий между измерениями, выполненными радиологом-1 и радиологом-2 при расчете общего объема печени тремя способами: мануальны</w:t>
      </w:r>
      <w:r w:rsidR="00AD66F2">
        <w:rPr>
          <w:color w:val="000000"/>
          <w:sz w:val="28"/>
          <w:szCs w:val="28"/>
        </w:rPr>
        <w:t>й</w:t>
      </w:r>
      <w:r w:rsidRPr="00170B7C">
        <w:rPr>
          <w:color w:val="000000"/>
          <w:sz w:val="28"/>
          <w:szCs w:val="28"/>
        </w:rPr>
        <w:t xml:space="preserve"> (p=0,102), полуавтоматически</w:t>
      </w:r>
      <w:r w:rsidR="00AD66F2">
        <w:rPr>
          <w:color w:val="000000"/>
          <w:sz w:val="28"/>
          <w:szCs w:val="28"/>
        </w:rPr>
        <w:t>й</w:t>
      </w:r>
      <w:r w:rsidRPr="00170B7C">
        <w:rPr>
          <w:color w:val="000000"/>
          <w:sz w:val="28"/>
          <w:szCs w:val="28"/>
        </w:rPr>
        <w:t xml:space="preserve"> (p=0,462) и автоматически</w:t>
      </w:r>
      <w:r w:rsidR="00AD66F2">
        <w:rPr>
          <w:color w:val="000000"/>
          <w:sz w:val="28"/>
          <w:szCs w:val="28"/>
        </w:rPr>
        <w:t>й</w:t>
      </w:r>
      <w:r w:rsidRPr="00170B7C">
        <w:rPr>
          <w:color w:val="000000"/>
          <w:sz w:val="28"/>
          <w:szCs w:val="28"/>
        </w:rPr>
        <w:t xml:space="preserve"> (p=0,506). Среднее значение разницы в расчетах общего объема печени между радиологами составило: мануальны</w:t>
      </w:r>
      <w:r w:rsidR="00AD66F2">
        <w:rPr>
          <w:color w:val="000000"/>
          <w:sz w:val="28"/>
          <w:szCs w:val="28"/>
        </w:rPr>
        <w:t>й</w:t>
      </w:r>
      <w:r w:rsidRPr="00170B7C">
        <w:rPr>
          <w:color w:val="000000"/>
          <w:sz w:val="28"/>
          <w:szCs w:val="28"/>
        </w:rPr>
        <w:t xml:space="preserve"> метод - 4,6±21,5 мл, полуавтоматически</w:t>
      </w:r>
      <w:r w:rsidR="00AD66F2">
        <w:rPr>
          <w:color w:val="000000"/>
          <w:sz w:val="28"/>
          <w:szCs w:val="28"/>
        </w:rPr>
        <w:t>й</w:t>
      </w:r>
      <w:r w:rsidRPr="00170B7C">
        <w:rPr>
          <w:color w:val="000000"/>
          <w:sz w:val="28"/>
          <w:szCs w:val="28"/>
        </w:rPr>
        <w:t xml:space="preserve"> - 6,5±68,2 мл, автоматически</w:t>
      </w:r>
      <w:r w:rsidR="00AD66F2">
        <w:rPr>
          <w:color w:val="000000"/>
          <w:sz w:val="28"/>
          <w:szCs w:val="28"/>
        </w:rPr>
        <w:t>й</w:t>
      </w:r>
      <w:r w:rsidRPr="00170B7C">
        <w:rPr>
          <w:color w:val="000000"/>
          <w:sz w:val="28"/>
          <w:szCs w:val="28"/>
        </w:rPr>
        <w:t xml:space="preserve"> метод - 2,6±30,1 мл. 95%</w:t>
      </w:r>
      <w:r w:rsidR="00AD66F2">
        <w:rPr>
          <w:color w:val="000000"/>
          <w:sz w:val="28"/>
          <w:szCs w:val="28"/>
        </w:rPr>
        <w:t xml:space="preserve"> </w:t>
      </w:r>
      <w:r w:rsidRPr="00170B7C">
        <w:rPr>
          <w:color w:val="000000"/>
          <w:sz w:val="28"/>
          <w:szCs w:val="28"/>
        </w:rPr>
        <w:t>-</w:t>
      </w:r>
      <w:r w:rsidR="00AD66F2">
        <w:rPr>
          <w:color w:val="000000"/>
          <w:sz w:val="28"/>
          <w:szCs w:val="28"/>
        </w:rPr>
        <w:t xml:space="preserve"> </w:t>
      </w:r>
      <w:r w:rsidRPr="00170B7C">
        <w:rPr>
          <w:color w:val="000000"/>
          <w:sz w:val="28"/>
          <w:szCs w:val="28"/>
        </w:rPr>
        <w:t>ый доверительный интервал составил от - 37,5 до 46,7 мл для мануального, от - 140,2 до 127,1 мл для полуавтоматического и от - 61,6 до 56,4 мл для автоматического метода. График Бланда-Альтмана демонстрирует разницу в расчетах общего объема печени между радиологом-1 и радиологом-2 (рисунок 2</w:t>
      </w:r>
      <w:r w:rsidR="00496251" w:rsidRPr="00170B7C">
        <w:rPr>
          <w:color w:val="000000"/>
          <w:sz w:val="28"/>
          <w:szCs w:val="28"/>
        </w:rPr>
        <w:t>7</w:t>
      </w:r>
      <w:r w:rsidRPr="00170B7C">
        <w:rPr>
          <w:color w:val="000000"/>
          <w:sz w:val="28"/>
          <w:szCs w:val="28"/>
        </w:rPr>
        <w:t xml:space="preserve"> а,b,с).  </w:t>
      </w:r>
    </w:p>
    <w:p w14:paraId="50B381D9" w14:textId="77777777" w:rsidR="00135057" w:rsidRPr="00135057" w:rsidRDefault="00746A80" w:rsidP="00746A80">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а) </w:t>
      </w:r>
    </w:p>
    <w:p w14:paraId="11892FFC" w14:textId="77777777"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080C0E77" wp14:editId="5193A7B2">
            <wp:extent cx="5141109" cy="2753958"/>
            <wp:effectExtent l="0" t="0" r="2540" b="2540"/>
            <wp:docPr id="402" name="image39.png" descr="IMG_283"/>
            <wp:cNvGraphicFramePr/>
            <a:graphic xmlns:a="http://schemas.openxmlformats.org/drawingml/2006/main">
              <a:graphicData uri="http://schemas.openxmlformats.org/drawingml/2006/picture">
                <pic:pic xmlns:pic="http://schemas.openxmlformats.org/drawingml/2006/picture">
                  <pic:nvPicPr>
                    <pic:cNvPr id="0" name="image39.png" descr="IMG_283"/>
                    <pic:cNvPicPr preferRelativeResize="0"/>
                  </pic:nvPicPr>
                  <pic:blipFill>
                    <a:blip r:embed="rId44"/>
                    <a:srcRect/>
                    <a:stretch>
                      <a:fillRect/>
                    </a:stretch>
                  </pic:blipFill>
                  <pic:spPr>
                    <a:xfrm>
                      <a:off x="0" y="0"/>
                      <a:ext cx="5213182" cy="2792565"/>
                    </a:xfrm>
                    <a:prstGeom prst="rect">
                      <a:avLst/>
                    </a:prstGeom>
                    <a:ln/>
                  </pic:spPr>
                </pic:pic>
              </a:graphicData>
            </a:graphic>
          </wp:inline>
        </w:drawing>
      </w:r>
      <w:r w:rsidRPr="00170B7C">
        <w:rPr>
          <w:rFonts w:eastAsia="Calibri"/>
          <w:color w:val="000000"/>
          <w:sz w:val="28"/>
          <w:szCs w:val="28"/>
        </w:rPr>
        <w:t> </w:t>
      </w:r>
    </w:p>
    <w:p w14:paraId="57029B54" w14:textId="77777777" w:rsidR="00135057" w:rsidRPr="00170B7C" w:rsidRDefault="00746A80" w:rsidP="00746A80">
      <w:pPr>
        <w:pBdr>
          <w:top w:val="none" w:sz="0" w:space="0" w:color="000000"/>
          <w:left w:val="none" w:sz="0" w:space="0" w:color="000000"/>
          <w:bottom w:val="none" w:sz="0" w:space="0" w:color="000000"/>
          <w:right w:val="none" w:sz="0" w:space="0" w:color="000000"/>
          <w:between w:val="none" w:sz="0" w:space="0" w:color="000000"/>
        </w:pBdr>
        <w:ind w:firstLine="567"/>
        <w:rPr>
          <w:rFonts w:eastAsia="Calibri"/>
          <w:color w:val="000000"/>
          <w:sz w:val="28"/>
          <w:szCs w:val="28"/>
        </w:rPr>
      </w:pPr>
      <w:r w:rsidRPr="00170B7C">
        <w:rPr>
          <w:color w:val="000000"/>
          <w:sz w:val="28"/>
          <w:szCs w:val="28"/>
        </w:rPr>
        <w:t>b) </w:t>
      </w:r>
    </w:p>
    <w:p w14:paraId="1A0DDBFB" w14:textId="77777777" w:rsidR="00AD66F2"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lastRenderedPageBreak/>
        <w:t> </w:t>
      </w:r>
    </w:p>
    <w:p w14:paraId="20BCE655" w14:textId="77777777"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289547E9" wp14:editId="01F46CDF">
            <wp:extent cx="5150409" cy="2879725"/>
            <wp:effectExtent l="0" t="0" r="6350" b="3175"/>
            <wp:docPr id="403" name="image33.png" descr="IMG_284"/>
            <wp:cNvGraphicFramePr/>
            <a:graphic xmlns:a="http://schemas.openxmlformats.org/drawingml/2006/main">
              <a:graphicData uri="http://schemas.openxmlformats.org/drawingml/2006/picture">
                <pic:pic xmlns:pic="http://schemas.openxmlformats.org/drawingml/2006/picture">
                  <pic:nvPicPr>
                    <pic:cNvPr id="0" name="image33.png" descr="IMG_284"/>
                    <pic:cNvPicPr preferRelativeResize="0"/>
                  </pic:nvPicPr>
                  <pic:blipFill>
                    <a:blip r:embed="rId45"/>
                    <a:srcRect/>
                    <a:stretch>
                      <a:fillRect/>
                    </a:stretch>
                  </pic:blipFill>
                  <pic:spPr>
                    <a:xfrm>
                      <a:off x="0" y="0"/>
                      <a:ext cx="5152360" cy="2880816"/>
                    </a:xfrm>
                    <a:prstGeom prst="rect">
                      <a:avLst/>
                    </a:prstGeom>
                    <a:ln/>
                  </pic:spPr>
                </pic:pic>
              </a:graphicData>
            </a:graphic>
          </wp:inline>
        </w:drawing>
      </w:r>
      <w:r w:rsidRPr="00170B7C">
        <w:rPr>
          <w:rFonts w:eastAsia="Calibri"/>
          <w:color w:val="000000"/>
          <w:sz w:val="28"/>
          <w:szCs w:val="28"/>
        </w:rPr>
        <w:t> </w:t>
      </w:r>
    </w:p>
    <w:p w14:paraId="09DCFC8F" w14:textId="77777777" w:rsidR="00135057" w:rsidRPr="00170B7C" w:rsidRDefault="00746A80" w:rsidP="00746A80">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c) </w:t>
      </w:r>
    </w:p>
    <w:p w14:paraId="7DD1BDD5" w14:textId="77777777"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19015578" wp14:editId="6338A7BF">
            <wp:extent cx="5104937" cy="3112766"/>
            <wp:effectExtent l="0" t="0" r="0" b="0"/>
            <wp:docPr id="380" name="image23.png" descr="IMG_285"/>
            <wp:cNvGraphicFramePr/>
            <a:graphic xmlns:a="http://schemas.openxmlformats.org/drawingml/2006/main">
              <a:graphicData uri="http://schemas.openxmlformats.org/drawingml/2006/picture">
                <pic:pic xmlns:pic="http://schemas.openxmlformats.org/drawingml/2006/picture">
                  <pic:nvPicPr>
                    <pic:cNvPr id="0" name="image23.png" descr="IMG_285"/>
                    <pic:cNvPicPr preferRelativeResize="0"/>
                  </pic:nvPicPr>
                  <pic:blipFill>
                    <a:blip r:embed="rId46"/>
                    <a:srcRect/>
                    <a:stretch>
                      <a:fillRect/>
                    </a:stretch>
                  </pic:blipFill>
                  <pic:spPr>
                    <a:xfrm>
                      <a:off x="0" y="0"/>
                      <a:ext cx="5104937" cy="3112766"/>
                    </a:xfrm>
                    <a:prstGeom prst="rect">
                      <a:avLst/>
                    </a:prstGeom>
                    <a:ln/>
                  </pic:spPr>
                </pic:pic>
              </a:graphicData>
            </a:graphic>
          </wp:inline>
        </w:drawing>
      </w:r>
      <w:r w:rsidRPr="00170B7C">
        <w:rPr>
          <w:rFonts w:eastAsia="Calibri"/>
          <w:color w:val="000000"/>
          <w:sz w:val="28"/>
          <w:szCs w:val="28"/>
        </w:rPr>
        <w:t> </w:t>
      </w:r>
    </w:p>
    <w:p w14:paraId="726C83F2" w14:textId="77777777" w:rsidR="00AD66F2" w:rsidRDefault="00AD66F2" w:rsidP="00135057">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p>
    <w:p w14:paraId="480EC696" w14:textId="77777777" w:rsidR="00C700B8" w:rsidRPr="00AD66F2" w:rsidRDefault="00274D3C" w:rsidP="00AD66F2">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Рисунок 2</w:t>
      </w:r>
      <w:r w:rsidR="00496251" w:rsidRPr="00170B7C">
        <w:rPr>
          <w:color w:val="000000"/>
          <w:sz w:val="28"/>
          <w:szCs w:val="28"/>
        </w:rPr>
        <w:t>7</w:t>
      </w:r>
      <w:r w:rsidRPr="00170B7C">
        <w:rPr>
          <w:color w:val="000000"/>
          <w:sz w:val="28"/>
          <w:szCs w:val="28"/>
        </w:rPr>
        <w:t xml:space="preserve"> </w:t>
      </w:r>
      <w:r w:rsidR="00AD66F2" w:rsidRPr="00170B7C">
        <w:rPr>
          <w:color w:val="000000"/>
          <w:sz w:val="28"/>
          <w:szCs w:val="28"/>
        </w:rPr>
        <w:t>–</w:t>
      </w:r>
      <w:r w:rsidRPr="00170B7C">
        <w:rPr>
          <w:color w:val="000000"/>
          <w:sz w:val="28"/>
          <w:szCs w:val="28"/>
        </w:rPr>
        <w:t xml:space="preserve"> Разница в расчетах общего объема печени между радиологом-1 и радиологом-2</w:t>
      </w:r>
      <w:r w:rsidR="00AD66F2">
        <w:rPr>
          <w:color w:val="000000"/>
          <w:sz w:val="28"/>
          <w:szCs w:val="28"/>
        </w:rPr>
        <w:t xml:space="preserve"> методами</w:t>
      </w:r>
      <w:r w:rsidRPr="00170B7C">
        <w:rPr>
          <w:color w:val="000000"/>
          <w:sz w:val="28"/>
          <w:szCs w:val="28"/>
        </w:rPr>
        <w:t>: a) мануальный, b) полуавтоматический, c) автоматический </w:t>
      </w:r>
    </w:p>
    <w:p w14:paraId="79E5431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170B7C">
        <w:rPr>
          <w:rFonts w:eastAsia="Calibri"/>
          <w:color w:val="000000"/>
          <w:sz w:val="28"/>
          <w:szCs w:val="28"/>
        </w:rPr>
        <w:t> </w:t>
      </w:r>
    </w:p>
    <w:p w14:paraId="6B4B4741" w14:textId="77777777" w:rsidR="00C700B8" w:rsidRDefault="00274D3C" w:rsidP="00135057">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На представленном графике Бланда-Альтмана, продемонстрирована разница между средними значениями расчета общего объема доли печени, выполненной радиологом-1 и радиологом-2 в программах а) Volume Analysis, б) Osirix MD и в) CT Liver Analysis. Средняя горизонтальная линия показывает среднюю разницу.  Верхняя и нижняя горизонтальные линии демонстрируют 95%-ый доверительный интервал. </w:t>
      </w:r>
      <w:r w:rsidR="00AD66F2">
        <w:rPr>
          <w:color w:val="000000"/>
          <w:sz w:val="28"/>
          <w:szCs w:val="28"/>
        </w:rPr>
        <w:t xml:space="preserve"> </w:t>
      </w:r>
      <w:r w:rsidRPr="00170B7C">
        <w:rPr>
          <w:color w:val="000000"/>
          <w:sz w:val="28"/>
          <w:szCs w:val="28"/>
        </w:rPr>
        <w:t xml:space="preserve">Также анализ результатов измерений показал отсутствие статистически достоверных различий между расчетами, выполненными радиологом-1 и радиологом-2 при расчете объема правой доли </w:t>
      </w:r>
      <w:r w:rsidRPr="00170B7C">
        <w:rPr>
          <w:color w:val="000000"/>
          <w:sz w:val="28"/>
          <w:szCs w:val="28"/>
        </w:rPr>
        <w:lastRenderedPageBreak/>
        <w:t>печени</w:t>
      </w:r>
      <w:r w:rsidR="00135057">
        <w:rPr>
          <w:color w:val="000000"/>
          <w:sz w:val="28"/>
          <w:szCs w:val="28"/>
        </w:rPr>
        <w:t xml:space="preserve"> методами</w:t>
      </w:r>
      <w:r w:rsidRPr="00170B7C">
        <w:rPr>
          <w:color w:val="000000"/>
          <w:sz w:val="28"/>
          <w:szCs w:val="28"/>
        </w:rPr>
        <w:t>: мануальны</w:t>
      </w:r>
      <w:r w:rsidR="00AD66F2">
        <w:rPr>
          <w:color w:val="000000"/>
          <w:sz w:val="28"/>
          <w:szCs w:val="28"/>
        </w:rPr>
        <w:t>й</w:t>
      </w:r>
      <w:r w:rsidRPr="00170B7C">
        <w:rPr>
          <w:color w:val="000000"/>
          <w:sz w:val="28"/>
          <w:szCs w:val="28"/>
        </w:rPr>
        <w:t xml:space="preserve"> (р=0,222), полуавтоматически</w:t>
      </w:r>
      <w:r w:rsidR="00AD66F2">
        <w:rPr>
          <w:color w:val="000000"/>
          <w:sz w:val="28"/>
          <w:szCs w:val="28"/>
        </w:rPr>
        <w:t>й</w:t>
      </w:r>
      <w:r w:rsidRPr="00170B7C">
        <w:rPr>
          <w:color w:val="000000"/>
          <w:sz w:val="28"/>
          <w:szCs w:val="28"/>
        </w:rPr>
        <w:t xml:space="preserve"> (р=0,101) и автоматически</w:t>
      </w:r>
      <w:r w:rsidR="00AD66F2">
        <w:rPr>
          <w:color w:val="000000"/>
          <w:sz w:val="28"/>
          <w:szCs w:val="28"/>
        </w:rPr>
        <w:t>й</w:t>
      </w:r>
      <w:r w:rsidRPr="00170B7C">
        <w:rPr>
          <w:color w:val="000000"/>
          <w:sz w:val="28"/>
          <w:szCs w:val="28"/>
        </w:rPr>
        <w:t xml:space="preserve"> (р=0,061). Среднее значение разницы расчетов правой доли печени составило 3,4±21,0 мл для мануального, 4,5±21,0 мл для полуавтоматического и 4,8±19,7 мл для автоматического метода. 95%-ый доверительный интервал составил от -37,8 до 44,6 мл для мануального, от -36,7 до 45,7 мл для полуавтоматического и от -33,6 до 43,2 мл для автоматического метод</w:t>
      </w:r>
      <w:r w:rsidR="00AD66F2">
        <w:rPr>
          <w:color w:val="000000"/>
          <w:sz w:val="28"/>
          <w:szCs w:val="28"/>
        </w:rPr>
        <w:t>ов</w:t>
      </w:r>
      <w:r w:rsidRPr="00170B7C">
        <w:rPr>
          <w:color w:val="000000"/>
          <w:sz w:val="28"/>
          <w:szCs w:val="28"/>
        </w:rPr>
        <w:t>. График Бланда-Альтмана демонстрирует разницу в расчетах объема правой доли печени между радиологом-1 и радиологом-2 (рисунок 2</w:t>
      </w:r>
      <w:r w:rsidR="00496251" w:rsidRPr="00170B7C">
        <w:rPr>
          <w:color w:val="000000"/>
          <w:sz w:val="28"/>
          <w:szCs w:val="28"/>
        </w:rPr>
        <w:t>8</w:t>
      </w:r>
      <w:r w:rsidRPr="00170B7C">
        <w:rPr>
          <w:color w:val="000000"/>
          <w:sz w:val="28"/>
          <w:szCs w:val="28"/>
        </w:rPr>
        <w:t xml:space="preserve"> а,b,с).  </w:t>
      </w:r>
    </w:p>
    <w:p w14:paraId="41F98585" w14:textId="77777777" w:rsidR="00746A80" w:rsidRDefault="00746A80" w:rsidP="00746A80">
      <w:pPr>
        <w:pBdr>
          <w:top w:val="none" w:sz="0" w:space="0" w:color="000000"/>
          <w:left w:val="none" w:sz="0" w:space="0" w:color="000000"/>
          <w:bottom w:val="none" w:sz="0" w:space="0" w:color="000000"/>
          <w:right w:val="none" w:sz="0" w:space="0" w:color="000000"/>
          <w:between w:val="none" w:sz="0" w:space="0" w:color="000000"/>
        </w:pBdr>
        <w:ind w:firstLine="567"/>
        <w:rPr>
          <w:color w:val="000000"/>
          <w:sz w:val="28"/>
          <w:szCs w:val="28"/>
        </w:rPr>
      </w:pPr>
    </w:p>
    <w:p w14:paraId="1C84115E" w14:textId="77777777" w:rsidR="00746A80" w:rsidRPr="00746A80" w:rsidRDefault="00746A80" w:rsidP="00746A80">
      <w:pPr>
        <w:pBdr>
          <w:top w:val="none" w:sz="0" w:space="0" w:color="000000"/>
          <w:left w:val="none" w:sz="0" w:space="0" w:color="000000"/>
          <w:bottom w:val="none" w:sz="0" w:space="0" w:color="000000"/>
          <w:right w:val="none" w:sz="0" w:space="0" w:color="000000"/>
          <w:between w:val="none" w:sz="0" w:space="0" w:color="000000"/>
        </w:pBdr>
        <w:ind w:firstLine="567"/>
        <w:rPr>
          <w:rFonts w:eastAsia="Calibri"/>
          <w:color w:val="000000"/>
          <w:sz w:val="28"/>
          <w:szCs w:val="28"/>
        </w:rPr>
      </w:pPr>
      <w:r w:rsidRPr="00170B7C">
        <w:rPr>
          <w:color w:val="000000"/>
          <w:sz w:val="28"/>
          <w:szCs w:val="28"/>
        </w:rPr>
        <w:t>a) </w:t>
      </w:r>
    </w:p>
    <w:p w14:paraId="119AF2A8"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005BD0A8" w14:textId="77777777"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ind w:right="-260"/>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0F88425A" wp14:editId="796622C0">
            <wp:extent cx="5365511" cy="3044414"/>
            <wp:effectExtent l="0" t="0" r="0" b="3810"/>
            <wp:docPr id="381" name="image9.png" descr="IMG_286"/>
            <wp:cNvGraphicFramePr/>
            <a:graphic xmlns:a="http://schemas.openxmlformats.org/drawingml/2006/main">
              <a:graphicData uri="http://schemas.openxmlformats.org/drawingml/2006/picture">
                <pic:pic xmlns:pic="http://schemas.openxmlformats.org/drawingml/2006/picture">
                  <pic:nvPicPr>
                    <pic:cNvPr id="0" name="image9.png" descr="IMG_286"/>
                    <pic:cNvPicPr preferRelativeResize="0"/>
                  </pic:nvPicPr>
                  <pic:blipFill>
                    <a:blip r:embed="rId47"/>
                    <a:srcRect/>
                    <a:stretch>
                      <a:fillRect/>
                    </a:stretch>
                  </pic:blipFill>
                  <pic:spPr>
                    <a:xfrm>
                      <a:off x="0" y="0"/>
                      <a:ext cx="5398887" cy="3063352"/>
                    </a:xfrm>
                    <a:prstGeom prst="rect">
                      <a:avLst/>
                    </a:prstGeom>
                    <a:ln/>
                  </pic:spPr>
                </pic:pic>
              </a:graphicData>
            </a:graphic>
          </wp:inline>
        </w:drawing>
      </w:r>
    </w:p>
    <w:p w14:paraId="5D60644B" w14:textId="77777777" w:rsidR="00135057" w:rsidRPr="00170B7C" w:rsidRDefault="00746A80" w:rsidP="00746A80">
      <w:pPr>
        <w:pBdr>
          <w:top w:val="none" w:sz="0" w:space="0" w:color="000000"/>
          <w:left w:val="none" w:sz="0" w:space="0" w:color="000000"/>
          <w:bottom w:val="none" w:sz="0" w:space="0" w:color="000000"/>
          <w:right w:val="none" w:sz="0" w:space="0" w:color="000000"/>
          <w:between w:val="none" w:sz="0" w:space="0" w:color="000000"/>
        </w:pBdr>
        <w:ind w:right="-260" w:firstLine="567"/>
        <w:rPr>
          <w:rFonts w:eastAsia="Calibri"/>
          <w:color w:val="000000"/>
          <w:sz w:val="28"/>
          <w:szCs w:val="28"/>
        </w:rPr>
      </w:pPr>
      <w:r w:rsidRPr="00170B7C">
        <w:rPr>
          <w:color w:val="000000"/>
          <w:sz w:val="28"/>
          <w:szCs w:val="28"/>
        </w:rPr>
        <w:t>b) </w:t>
      </w:r>
    </w:p>
    <w:p w14:paraId="55F471FB" w14:textId="77777777" w:rsidR="00C700B8" w:rsidRDefault="00274D3C" w:rsidP="0000506D">
      <w:pPr>
        <w:pBdr>
          <w:top w:val="none" w:sz="0" w:space="0" w:color="000000"/>
          <w:left w:val="none" w:sz="0" w:space="0" w:color="000000"/>
          <w:bottom w:val="none" w:sz="0" w:space="0" w:color="000000"/>
          <w:right w:val="none" w:sz="0" w:space="0" w:color="000000"/>
          <w:between w:val="none" w:sz="0" w:space="0" w:color="000000"/>
        </w:pBdr>
        <w:ind w:right="-260"/>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5E501875" wp14:editId="41C73252">
            <wp:extent cx="5310058" cy="3022899"/>
            <wp:effectExtent l="0" t="0" r="0" b="0"/>
            <wp:docPr id="382" name="image2.png" descr="IMG_287"/>
            <wp:cNvGraphicFramePr/>
            <a:graphic xmlns:a="http://schemas.openxmlformats.org/drawingml/2006/main">
              <a:graphicData uri="http://schemas.openxmlformats.org/drawingml/2006/picture">
                <pic:pic xmlns:pic="http://schemas.openxmlformats.org/drawingml/2006/picture">
                  <pic:nvPicPr>
                    <pic:cNvPr id="0" name="image2.png" descr="IMG_287"/>
                    <pic:cNvPicPr preferRelativeResize="0"/>
                  </pic:nvPicPr>
                  <pic:blipFill>
                    <a:blip r:embed="rId48"/>
                    <a:srcRect/>
                    <a:stretch>
                      <a:fillRect/>
                    </a:stretch>
                  </pic:blipFill>
                  <pic:spPr>
                    <a:xfrm>
                      <a:off x="0" y="0"/>
                      <a:ext cx="5329678" cy="3034068"/>
                    </a:xfrm>
                    <a:prstGeom prst="rect">
                      <a:avLst/>
                    </a:prstGeom>
                    <a:ln/>
                  </pic:spPr>
                </pic:pic>
              </a:graphicData>
            </a:graphic>
          </wp:inline>
        </w:drawing>
      </w:r>
      <w:r w:rsidRPr="00170B7C">
        <w:rPr>
          <w:rFonts w:eastAsia="Calibri"/>
          <w:color w:val="000000"/>
          <w:sz w:val="28"/>
          <w:szCs w:val="28"/>
        </w:rPr>
        <w:t> </w:t>
      </w:r>
    </w:p>
    <w:p w14:paraId="1DC57F28" w14:textId="77777777" w:rsidR="00746A80" w:rsidRDefault="00746A80" w:rsidP="00135057">
      <w:pPr>
        <w:pBdr>
          <w:top w:val="none" w:sz="0" w:space="0" w:color="000000"/>
          <w:left w:val="none" w:sz="0" w:space="0" w:color="000000"/>
          <w:bottom w:val="none" w:sz="0" w:space="0" w:color="000000"/>
          <w:right w:val="none" w:sz="0" w:space="0" w:color="000000"/>
          <w:between w:val="none" w:sz="0" w:space="0" w:color="000000"/>
        </w:pBdr>
        <w:ind w:right="-260" w:firstLine="567"/>
        <w:rPr>
          <w:color w:val="000000"/>
          <w:sz w:val="28"/>
          <w:szCs w:val="28"/>
        </w:rPr>
      </w:pPr>
    </w:p>
    <w:p w14:paraId="3CABD442" w14:textId="77777777" w:rsidR="00C700B8" w:rsidRPr="00170B7C" w:rsidRDefault="00135057" w:rsidP="00135057">
      <w:pPr>
        <w:pBdr>
          <w:top w:val="none" w:sz="0" w:space="0" w:color="000000"/>
          <w:left w:val="none" w:sz="0" w:space="0" w:color="000000"/>
          <w:bottom w:val="none" w:sz="0" w:space="0" w:color="000000"/>
          <w:right w:val="none" w:sz="0" w:space="0" w:color="000000"/>
          <w:between w:val="none" w:sz="0" w:space="0" w:color="000000"/>
        </w:pBdr>
        <w:ind w:right="-260" w:firstLine="567"/>
        <w:rPr>
          <w:rFonts w:eastAsia="Calibri"/>
          <w:color w:val="000000"/>
          <w:sz w:val="28"/>
          <w:szCs w:val="28"/>
        </w:rPr>
      </w:pPr>
      <w:r w:rsidRPr="00170B7C">
        <w:rPr>
          <w:color w:val="000000"/>
          <w:sz w:val="28"/>
          <w:szCs w:val="28"/>
        </w:rPr>
        <w:t>c) </w:t>
      </w:r>
    </w:p>
    <w:p w14:paraId="26FAC0B2" w14:textId="77777777" w:rsidR="00C700B8" w:rsidRPr="00170B7C" w:rsidRDefault="00274D3C" w:rsidP="00AD66F2">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lastRenderedPageBreak/>
        <w:drawing>
          <wp:inline distT="0" distB="0" distL="114300" distR="114300" wp14:anchorId="11E24A42" wp14:editId="314790FB">
            <wp:extent cx="5114797" cy="2840018"/>
            <wp:effectExtent l="0" t="0" r="3810" b="5080"/>
            <wp:docPr id="383" name="image5.png" descr="IMG_288"/>
            <wp:cNvGraphicFramePr/>
            <a:graphic xmlns:a="http://schemas.openxmlformats.org/drawingml/2006/main">
              <a:graphicData uri="http://schemas.openxmlformats.org/drawingml/2006/picture">
                <pic:pic xmlns:pic="http://schemas.openxmlformats.org/drawingml/2006/picture">
                  <pic:nvPicPr>
                    <pic:cNvPr id="0" name="image5.png" descr="IMG_288"/>
                    <pic:cNvPicPr preferRelativeResize="0"/>
                  </pic:nvPicPr>
                  <pic:blipFill>
                    <a:blip r:embed="rId49"/>
                    <a:srcRect/>
                    <a:stretch>
                      <a:fillRect/>
                    </a:stretch>
                  </pic:blipFill>
                  <pic:spPr>
                    <a:xfrm>
                      <a:off x="0" y="0"/>
                      <a:ext cx="5184648" cy="2878803"/>
                    </a:xfrm>
                    <a:prstGeom prst="rect">
                      <a:avLst/>
                    </a:prstGeom>
                    <a:ln/>
                  </pic:spPr>
                </pic:pic>
              </a:graphicData>
            </a:graphic>
          </wp:inline>
        </w:drawing>
      </w:r>
    </w:p>
    <w:p w14:paraId="7CBF228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                                  </w:t>
      </w:r>
    </w:p>
    <w:p w14:paraId="4B9CD29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Рисунок 2</w:t>
      </w:r>
      <w:r w:rsidR="00496251" w:rsidRPr="00170B7C">
        <w:rPr>
          <w:color w:val="000000"/>
          <w:sz w:val="28"/>
          <w:szCs w:val="28"/>
        </w:rPr>
        <w:t>8</w:t>
      </w:r>
      <w:r w:rsidRPr="00170B7C">
        <w:rPr>
          <w:color w:val="000000"/>
          <w:sz w:val="28"/>
          <w:szCs w:val="28"/>
        </w:rPr>
        <w:t xml:space="preserve"> – Разница в расчетах объема правой доли печени между радиологом-1 и радиологом-2: a) мануальный, b) полуавтоматический, c) автоматический </w:t>
      </w:r>
    </w:p>
    <w:p w14:paraId="5A4899C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2E40C28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740"/>
        <w:jc w:val="both"/>
        <w:rPr>
          <w:rFonts w:eastAsia="Calibri"/>
          <w:color w:val="000000"/>
          <w:sz w:val="28"/>
          <w:szCs w:val="28"/>
        </w:rPr>
      </w:pPr>
      <w:r w:rsidRPr="00170B7C">
        <w:rPr>
          <w:color w:val="000000"/>
          <w:sz w:val="28"/>
          <w:szCs w:val="28"/>
        </w:rPr>
        <w:t>На представленном графике Бланда-Альтмана, продемонстрирована разница между средними значениями расчета объема правой доли печени, выполненной радиологом-1 и радиологом-2 в программах а) Volume Analysis, б) Osirix MD и в) CT Liver Analysis. Средняя горизонтальная линия показывает среднюю разницу.  Верхняя и нижняя горизонтальные линии демонстрируют 95%-ый доверительный интервал. </w:t>
      </w:r>
    </w:p>
    <w:p w14:paraId="0573C7A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Таким образом, несмотря на погрешность в расчетах между радиологами с разным опытом работы КТ-волюметрии не выявлено статистически значимых различий при расчете общего объема и правой доли печени тремя </w:t>
      </w:r>
      <w:r w:rsidR="00C15F57" w:rsidRPr="00170B7C">
        <w:rPr>
          <w:color w:val="000000"/>
          <w:sz w:val="28"/>
          <w:szCs w:val="28"/>
        </w:rPr>
        <w:t>методами</w:t>
      </w:r>
      <w:r w:rsidRPr="00170B7C">
        <w:rPr>
          <w:color w:val="000000"/>
          <w:sz w:val="28"/>
          <w:szCs w:val="28"/>
        </w:rPr>
        <w:t>. </w:t>
      </w:r>
    </w:p>
    <w:p w14:paraId="45C023B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Первым этапом КТ-волюметрии является расчет общего объема печени. Среднее значение рассчитанного общего объема печени составило 1164,4±137,0 мл для мануального метода Volume Analysis; 1277,4±190,4 мл для полуавтоматического метода OsiriX MD; и 1240,1±108,5 мл для автоматического метода CT Liver Analysis.  </w:t>
      </w:r>
    </w:p>
    <w:p w14:paraId="77281F7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Помимо проведения КТ-волюметрии нами также проведен расчет общего объема печени с использованием специальной формулы. Из всех представленных в литературных данных 16-ти формул, нами выбрана формула Урата (</w:t>
      </w:r>
      <w:r w:rsidR="0005459E" w:rsidRPr="0005459E">
        <w:rPr>
          <w:color w:val="000000"/>
          <w:sz w:val="28"/>
          <w:szCs w:val="28"/>
        </w:rPr>
        <w:t>4</w:t>
      </w:r>
      <w:r w:rsidR="00135057">
        <w:rPr>
          <w:color w:val="000000"/>
          <w:sz w:val="28"/>
          <w:szCs w:val="28"/>
        </w:rPr>
        <w:t>).</w:t>
      </w:r>
    </w:p>
    <w:p w14:paraId="594B0FB6"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p>
    <w:p w14:paraId="2FA6950E" w14:textId="77777777" w:rsidR="00C700B8" w:rsidRPr="00170B7C" w:rsidRDefault="00274D3C" w:rsidP="00135057">
      <w:pPr>
        <w:pBdr>
          <w:top w:val="none" w:sz="0" w:space="0" w:color="000000"/>
          <w:left w:val="none" w:sz="0" w:space="0" w:color="000000"/>
          <w:bottom w:val="none" w:sz="0" w:space="0" w:color="000000"/>
          <w:right w:val="none" w:sz="0" w:space="0" w:color="000000"/>
          <w:between w:val="none" w:sz="0" w:space="0" w:color="000000"/>
        </w:pBdr>
        <w:jc w:val="right"/>
        <w:rPr>
          <w:rFonts w:eastAsia="Calibri"/>
          <w:color w:val="000000"/>
          <w:sz w:val="28"/>
          <w:szCs w:val="28"/>
        </w:rPr>
      </w:pPr>
      <w:r w:rsidRPr="00170B7C">
        <w:rPr>
          <w:color w:val="000000"/>
          <w:sz w:val="28"/>
          <w:szCs w:val="28"/>
        </w:rPr>
        <w:t>СО</w:t>
      </w:r>
      <w:r w:rsidR="00135057">
        <w:rPr>
          <w:color w:val="000000"/>
          <w:sz w:val="28"/>
          <w:szCs w:val="28"/>
        </w:rPr>
        <w:t>О</w:t>
      </w:r>
      <w:r w:rsidRPr="00170B7C">
        <w:rPr>
          <w:color w:val="000000"/>
          <w:sz w:val="28"/>
          <w:szCs w:val="28"/>
        </w:rPr>
        <w:t>П (мл</w:t>
      </w:r>
      <w:r w:rsidRPr="00C60723">
        <w:rPr>
          <w:color w:val="000000"/>
          <w:sz w:val="28"/>
          <w:szCs w:val="28"/>
          <w:vertAlign w:val="superscript"/>
        </w:rPr>
        <w:t>3</w:t>
      </w:r>
      <w:r w:rsidRPr="00170B7C">
        <w:rPr>
          <w:color w:val="000000"/>
          <w:sz w:val="28"/>
          <w:szCs w:val="28"/>
        </w:rPr>
        <w:t>) = 706,2 × ППТ(м</w:t>
      </w:r>
      <w:r w:rsidRPr="00C60723">
        <w:rPr>
          <w:color w:val="000000"/>
          <w:sz w:val="28"/>
          <w:szCs w:val="28"/>
          <w:vertAlign w:val="superscript"/>
        </w:rPr>
        <w:t>2</w:t>
      </w:r>
      <w:r w:rsidRPr="00170B7C">
        <w:rPr>
          <w:color w:val="000000"/>
          <w:sz w:val="28"/>
          <w:szCs w:val="28"/>
        </w:rPr>
        <w:t>) + 2,4                                    (</w:t>
      </w:r>
      <w:r w:rsidR="0005459E" w:rsidRPr="00DE7669">
        <w:rPr>
          <w:color w:val="000000"/>
          <w:sz w:val="28"/>
          <w:szCs w:val="28"/>
        </w:rPr>
        <w:t>4</w:t>
      </w:r>
      <w:r w:rsidRPr="00170B7C">
        <w:rPr>
          <w:color w:val="000000"/>
          <w:sz w:val="28"/>
          <w:szCs w:val="28"/>
        </w:rPr>
        <w:t>)</w:t>
      </w:r>
    </w:p>
    <w:p w14:paraId="24B10F0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740"/>
        <w:jc w:val="both"/>
        <w:rPr>
          <w:rFonts w:eastAsia="Calibri"/>
          <w:color w:val="000000"/>
          <w:sz w:val="28"/>
          <w:szCs w:val="28"/>
        </w:rPr>
      </w:pPr>
      <w:r w:rsidRPr="00170B7C">
        <w:rPr>
          <w:color w:val="000000"/>
          <w:sz w:val="28"/>
          <w:szCs w:val="28"/>
        </w:rPr>
        <w:t>где ППТ — площадь поверхности тела;  </w:t>
      </w:r>
    </w:p>
    <w:p w14:paraId="379B652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740"/>
        <w:jc w:val="both"/>
        <w:rPr>
          <w:rFonts w:eastAsia="Calibri"/>
          <w:color w:val="000000"/>
          <w:sz w:val="28"/>
          <w:szCs w:val="28"/>
        </w:rPr>
      </w:pPr>
      <w:r w:rsidRPr="00170B7C">
        <w:rPr>
          <w:color w:val="000000"/>
          <w:sz w:val="28"/>
          <w:szCs w:val="28"/>
        </w:rPr>
        <w:t>      СО</w:t>
      </w:r>
      <w:r w:rsidR="00135057">
        <w:rPr>
          <w:color w:val="000000"/>
          <w:sz w:val="28"/>
          <w:szCs w:val="28"/>
        </w:rPr>
        <w:t>О</w:t>
      </w:r>
      <w:r w:rsidRPr="00170B7C">
        <w:rPr>
          <w:color w:val="000000"/>
          <w:sz w:val="28"/>
          <w:szCs w:val="28"/>
        </w:rPr>
        <w:t>П — стандартный объем печени </w:t>
      </w:r>
    </w:p>
    <w:p w14:paraId="5F85481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172A6A0D" w14:textId="77777777" w:rsidR="00135057" w:rsidRDefault="00330D21"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Pr>
          <w:color w:val="000000"/>
          <w:sz w:val="28"/>
          <w:szCs w:val="28"/>
        </w:rPr>
        <w:t>Формула Урата,</w:t>
      </w:r>
      <w:r w:rsidR="00526B4F">
        <w:rPr>
          <w:color w:val="000000"/>
          <w:sz w:val="28"/>
          <w:szCs w:val="28"/>
          <w:lang w:val="kk-KZ"/>
        </w:rPr>
        <w:t xml:space="preserve"> </w:t>
      </w:r>
      <w:r>
        <w:rPr>
          <w:color w:val="000000"/>
          <w:sz w:val="28"/>
          <w:szCs w:val="28"/>
        </w:rPr>
        <w:t xml:space="preserve">по литературным данным, </w:t>
      </w:r>
      <w:r w:rsidR="00135057" w:rsidRPr="00170B7C">
        <w:rPr>
          <w:color w:val="000000"/>
          <w:sz w:val="28"/>
          <w:szCs w:val="28"/>
        </w:rPr>
        <w:t xml:space="preserve">ранее уже </w:t>
      </w:r>
      <w:r>
        <w:rPr>
          <w:color w:val="000000"/>
          <w:sz w:val="28"/>
          <w:szCs w:val="28"/>
        </w:rPr>
        <w:t xml:space="preserve">была </w:t>
      </w:r>
      <w:r w:rsidR="00135057" w:rsidRPr="00170B7C">
        <w:rPr>
          <w:color w:val="000000"/>
          <w:sz w:val="28"/>
          <w:szCs w:val="28"/>
        </w:rPr>
        <w:t>проведен</w:t>
      </w:r>
      <w:r>
        <w:rPr>
          <w:color w:val="000000"/>
          <w:sz w:val="28"/>
          <w:szCs w:val="28"/>
        </w:rPr>
        <w:t>а</w:t>
      </w:r>
      <w:r w:rsidR="00135057" w:rsidRPr="00170B7C">
        <w:rPr>
          <w:color w:val="000000"/>
          <w:sz w:val="28"/>
          <w:szCs w:val="28"/>
        </w:rPr>
        <w:t xml:space="preserve"> на Азиатской популяции, более того</w:t>
      </w:r>
      <w:r>
        <w:rPr>
          <w:color w:val="000000"/>
          <w:sz w:val="28"/>
          <w:szCs w:val="28"/>
        </w:rPr>
        <w:t xml:space="preserve"> </w:t>
      </w:r>
      <w:r w:rsidR="00135057" w:rsidRPr="00170B7C">
        <w:rPr>
          <w:color w:val="000000"/>
          <w:sz w:val="28"/>
          <w:szCs w:val="28"/>
        </w:rPr>
        <w:t xml:space="preserve">продемонстрировала положительную </w:t>
      </w:r>
      <w:r w:rsidR="00135057" w:rsidRPr="00170B7C">
        <w:rPr>
          <w:color w:val="000000"/>
          <w:sz w:val="28"/>
          <w:szCs w:val="28"/>
        </w:rPr>
        <w:lastRenderedPageBreak/>
        <w:t xml:space="preserve">корреляцию с весом графта </w:t>
      </w:r>
      <w:r w:rsidR="00135057">
        <w:rPr>
          <w:color w:val="000000"/>
          <w:sz w:val="28"/>
          <w:szCs w:val="28"/>
        </w:rPr>
        <w:t>в сравнении с другими</w:t>
      </w:r>
      <w:r w:rsidR="00135057" w:rsidRPr="00170B7C">
        <w:rPr>
          <w:color w:val="000000"/>
          <w:sz w:val="28"/>
          <w:szCs w:val="28"/>
        </w:rPr>
        <w:t xml:space="preserve"> представленны</w:t>
      </w:r>
      <w:r w:rsidR="00135057">
        <w:rPr>
          <w:color w:val="000000"/>
          <w:sz w:val="28"/>
          <w:szCs w:val="28"/>
        </w:rPr>
        <w:t>ми</w:t>
      </w:r>
      <w:r>
        <w:rPr>
          <w:color w:val="000000"/>
          <w:sz w:val="28"/>
          <w:szCs w:val="28"/>
        </w:rPr>
        <w:t xml:space="preserve"> формулами</w:t>
      </w:r>
      <w:r w:rsidR="00135057">
        <w:rPr>
          <w:color w:val="000000"/>
          <w:sz w:val="28"/>
          <w:szCs w:val="28"/>
        </w:rPr>
        <w:t>.</w:t>
      </w:r>
      <w:r w:rsidR="00135057" w:rsidRPr="00170B7C">
        <w:rPr>
          <w:color w:val="000000"/>
          <w:sz w:val="28"/>
          <w:szCs w:val="28"/>
        </w:rPr>
        <w:t> </w:t>
      </w:r>
    </w:p>
    <w:p w14:paraId="51333F3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Для определения точности формулы Урата нами проведена корреляция между расчетом общего объема печени по формуле и </w:t>
      </w:r>
      <w:r w:rsidR="00330D21">
        <w:rPr>
          <w:color w:val="000000"/>
          <w:sz w:val="28"/>
          <w:szCs w:val="28"/>
        </w:rPr>
        <w:t xml:space="preserve">результатами </w:t>
      </w:r>
      <w:r w:rsidRPr="00170B7C">
        <w:rPr>
          <w:color w:val="000000"/>
          <w:sz w:val="28"/>
          <w:szCs w:val="28"/>
        </w:rPr>
        <w:t>КТ-волюметри</w:t>
      </w:r>
      <w:r w:rsidR="00330D21">
        <w:rPr>
          <w:color w:val="000000"/>
          <w:sz w:val="28"/>
          <w:szCs w:val="28"/>
        </w:rPr>
        <w:t>и</w:t>
      </w:r>
      <w:r w:rsidRPr="00170B7C">
        <w:rPr>
          <w:color w:val="000000"/>
          <w:sz w:val="28"/>
          <w:szCs w:val="28"/>
        </w:rPr>
        <w:t xml:space="preserve"> с целью перспективы дальнейшего ее использования.  </w:t>
      </w:r>
    </w:p>
    <w:p w14:paraId="360C767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Среднее значение объема печени рассчитанной с применением формулы Урата составило 1236,9±120,3 мл</w:t>
      </w:r>
      <w:r w:rsidRPr="00C60723">
        <w:rPr>
          <w:color w:val="000000"/>
          <w:sz w:val="28"/>
          <w:szCs w:val="28"/>
          <w:vertAlign w:val="superscript"/>
        </w:rPr>
        <w:t>3</w:t>
      </w:r>
      <w:r w:rsidRPr="00170B7C">
        <w:rPr>
          <w:color w:val="000000"/>
          <w:sz w:val="28"/>
          <w:szCs w:val="28"/>
        </w:rPr>
        <w:t>.  Корреляция Пирсона между расчетом общего объема печени формулой Урата и мануальным методом составила 0,580 (p&lt;0,001), полуавтоматическим - 0,576 (p&lt;0,001), автоматическим - 0,573 (p&lt;0,001), (рисунок 2</w:t>
      </w:r>
      <w:r w:rsidR="00496251" w:rsidRPr="00170B7C">
        <w:rPr>
          <w:color w:val="000000"/>
          <w:sz w:val="28"/>
          <w:szCs w:val="28"/>
        </w:rPr>
        <w:t>9</w:t>
      </w:r>
      <w:r w:rsidRPr="00170B7C">
        <w:rPr>
          <w:color w:val="000000"/>
          <w:sz w:val="28"/>
          <w:szCs w:val="28"/>
        </w:rPr>
        <w:t>). </w:t>
      </w:r>
    </w:p>
    <w:p w14:paraId="172AC05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5E220AD8" w14:textId="77777777" w:rsidR="00356292" w:rsidRPr="00170B7C" w:rsidRDefault="00356292" w:rsidP="00170B7C">
      <w:pPr>
        <w:pBdr>
          <w:top w:val="none" w:sz="0" w:space="0" w:color="000000"/>
          <w:left w:val="none" w:sz="0" w:space="0" w:color="000000"/>
          <w:bottom w:val="none" w:sz="0" w:space="0" w:color="000000"/>
          <w:right w:val="none" w:sz="0" w:space="0" w:color="000000"/>
          <w:between w:val="none" w:sz="0" w:space="0" w:color="000000"/>
        </w:pBdr>
        <w:rPr>
          <w:rFonts w:eastAsia="Arial"/>
          <w:color w:val="000000"/>
          <w:sz w:val="28"/>
          <w:szCs w:val="28"/>
        </w:rPr>
      </w:pPr>
    </w:p>
    <w:p w14:paraId="5B06EB9D" w14:textId="77777777" w:rsidR="00330D21" w:rsidRPr="00170B7C" w:rsidRDefault="00274D3C" w:rsidP="00526B4F">
      <w:pPr>
        <w:pBdr>
          <w:top w:val="none" w:sz="0" w:space="0" w:color="000000"/>
          <w:left w:val="none" w:sz="0" w:space="0" w:color="000000"/>
          <w:bottom w:val="none" w:sz="0" w:space="0" w:color="000000"/>
          <w:right w:val="none" w:sz="0" w:space="0" w:color="000000"/>
          <w:between w:val="none" w:sz="0" w:space="0" w:color="000000"/>
        </w:pBdr>
        <w:ind w:right="1274"/>
        <w:jc w:val="center"/>
        <w:rPr>
          <w:rFonts w:eastAsia="Arial"/>
          <w:color w:val="000000"/>
          <w:sz w:val="28"/>
          <w:szCs w:val="28"/>
        </w:rPr>
      </w:pPr>
      <w:r w:rsidRPr="00170B7C">
        <w:rPr>
          <w:rFonts w:eastAsia="Arial"/>
          <w:noProof/>
          <w:color w:val="000000"/>
          <w:sz w:val="28"/>
          <w:szCs w:val="28"/>
          <w:lang w:eastAsia="ru-RU"/>
        </w:rPr>
        <w:drawing>
          <wp:inline distT="0" distB="0" distL="114300" distR="114300" wp14:anchorId="2191C035" wp14:editId="6F876E9E">
            <wp:extent cx="4485767" cy="3075940"/>
            <wp:effectExtent l="0" t="0" r="0" b="0"/>
            <wp:docPr id="384" name="image14.png" descr="IMG_289"/>
            <wp:cNvGraphicFramePr/>
            <a:graphic xmlns:a="http://schemas.openxmlformats.org/drawingml/2006/main">
              <a:graphicData uri="http://schemas.openxmlformats.org/drawingml/2006/picture">
                <pic:pic xmlns:pic="http://schemas.openxmlformats.org/drawingml/2006/picture">
                  <pic:nvPicPr>
                    <pic:cNvPr id="0" name="image14.png" descr="IMG_289"/>
                    <pic:cNvPicPr preferRelativeResize="0"/>
                  </pic:nvPicPr>
                  <pic:blipFill rotWithShape="1">
                    <a:blip r:embed="rId50"/>
                    <a:srcRect r="14764"/>
                    <a:stretch/>
                  </pic:blipFill>
                  <pic:spPr bwMode="auto">
                    <a:xfrm>
                      <a:off x="0" y="0"/>
                      <a:ext cx="4542355" cy="3114743"/>
                    </a:xfrm>
                    <a:prstGeom prst="rect">
                      <a:avLst/>
                    </a:prstGeom>
                    <a:ln>
                      <a:noFill/>
                    </a:ln>
                    <a:extLst>
                      <a:ext uri="{53640926-AAD7-44D8-BBD7-CCE9431645EC}">
                        <a14:shadowObscured xmlns:a14="http://schemas.microsoft.com/office/drawing/2010/main"/>
                      </a:ext>
                    </a:extLst>
                  </pic:spPr>
                </pic:pic>
              </a:graphicData>
            </a:graphic>
          </wp:inline>
        </w:drawing>
      </w:r>
    </w:p>
    <w:p w14:paraId="3389DC7F" w14:textId="77777777" w:rsidR="00C700B8" w:rsidRPr="00170B7C" w:rsidRDefault="00274D3C" w:rsidP="00330D21">
      <w:pPr>
        <w:pBdr>
          <w:top w:val="none" w:sz="0" w:space="0" w:color="000000"/>
          <w:left w:val="none" w:sz="0" w:space="0" w:color="000000"/>
          <w:bottom w:val="none" w:sz="0" w:space="0" w:color="000000"/>
          <w:right w:val="none" w:sz="0" w:space="0" w:color="000000"/>
          <w:between w:val="none" w:sz="0" w:space="0" w:color="000000"/>
        </w:pBdr>
        <w:ind w:right="1880"/>
        <w:jc w:val="right"/>
        <w:rPr>
          <w:rFonts w:eastAsia="Calibri"/>
          <w:color w:val="000000"/>
          <w:sz w:val="28"/>
          <w:szCs w:val="28"/>
        </w:rPr>
      </w:pPr>
      <w:r w:rsidRPr="00170B7C">
        <w:rPr>
          <w:rFonts w:eastAsia="Arial"/>
          <w:noProof/>
          <w:color w:val="000000"/>
          <w:sz w:val="28"/>
          <w:szCs w:val="28"/>
          <w:lang w:eastAsia="ru-RU"/>
        </w:rPr>
        <w:drawing>
          <wp:inline distT="0" distB="0" distL="114300" distR="114300" wp14:anchorId="39AB9A89" wp14:editId="07544C6B">
            <wp:extent cx="4412914" cy="3022898"/>
            <wp:effectExtent l="0" t="0" r="0" b="0"/>
            <wp:docPr id="385" name="image17.png" descr="IMG_290"/>
            <wp:cNvGraphicFramePr/>
            <a:graphic xmlns:a="http://schemas.openxmlformats.org/drawingml/2006/main">
              <a:graphicData uri="http://schemas.openxmlformats.org/drawingml/2006/picture">
                <pic:pic xmlns:pic="http://schemas.openxmlformats.org/drawingml/2006/picture">
                  <pic:nvPicPr>
                    <pic:cNvPr id="0" name="image17.png" descr="IMG_290"/>
                    <pic:cNvPicPr preferRelativeResize="0"/>
                  </pic:nvPicPr>
                  <pic:blipFill>
                    <a:blip r:embed="rId51"/>
                    <a:srcRect/>
                    <a:stretch>
                      <a:fillRect/>
                    </a:stretch>
                  </pic:blipFill>
                  <pic:spPr>
                    <a:xfrm>
                      <a:off x="0" y="0"/>
                      <a:ext cx="4415441" cy="3024629"/>
                    </a:xfrm>
                    <a:prstGeom prst="rect">
                      <a:avLst/>
                    </a:prstGeom>
                    <a:ln/>
                  </pic:spPr>
                </pic:pic>
              </a:graphicData>
            </a:graphic>
          </wp:inline>
        </w:drawing>
      </w:r>
    </w:p>
    <w:p w14:paraId="4ADCD4A5" w14:textId="77777777" w:rsidR="00C700B8" w:rsidRPr="00170B7C" w:rsidRDefault="00330D21" w:rsidP="00330D21">
      <w:pPr>
        <w:pBdr>
          <w:top w:val="none" w:sz="0" w:space="0" w:color="000000"/>
          <w:left w:val="none" w:sz="0" w:space="0" w:color="000000"/>
          <w:bottom w:val="none" w:sz="0" w:space="0" w:color="000000"/>
          <w:right w:val="none" w:sz="0" w:space="0" w:color="000000"/>
          <w:between w:val="none" w:sz="0" w:space="0" w:color="000000"/>
        </w:pBdr>
        <w:ind w:firstLine="567"/>
        <w:rPr>
          <w:rFonts w:eastAsia="Calibri"/>
          <w:color w:val="000000"/>
          <w:sz w:val="28"/>
          <w:szCs w:val="28"/>
        </w:rPr>
      </w:pPr>
      <w:r>
        <w:rPr>
          <w:rFonts w:eastAsia="Calibri"/>
          <w:color w:val="000000"/>
          <w:sz w:val="28"/>
          <w:szCs w:val="28"/>
        </w:rPr>
        <w:lastRenderedPageBreak/>
        <w:t xml:space="preserve">   </w:t>
      </w:r>
      <w:r w:rsidR="00274D3C" w:rsidRPr="00170B7C">
        <w:rPr>
          <w:rFonts w:eastAsia="Arial"/>
          <w:noProof/>
          <w:color w:val="000000"/>
          <w:sz w:val="28"/>
          <w:szCs w:val="28"/>
          <w:lang w:eastAsia="ru-RU"/>
        </w:rPr>
        <w:drawing>
          <wp:inline distT="0" distB="0" distL="114300" distR="114300" wp14:anchorId="480465C2" wp14:editId="6BC0A8DA">
            <wp:extent cx="4389120" cy="3205480"/>
            <wp:effectExtent l="0" t="0" r="5080" b="0"/>
            <wp:docPr id="386" name="image15.png" descr="IMG_291"/>
            <wp:cNvGraphicFramePr/>
            <a:graphic xmlns:a="http://schemas.openxmlformats.org/drawingml/2006/main">
              <a:graphicData uri="http://schemas.openxmlformats.org/drawingml/2006/picture">
                <pic:pic xmlns:pic="http://schemas.openxmlformats.org/drawingml/2006/picture">
                  <pic:nvPicPr>
                    <pic:cNvPr id="0" name="image15.png" descr="IMG_291"/>
                    <pic:cNvPicPr preferRelativeResize="0"/>
                  </pic:nvPicPr>
                  <pic:blipFill>
                    <a:blip r:embed="rId52"/>
                    <a:srcRect/>
                    <a:stretch>
                      <a:fillRect/>
                    </a:stretch>
                  </pic:blipFill>
                  <pic:spPr>
                    <a:xfrm>
                      <a:off x="0" y="0"/>
                      <a:ext cx="4445125" cy="3246382"/>
                    </a:xfrm>
                    <a:prstGeom prst="rect">
                      <a:avLst/>
                    </a:prstGeom>
                    <a:ln/>
                  </pic:spPr>
                </pic:pic>
              </a:graphicData>
            </a:graphic>
          </wp:inline>
        </w:drawing>
      </w:r>
    </w:p>
    <w:p w14:paraId="14D695F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Рисунок 2</w:t>
      </w:r>
      <w:r w:rsidR="00496251" w:rsidRPr="00170B7C">
        <w:rPr>
          <w:color w:val="000000"/>
          <w:sz w:val="28"/>
          <w:szCs w:val="28"/>
        </w:rPr>
        <w:t>9</w:t>
      </w:r>
      <w:r w:rsidRPr="00170B7C">
        <w:rPr>
          <w:color w:val="000000"/>
          <w:sz w:val="28"/>
          <w:szCs w:val="28"/>
        </w:rPr>
        <w:t xml:space="preserve"> </w:t>
      </w:r>
      <w:r w:rsidR="00330D21" w:rsidRPr="00170B7C">
        <w:rPr>
          <w:color w:val="000000"/>
          <w:sz w:val="28"/>
          <w:szCs w:val="28"/>
        </w:rPr>
        <w:t xml:space="preserve">– </w:t>
      </w:r>
      <w:r w:rsidRPr="00170B7C">
        <w:rPr>
          <w:color w:val="000000"/>
          <w:sz w:val="28"/>
          <w:szCs w:val="28"/>
        </w:rPr>
        <w:t>Корреляция Пирсона между общим объемом печени, рассчитанный формулой Урата и мануальным, полуавтоматическим и автоматическим методами </w:t>
      </w:r>
    </w:p>
    <w:p w14:paraId="0744A87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6FFE738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Как видно из графика, формула Урата продемонстрировала слабоположительную корреляцию с КТ-волюметрией при расчете общего объема печени донора. Следовательно, данный метод ненадежен, и может быть применим только в крайних случаях, когда методы КТ-волюметрии печени недоступны.  </w:t>
      </w:r>
    </w:p>
    <w:p w14:paraId="0FA2EDA5" w14:textId="77777777" w:rsidR="00330D21" w:rsidRDefault="00274D3C" w:rsidP="005E1661">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Вторым этапом КТ-волюметрии является расчёт правой доли печени и процентного соотношения остаточного объема печени (левой доли), который должен составлять не менее 35% для нормальной жизнедеятельности донора</w:t>
      </w:r>
      <w:r w:rsidR="005E1661">
        <w:rPr>
          <w:color w:val="000000"/>
          <w:sz w:val="28"/>
          <w:szCs w:val="28"/>
        </w:rPr>
        <w:t xml:space="preserve"> </w:t>
      </w:r>
      <w:r w:rsidR="005E1661" w:rsidRPr="00170B7C">
        <w:rPr>
          <w:color w:val="000000"/>
          <w:sz w:val="28"/>
          <w:szCs w:val="28"/>
        </w:rPr>
        <w:t>(таблица 6).</w:t>
      </w:r>
      <w:r w:rsidR="005E1661">
        <w:rPr>
          <w:color w:val="000000"/>
          <w:sz w:val="28"/>
          <w:szCs w:val="28"/>
        </w:rPr>
        <w:t xml:space="preserve"> </w:t>
      </w:r>
    </w:p>
    <w:p w14:paraId="7883801F" w14:textId="77777777" w:rsidR="005E1661" w:rsidRDefault="005E1661" w:rsidP="005E1661">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p>
    <w:p w14:paraId="67D71367" w14:textId="77777777" w:rsidR="005E1661" w:rsidRDefault="005E1661" w:rsidP="005E1661">
      <w:pPr>
        <w:pBdr>
          <w:top w:val="none" w:sz="0" w:space="0" w:color="000000"/>
          <w:left w:val="none" w:sz="0" w:space="0" w:color="000000"/>
          <w:bottom w:val="none" w:sz="0" w:space="0" w:color="000000"/>
          <w:right w:val="none" w:sz="0" w:space="0" w:color="000000"/>
          <w:between w:val="none" w:sz="0" w:space="0" w:color="000000"/>
        </w:pBdr>
        <w:ind w:firstLine="567"/>
        <w:jc w:val="center"/>
        <w:rPr>
          <w:color w:val="000000"/>
          <w:sz w:val="28"/>
          <w:szCs w:val="28"/>
        </w:rPr>
      </w:pPr>
      <w:r w:rsidRPr="00170B7C">
        <w:rPr>
          <w:color w:val="000000"/>
          <w:sz w:val="28"/>
          <w:szCs w:val="28"/>
        </w:rPr>
        <w:t>Таблица 6 – Сравнительная характеристика расчета объема печени и массы трансплантата</w:t>
      </w:r>
    </w:p>
    <w:p w14:paraId="41105738" w14:textId="77777777" w:rsidR="005E1661" w:rsidRDefault="005E1661" w:rsidP="005E1661">
      <w:pPr>
        <w:pBdr>
          <w:top w:val="none" w:sz="0" w:space="0" w:color="000000"/>
          <w:left w:val="none" w:sz="0" w:space="0" w:color="000000"/>
          <w:bottom w:val="none" w:sz="0" w:space="0" w:color="000000"/>
          <w:right w:val="none" w:sz="0" w:space="0" w:color="000000"/>
          <w:between w:val="none" w:sz="0" w:space="0" w:color="000000"/>
        </w:pBdr>
        <w:ind w:firstLine="567"/>
        <w:jc w:val="center"/>
        <w:rPr>
          <w:color w:val="000000"/>
          <w:sz w:val="28"/>
          <w:szCs w:val="28"/>
        </w:rPr>
      </w:pPr>
    </w:p>
    <w:tbl>
      <w:tblPr>
        <w:tblStyle w:val="afe"/>
        <w:tblpPr w:leftFromText="180" w:rightFromText="180" w:vertAnchor="text" w:tblpX="-10" w:tblpY="1"/>
        <w:tblOverlap w:val="never"/>
        <w:tblW w:w="9638"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714"/>
        <w:gridCol w:w="2409"/>
        <w:gridCol w:w="2552"/>
        <w:gridCol w:w="1963"/>
      </w:tblGrid>
      <w:tr w:rsidR="005E1661" w:rsidRPr="00170B7C" w14:paraId="1B5D0175" w14:textId="77777777" w:rsidTr="00C36745">
        <w:trPr>
          <w:cantSplit/>
          <w:trHeight w:val="540"/>
        </w:trPr>
        <w:tc>
          <w:tcPr>
            <w:tcW w:w="2714" w:type="dxa"/>
            <w:tcBorders>
              <w:top w:val="single" w:sz="8" w:space="0" w:color="000000"/>
              <w:left w:val="single" w:sz="8" w:space="0" w:color="000000"/>
              <w:bottom w:val="single" w:sz="8" w:space="0" w:color="000000"/>
              <w:right w:val="single" w:sz="8" w:space="0" w:color="000000"/>
            </w:tcBorders>
            <w:shd w:val="clear" w:color="auto" w:fill="auto"/>
          </w:tcPr>
          <w:p w14:paraId="2AEEE267"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  Методика </w:t>
            </w:r>
          </w:p>
        </w:tc>
        <w:tc>
          <w:tcPr>
            <w:tcW w:w="2409" w:type="dxa"/>
            <w:tcBorders>
              <w:top w:val="single" w:sz="8" w:space="0" w:color="000000"/>
              <w:left w:val="single" w:sz="8" w:space="0" w:color="000000"/>
              <w:bottom w:val="single" w:sz="8" w:space="0" w:color="000000"/>
              <w:right w:val="single" w:sz="8" w:space="0" w:color="000000"/>
            </w:tcBorders>
            <w:shd w:val="clear" w:color="auto" w:fill="auto"/>
          </w:tcPr>
          <w:p w14:paraId="297041D7"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Общий объем печени (мл)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Pr>
          <w:p w14:paraId="529AA654"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Объем правой доли печени (мл) </w:t>
            </w:r>
          </w:p>
        </w:tc>
        <w:tc>
          <w:tcPr>
            <w:tcW w:w="1963" w:type="dxa"/>
            <w:tcBorders>
              <w:top w:val="single" w:sz="8" w:space="0" w:color="000000"/>
              <w:left w:val="single" w:sz="8" w:space="0" w:color="000000"/>
              <w:bottom w:val="single" w:sz="8" w:space="0" w:color="000000"/>
              <w:right w:val="single" w:sz="8" w:space="0" w:color="000000"/>
            </w:tcBorders>
            <w:shd w:val="clear" w:color="auto" w:fill="auto"/>
          </w:tcPr>
          <w:p w14:paraId="11EBBA76"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Вес графта (гр) </w:t>
            </w:r>
          </w:p>
        </w:tc>
      </w:tr>
      <w:tr w:rsidR="005E1661" w:rsidRPr="00170B7C" w14:paraId="53C3C663" w14:textId="77777777" w:rsidTr="00C36745">
        <w:trPr>
          <w:cantSplit/>
          <w:trHeight w:val="580"/>
        </w:trPr>
        <w:tc>
          <w:tcPr>
            <w:tcW w:w="2714" w:type="dxa"/>
            <w:tcBorders>
              <w:top w:val="single" w:sz="8" w:space="0" w:color="000000"/>
              <w:left w:val="single" w:sz="8" w:space="0" w:color="000000"/>
              <w:bottom w:val="single" w:sz="8" w:space="0" w:color="000000"/>
              <w:right w:val="single" w:sz="8" w:space="0" w:color="000000"/>
            </w:tcBorders>
            <w:shd w:val="clear" w:color="auto" w:fill="auto"/>
          </w:tcPr>
          <w:p w14:paraId="5A0DAF02"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Volume Analysis среднее±станд. откл. </w:t>
            </w:r>
          </w:p>
        </w:tc>
        <w:tc>
          <w:tcPr>
            <w:tcW w:w="2409" w:type="dxa"/>
            <w:tcBorders>
              <w:top w:val="single" w:sz="8" w:space="0" w:color="000000"/>
              <w:left w:val="single" w:sz="8" w:space="0" w:color="000000"/>
              <w:bottom w:val="single" w:sz="8" w:space="0" w:color="000000"/>
              <w:right w:val="single" w:sz="8" w:space="0" w:color="000000"/>
            </w:tcBorders>
            <w:shd w:val="clear" w:color="auto" w:fill="auto"/>
          </w:tcPr>
          <w:p w14:paraId="59FFC0D5"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439594CE"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1166,4 ±137,0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Pr>
          <w:p w14:paraId="5C7A6C1D"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5F928719"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762,0±122,4 </w:t>
            </w:r>
          </w:p>
        </w:tc>
        <w:tc>
          <w:tcPr>
            <w:tcW w:w="1963" w:type="dxa"/>
            <w:vMerge w:val="restart"/>
            <w:tcBorders>
              <w:top w:val="single" w:sz="8" w:space="0" w:color="000000"/>
              <w:left w:val="single" w:sz="8" w:space="0" w:color="000000"/>
              <w:bottom w:val="single" w:sz="8" w:space="0" w:color="000000"/>
              <w:right w:val="single" w:sz="8" w:space="0" w:color="000000"/>
            </w:tcBorders>
            <w:shd w:val="clear" w:color="auto" w:fill="auto"/>
          </w:tcPr>
          <w:p w14:paraId="1355BFDF"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5BAE962B"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711,2 ±142,9 </w:t>
            </w:r>
          </w:p>
        </w:tc>
      </w:tr>
      <w:tr w:rsidR="005E1661" w:rsidRPr="00170B7C" w14:paraId="41EB9A12" w14:textId="77777777" w:rsidTr="00C36745">
        <w:trPr>
          <w:cantSplit/>
          <w:trHeight w:val="540"/>
        </w:trPr>
        <w:tc>
          <w:tcPr>
            <w:tcW w:w="2714" w:type="dxa"/>
            <w:tcBorders>
              <w:top w:val="single" w:sz="8" w:space="0" w:color="000000"/>
              <w:left w:val="single" w:sz="8" w:space="0" w:color="000000"/>
              <w:bottom w:val="single" w:sz="8" w:space="0" w:color="000000"/>
              <w:right w:val="single" w:sz="8" w:space="0" w:color="000000"/>
            </w:tcBorders>
            <w:shd w:val="clear" w:color="auto" w:fill="auto"/>
          </w:tcPr>
          <w:p w14:paraId="189EAAD8"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OsiriX MD </w:t>
            </w:r>
          </w:p>
          <w:p w14:paraId="1A0CE302"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среднее±станд. откл. </w:t>
            </w:r>
          </w:p>
        </w:tc>
        <w:tc>
          <w:tcPr>
            <w:tcW w:w="2409" w:type="dxa"/>
            <w:tcBorders>
              <w:top w:val="single" w:sz="8" w:space="0" w:color="000000"/>
              <w:left w:val="single" w:sz="8" w:space="0" w:color="000000"/>
              <w:bottom w:val="single" w:sz="8" w:space="0" w:color="000000"/>
              <w:right w:val="single" w:sz="8" w:space="0" w:color="000000"/>
            </w:tcBorders>
            <w:shd w:val="clear" w:color="auto" w:fill="auto"/>
          </w:tcPr>
          <w:p w14:paraId="7B6D8297"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3337C3E8"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1277,4±190,4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Pr>
          <w:p w14:paraId="7D63683B"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69A28E2D"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792,4±138,8 </w:t>
            </w:r>
          </w:p>
        </w:tc>
        <w:tc>
          <w:tcPr>
            <w:tcW w:w="1963" w:type="dxa"/>
            <w:vMerge/>
            <w:tcBorders>
              <w:top w:val="single" w:sz="8" w:space="0" w:color="000000"/>
              <w:left w:val="single" w:sz="8" w:space="0" w:color="000000"/>
              <w:bottom w:val="single" w:sz="8" w:space="0" w:color="000000"/>
              <w:right w:val="single" w:sz="8" w:space="0" w:color="000000"/>
            </w:tcBorders>
            <w:shd w:val="clear" w:color="auto" w:fill="auto"/>
          </w:tcPr>
          <w:p w14:paraId="1C35402C" w14:textId="77777777" w:rsidR="005E1661" w:rsidRPr="00170B7C" w:rsidRDefault="005E1661" w:rsidP="00C36745">
            <w:pPr>
              <w:widowControl w:val="0"/>
              <w:pBdr>
                <w:top w:val="nil"/>
                <w:left w:val="nil"/>
                <w:bottom w:val="nil"/>
                <w:right w:val="nil"/>
                <w:between w:val="nil"/>
              </w:pBdr>
              <w:rPr>
                <w:rFonts w:eastAsia="Calibri"/>
                <w:color w:val="000000"/>
                <w:sz w:val="28"/>
                <w:szCs w:val="28"/>
              </w:rPr>
            </w:pPr>
          </w:p>
        </w:tc>
      </w:tr>
      <w:tr w:rsidR="005E1661" w:rsidRPr="00170B7C" w14:paraId="63E87E1A" w14:textId="77777777" w:rsidTr="00C36745">
        <w:trPr>
          <w:cantSplit/>
          <w:trHeight w:val="580"/>
        </w:trPr>
        <w:tc>
          <w:tcPr>
            <w:tcW w:w="2714" w:type="dxa"/>
            <w:tcBorders>
              <w:top w:val="single" w:sz="8" w:space="0" w:color="000000"/>
              <w:left w:val="single" w:sz="8" w:space="0" w:color="000000"/>
              <w:bottom w:val="single" w:sz="8" w:space="0" w:color="000000"/>
              <w:right w:val="single" w:sz="8" w:space="0" w:color="000000"/>
            </w:tcBorders>
            <w:shd w:val="clear" w:color="auto" w:fill="auto"/>
          </w:tcPr>
          <w:p w14:paraId="06828653"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CT Liver Analysis </w:t>
            </w:r>
          </w:p>
          <w:p w14:paraId="5867D333"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среднее±станд. откл. </w:t>
            </w:r>
          </w:p>
        </w:tc>
        <w:tc>
          <w:tcPr>
            <w:tcW w:w="2409" w:type="dxa"/>
            <w:tcBorders>
              <w:top w:val="single" w:sz="8" w:space="0" w:color="000000"/>
              <w:left w:val="single" w:sz="8" w:space="0" w:color="000000"/>
              <w:bottom w:val="single" w:sz="8" w:space="0" w:color="000000"/>
              <w:right w:val="single" w:sz="8" w:space="0" w:color="000000"/>
            </w:tcBorders>
            <w:shd w:val="clear" w:color="auto" w:fill="auto"/>
          </w:tcPr>
          <w:p w14:paraId="221E3C72"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7D01B0FC"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1240,1±108,5 </w:t>
            </w:r>
          </w:p>
        </w:tc>
        <w:tc>
          <w:tcPr>
            <w:tcW w:w="2552" w:type="dxa"/>
            <w:tcBorders>
              <w:top w:val="single" w:sz="8" w:space="0" w:color="000000"/>
              <w:left w:val="single" w:sz="8" w:space="0" w:color="000000"/>
              <w:bottom w:val="single" w:sz="8" w:space="0" w:color="000000"/>
              <w:right w:val="single" w:sz="8" w:space="0" w:color="000000"/>
            </w:tcBorders>
            <w:shd w:val="clear" w:color="auto" w:fill="auto"/>
          </w:tcPr>
          <w:p w14:paraId="44EFB001"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3A3FE4F7" w14:textId="77777777" w:rsidR="005E1661" w:rsidRPr="00170B7C" w:rsidRDefault="005E1661" w:rsidP="00C36745">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765,4 ±132,7 </w:t>
            </w:r>
          </w:p>
        </w:tc>
        <w:tc>
          <w:tcPr>
            <w:tcW w:w="1963" w:type="dxa"/>
            <w:vMerge/>
            <w:tcBorders>
              <w:top w:val="single" w:sz="8" w:space="0" w:color="000000"/>
              <w:left w:val="single" w:sz="8" w:space="0" w:color="000000"/>
              <w:bottom w:val="single" w:sz="8" w:space="0" w:color="000000"/>
              <w:right w:val="single" w:sz="8" w:space="0" w:color="000000"/>
            </w:tcBorders>
            <w:shd w:val="clear" w:color="auto" w:fill="auto"/>
          </w:tcPr>
          <w:p w14:paraId="403F9FF6" w14:textId="77777777" w:rsidR="005E1661" w:rsidRPr="00170B7C" w:rsidRDefault="005E1661" w:rsidP="00C36745">
            <w:pPr>
              <w:widowControl w:val="0"/>
              <w:pBdr>
                <w:top w:val="nil"/>
                <w:left w:val="nil"/>
                <w:bottom w:val="nil"/>
                <w:right w:val="nil"/>
                <w:between w:val="nil"/>
              </w:pBdr>
              <w:rPr>
                <w:rFonts w:eastAsia="Calibri"/>
                <w:color w:val="000000"/>
                <w:sz w:val="28"/>
                <w:szCs w:val="28"/>
              </w:rPr>
            </w:pPr>
          </w:p>
        </w:tc>
      </w:tr>
    </w:tbl>
    <w:p w14:paraId="693A8E33" w14:textId="77777777" w:rsidR="005E1661" w:rsidRDefault="005E1661" w:rsidP="005E1661">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p>
    <w:p w14:paraId="066E23CE" w14:textId="77777777" w:rsidR="005E1661" w:rsidRDefault="005E1661" w:rsidP="005E1661">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Как видно из таблицы 6, все три метода несколько превышали рассчитанный объем печени в сравнении с весом графта.  </w:t>
      </w:r>
    </w:p>
    <w:p w14:paraId="4A60512E" w14:textId="77777777" w:rsidR="00330D21" w:rsidRDefault="00274D3C" w:rsidP="00330D21">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lastRenderedPageBreak/>
        <w:t>Средний остаточный объем печени донора по данным мануального метода составил 35,6±7,6%; по данным полуавтоматического метода 41,1±4,8%; автоматического метода 36,3±4,8%.  </w:t>
      </w:r>
      <w:r w:rsidR="00C15F57" w:rsidRPr="00170B7C">
        <w:rPr>
          <w:color w:val="000000"/>
          <w:sz w:val="28"/>
          <w:szCs w:val="28"/>
        </w:rPr>
        <w:t>36,3±4,8%.  </w:t>
      </w:r>
    </w:p>
    <w:p w14:paraId="6C172627" w14:textId="77777777" w:rsidR="00330D21" w:rsidRDefault="00C15F57" w:rsidP="00330D21">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Средний показатель соотношения массы трансплантата к массе тела реципиента 1,2±0,3%.</w:t>
      </w:r>
      <w:r w:rsidR="00330D21">
        <w:rPr>
          <w:color w:val="000000"/>
          <w:sz w:val="28"/>
          <w:szCs w:val="28"/>
        </w:rPr>
        <w:t xml:space="preserve"> </w:t>
      </w:r>
    </w:p>
    <w:p w14:paraId="4F1F9B35" w14:textId="77777777" w:rsidR="00330D21" w:rsidRDefault="00274D3C" w:rsidP="00330D21">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Среднее значение рассчитанной правой доли печени составило 762,0±122,4 мл для программы Volume Analysis; 792,9±139,9 мл для программы OsiriX MD и 765,4±132,7 мл для программы CT Liver Analysis.  </w:t>
      </w:r>
    </w:p>
    <w:p w14:paraId="0A920F9B" w14:textId="77777777" w:rsidR="00356292" w:rsidRPr="005E1661" w:rsidRDefault="00274D3C" w:rsidP="005E1661">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Среднее значение массы интраоперационно взвешенного хирургами трансплантата составило 711,2±142,9 гр</w:t>
      </w:r>
      <w:r w:rsidR="005E1661">
        <w:rPr>
          <w:color w:val="000000"/>
          <w:sz w:val="28"/>
          <w:szCs w:val="28"/>
        </w:rPr>
        <w:t>.</w:t>
      </w:r>
      <w:r w:rsidRPr="00170B7C">
        <w:rPr>
          <w:color w:val="000000"/>
          <w:sz w:val="28"/>
          <w:szCs w:val="28"/>
        </w:rPr>
        <w:t xml:space="preserve"> </w:t>
      </w:r>
    </w:p>
    <w:p w14:paraId="206D6E8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Корреляция Пирсона и линейный график использовались для оценки связи между массой трансплантата и объемом правой доли печени рассчитанный на каждом из трех методов КТ-волюметрии: мануальный, полуавтоматический и автоматический.  </w:t>
      </w:r>
    </w:p>
    <w:p w14:paraId="2134D907" w14:textId="77777777" w:rsidR="00C700B8" w:rsidRPr="00E8569A"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lang w:val="en-US"/>
        </w:rPr>
      </w:pPr>
      <w:r w:rsidRPr="00170B7C">
        <w:rPr>
          <w:color w:val="000000"/>
          <w:sz w:val="28"/>
          <w:szCs w:val="28"/>
        </w:rPr>
        <w:t xml:space="preserve">Анализ показал, что объем правой доли печени, рассчитанный с помощью программы Volume Analysis, высоко коррелирует с весом графта (r=0,730; p&lt;0,001) по сравнению с объемом, рассчитанным с помощью программами OsiriX MD (r=0,685; p&lt;0,001) и CT Liver Analysis (r=0,699; р&lt;0,001). </w:t>
      </w:r>
      <w:r w:rsidRPr="00D32828">
        <w:rPr>
          <w:color w:val="000000"/>
          <w:sz w:val="28"/>
          <w:szCs w:val="28"/>
          <w:lang w:val="en-US"/>
        </w:rPr>
        <w:t>R</w:t>
      </w:r>
      <w:r w:rsidRPr="00E8569A">
        <w:rPr>
          <w:color w:val="000000"/>
          <w:sz w:val="28"/>
          <w:szCs w:val="28"/>
          <w:lang w:val="en-US"/>
        </w:rPr>
        <w:t xml:space="preserve">2 </w:t>
      </w:r>
      <w:r w:rsidRPr="00170B7C">
        <w:rPr>
          <w:color w:val="000000"/>
          <w:sz w:val="28"/>
          <w:szCs w:val="28"/>
        </w:rPr>
        <w:t>составил</w:t>
      </w:r>
      <w:r w:rsidRPr="00E8569A">
        <w:rPr>
          <w:color w:val="000000"/>
          <w:sz w:val="28"/>
          <w:szCs w:val="28"/>
          <w:lang w:val="en-US"/>
        </w:rPr>
        <w:t xml:space="preserve"> 0,533 </w:t>
      </w:r>
      <w:r w:rsidRPr="00170B7C">
        <w:rPr>
          <w:color w:val="000000"/>
          <w:sz w:val="28"/>
          <w:szCs w:val="28"/>
        </w:rPr>
        <w:t>для</w:t>
      </w:r>
      <w:r w:rsidRPr="00E8569A">
        <w:rPr>
          <w:color w:val="000000"/>
          <w:sz w:val="28"/>
          <w:szCs w:val="28"/>
          <w:lang w:val="en-US"/>
        </w:rPr>
        <w:t xml:space="preserve"> </w:t>
      </w:r>
      <w:r w:rsidRPr="00D32828">
        <w:rPr>
          <w:color w:val="000000"/>
          <w:sz w:val="28"/>
          <w:szCs w:val="28"/>
          <w:lang w:val="en-US"/>
        </w:rPr>
        <w:t>Volume</w:t>
      </w:r>
      <w:r w:rsidRPr="00E8569A">
        <w:rPr>
          <w:color w:val="000000"/>
          <w:sz w:val="28"/>
          <w:szCs w:val="28"/>
          <w:lang w:val="en-US"/>
        </w:rPr>
        <w:t xml:space="preserve"> </w:t>
      </w:r>
      <w:r w:rsidRPr="00D32828">
        <w:rPr>
          <w:color w:val="000000"/>
          <w:sz w:val="28"/>
          <w:szCs w:val="28"/>
          <w:lang w:val="en-US"/>
        </w:rPr>
        <w:t>Analysis</w:t>
      </w:r>
      <w:r w:rsidRPr="00E8569A">
        <w:rPr>
          <w:color w:val="000000"/>
          <w:sz w:val="28"/>
          <w:szCs w:val="28"/>
          <w:lang w:val="en-US"/>
        </w:rPr>
        <w:t xml:space="preserve">, 0,469 </w:t>
      </w:r>
      <w:r w:rsidRPr="00170B7C">
        <w:rPr>
          <w:color w:val="000000"/>
          <w:sz w:val="28"/>
          <w:szCs w:val="28"/>
        </w:rPr>
        <w:t>для</w:t>
      </w:r>
      <w:r w:rsidRPr="00E8569A">
        <w:rPr>
          <w:color w:val="000000"/>
          <w:sz w:val="28"/>
          <w:szCs w:val="28"/>
          <w:lang w:val="en-US"/>
        </w:rPr>
        <w:t xml:space="preserve"> </w:t>
      </w:r>
      <w:r w:rsidRPr="00D32828">
        <w:rPr>
          <w:color w:val="000000"/>
          <w:sz w:val="28"/>
          <w:szCs w:val="28"/>
          <w:lang w:val="en-US"/>
        </w:rPr>
        <w:t>OsiriX</w:t>
      </w:r>
      <w:r w:rsidRPr="00E8569A">
        <w:rPr>
          <w:color w:val="000000"/>
          <w:sz w:val="28"/>
          <w:szCs w:val="28"/>
          <w:lang w:val="en-US"/>
        </w:rPr>
        <w:t xml:space="preserve"> </w:t>
      </w:r>
      <w:r w:rsidRPr="00D32828">
        <w:rPr>
          <w:color w:val="000000"/>
          <w:sz w:val="28"/>
          <w:szCs w:val="28"/>
          <w:lang w:val="en-US"/>
        </w:rPr>
        <w:t>MD</w:t>
      </w:r>
      <w:r w:rsidRPr="00E8569A">
        <w:rPr>
          <w:color w:val="000000"/>
          <w:sz w:val="28"/>
          <w:szCs w:val="28"/>
          <w:lang w:val="en-US"/>
        </w:rPr>
        <w:t xml:space="preserve"> </w:t>
      </w:r>
      <w:r w:rsidRPr="00170B7C">
        <w:rPr>
          <w:color w:val="000000"/>
          <w:sz w:val="28"/>
          <w:szCs w:val="28"/>
        </w:rPr>
        <w:t>и</w:t>
      </w:r>
      <w:r w:rsidRPr="00E8569A">
        <w:rPr>
          <w:color w:val="000000"/>
          <w:sz w:val="28"/>
          <w:szCs w:val="28"/>
          <w:lang w:val="en-US"/>
        </w:rPr>
        <w:t xml:space="preserve"> 0,488 </w:t>
      </w:r>
      <w:r w:rsidRPr="00170B7C">
        <w:rPr>
          <w:color w:val="000000"/>
          <w:sz w:val="28"/>
          <w:szCs w:val="28"/>
        </w:rPr>
        <w:t>для</w:t>
      </w:r>
      <w:r w:rsidRPr="00E8569A">
        <w:rPr>
          <w:color w:val="000000"/>
          <w:sz w:val="28"/>
          <w:szCs w:val="28"/>
          <w:lang w:val="en-US"/>
        </w:rPr>
        <w:t xml:space="preserve"> </w:t>
      </w:r>
      <w:r w:rsidRPr="00D32828">
        <w:rPr>
          <w:color w:val="000000"/>
          <w:sz w:val="28"/>
          <w:szCs w:val="28"/>
          <w:lang w:val="en-US"/>
        </w:rPr>
        <w:t>CT</w:t>
      </w:r>
      <w:r w:rsidRPr="00E8569A">
        <w:rPr>
          <w:color w:val="000000"/>
          <w:sz w:val="28"/>
          <w:szCs w:val="28"/>
          <w:lang w:val="en-US"/>
        </w:rPr>
        <w:t xml:space="preserve"> </w:t>
      </w:r>
      <w:r w:rsidRPr="00D32828">
        <w:rPr>
          <w:color w:val="000000"/>
          <w:sz w:val="28"/>
          <w:szCs w:val="28"/>
          <w:lang w:val="en-US"/>
        </w:rPr>
        <w:t>Liver</w:t>
      </w:r>
      <w:r w:rsidRPr="00E8569A">
        <w:rPr>
          <w:color w:val="000000"/>
          <w:sz w:val="28"/>
          <w:szCs w:val="28"/>
          <w:lang w:val="en-US"/>
        </w:rPr>
        <w:t xml:space="preserve"> </w:t>
      </w:r>
      <w:r w:rsidRPr="00D32828">
        <w:rPr>
          <w:color w:val="000000"/>
          <w:sz w:val="28"/>
          <w:szCs w:val="28"/>
          <w:lang w:val="en-US"/>
        </w:rPr>
        <w:t>Analysis</w:t>
      </w:r>
      <w:r w:rsidR="00C15F57" w:rsidRPr="00E8569A">
        <w:rPr>
          <w:color w:val="000000"/>
          <w:sz w:val="28"/>
          <w:szCs w:val="28"/>
          <w:lang w:val="en-US"/>
        </w:rPr>
        <w:t xml:space="preserve">, </w:t>
      </w:r>
      <w:r w:rsidRPr="00E8569A">
        <w:rPr>
          <w:color w:val="000000"/>
          <w:sz w:val="28"/>
          <w:szCs w:val="28"/>
          <w:lang w:val="en-US"/>
        </w:rPr>
        <w:t>(</w:t>
      </w:r>
      <w:r w:rsidRPr="00D32828">
        <w:rPr>
          <w:color w:val="000000"/>
          <w:sz w:val="28"/>
          <w:szCs w:val="28"/>
          <w:lang w:val="en-US"/>
        </w:rPr>
        <w:t>p</w:t>
      </w:r>
      <w:r w:rsidRPr="00E8569A">
        <w:rPr>
          <w:color w:val="000000"/>
          <w:sz w:val="28"/>
          <w:szCs w:val="28"/>
          <w:lang w:val="en-US"/>
        </w:rPr>
        <w:t>&lt;0,001) (</w:t>
      </w:r>
      <w:r w:rsidRPr="00170B7C">
        <w:rPr>
          <w:color w:val="000000"/>
          <w:sz w:val="28"/>
          <w:szCs w:val="28"/>
        </w:rPr>
        <w:t>рисунок</w:t>
      </w:r>
      <w:r w:rsidRPr="00E8569A">
        <w:rPr>
          <w:color w:val="000000"/>
          <w:sz w:val="28"/>
          <w:szCs w:val="28"/>
          <w:lang w:val="en-US"/>
        </w:rPr>
        <w:t xml:space="preserve"> </w:t>
      </w:r>
      <w:r w:rsidR="00496251" w:rsidRPr="00E8569A">
        <w:rPr>
          <w:color w:val="000000"/>
          <w:sz w:val="28"/>
          <w:szCs w:val="28"/>
          <w:lang w:val="en-US"/>
        </w:rPr>
        <w:t>30</w:t>
      </w:r>
      <w:r w:rsidRPr="00E8569A">
        <w:rPr>
          <w:color w:val="000000"/>
          <w:sz w:val="28"/>
          <w:szCs w:val="28"/>
          <w:lang w:val="en-US"/>
        </w:rPr>
        <w:t xml:space="preserve"> </w:t>
      </w:r>
      <w:r w:rsidRPr="00D32828">
        <w:rPr>
          <w:color w:val="000000"/>
          <w:sz w:val="28"/>
          <w:szCs w:val="28"/>
          <w:lang w:val="en-US"/>
        </w:rPr>
        <w:t>a</w:t>
      </w:r>
      <w:r w:rsidRPr="00E8569A">
        <w:rPr>
          <w:color w:val="000000"/>
          <w:sz w:val="28"/>
          <w:szCs w:val="28"/>
          <w:lang w:val="en-US"/>
        </w:rPr>
        <w:t>,</w:t>
      </w:r>
      <w:r w:rsidRPr="00D32828">
        <w:rPr>
          <w:color w:val="000000"/>
          <w:sz w:val="28"/>
          <w:szCs w:val="28"/>
          <w:lang w:val="en-US"/>
        </w:rPr>
        <w:t>b</w:t>
      </w:r>
      <w:r w:rsidRPr="00E8569A">
        <w:rPr>
          <w:color w:val="000000"/>
          <w:sz w:val="28"/>
          <w:szCs w:val="28"/>
          <w:lang w:val="en-US"/>
        </w:rPr>
        <w:t>,</w:t>
      </w:r>
      <w:r w:rsidRPr="00D32828">
        <w:rPr>
          <w:color w:val="000000"/>
          <w:sz w:val="28"/>
          <w:szCs w:val="28"/>
          <w:lang w:val="en-US"/>
        </w:rPr>
        <w:t>c</w:t>
      </w:r>
      <w:r w:rsidRPr="00E8569A">
        <w:rPr>
          <w:color w:val="000000"/>
          <w:sz w:val="28"/>
          <w:szCs w:val="28"/>
          <w:lang w:val="en-US"/>
        </w:rPr>
        <w:t>).</w:t>
      </w:r>
      <w:r w:rsidRPr="00D32828">
        <w:rPr>
          <w:color w:val="000000"/>
          <w:sz w:val="28"/>
          <w:szCs w:val="28"/>
          <w:lang w:val="en-US"/>
        </w:rPr>
        <w:t>  </w:t>
      </w:r>
    </w:p>
    <w:p w14:paraId="0376A1B0" w14:textId="77777777" w:rsidR="00356292" w:rsidRPr="00E8569A"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color w:val="000000"/>
          <w:sz w:val="28"/>
          <w:szCs w:val="28"/>
          <w:lang w:val="en-US"/>
        </w:rPr>
      </w:pPr>
      <w:r w:rsidRPr="00D32828">
        <w:rPr>
          <w:color w:val="000000"/>
          <w:sz w:val="28"/>
          <w:szCs w:val="28"/>
          <w:lang w:val="en-US"/>
        </w:rPr>
        <w:t>    </w:t>
      </w:r>
    </w:p>
    <w:p w14:paraId="79257CA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a) </w:t>
      </w:r>
    </w:p>
    <w:p w14:paraId="2E2B2653" w14:textId="77777777" w:rsidR="00356292" w:rsidRPr="0025097B" w:rsidRDefault="00274D3C" w:rsidP="005E1661">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591AAA2E" wp14:editId="6EFF91A2">
            <wp:extent cx="5411096" cy="3119120"/>
            <wp:effectExtent l="0" t="0" r="0" b="5080"/>
            <wp:docPr id="387" name="image10.png" descr="IMG_292"/>
            <wp:cNvGraphicFramePr/>
            <a:graphic xmlns:a="http://schemas.openxmlformats.org/drawingml/2006/main">
              <a:graphicData uri="http://schemas.openxmlformats.org/drawingml/2006/picture">
                <pic:pic xmlns:pic="http://schemas.openxmlformats.org/drawingml/2006/picture">
                  <pic:nvPicPr>
                    <pic:cNvPr id="0" name="image10.png" descr="IMG_292"/>
                    <pic:cNvPicPr preferRelativeResize="0"/>
                  </pic:nvPicPr>
                  <pic:blipFill>
                    <a:blip r:embed="rId53"/>
                    <a:srcRect/>
                    <a:stretch>
                      <a:fillRect/>
                    </a:stretch>
                  </pic:blipFill>
                  <pic:spPr>
                    <a:xfrm>
                      <a:off x="0" y="0"/>
                      <a:ext cx="5416461" cy="3122213"/>
                    </a:xfrm>
                    <a:prstGeom prst="rect">
                      <a:avLst/>
                    </a:prstGeom>
                    <a:ln/>
                  </pic:spPr>
                </pic:pic>
              </a:graphicData>
            </a:graphic>
          </wp:inline>
        </w:drawing>
      </w:r>
    </w:p>
    <w:p w14:paraId="4869FF1D" w14:textId="77777777" w:rsidR="005E1661" w:rsidRDefault="005E1661"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p>
    <w:p w14:paraId="256CE7E2" w14:textId="77777777" w:rsidR="005E1661" w:rsidRDefault="005E1661"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p>
    <w:p w14:paraId="5E08959A" w14:textId="77777777" w:rsidR="005E1661" w:rsidRDefault="005E1661"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p>
    <w:p w14:paraId="0A60203F" w14:textId="77777777" w:rsidR="005E1661" w:rsidRDefault="005E1661"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p>
    <w:p w14:paraId="24C1C88F" w14:textId="77777777" w:rsidR="005E1661" w:rsidRDefault="005E1661"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p>
    <w:p w14:paraId="3937EE37" w14:textId="77777777" w:rsidR="005E1661" w:rsidRDefault="005E1661"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p>
    <w:p w14:paraId="31BA8CC6" w14:textId="77777777" w:rsidR="005E1661" w:rsidRDefault="005E1661"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p>
    <w:p w14:paraId="5CB744C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lastRenderedPageBreak/>
        <w:t>b) </w:t>
      </w:r>
    </w:p>
    <w:p w14:paraId="7DD62649" w14:textId="77777777" w:rsidR="00C700B8" w:rsidRDefault="00274D3C" w:rsidP="005E1661">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5D82D568" wp14:editId="7F41E3CC">
            <wp:extent cx="5345379" cy="3238051"/>
            <wp:effectExtent l="0" t="0" r="1905" b="635"/>
            <wp:docPr id="388" name="image8.png" descr="IMG_293"/>
            <wp:cNvGraphicFramePr/>
            <a:graphic xmlns:a="http://schemas.openxmlformats.org/drawingml/2006/main">
              <a:graphicData uri="http://schemas.openxmlformats.org/drawingml/2006/picture">
                <pic:pic xmlns:pic="http://schemas.openxmlformats.org/drawingml/2006/picture">
                  <pic:nvPicPr>
                    <pic:cNvPr id="0" name="image8.png" descr="IMG_293"/>
                    <pic:cNvPicPr preferRelativeResize="0"/>
                  </pic:nvPicPr>
                  <pic:blipFill>
                    <a:blip r:embed="rId54"/>
                    <a:srcRect/>
                    <a:stretch>
                      <a:fillRect/>
                    </a:stretch>
                  </pic:blipFill>
                  <pic:spPr>
                    <a:xfrm>
                      <a:off x="0" y="0"/>
                      <a:ext cx="5386072" cy="3262702"/>
                    </a:xfrm>
                    <a:prstGeom prst="rect">
                      <a:avLst/>
                    </a:prstGeom>
                    <a:ln/>
                  </pic:spPr>
                </pic:pic>
              </a:graphicData>
            </a:graphic>
          </wp:inline>
        </w:drawing>
      </w:r>
    </w:p>
    <w:p w14:paraId="1B87ADDE" w14:textId="77777777" w:rsidR="005E1661" w:rsidRPr="00170B7C" w:rsidRDefault="005E1661" w:rsidP="005E1661">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c) </w:t>
      </w:r>
    </w:p>
    <w:p w14:paraId="3F25CE21" w14:textId="77777777" w:rsidR="00C700B8" w:rsidRPr="00170B7C" w:rsidRDefault="00274D3C" w:rsidP="005E1661">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1DCD1454" wp14:editId="5F91A0DF">
            <wp:extent cx="5393791" cy="3345628"/>
            <wp:effectExtent l="0" t="0" r="3810" b="0"/>
            <wp:docPr id="389" name="image30.png" descr="IMG_294"/>
            <wp:cNvGraphicFramePr/>
            <a:graphic xmlns:a="http://schemas.openxmlformats.org/drawingml/2006/main">
              <a:graphicData uri="http://schemas.openxmlformats.org/drawingml/2006/picture">
                <pic:pic xmlns:pic="http://schemas.openxmlformats.org/drawingml/2006/picture">
                  <pic:nvPicPr>
                    <pic:cNvPr id="0" name="image30.png" descr="IMG_294"/>
                    <pic:cNvPicPr preferRelativeResize="0"/>
                  </pic:nvPicPr>
                  <pic:blipFill>
                    <a:blip r:embed="rId55"/>
                    <a:srcRect/>
                    <a:stretch>
                      <a:fillRect/>
                    </a:stretch>
                  </pic:blipFill>
                  <pic:spPr>
                    <a:xfrm>
                      <a:off x="0" y="0"/>
                      <a:ext cx="5413825" cy="3358055"/>
                    </a:xfrm>
                    <a:prstGeom prst="rect">
                      <a:avLst/>
                    </a:prstGeom>
                    <a:ln/>
                  </pic:spPr>
                </pic:pic>
              </a:graphicData>
            </a:graphic>
          </wp:inline>
        </w:drawing>
      </w:r>
    </w:p>
    <w:p w14:paraId="28618F79" w14:textId="77777777" w:rsidR="005E1661" w:rsidRDefault="005E1661"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41C9D35F" w14:textId="77777777" w:rsidR="00C700B8" w:rsidRPr="00170B7C" w:rsidRDefault="00274D3C" w:rsidP="005E1661">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 xml:space="preserve">Рисунок </w:t>
      </w:r>
      <w:r w:rsidR="00496251" w:rsidRPr="00170B7C">
        <w:rPr>
          <w:color w:val="000000"/>
          <w:sz w:val="28"/>
          <w:szCs w:val="28"/>
        </w:rPr>
        <w:t>30</w:t>
      </w:r>
      <w:r w:rsidRPr="00170B7C">
        <w:rPr>
          <w:color w:val="000000"/>
          <w:sz w:val="28"/>
          <w:szCs w:val="28"/>
        </w:rPr>
        <w:t xml:space="preserve"> – Корреляция между объемом правой доли, рассчитанный методами a) Volume Analysis, b) Osirix MD, c) CT Liver Analysis и массой трансплантата</w:t>
      </w:r>
    </w:p>
    <w:p w14:paraId="76BEC91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1036431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Как видно из </w:t>
      </w:r>
      <w:r w:rsidR="00496251" w:rsidRPr="00170B7C">
        <w:rPr>
          <w:color w:val="000000"/>
          <w:sz w:val="28"/>
          <w:szCs w:val="28"/>
        </w:rPr>
        <w:t>графика</w:t>
      </w:r>
      <w:r w:rsidRPr="00170B7C">
        <w:rPr>
          <w:color w:val="000000"/>
          <w:sz w:val="28"/>
          <w:szCs w:val="28"/>
        </w:rPr>
        <w:t>, мануальный метод высоко коррелирует с весом графта, полуавтоматический и автоматический методы положительно коррелируют с весом графта. </w:t>
      </w:r>
    </w:p>
    <w:p w14:paraId="0CB79B7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Для дальнейшего анализа и сравнения мануального, полуавтоматического и автоматического методов КТ-волюметрии с весом графта помимо коэффициента </w:t>
      </w:r>
      <w:r w:rsidRPr="00170B7C">
        <w:rPr>
          <w:color w:val="000000"/>
          <w:sz w:val="28"/>
          <w:szCs w:val="28"/>
        </w:rPr>
        <w:lastRenderedPageBreak/>
        <w:t xml:space="preserve">корреляции применены такие значения как </w:t>
      </w:r>
      <w:r w:rsidR="00C15F57" w:rsidRPr="00170B7C">
        <w:rPr>
          <w:color w:val="000000"/>
          <w:sz w:val="28"/>
          <w:szCs w:val="28"/>
        </w:rPr>
        <w:t>процент ошибки</w:t>
      </w:r>
      <w:r w:rsidRPr="00170B7C">
        <w:rPr>
          <w:color w:val="000000"/>
          <w:sz w:val="28"/>
          <w:szCs w:val="28"/>
        </w:rPr>
        <w:t xml:space="preserve"> (error ratio) и среднее значение разницы (difference).  </w:t>
      </w:r>
    </w:p>
    <w:p w14:paraId="7AD34E0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Среднее значение </w:t>
      </w:r>
      <w:r w:rsidR="00C15F57" w:rsidRPr="00170B7C">
        <w:rPr>
          <w:color w:val="000000"/>
          <w:sz w:val="28"/>
          <w:szCs w:val="28"/>
        </w:rPr>
        <w:t>процента ошибки</w:t>
      </w:r>
      <w:r w:rsidRPr="00170B7C">
        <w:rPr>
          <w:color w:val="000000"/>
          <w:sz w:val="28"/>
          <w:szCs w:val="28"/>
        </w:rPr>
        <w:t xml:space="preserve"> (error ratio) составило 12,7±16,6% для мануального метода, 17,1±17,3% для полуавтоматического, 14,7±16,8% для автоматического (</w:t>
      </w:r>
      <w:r w:rsidR="00C15F57" w:rsidRPr="00170B7C">
        <w:rPr>
          <w:color w:val="000000"/>
          <w:sz w:val="28"/>
          <w:szCs w:val="28"/>
        </w:rPr>
        <w:t xml:space="preserve">график </w:t>
      </w:r>
      <w:r w:rsidR="00496251" w:rsidRPr="00170B7C">
        <w:rPr>
          <w:color w:val="000000"/>
          <w:sz w:val="28"/>
          <w:szCs w:val="28"/>
        </w:rPr>
        <w:t>31</w:t>
      </w:r>
      <w:r w:rsidRPr="00170B7C">
        <w:rPr>
          <w:color w:val="000000"/>
          <w:sz w:val="28"/>
          <w:szCs w:val="28"/>
        </w:rPr>
        <w:t>).  </w:t>
      </w:r>
    </w:p>
    <w:p w14:paraId="17669A00" w14:textId="77777777" w:rsidR="00356292" w:rsidRPr="00170B7C" w:rsidRDefault="00356292"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p>
    <w:p w14:paraId="562EB1E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70D57A5A" wp14:editId="48C3CBC0">
            <wp:extent cx="6114975" cy="3431690"/>
            <wp:effectExtent l="0" t="0" r="0" b="0"/>
            <wp:docPr id="370" name="image16.png" descr="IMG_295"/>
            <wp:cNvGraphicFramePr/>
            <a:graphic xmlns:a="http://schemas.openxmlformats.org/drawingml/2006/main">
              <a:graphicData uri="http://schemas.openxmlformats.org/drawingml/2006/picture">
                <pic:pic xmlns:pic="http://schemas.openxmlformats.org/drawingml/2006/picture">
                  <pic:nvPicPr>
                    <pic:cNvPr id="0" name="image16.png" descr="IMG_295"/>
                    <pic:cNvPicPr preferRelativeResize="0"/>
                  </pic:nvPicPr>
                  <pic:blipFill>
                    <a:blip r:embed="rId56"/>
                    <a:srcRect/>
                    <a:stretch>
                      <a:fillRect/>
                    </a:stretch>
                  </pic:blipFill>
                  <pic:spPr>
                    <a:xfrm>
                      <a:off x="0" y="0"/>
                      <a:ext cx="6182610" cy="3469646"/>
                    </a:xfrm>
                    <a:prstGeom prst="rect">
                      <a:avLst/>
                    </a:prstGeom>
                    <a:ln/>
                  </pic:spPr>
                </pic:pic>
              </a:graphicData>
            </a:graphic>
          </wp:inline>
        </w:drawing>
      </w:r>
    </w:p>
    <w:p w14:paraId="586C358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170B7C">
        <w:rPr>
          <w:rFonts w:eastAsia="Calibri"/>
          <w:color w:val="000000"/>
          <w:sz w:val="28"/>
          <w:szCs w:val="28"/>
        </w:rPr>
        <w:t> </w:t>
      </w:r>
    </w:p>
    <w:p w14:paraId="4A4E3583" w14:textId="77777777" w:rsidR="00C700B8" w:rsidRPr="00170B7C" w:rsidRDefault="00C15F57"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График</w:t>
      </w:r>
      <w:r w:rsidR="00274D3C" w:rsidRPr="00170B7C">
        <w:rPr>
          <w:color w:val="000000"/>
          <w:sz w:val="28"/>
          <w:szCs w:val="28"/>
        </w:rPr>
        <w:t xml:space="preserve"> </w:t>
      </w:r>
      <w:r w:rsidR="00496251" w:rsidRPr="00170B7C">
        <w:rPr>
          <w:color w:val="000000"/>
          <w:sz w:val="28"/>
          <w:szCs w:val="28"/>
        </w:rPr>
        <w:t>31</w:t>
      </w:r>
      <w:r w:rsidR="00274D3C" w:rsidRPr="00170B7C">
        <w:rPr>
          <w:color w:val="000000"/>
          <w:sz w:val="28"/>
          <w:szCs w:val="28"/>
        </w:rPr>
        <w:t xml:space="preserve"> – Среднее значение степени расхождения между рассчитанным объемом правой доли печени с помощью программ Volume Analysis, OsiriX MD и CT Liver Analysis </w:t>
      </w:r>
    </w:p>
    <w:p w14:paraId="3567C8A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 </w:t>
      </w:r>
    </w:p>
    <w:p w14:paraId="6989248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Как видно </w:t>
      </w:r>
      <w:r w:rsidRPr="00170B7C">
        <w:rPr>
          <w:color w:val="000000" w:themeColor="text1"/>
          <w:sz w:val="28"/>
          <w:szCs w:val="28"/>
        </w:rPr>
        <w:t>на графике</w:t>
      </w:r>
      <w:r w:rsidR="00C15F57" w:rsidRPr="00170B7C">
        <w:rPr>
          <w:color w:val="000000" w:themeColor="text1"/>
          <w:sz w:val="28"/>
          <w:szCs w:val="28"/>
        </w:rPr>
        <w:t xml:space="preserve"> </w:t>
      </w:r>
      <w:r w:rsidR="00496251" w:rsidRPr="00170B7C">
        <w:rPr>
          <w:color w:val="000000" w:themeColor="text1"/>
          <w:sz w:val="28"/>
          <w:szCs w:val="28"/>
        </w:rPr>
        <w:t>31</w:t>
      </w:r>
      <w:r w:rsidRPr="00170B7C">
        <w:rPr>
          <w:color w:val="000000" w:themeColor="text1"/>
          <w:sz w:val="28"/>
          <w:szCs w:val="28"/>
        </w:rPr>
        <w:t xml:space="preserve">, </w:t>
      </w:r>
      <w:r w:rsidRPr="00170B7C">
        <w:rPr>
          <w:color w:val="000000"/>
          <w:sz w:val="28"/>
          <w:szCs w:val="28"/>
        </w:rPr>
        <w:t>средние линии – медианы. Центральные поля – значения от 25-го до 75-го процентиля. </w:t>
      </w:r>
    </w:p>
    <w:p w14:paraId="4D4C216B" w14:textId="77777777" w:rsidR="006544D8"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Определена статистически значимая разница между </w:t>
      </w:r>
      <w:r w:rsidR="00CF03A2">
        <w:rPr>
          <w:color w:val="000000"/>
          <w:sz w:val="28"/>
          <w:szCs w:val="28"/>
        </w:rPr>
        <w:t>E</w:t>
      </w:r>
      <w:r w:rsidR="00C15F57" w:rsidRPr="00170B7C">
        <w:rPr>
          <w:color w:val="000000"/>
          <w:sz w:val="28"/>
          <w:szCs w:val="28"/>
          <w:lang w:val="en-US"/>
        </w:rPr>
        <w:t>rror</w:t>
      </w:r>
      <w:r w:rsidR="00C15F57" w:rsidRPr="00170B7C">
        <w:rPr>
          <w:color w:val="000000"/>
          <w:sz w:val="28"/>
          <w:szCs w:val="28"/>
        </w:rPr>
        <w:t xml:space="preserve"> </w:t>
      </w:r>
      <w:r w:rsidR="00C15F57" w:rsidRPr="00170B7C">
        <w:rPr>
          <w:color w:val="000000"/>
          <w:sz w:val="28"/>
          <w:szCs w:val="28"/>
          <w:lang w:val="en-US"/>
        </w:rPr>
        <w:t>ratio</w:t>
      </w:r>
      <w:r w:rsidR="00C15F57" w:rsidRPr="00170B7C">
        <w:rPr>
          <w:color w:val="000000"/>
          <w:sz w:val="28"/>
          <w:szCs w:val="28"/>
        </w:rPr>
        <w:t xml:space="preserve"> </w:t>
      </w:r>
      <w:r w:rsidRPr="00170B7C">
        <w:rPr>
          <w:color w:val="000000" w:themeColor="text1"/>
          <w:sz w:val="28"/>
          <w:szCs w:val="28"/>
        </w:rPr>
        <w:t xml:space="preserve">программ </w:t>
      </w:r>
      <w:r w:rsidRPr="00170B7C">
        <w:rPr>
          <w:color w:val="000000"/>
          <w:sz w:val="28"/>
          <w:szCs w:val="28"/>
        </w:rPr>
        <w:t xml:space="preserve">Volume Analysis и OsiriX MD (p=0,017) и отсутствием статистически значимой разницы между расхождением </w:t>
      </w:r>
      <w:r w:rsidRPr="00170B7C">
        <w:rPr>
          <w:color w:val="000000" w:themeColor="text1"/>
          <w:sz w:val="28"/>
          <w:szCs w:val="28"/>
        </w:rPr>
        <w:t>программ</w:t>
      </w:r>
      <w:r w:rsidRPr="00170B7C">
        <w:rPr>
          <w:color w:val="000000"/>
          <w:sz w:val="28"/>
          <w:szCs w:val="28"/>
        </w:rPr>
        <w:t xml:space="preserve"> Volume Analysis и CT Volume Analysis (p=0,199). </w:t>
      </w:r>
    </w:p>
    <w:p w14:paraId="7CAAEAC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Таким образом, мануальный и автоматический метод продемонстрировали низк</w:t>
      </w:r>
      <w:r w:rsidR="00C15F57" w:rsidRPr="00170B7C">
        <w:rPr>
          <w:color w:val="000000"/>
          <w:sz w:val="28"/>
          <w:szCs w:val="28"/>
        </w:rPr>
        <w:t xml:space="preserve">ий показатель </w:t>
      </w:r>
      <w:r w:rsidR="005E1661">
        <w:rPr>
          <w:color w:val="000000"/>
          <w:sz w:val="28"/>
          <w:szCs w:val="28"/>
          <w:lang w:val="en-US"/>
        </w:rPr>
        <w:t>e</w:t>
      </w:r>
      <w:r w:rsidR="00C15F57" w:rsidRPr="00170B7C">
        <w:rPr>
          <w:color w:val="000000"/>
          <w:sz w:val="28"/>
          <w:szCs w:val="28"/>
          <w:lang w:val="en-US"/>
        </w:rPr>
        <w:t>rror</w:t>
      </w:r>
      <w:r w:rsidR="00C15F57" w:rsidRPr="00170B7C">
        <w:rPr>
          <w:color w:val="000000"/>
          <w:sz w:val="28"/>
          <w:szCs w:val="28"/>
        </w:rPr>
        <w:t xml:space="preserve"> </w:t>
      </w:r>
      <w:r w:rsidR="00C15F57" w:rsidRPr="00170B7C">
        <w:rPr>
          <w:color w:val="000000"/>
          <w:sz w:val="28"/>
          <w:szCs w:val="28"/>
          <w:lang w:val="en-US"/>
        </w:rPr>
        <w:t>ratio</w:t>
      </w:r>
      <w:r w:rsidR="00C15F57" w:rsidRPr="00170B7C">
        <w:rPr>
          <w:color w:val="000000"/>
          <w:sz w:val="28"/>
          <w:szCs w:val="28"/>
        </w:rPr>
        <w:t xml:space="preserve"> </w:t>
      </w:r>
      <w:r w:rsidRPr="00170B7C">
        <w:rPr>
          <w:color w:val="000000"/>
          <w:sz w:val="28"/>
          <w:szCs w:val="28"/>
        </w:rPr>
        <w:t xml:space="preserve">в сравнении с полуавтоматическим методом. Минимальный показатель </w:t>
      </w:r>
      <w:r w:rsidR="005E1661">
        <w:rPr>
          <w:color w:val="000000"/>
          <w:sz w:val="28"/>
          <w:szCs w:val="28"/>
          <w:lang w:val="en-US"/>
        </w:rPr>
        <w:t>e</w:t>
      </w:r>
      <w:r w:rsidR="00B81B2A" w:rsidRPr="00170B7C">
        <w:rPr>
          <w:color w:val="000000"/>
          <w:sz w:val="28"/>
          <w:szCs w:val="28"/>
          <w:lang w:val="en-US"/>
        </w:rPr>
        <w:t>rror</w:t>
      </w:r>
      <w:r w:rsidR="00B81B2A" w:rsidRPr="00170B7C">
        <w:rPr>
          <w:color w:val="000000"/>
          <w:sz w:val="28"/>
          <w:szCs w:val="28"/>
        </w:rPr>
        <w:t xml:space="preserve"> </w:t>
      </w:r>
      <w:r w:rsidR="00B81B2A" w:rsidRPr="00170B7C">
        <w:rPr>
          <w:color w:val="000000"/>
          <w:sz w:val="28"/>
          <w:szCs w:val="28"/>
          <w:lang w:val="en-US"/>
        </w:rPr>
        <w:t>ratio</w:t>
      </w:r>
      <w:r w:rsidRPr="00170B7C">
        <w:rPr>
          <w:color w:val="000000"/>
          <w:sz w:val="28"/>
          <w:szCs w:val="28"/>
        </w:rPr>
        <w:t xml:space="preserve"> наблюдался у мануального метода. </w:t>
      </w:r>
    </w:p>
    <w:p w14:paraId="43FE87A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Среднее значение разницы (difference) составило 50,8±99,3 мл для мануального метода, 81,7±112,2 мл для полуавтоматического и 54,2±107,5 мл для автоматического метода расчета объема печени донора (рисунок </w:t>
      </w:r>
      <w:r w:rsidR="00496251" w:rsidRPr="00170B7C">
        <w:rPr>
          <w:color w:val="000000"/>
          <w:sz w:val="28"/>
          <w:szCs w:val="28"/>
        </w:rPr>
        <w:t>32</w:t>
      </w:r>
      <w:r w:rsidRPr="00170B7C">
        <w:rPr>
          <w:color w:val="000000"/>
          <w:sz w:val="28"/>
          <w:szCs w:val="28"/>
        </w:rPr>
        <w:t>).  </w:t>
      </w:r>
    </w:p>
    <w:p w14:paraId="16A6C8B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lastRenderedPageBreak/>
        <w:drawing>
          <wp:inline distT="0" distB="0" distL="114300" distR="114300" wp14:anchorId="1A6C64BC" wp14:editId="4B614DEC">
            <wp:extent cx="6075232" cy="3378200"/>
            <wp:effectExtent l="0" t="0" r="0" b="0"/>
            <wp:docPr id="371" name="image4.png" descr="IMG_296"/>
            <wp:cNvGraphicFramePr/>
            <a:graphic xmlns:a="http://schemas.openxmlformats.org/drawingml/2006/main">
              <a:graphicData uri="http://schemas.openxmlformats.org/drawingml/2006/picture">
                <pic:pic xmlns:pic="http://schemas.openxmlformats.org/drawingml/2006/picture">
                  <pic:nvPicPr>
                    <pic:cNvPr id="0" name="image4.png" descr="IMG_296"/>
                    <pic:cNvPicPr preferRelativeResize="0"/>
                  </pic:nvPicPr>
                  <pic:blipFill>
                    <a:blip r:embed="rId57"/>
                    <a:srcRect/>
                    <a:stretch>
                      <a:fillRect/>
                    </a:stretch>
                  </pic:blipFill>
                  <pic:spPr>
                    <a:xfrm>
                      <a:off x="0" y="0"/>
                      <a:ext cx="6083690" cy="3382903"/>
                    </a:xfrm>
                    <a:prstGeom prst="rect">
                      <a:avLst/>
                    </a:prstGeom>
                    <a:ln/>
                  </pic:spPr>
                </pic:pic>
              </a:graphicData>
            </a:graphic>
          </wp:inline>
        </w:drawing>
      </w:r>
    </w:p>
    <w:p w14:paraId="176FE7E9" w14:textId="77777777" w:rsidR="005E1661" w:rsidRDefault="005E1661" w:rsidP="005E1661">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3B2082AD" w14:textId="77777777" w:rsidR="00C700B8" w:rsidRPr="00170B7C" w:rsidRDefault="00274D3C" w:rsidP="005E1661">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 xml:space="preserve">Рисунок </w:t>
      </w:r>
      <w:r w:rsidR="00496251" w:rsidRPr="00170B7C">
        <w:rPr>
          <w:color w:val="000000"/>
          <w:sz w:val="28"/>
          <w:szCs w:val="28"/>
        </w:rPr>
        <w:t>32</w:t>
      </w:r>
      <w:r w:rsidRPr="00170B7C">
        <w:rPr>
          <w:color w:val="000000"/>
          <w:sz w:val="28"/>
          <w:szCs w:val="28"/>
        </w:rPr>
        <w:t xml:space="preserve"> – Среднее значение разницы между рассчитанным объемом правой доли печени с </w:t>
      </w:r>
      <w:r w:rsidRPr="00170B7C">
        <w:rPr>
          <w:color w:val="000000" w:themeColor="text1"/>
          <w:sz w:val="28"/>
          <w:szCs w:val="28"/>
        </w:rPr>
        <w:t xml:space="preserve">помощью программ Volume </w:t>
      </w:r>
      <w:r w:rsidRPr="00170B7C">
        <w:rPr>
          <w:color w:val="000000"/>
          <w:sz w:val="28"/>
          <w:szCs w:val="28"/>
        </w:rPr>
        <w:t>Analysis, OsiriX MD и CT Liver Analysis</w:t>
      </w:r>
    </w:p>
    <w:p w14:paraId="6942070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2515869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Как видно на рисунке </w:t>
      </w:r>
      <w:r w:rsidR="00496251" w:rsidRPr="00170B7C">
        <w:rPr>
          <w:color w:val="000000"/>
          <w:sz w:val="28"/>
          <w:szCs w:val="28"/>
        </w:rPr>
        <w:t>32</w:t>
      </w:r>
      <w:r w:rsidRPr="00170B7C">
        <w:rPr>
          <w:color w:val="000000"/>
          <w:sz w:val="28"/>
          <w:szCs w:val="28"/>
        </w:rPr>
        <w:t>, средние линии – медианы. Центральные поля - значения от 25-го до 75-го процентиля. </w:t>
      </w:r>
    </w:p>
    <w:p w14:paraId="45DA2FC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Таким образом, минимальная разница между рассчитанным объемом правой доли печени и весом графта наблюдался у мануального и автоматического метода, полуавтоматический метод показал максимальную разницу (таблица 7). </w:t>
      </w:r>
    </w:p>
    <w:p w14:paraId="5E67604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170B7C">
        <w:rPr>
          <w:rFonts w:eastAsia="Calibri"/>
          <w:color w:val="000000"/>
          <w:sz w:val="28"/>
          <w:szCs w:val="28"/>
        </w:rPr>
        <w:t> </w:t>
      </w:r>
    </w:p>
    <w:p w14:paraId="3EE530C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Таблица 7 –</w:t>
      </w:r>
      <w:r w:rsidRPr="00170B7C">
        <w:rPr>
          <w:color w:val="FF0000"/>
          <w:sz w:val="28"/>
          <w:szCs w:val="28"/>
        </w:rPr>
        <w:t xml:space="preserve"> </w:t>
      </w:r>
      <w:r w:rsidRPr="00170B7C">
        <w:rPr>
          <w:color w:val="000000"/>
          <w:sz w:val="28"/>
          <w:szCs w:val="28"/>
        </w:rPr>
        <w:t xml:space="preserve">Средние показатели разницы и </w:t>
      </w:r>
      <w:r w:rsidR="00CF03A2" w:rsidRPr="00CF03A2">
        <w:rPr>
          <w:color w:val="000000"/>
          <w:sz w:val="28"/>
          <w:szCs w:val="28"/>
        </w:rPr>
        <w:t>п</w:t>
      </w:r>
      <w:r w:rsidR="00CF03A2">
        <w:rPr>
          <w:color w:val="000000"/>
          <w:sz w:val="28"/>
          <w:szCs w:val="28"/>
        </w:rPr>
        <w:t>роцента ошибки</w:t>
      </w:r>
      <w:r w:rsidRPr="00170B7C">
        <w:rPr>
          <w:color w:val="000000"/>
          <w:sz w:val="28"/>
          <w:szCs w:val="28"/>
        </w:rPr>
        <w:t xml:space="preserve"> мануального, полуавтоматического и автоматического методов </w:t>
      </w:r>
    </w:p>
    <w:p w14:paraId="798C0EF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rFonts w:eastAsia="Calibri"/>
          <w:color w:val="000000"/>
          <w:sz w:val="28"/>
          <w:szCs w:val="28"/>
        </w:rPr>
        <w:t> </w:t>
      </w:r>
    </w:p>
    <w:tbl>
      <w:tblPr>
        <w:tblStyle w:val="aff"/>
        <w:tblpPr w:leftFromText="180" w:rightFromText="180" w:vertAnchor="text" w:tblpXSpec="center" w:tblpY="1"/>
        <w:tblOverlap w:val="never"/>
        <w:tblW w:w="9488"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3241"/>
        <w:gridCol w:w="2205"/>
        <w:gridCol w:w="4042"/>
      </w:tblGrid>
      <w:tr w:rsidR="00C700B8" w:rsidRPr="00170B7C" w14:paraId="43D8E2CE" w14:textId="77777777" w:rsidTr="00356292">
        <w:trPr>
          <w:cantSplit/>
          <w:trHeight w:val="720"/>
        </w:trPr>
        <w:tc>
          <w:tcPr>
            <w:tcW w:w="3241" w:type="dxa"/>
            <w:tcBorders>
              <w:top w:val="single" w:sz="8" w:space="0" w:color="000000"/>
              <w:left w:val="single" w:sz="8" w:space="0" w:color="000000"/>
              <w:bottom w:val="single" w:sz="8" w:space="0" w:color="000000"/>
              <w:right w:val="single" w:sz="8" w:space="0" w:color="000000"/>
            </w:tcBorders>
            <w:shd w:val="clear" w:color="auto" w:fill="auto"/>
          </w:tcPr>
          <w:p w14:paraId="0D27E69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Программа </w:t>
            </w:r>
          </w:p>
        </w:tc>
        <w:tc>
          <w:tcPr>
            <w:tcW w:w="2205" w:type="dxa"/>
            <w:tcBorders>
              <w:top w:val="single" w:sz="8" w:space="0" w:color="000000"/>
              <w:left w:val="single" w:sz="8" w:space="0" w:color="000000"/>
              <w:bottom w:val="single" w:sz="8" w:space="0" w:color="000000"/>
              <w:right w:val="single" w:sz="8" w:space="0" w:color="000000"/>
            </w:tcBorders>
            <w:shd w:val="clear" w:color="auto" w:fill="auto"/>
          </w:tcPr>
          <w:p w14:paraId="4EC4F67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Разница (мл) </w:t>
            </w:r>
          </w:p>
        </w:tc>
        <w:tc>
          <w:tcPr>
            <w:tcW w:w="4042" w:type="dxa"/>
            <w:tcBorders>
              <w:top w:val="single" w:sz="8" w:space="0" w:color="000000"/>
              <w:left w:val="single" w:sz="8" w:space="0" w:color="000000"/>
              <w:bottom w:val="single" w:sz="8" w:space="0" w:color="000000"/>
              <w:right w:val="single" w:sz="8" w:space="0" w:color="000000"/>
            </w:tcBorders>
            <w:shd w:val="clear" w:color="auto" w:fill="auto"/>
          </w:tcPr>
          <w:p w14:paraId="752FBFAA" w14:textId="77777777" w:rsidR="00C700B8" w:rsidRPr="00170B7C" w:rsidRDefault="00CF03A2"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Pr>
                <w:color w:val="000000"/>
                <w:sz w:val="28"/>
                <w:szCs w:val="28"/>
                <w:lang w:val="en-US"/>
              </w:rPr>
              <w:t>Error ratio</w:t>
            </w:r>
            <w:r w:rsidR="00274D3C" w:rsidRPr="00170B7C">
              <w:rPr>
                <w:color w:val="000000"/>
                <w:sz w:val="28"/>
                <w:szCs w:val="28"/>
              </w:rPr>
              <w:t xml:space="preserve"> (%) </w:t>
            </w:r>
          </w:p>
        </w:tc>
      </w:tr>
      <w:tr w:rsidR="00C700B8" w:rsidRPr="00170B7C" w14:paraId="2B42EFE4" w14:textId="77777777" w:rsidTr="00356292">
        <w:trPr>
          <w:cantSplit/>
          <w:trHeight w:val="420"/>
        </w:trPr>
        <w:tc>
          <w:tcPr>
            <w:tcW w:w="3241" w:type="dxa"/>
            <w:tcBorders>
              <w:top w:val="single" w:sz="8" w:space="0" w:color="000000"/>
              <w:left w:val="single" w:sz="8" w:space="0" w:color="000000"/>
              <w:bottom w:val="single" w:sz="8" w:space="0" w:color="000000"/>
              <w:right w:val="single" w:sz="8" w:space="0" w:color="000000"/>
            </w:tcBorders>
            <w:shd w:val="clear" w:color="auto" w:fill="auto"/>
          </w:tcPr>
          <w:p w14:paraId="7281D106" w14:textId="77777777" w:rsidR="00C700B8" w:rsidRPr="00170B7C" w:rsidRDefault="005E1661"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5E1661">
              <w:rPr>
                <w:color w:val="000000"/>
                <w:sz w:val="28"/>
                <w:szCs w:val="28"/>
              </w:rPr>
              <w:t xml:space="preserve"> </w:t>
            </w:r>
            <w:r w:rsidR="00274D3C" w:rsidRPr="00170B7C">
              <w:rPr>
                <w:color w:val="000000"/>
                <w:sz w:val="28"/>
                <w:szCs w:val="28"/>
              </w:rPr>
              <w:t>Volume analysis </w:t>
            </w:r>
          </w:p>
          <w:p w14:paraId="793CCB5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 </w:t>
            </w:r>
            <w:r w:rsidR="005E1661" w:rsidRPr="005E1661">
              <w:rPr>
                <w:color w:val="000000"/>
                <w:sz w:val="28"/>
                <w:szCs w:val="28"/>
              </w:rPr>
              <w:t xml:space="preserve"> </w:t>
            </w:r>
            <w:r w:rsidRPr="00170B7C">
              <w:rPr>
                <w:color w:val="000000"/>
                <w:sz w:val="28"/>
                <w:szCs w:val="28"/>
              </w:rPr>
              <w:t>медиана </w:t>
            </w:r>
          </w:p>
          <w:p w14:paraId="2C52961D" w14:textId="77777777" w:rsidR="00C700B8" w:rsidRPr="00170B7C" w:rsidRDefault="005E1661"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5E1661">
              <w:rPr>
                <w:color w:val="000000"/>
                <w:sz w:val="28"/>
                <w:szCs w:val="28"/>
              </w:rPr>
              <w:t xml:space="preserve"> </w:t>
            </w:r>
            <w:r w:rsidR="00274D3C" w:rsidRPr="00170B7C">
              <w:rPr>
                <w:color w:val="000000"/>
                <w:sz w:val="28"/>
                <w:szCs w:val="28"/>
              </w:rPr>
              <w:t>25-ый процентиль </w:t>
            </w:r>
          </w:p>
          <w:p w14:paraId="77559C97" w14:textId="77777777" w:rsidR="00C700B8" w:rsidRPr="00170B7C" w:rsidRDefault="005E1661"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402A91">
              <w:rPr>
                <w:color w:val="000000"/>
                <w:sz w:val="28"/>
                <w:szCs w:val="28"/>
              </w:rPr>
              <w:t xml:space="preserve"> </w:t>
            </w:r>
            <w:r w:rsidR="00274D3C" w:rsidRPr="00170B7C">
              <w:rPr>
                <w:color w:val="000000"/>
                <w:sz w:val="28"/>
                <w:szCs w:val="28"/>
              </w:rPr>
              <w:t>75-ый процентиль </w:t>
            </w:r>
          </w:p>
        </w:tc>
        <w:tc>
          <w:tcPr>
            <w:tcW w:w="2205" w:type="dxa"/>
            <w:tcBorders>
              <w:top w:val="single" w:sz="8" w:space="0" w:color="000000"/>
              <w:left w:val="single" w:sz="8" w:space="0" w:color="000000"/>
              <w:bottom w:val="single" w:sz="8" w:space="0" w:color="000000"/>
              <w:right w:val="single" w:sz="8" w:space="0" w:color="000000"/>
            </w:tcBorders>
            <w:shd w:val="clear" w:color="auto" w:fill="auto"/>
          </w:tcPr>
          <w:p w14:paraId="2A6546B1"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p>
          <w:p w14:paraId="0A55B54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42,2</w:t>
            </w:r>
          </w:p>
          <w:p w14:paraId="1517B7B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-8,5</w:t>
            </w:r>
          </w:p>
          <w:p w14:paraId="49EEA77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95,1</w:t>
            </w:r>
          </w:p>
        </w:tc>
        <w:tc>
          <w:tcPr>
            <w:tcW w:w="4042" w:type="dxa"/>
            <w:tcBorders>
              <w:top w:val="single" w:sz="8" w:space="0" w:color="000000"/>
              <w:left w:val="single" w:sz="8" w:space="0" w:color="000000"/>
              <w:bottom w:val="single" w:sz="8" w:space="0" w:color="000000"/>
              <w:right w:val="single" w:sz="8" w:space="0" w:color="000000"/>
            </w:tcBorders>
            <w:shd w:val="clear" w:color="auto" w:fill="auto"/>
          </w:tcPr>
          <w:p w14:paraId="639A5EFC"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p>
          <w:p w14:paraId="343AC79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6,9</w:t>
            </w:r>
          </w:p>
          <w:p w14:paraId="4E07776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3,8</w:t>
            </w:r>
          </w:p>
          <w:p w14:paraId="0F7C367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14,6</w:t>
            </w:r>
          </w:p>
        </w:tc>
      </w:tr>
      <w:tr w:rsidR="00C700B8" w:rsidRPr="00170B7C" w14:paraId="5D6B153A" w14:textId="77777777" w:rsidTr="00356292">
        <w:trPr>
          <w:cantSplit/>
          <w:trHeight w:val="1293"/>
        </w:trPr>
        <w:tc>
          <w:tcPr>
            <w:tcW w:w="3241" w:type="dxa"/>
            <w:tcBorders>
              <w:top w:val="single" w:sz="8" w:space="0" w:color="000000"/>
              <w:left w:val="single" w:sz="8" w:space="0" w:color="000000"/>
              <w:bottom w:val="single" w:sz="8" w:space="0" w:color="000000"/>
              <w:right w:val="single" w:sz="8" w:space="0" w:color="000000"/>
            </w:tcBorders>
            <w:shd w:val="clear" w:color="auto" w:fill="auto"/>
          </w:tcPr>
          <w:p w14:paraId="41F9C430" w14:textId="77777777" w:rsidR="00C700B8" w:rsidRPr="00170B7C" w:rsidRDefault="005E1661"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402A91">
              <w:rPr>
                <w:color w:val="000000"/>
                <w:sz w:val="28"/>
                <w:szCs w:val="28"/>
              </w:rPr>
              <w:t xml:space="preserve"> </w:t>
            </w:r>
            <w:r w:rsidR="00274D3C" w:rsidRPr="00170B7C">
              <w:rPr>
                <w:color w:val="000000"/>
                <w:sz w:val="28"/>
                <w:szCs w:val="28"/>
              </w:rPr>
              <w:t>OsiriX MD </w:t>
            </w:r>
          </w:p>
          <w:p w14:paraId="25E82E6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 </w:t>
            </w:r>
            <w:r w:rsidR="005E1661" w:rsidRPr="00402A91">
              <w:rPr>
                <w:color w:val="000000"/>
                <w:sz w:val="28"/>
                <w:szCs w:val="28"/>
              </w:rPr>
              <w:t xml:space="preserve"> </w:t>
            </w:r>
            <w:r w:rsidRPr="00170B7C">
              <w:rPr>
                <w:color w:val="000000"/>
                <w:sz w:val="28"/>
                <w:szCs w:val="28"/>
              </w:rPr>
              <w:t>медиана </w:t>
            </w:r>
          </w:p>
          <w:p w14:paraId="57499590" w14:textId="77777777" w:rsidR="00C700B8" w:rsidRPr="00170B7C" w:rsidRDefault="005E1661"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402A91">
              <w:rPr>
                <w:color w:val="000000"/>
                <w:sz w:val="28"/>
                <w:szCs w:val="28"/>
              </w:rPr>
              <w:t xml:space="preserve"> </w:t>
            </w:r>
            <w:r w:rsidR="00274D3C" w:rsidRPr="00170B7C">
              <w:rPr>
                <w:color w:val="000000"/>
                <w:sz w:val="28"/>
                <w:szCs w:val="28"/>
              </w:rPr>
              <w:t>25-ый процентиль </w:t>
            </w:r>
          </w:p>
          <w:p w14:paraId="3CFB9539" w14:textId="77777777" w:rsidR="00C700B8" w:rsidRPr="00170B7C" w:rsidRDefault="005E1661"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402A91">
              <w:rPr>
                <w:color w:val="000000"/>
                <w:sz w:val="28"/>
                <w:szCs w:val="28"/>
              </w:rPr>
              <w:t xml:space="preserve"> </w:t>
            </w:r>
            <w:r w:rsidR="00274D3C" w:rsidRPr="00170B7C">
              <w:rPr>
                <w:color w:val="000000"/>
                <w:sz w:val="28"/>
                <w:szCs w:val="28"/>
              </w:rPr>
              <w:t>75-ый процентиль </w:t>
            </w:r>
          </w:p>
        </w:tc>
        <w:tc>
          <w:tcPr>
            <w:tcW w:w="2205" w:type="dxa"/>
            <w:tcBorders>
              <w:top w:val="single" w:sz="8" w:space="0" w:color="000000"/>
              <w:left w:val="single" w:sz="8" w:space="0" w:color="000000"/>
              <w:bottom w:val="single" w:sz="8" w:space="0" w:color="000000"/>
              <w:right w:val="single" w:sz="8" w:space="0" w:color="000000"/>
            </w:tcBorders>
            <w:shd w:val="clear" w:color="auto" w:fill="auto"/>
          </w:tcPr>
          <w:p w14:paraId="1A98725E"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p>
          <w:p w14:paraId="65683EA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42,2</w:t>
            </w:r>
          </w:p>
          <w:p w14:paraId="6B37DFC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17,8</w:t>
            </w:r>
          </w:p>
          <w:p w14:paraId="5991036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144,2</w:t>
            </w:r>
          </w:p>
        </w:tc>
        <w:tc>
          <w:tcPr>
            <w:tcW w:w="4042" w:type="dxa"/>
            <w:tcBorders>
              <w:top w:val="single" w:sz="8" w:space="0" w:color="000000"/>
              <w:left w:val="single" w:sz="8" w:space="0" w:color="000000"/>
              <w:bottom w:val="single" w:sz="8" w:space="0" w:color="000000"/>
              <w:right w:val="single" w:sz="8" w:space="0" w:color="000000"/>
            </w:tcBorders>
            <w:shd w:val="clear" w:color="auto" w:fill="auto"/>
          </w:tcPr>
          <w:p w14:paraId="2B3D4B89"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p>
          <w:p w14:paraId="69877F9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12,5</w:t>
            </w:r>
          </w:p>
          <w:p w14:paraId="0E35AB6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5,5</w:t>
            </w:r>
          </w:p>
          <w:p w14:paraId="3BFC699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21,7</w:t>
            </w:r>
          </w:p>
        </w:tc>
      </w:tr>
      <w:tr w:rsidR="00C700B8" w:rsidRPr="00170B7C" w14:paraId="2BEA58C5" w14:textId="77777777" w:rsidTr="00356292">
        <w:trPr>
          <w:cantSplit/>
          <w:trHeight w:val="1256"/>
        </w:trPr>
        <w:tc>
          <w:tcPr>
            <w:tcW w:w="3241" w:type="dxa"/>
            <w:tcBorders>
              <w:top w:val="single" w:sz="8" w:space="0" w:color="000000"/>
              <w:left w:val="single" w:sz="8" w:space="0" w:color="000000"/>
              <w:bottom w:val="single" w:sz="8" w:space="0" w:color="000000"/>
              <w:right w:val="single" w:sz="8" w:space="0" w:color="000000"/>
            </w:tcBorders>
            <w:shd w:val="clear" w:color="auto" w:fill="auto"/>
          </w:tcPr>
          <w:p w14:paraId="701A3054" w14:textId="77777777" w:rsidR="00C700B8" w:rsidRPr="00170B7C" w:rsidRDefault="005E1661"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5E1661">
              <w:rPr>
                <w:color w:val="000000"/>
                <w:sz w:val="28"/>
                <w:szCs w:val="28"/>
              </w:rPr>
              <w:lastRenderedPageBreak/>
              <w:t xml:space="preserve"> </w:t>
            </w:r>
            <w:r w:rsidR="00274D3C" w:rsidRPr="00170B7C">
              <w:rPr>
                <w:color w:val="000000"/>
                <w:sz w:val="28"/>
                <w:szCs w:val="28"/>
              </w:rPr>
              <w:t>CT Liver Analysis </w:t>
            </w:r>
          </w:p>
          <w:p w14:paraId="37BCF3B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color w:val="000000"/>
                <w:sz w:val="28"/>
                <w:szCs w:val="28"/>
              </w:rPr>
              <w:t> </w:t>
            </w:r>
            <w:r w:rsidR="005E1661" w:rsidRPr="005E1661">
              <w:rPr>
                <w:color w:val="000000"/>
                <w:sz w:val="28"/>
                <w:szCs w:val="28"/>
              </w:rPr>
              <w:t xml:space="preserve"> </w:t>
            </w:r>
            <w:r w:rsidRPr="00170B7C">
              <w:rPr>
                <w:color w:val="000000"/>
                <w:sz w:val="28"/>
                <w:szCs w:val="28"/>
              </w:rPr>
              <w:t>медиана </w:t>
            </w:r>
          </w:p>
          <w:p w14:paraId="66DD7370" w14:textId="77777777" w:rsidR="00C700B8" w:rsidRPr="00170B7C" w:rsidRDefault="005E1661"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5E1661">
              <w:rPr>
                <w:color w:val="000000"/>
                <w:sz w:val="28"/>
                <w:szCs w:val="28"/>
              </w:rPr>
              <w:t xml:space="preserve"> </w:t>
            </w:r>
            <w:r w:rsidR="00274D3C" w:rsidRPr="00170B7C">
              <w:rPr>
                <w:color w:val="000000"/>
                <w:sz w:val="28"/>
                <w:szCs w:val="28"/>
              </w:rPr>
              <w:t>25-ый процентиль </w:t>
            </w:r>
          </w:p>
          <w:p w14:paraId="58A27AFC" w14:textId="77777777" w:rsidR="00C700B8" w:rsidRPr="00170B7C" w:rsidRDefault="005E1661"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5E1661">
              <w:rPr>
                <w:color w:val="000000"/>
                <w:sz w:val="28"/>
                <w:szCs w:val="28"/>
              </w:rPr>
              <w:t xml:space="preserve"> </w:t>
            </w:r>
            <w:r w:rsidR="00274D3C" w:rsidRPr="00170B7C">
              <w:rPr>
                <w:color w:val="000000"/>
                <w:sz w:val="28"/>
                <w:szCs w:val="28"/>
              </w:rPr>
              <w:t>75-ый процентиль </w:t>
            </w:r>
          </w:p>
        </w:tc>
        <w:tc>
          <w:tcPr>
            <w:tcW w:w="2205" w:type="dxa"/>
            <w:tcBorders>
              <w:top w:val="single" w:sz="8" w:space="0" w:color="000000"/>
              <w:left w:val="single" w:sz="8" w:space="0" w:color="000000"/>
              <w:bottom w:val="single" w:sz="8" w:space="0" w:color="000000"/>
              <w:right w:val="single" w:sz="8" w:space="0" w:color="000000"/>
            </w:tcBorders>
            <w:shd w:val="clear" w:color="auto" w:fill="auto"/>
          </w:tcPr>
          <w:p w14:paraId="6C54F394"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p>
          <w:p w14:paraId="1211736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55,9</w:t>
            </w:r>
          </w:p>
          <w:p w14:paraId="4284C2A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0,2</w:t>
            </w:r>
          </w:p>
          <w:p w14:paraId="7A2B8BA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105,6</w:t>
            </w:r>
          </w:p>
        </w:tc>
        <w:tc>
          <w:tcPr>
            <w:tcW w:w="4042" w:type="dxa"/>
            <w:tcBorders>
              <w:top w:val="single" w:sz="8" w:space="0" w:color="000000"/>
              <w:left w:val="single" w:sz="8" w:space="0" w:color="000000"/>
              <w:bottom w:val="single" w:sz="8" w:space="0" w:color="000000"/>
              <w:right w:val="single" w:sz="8" w:space="0" w:color="000000"/>
            </w:tcBorders>
            <w:shd w:val="clear" w:color="auto" w:fill="auto"/>
          </w:tcPr>
          <w:p w14:paraId="739883F7"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p>
          <w:p w14:paraId="3D0B8AE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9,9</w:t>
            </w:r>
          </w:p>
          <w:p w14:paraId="7EDC703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4,8</w:t>
            </w:r>
          </w:p>
          <w:p w14:paraId="69CB00C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17,3</w:t>
            </w:r>
          </w:p>
        </w:tc>
      </w:tr>
    </w:tbl>
    <w:p w14:paraId="585C3C0E" w14:textId="77777777" w:rsidR="00C700B8" w:rsidRPr="00170B7C" w:rsidRDefault="00274D3C" w:rsidP="00170B7C">
      <w:pPr>
        <w:pBdr>
          <w:top w:val="none" w:sz="0" w:space="12"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lastRenderedPageBreak/>
        <w:t xml:space="preserve">Как видно из таблицы 7, оба показателя difference и error </w:t>
      </w:r>
      <w:r w:rsidRPr="00170B7C">
        <w:rPr>
          <w:color w:val="000000" w:themeColor="text1"/>
          <w:sz w:val="28"/>
          <w:szCs w:val="28"/>
        </w:rPr>
        <w:t xml:space="preserve">ratio программы OsiriX MD продемонстрировали максимальные показатели. Error ratio программы OsiriX MD превышал показатели программы Volume </w:t>
      </w:r>
      <w:r w:rsidRPr="00170B7C">
        <w:rPr>
          <w:color w:val="000000"/>
          <w:sz w:val="28"/>
          <w:szCs w:val="28"/>
        </w:rPr>
        <w:t>Analysis на 4,4</w:t>
      </w:r>
      <w:r w:rsidRPr="00170B7C">
        <w:rPr>
          <w:color w:val="000000" w:themeColor="text1"/>
          <w:sz w:val="28"/>
          <w:szCs w:val="28"/>
        </w:rPr>
        <w:t xml:space="preserve">%, программы CT </w:t>
      </w:r>
      <w:r w:rsidRPr="00170B7C">
        <w:rPr>
          <w:color w:val="000000"/>
          <w:sz w:val="28"/>
          <w:szCs w:val="28"/>
        </w:rPr>
        <w:t>Liver Analysis на 2,0%.  </w:t>
      </w:r>
    </w:p>
    <w:p w14:paraId="6578D1A8"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При анализе </w:t>
      </w:r>
      <w:r w:rsidR="00B81B2A" w:rsidRPr="00170B7C">
        <w:rPr>
          <w:color w:val="000000"/>
          <w:sz w:val="28"/>
          <w:szCs w:val="28"/>
          <w:lang w:val="en-US"/>
        </w:rPr>
        <w:t>Error</w:t>
      </w:r>
      <w:r w:rsidR="00B81B2A" w:rsidRPr="00170B7C">
        <w:rPr>
          <w:color w:val="000000"/>
          <w:sz w:val="28"/>
          <w:szCs w:val="28"/>
        </w:rPr>
        <w:t xml:space="preserve"> </w:t>
      </w:r>
      <w:r w:rsidR="00B81B2A" w:rsidRPr="00170B7C">
        <w:rPr>
          <w:color w:val="000000"/>
          <w:sz w:val="28"/>
          <w:szCs w:val="28"/>
          <w:lang w:val="en-US"/>
        </w:rPr>
        <w:t>ratio</w:t>
      </w:r>
      <w:r w:rsidR="00B81B2A" w:rsidRPr="00170B7C">
        <w:rPr>
          <w:color w:val="000000"/>
          <w:sz w:val="28"/>
          <w:szCs w:val="28"/>
        </w:rPr>
        <w:t xml:space="preserve"> </w:t>
      </w:r>
      <w:r w:rsidRPr="00170B7C">
        <w:rPr>
          <w:color w:val="000000"/>
          <w:sz w:val="28"/>
          <w:szCs w:val="28"/>
        </w:rPr>
        <w:t xml:space="preserve">методов КТ-волюметрии с весом </w:t>
      </w:r>
      <w:r w:rsidR="00B81B2A" w:rsidRPr="00170B7C">
        <w:rPr>
          <w:color w:val="000000"/>
          <w:sz w:val="28"/>
          <w:szCs w:val="28"/>
        </w:rPr>
        <w:t>трансплантата</w:t>
      </w:r>
      <w:r w:rsidRPr="00170B7C">
        <w:rPr>
          <w:color w:val="000000"/>
          <w:sz w:val="28"/>
          <w:szCs w:val="28"/>
        </w:rPr>
        <w:t>, показатели рассчитанного объема печени мануальным, полуавтоматическим и автоматическим методами как переоценивали, так и недооценивали объем в сравнении с весом графта (таблица 8). </w:t>
      </w:r>
    </w:p>
    <w:p w14:paraId="670FFB7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rFonts w:eastAsia="Calibri"/>
          <w:color w:val="000000"/>
          <w:sz w:val="28"/>
          <w:szCs w:val="28"/>
        </w:rPr>
        <w:t> </w:t>
      </w:r>
    </w:p>
    <w:p w14:paraId="6B2DD69F" w14:textId="77777777" w:rsidR="00C700B8" w:rsidRPr="00170B7C" w:rsidRDefault="00274D3C" w:rsidP="005E1661">
      <w:pPr>
        <w:pBdr>
          <w:top w:val="none" w:sz="0" w:space="0" w:color="000000"/>
          <w:left w:val="none" w:sz="0" w:space="0" w:color="000000"/>
          <w:bottom w:val="none" w:sz="0" w:space="0" w:color="000000"/>
          <w:right w:val="none" w:sz="0" w:space="0" w:color="000000"/>
          <w:between w:val="none" w:sz="0" w:space="0" w:color="000000"/>
        </w:pBdr>
        <w:ind w:firstLine="567"/>
        <w:jc w:val="center"/>
        <w:rPr>
          <w:rFonts w:eastAsia="Calibri"/>
          <w:color w:val="000000"/>
          <w:sz w:val="28"/>
          <w:szCs w:val="28"/>
        </w:rPr>
      </w:pPr>
      <w:r w:rsidRPr="00170B7C">
        <w:rPr>
          <w:color w:val="000000"/>
          <w:sz w:val="28"/>
          <w:szCs w:val="28"/>
        </w:rPr>
        <w:t xml:space="preserve">Таблица 8 – Сравнение рассчитанного объема печени </w:t>
      </w:r>
      <w:r w:rsidR="00B81B2A" w:rsidRPr="00170B7C">
        <w:rPr>
          <w:color w:val="000000"/>
          <w:sz w:val="28"/>
          <w:szCs w:val="28"/>
        </w:rPr>
        <w:t>тремя методами</w:t>
      </w:r>
      <w:r w:rsidRPr="00170B7C">
        <w:rPr>
          <w:color w:val="000000"/>
          <w:sz w:val="28"/>
          <w:szCs w:val="28"/>
        </w:rPr>
        <w:t xml:space="preserve"> с весом графта</w:t>
      </w:r>
    </w:p>
    <w:p w14:paraId="588F70E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170B7C">
        <w:rPr>
          <w:rFonts w:eastAsia="Calibri"/>
          <w:color w:val="000000"/>
          <w:sz w:val="28"/>
          <w:szCs w:val="28"/>
        </w:rPr>
        <w:t> </w:t>
      </w:r>
    </w:p>
    <w:tbl>
      <w:tblPr>
        <w:tblStyle w:val="aff0"/>
        <w:tblW w:w="9488" w:type="dxa"/>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789"/>
        <w:gridCol w:w="2925"/>
        <w:gridCol w:w="3774"/>
      </w:tblGrid>
      <w:tr w:rsidR="00C700B8" w:rsidRPr="00170B7C" w14:paraId="0B71E7AC" w14:textId="77777777">
        <w:trPr>
          <w:cantSplit/>
          <w:trHeight w:val="400"/>
          <w:tblHeader/>
          <w:jc w:val="center"/>
        </w:trPr>
        <w:tc>
          <w:tcPr>
            <w:tcW w:w="2789" w:type="dxa"/>
            <w:tcBorders>
              <w:top w:val="single" w:sz="8" w:space="0" w:color="000000"/>
              <w:left w:val="single" w:sz="8" w:space="0" w:color="000000"/>
              <w:bottom w:val="single" w:sz="8" w:space="0" w:color="000000"/>
              <w:right w:val="single" w:sz="8" w:space="0" w:color="000000"/>
            </w:tcBorders>
            <w:shd w:val="clear" w:color="auto" w:fill="auto"/>
          </w:tcPr>
          <w:p w14:paraId="11EBDB9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Программа </w:t>
            </w:r>
          </w:p>
        </w:tc>
        <w:tc>
          <w:tcPr>
            <w:tcW w:w="2925" w:type="dxa"/>
            <w:tcBorders>
              <w:top w:val="single" w:sz="8" w:space="0" w:color="000000"/>
              <w:left w:val="single" w:sz="8" w:space="0" w:color="000000"/>
              <w:bottom w:val="single" w:sz="8" w:space="0" w:color="000000"/>
              <w:right w:val="single" w:sz="8" w:space="0" w:color="000000"/>
            </w:tcBorders>
            <w:shd w:val="clear" w:color="auto" w:fill="auto"/>
          </w:tcPr>
          <w:p w14:paraId="2053D8C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Рассчитанный объем &gt; веса графта </w:t>
            </w:r>
          </w:p>
        </w:tc>
        <w:tc>
          <w:tcPr>
            <w:tcW w:w="3774" w:type="dxa"/>
            <w:tcBorders>
              <w:top w:val="single" w:sz="8" w:space="0" w:color="000000"/>
              <w:left w:val="single" w:sz="8" w:space="0" w:color="000000"/>
              <w:bottom w:val="single" w:sz="8" w:space="0" w:color="000000"/>
              <w:right w:val="single" w:sz="8" w:space="0" w:color="000000"/>
            </w:tcBorders>
            <w:shd w:val="clear" w:color="auto" w:fill="auto"/>
          </w:tcPr>
          <w:p w14:paraId="4BAFB7C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Gungsuh"/>
                <w:color w:val="000000"/>
                <w:sz w:val="28"/>
                <w:szCs w:val="28"/>
              </w:rPr>
              <w:t>Рассчитанный объем ≤ </w:t>
            </w:r>
          </w:p>
          <w:p w14:paraId="2F2A7908"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веса графта </w:t>
            </w:r>
          </w:p>
        </w:tc>
      </w:tr>
      <w:tr w:rsidR="00C700B8" w:rsidRPr="00170B7C" w14:paraId="53D6D038" w14:textId="77777777">
        <w:trPr>
          <w:cantSplit/>
          <w:trHeight w:val="400"/>
          <w:tblHeader/>
          <w:jc w:val="center"/>
        </w:trPr>
        <w:tc>
          <w:tcPr>
            <w:tcW w:w="2789" w:type="dxa"/>
            <w:tcBorders>
              <w:top w:val="single" w:sz="8" w:space="0" w:color="000000"/>
              <w:left w:val="single" w:sz="8" w:space="0" w:color="000000"/>
              <w:bottom w:val="single" w:sz="8" w:space="0" w:color="000000"/>
              <w:right w:val="single" w:sz="8" w:space="0" w:color="000000"/>
            </w:tcBorders>
            <w:shd w:val="clear" w:color="auto" w:fill="auto"/>
          </w:tcPr>
          <w:p w14:paraId="2BD17B1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Volume Analysis </w:t>
            </w:r>
          </w:p>
        </w:tc>
        <w:tc>
          <w:tcPr>
            <w:tcW w:w="2925" w:type="dxa"/>
            <w:tcBorders>
              <w:top w:val="single" w:sz="8" w:space="0" w:color="000000"/>
              <w:left w:val="single" w:sz="8" w:space="0" w:color="000000"/>
              <w:bottom w:val="single" w:sz="8" w:space="0" w:color="000000"/>
              <w:right w:val="single" w:sz="8" w:space="0" w:color="000000"/>
            </w:tcBorders>
            <w:shd w:val="clear" w:color="auto" w:fill="auto"/>
          </w:tcPr>
          <w:p w14:paraId="1E6AFCE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44 (73%) </w:t>
            </w:r>
          </w:p>
        </w:tc>
        <w:tc>
          <w:tcPr>
            <w:tcW w:w="3774" w:type="dxa"/>
            <w:tcBorders>
              <w:top w:val="single" w:sz="8" w:space="0" w:color="000000"/>
              <w:left w:val="single" w:sz="8" w:space="0" w:color="000000"/>
              <w:bottom w:val="single" w:sz="8" w:space="0" w:color="000000"/>
              <w:right w:val="single" w:sz="8" w:space="0" w:color="000000"/>
            </w:tcBorders>
            <w:shd w:val="clear" w:color="auto" w:fill="auto"/>
          </w:tcPr>
          <w:p w14:paraId="097475C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16 (27%) </w:t>
            </w:r>
          </w:p>
        </w:tc>
      </w:tr>
      <w:tr w:rsidR="00C700B8" w:rsidRPr="00170B7C" w14:paraId="705883C5" w14:textId="77777777">
        <w:trPr>
          <w:cantSplit/>
          <w:trHeight w:val="400"/>
          <w:tblHeader/>
          <w:jc w:val="center"/>
        </w:trPr>
        <w:tc>
          <w:tcPr>
            <w:tcW w:w="2789" w:type="dxa"/>
            <w:tcBorders>
              <w:top w:val="single" w:sz="8" w:space="0" w:color="000000"/>
              <w:left w:val="single" w:sz="8" w:space="0" w:color="000000"/>
              <w:bottom w:val="single" w:sz="8" w:space="0" w:color="000000"/>
              <w:right w:val="single" w:sz="8" w:space="0" w:color="000000"/>
            </w:tcBorders>
            <w:shd w:val="clear" w:color="auto" w:fill="auto"/>
          </w:tcPr>
          <w:p w14:paraId="72FEE36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OsiriX MD </w:t>
            </w:r>
          </w:p>
        </w:tc>
        <w:tc>
          <w:tcPr>
            <w:tcW w:w="2925" w:type="dxa"/>
            <w:tcBorders>
              <w:top w:val="single" w:sz="8" w:space="0" w:color="000000"/>
              <w:left w:val="single" w:sz="8" w:space="0" w:color="000000"/>
              <w:bottom w:val="single" w:sz="8" w:space="0" w:color="000000"/>
              <w:right w:val="single" w:sz="8" w:space="0" w:color="000000"/>
            </w:tcBorders>
            <w:shd w:val="clear" w:color="auto" w:fill="auto"/>
          </w:tcPr>
          <w:p w14:paraId="37662E2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44 (73%) </w:t>
            </w:r>
          </w:p>
        </w:tc>
        <w:tc>
          <w:tcPr>
            <w:tcW w:w="3774" w:type="dxa"/>
            <w:tcBorders>
              <w:top w:val="single" w:sz="8" w:space="0" w:color="000000"/>
              <w:left w:val="single" w:sz="8" w:space="0" w:color="000000"/>
              <w:bottom w:val="single" w:sz="8" w:space="0" w:color="000000"/>
              <w:right w:val="single" w:sz="8" w:space="0" w:color="000000"/>
            </w:tcBorders>
            <w:shd w:val="clear" w:color="auto" w:fill="auto"/>
          </w:tcPr>
          <w:p w14:paraId="660531E8"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16 (27%) </w:t>
            </w:r>
          </w:p>
        </w:tc>
      </w:tr>
      <w:tr w:rsidR="00C700B8" w:rsidRPr="00170B7C" w14:paraId="39F86E4C" w14:textId="77777777">
        <w:trPr>
          <w:cantSplit/>
          <w:trHeight w:val="100"/>
          <w:tblHeader/>
          <w:jc w:val="center"/>
        </w:trPr>
        <w:tc>
          <w:tcPr>
            <w:tcW w:w="2789" w:type="dxa"/>
            <w:tcBorders>
              <w:top w:val="single" w:sz="8" w:space="0" w:color="000000"/>
              <w:left w:val="single" w:sz="8" w:space="0" w:color="000000"/>
              <w:bottom w:val="single" w:sz="8" w:space="0" w:color="000000"/>
              <w:right w:val="single" w:sz="8" w:space="0" w:color="000000"/>
            </w:tcBorders>
            <w:shd w:val="clear" w:color="auto" w:fill="auto"/>
          </w:tcPr>
          <w:p w14:paraId="0EC40B6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both"/>
              <w:rPr>
                <w:rFonts w:eastAsia="Calibri"/>
                <w:color w:val="000000"/>
                <w:sz w:val="28"/>
                <w:szCs w:val="28"/>
              </w:rPr>
            </w:pPr>
            <w:r w:rsidRPr="00170B7C">
              <w:rPr>
                <w:color w:val="000000"/>
                <w:sz w:val="28"/>
                <w:szCs w:val="28"/>
              </w:rPr>
              <w:t>CT Volume Analysis </w:t>
            </w:r>
          </w:p>
        </w:tc>
        <w:tc>
          <w:tcPr>
            <w:tcW w:w="2925" w:type="dxa"/>
            <w:tcBorders>
              <w:top w:val="single" w:sz="8" w:space="0" w:color="000000"/>
              <w:left w:val="single" w:sz="8" w:space="0" w:color="000000"/>
              <w:bottom w:val="single" w:sz="8" w:space="0" w:color="000000"/>
              <w:right w:val="single" w:sz="8" w:space="0" w:color="000000"/>
            </w:tcBorders>
            <w:shd w:val="clear" w:color="auto" w:fill="auto"/>
          </w:tcPr>
          <w:p w14:paraId="11F5A15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42 (70%) </w:t>
            </w:r>
          </w:p>
        </w:tc>
        <w:tc>
          <w:tcPr>
            <w:tcW w:w="3774" w:type="dxa"/>
            <w:tcBorders>
              <w:top w:val="single" w:sz="8" w:space="0" w:color="000000"/>
              <w:left w:val="single" w:sz="8" w:space="0" w:color="000000"/>
              <w:bottom w:val="single" w:sz="8" w:space="0" w:color="000000"/>
              <w:right w:val="single" w:sz="8" w:space="0" w:color="000000"/>
            </w:tcBorders>
            <w:shd w:val="clear" w:color="auto" w:fill="auto"/>
          </w:tcPr>
          <w:p w14:paraId="173A7DC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18 (30%) </w:t>
            </w:r>
          </w:p>
        </w:tc>
      </w:tr>
    </w:tbl>
    <w:p w14:paraId="0AAC312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170B7C">
        <w:rPr>
          <w:rFonts w:eastAsia="Calibri"/>
          <w:color w:val="000000"/>
          <w:sz w:val="28"/>
          <w:szCs w:val="28"/>
        </w:rPr>
        <w:t> </w:t>
      </w:r>
    </w:p>
    <w:p w14:paraId="0AE5787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Как видно из таблицы 8, все три метода переоценивали объем печени в сравнении с весом графта (70-73%), что является статистически значимым (p=0,004).  </w:t>
      </w:r>
    </w:p>
    <w:p w14:paraId="204B068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Наряду с сравнительным анализом точности мануального, полуавтоматического и автоматического методов нами оценены функциональные способности каждой, например, такие как быстрота расчета КТ-волюметрии. Данный параметр важен в случае экстренной необходимости проведения КТ-волюметрии печени донора при трансплантации.   </w:t>
      </w:r>
    </w:p>
    <w:p w14:paraId="79475E8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Время, затраченное на расчет общего объема печени мануальным методом, составило 26,7 мин (диапазон 20,0-33,8 мин), на расчет остаточного объема печени - 13,8 мин (диапазон 10,1-18,7 мин). На расчет общего объема печени с использованием полуавтоматического метода, включая коррекцию ложноположительных результатов, затрачено 18,8 мин (диапазон 15,4–22,7 мин), а на расчет остаточного объема печени </w:t>
      </w:r>
      <w:r w:rsidR="005E1661" w:rsidRPr="005E1661">
        <w:rPr>
          <w:color w:val="000000" w:themeColor="text1"/>
          <w:sz w:val="28"/>
          <w:szCs w:val="28"/>
        </w:rPr>
        <w:t>–</w:t>
      </w:r>
      <w:r w:rsidRPr="00170B7C">
        <w:rPr>
          <w:color w:val="000000"/>
          <w:sz w:val="28"/>
          <w:szCs w:val="28"/>
        </w:rPr>
        <w:t xml:space="preserve"> 10,6 мин (диапазон 8,7–18,0 мин) включая коррекцию. Автоматическ</w:t>
      </w:r>
      <w:r w:rsidR="00B81B2A" w:rsidRPr="00170B7C">
        <w:rPr>
          <w:color w:val="000000"/>
          <w:sz w:val="28"/>
          <w:szCs w:val="28"/>
        </w:rPr>
        <w:t xml:space="preserve">ий метод </w:t>
      </w:r>
      <w:r w:rsidRPr="00170B7C">
        <w:rPr>
          <w:color w:val="000000"/>
          <w:sz w:val="28"/>
          <w:szCs w:val="28"/>
        </w:rPr>
        <w:t>CT Liver Analysis рассчитал общий объем печени за 1 минуту, но в среднем потребовалось 9,3 минуты (диапазон 4,1–15,2 минуты</w:t>
      </w:r>
      <w:r w:rsidR="00B81B2A" w:rsidRPr="00170B7C">
        <w:rPr>
          <w:color w:val="000000"/>
          <w:sz w:val="28"/>
          <w:szCs w:val="28"/>
        </w:rPr>
        <w:t>) для того, чтобы</w:t>
      </w:r>
      <w:r w:rsidRPr="00170B7C">
        <w:rPr>
          <w:color w:val="000000"/>
          <w:sz w:val="28"/>
          <w:szCs w:val="28"/>
        </w:rPr>
        <w:t xml:space="preserve"> скорректировать ложноположительные результаты и построить виртуальную линию резекции. Стоит также </w:t>
      </w:r>
      <w:r w:rsidR="00B81B2A" w:rsidRPr="00170B7C">
        <w:rPr>
          <w:color w:val="000000"/>
          <w:sz w:val="28"/>
          <w:szCs w:val="28"/>
        </w:rPr>
        <w:t>отметить,</w:t>
      </w:r>
      <w:r w:rsidRPr="00170B7C">
        <w:rPr>
          <w:color w:val="000000"/>
          <w:sz w:val="28"/>
          <w:szCs w:val="28"/>
        </w:rPr>
        <w:t xml:space="preserve"> что исправление ложноположительного контуринга требовалось в 100% случаях при </w:t>
      </w:r>
      <w:r w:rsidRPr="00170B7C">
        <w:rPr>
          <w:color w:val="000000" w:themeColor="text1"/>
          <w:sz w:val="28"/>
          <w:szCs w:val="28"/>
        </w:rPr>
        <w:t xml:space="preserve">расчете объема печени в программе Osirix MD и в 95% случаях при расчете в программе CT Liver </w:t>
      </w:r>
      <w:r w:rsidRPr="00170B7C">
        <w:rPr>
          <w:color w:val="000000"/>
          <w:sz w:val="28"/>
          <w:szCs w:val="28"/>
        </w:rPr>
        <w:t>Analysis.  </w:t>
      </w:r>
    </w:p>
    <w:p w14:paraId="4203802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lastRenderedPageBreak/>
        <w:t xml:space="preserve">Таким образом, с учетом времени, затраченного на расчет как общего объема печени, так и остаточного объема, включая время, затраченное на исправление ложноположительного контуринга полуавтоматический и автоматический методы оказались быстрее в расчетах в сравнении с мануальным на 11,1 </w:t>
      </w:r>
      <w:r w:rsidR="00CF03A2" w:rsidRPr="00CF03A2">
        <w:rPr>
          <w:color w:val="000000"/>
          <w:sz w:val="28"/>
          <w:szCs w:val="28"/>
        </w:rPr>
        <w:t>ми</w:t>
      </w:r>
      <w:r w:rsidR="00CF03A2">
        <w:rPr>
          <w:color w:val="000000"/>
          <w:sz w:val="28"/>
          <w:szCs w:val="28"/>
        </w:rPr>
        <w:t xml:space="preserve">н </w:t>
      </w:r>
      <w:r w:rsidRPr="00170B7C">
        <w:rPr>
          <w:color w:val="000000"/>
          <w:sz w:val="28"/>
          <w:szCs w:val="28"/>
        </w:rPr>
        <w:t>и 31,2 мин соответственно (p&lt;0,05). </w:t>
      </w:r>
    </w:p>
    <w:p w14:paraId="1B57F05F" w14:textId="401CED0F"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По литературным данным, такие антропометрические данные как пол, возраст, индекс массы тела (ИМТ) способны </w:t>
      </w:r>
      <w:r w:rsidR="00B81B2A" w:rsidRPr="00170B7C">
        <w:rPr>
          <w:color w:val="000000"/>
          <w:sz w:val="28"/>
          <w:szCs w:val="28"/>
        </w:rPr>
        <w:t>влиять на разницу</w:t>
      </w:r>
      <w:r w:rsidRPr="00170B7C">
        <w:rPr>
          <w:color w:val="000000"/>
          <w:sz w:val="28"/>
          <w:szCs w:val="28"/>
        </w:rPr>
        <w:t xml:space="preserve"> между рассчитанным объемом печени донора и весом </w:t>
      </w:r>
      <w:r w:rsidR="00573C1C">
        <w:rPr>
          <w:color w:val="000000"/>
          <w:sz w:val="28"/>
          <w:szCs w:val="28"/>
        </w:rPr>
        <w:t>графта</w:t>
      </w:r>
      <w:r w:rsidRPr="00C60723">
        <w:rPr>
          <w:color w:val="000000"/>
          <w:sz w:val="28"/>
          <w:szCs w:val="28"/>
        </w:rPr>
        <w:t>.</w:t>
      </w:r>
    </w:p>
    <w:p w14:paraId="17AD39B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Для проверки данной гипотезы нами проведен дисперсионный анализ ANOVA, который не выявил статистически значимых связей между полом и </w:t>
      </w:r>
      <w:r w:rsidR="00B81B2A" w:rsidRPr="00170B7C">
        <w:rPr>
          <w:color w:val="000000"/>
          <w:sz w:val="28"/>
          <w:szCs w:val="28"/>
          <w:lang w:val="en-US"/>
        </w:rPr>
        <w:t>error</w:t>
      </w:r>
      <w:r w:rsidR="00B81B2A" w:rsidRPr="00170B7C">
        <w:rPr>
          <w:color w:val="000000"/>
          <w:sz w:val="28"/>
          <w:szCs w:val="28"/>
        </w:rPr>
        <w:t xml:space="preserve"> </w:t>
      </w:r>
      <w:r w:rsidR="00B81B2A" w:rsidRPr="00170B7C">
        <w:rPr>
          <w:color w:val="000000"/>
          <w:sz w:val="28"/>
          <w:szCs w:val="28"/>
          <w:lang w:val="en-US"/>
        </w:rPr>
        <w:t>ratio</w:t>
      </w:r>
      <w:r w:rsidRPr="00170B7C">
        <w:rPr>
          <w:color w:val="000000"/>
          <w:sz w:val="28"/>
          <w:szCs w:val="28"/>
        </w:rPr>
        <w:t xml:space="preserve"> мануального (p=0,325), полуавтоматического (p=0,975) и автоматического (p=0,467) методов.  </w:t>
      </w:r>
    </w:p>
    <w:p w14:paraId="6B8AF239" w14:textId="1AE20816"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Ряд авторов в своих исследованиях выявили, что реципиенты, донорами которых были старшего возраста имели низкие показатели выживаемости и высокие показатели пос</w:t>
      </w:r>
      <w:r w:rsidR="00CF03A2">
        <w:rPr>
          <w:color w:val="000000"/>
          <w:sz w:val="28"/>
          <w:szCs w:val="28"/>
        </w:rPr>
        <w:t>т</w:t>
      </w:r>
      <w:r w:rsidR="00573C1C">
        <w:rPr>
          <w:color w:val="000000"/>
          <w:sz w:val="28"/>
          <w:szCs w:val="28"/>
        </w:rPr>
        <w:t>операционных осложнени</w:t>
      </w:r>
      <w:r w:rsidRPr="00170B7C">
        <w:rPr>
          <w:color w:val="000000"/>
          <w:sz w:val="28"/>
          <w:szCs w:val="28"/>
        </w:rPr>
        <w:t xml:space="preserve">. В нашем исследовании донорами печени стали в возрасте от 18 до 51 года, для данного исследования нами выделены две группы: доноры в возрасте от 18 до 30 и от 31 до 51 лет. Проведенный анализ не выявил статистически значимых различий между двумя возрастными группами и </w:t>
      </w:r>
      <w:r w:rsidR="00B81B2A" w:rsidRPr="00170B7C">
        <w:rPr>
          <w:color w:val="000000"/>
          <w:sz w:val="28"/>
          <w:szCs w:val="28"/>
        </w:rPr>
        <w:t>процентом ошибки</w:t>
      </w:r>
      <w:r w:rsidRPr="00170B7C">
        <w:rPr>
          <w:color w:val="000000"/>
          <w:sz w:val="28"/>
          <w:szCs w:val="28"/>
        </w:rPr>
        <w:t xml:space="preserve"> рассчитанного объема печени мануальным (p=0,682), полуавтоматическим (p=0,886) и автоматическим (p=0,898) методами.  </w:t>
      </w:r>
    </w:p>
    <w:p w14:paraId="4C7B5404" w14:textId="44B44B4D" w:rsidR="00C700B8" w:rsidRPr="00170B7C" w:rsidRDefault="005E1661"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5E1661">
        <w:rPr>
          <w:color w:val="000000"/>
          <w:sz w:val="28"/>
          <w:szCs w:val="28"/>
        </w:rPr>
        <w:t>И</w:t>
      </w:r>
      <w:r>
        <w:rPr>
          <w:color w:val="000000"/>
          <w:sz w:val="28"/>
          <w:szCs w:val="28"/>
        </w:rPr>
        <w:t>МТ</w:t>
      </w:r>
      <w:r w:rsidR="00274D3C" w:rsidRPr="00170B7C">
        <w:rPr>
          <w:color w:val="000000"/>
          <w:sz w:val="28"/>
          <w:szCs w:val="28"/>
        </w:rPr>
        <w:t xml:space="preserve"> также является одним из критериев отбора донора печени. Высокий показатель ИМТ, по мнению некоторых авторов способен влиять на </w:t>
      </w:r>
      <w:r w:rsidR="00B81B2A" w:rsidRPr="00170B7C">
        <w:rPr>
          <w:color w:val="000000"/>
          <w:sz w:val="28"/>
          <w:szCs w:val="28"/>
        </w:rPr>
        <w:t>разницу</w:t>
      </w:r>
      <w:r w:rsidR="00274D3C" w:rsidRPr="00170B7C">
        <w:rPr>
          <w:color w:val="000000"/>
          <w:sz w:val="28"/>
          <w:szCs w:val="28"/>
        </w:rPr>
        <w:t xml:space="preserve"> между рассчитанным объемом печени и весом графта, приводить к послеоперационным осложнениям. Другие авторы, напротив, в своих исследованиях отрицают влияния у </w:t>
      </w:r>
      <w:r w:rsidR="005F2DF2">
        <w:rPr>
          <w:color w:val="000000"/>
          <w:sz w:val="28"/>
          <w:szCs w:val="28"/>
        </w:rPr>
        <w:t>доноров</w:t>
      </w:r>
      <w:r w:rsidR="00274D3C" w:rsidRPr="00170B7C">
        <w:rPr>
          <w:color w:val="000000"/>
          <w:sz w:val="28"/>
          <w:szCs w:val="28"/>
        </w:rPr>
        <w:t xml:space="preserve"> с высоким показателем ИМТ увеличения </w:t>
      </w:r>
      <w:r w:rsidR="00B81B2A" w:rsidRPr="00170B7C">
        <w:rPr>
          <w:color w:val="000000"/>
          <w:sz w:val="28"/>
          <w:szCs w:val="28"/>
        </w:rPr>
        <w:t xml:space="preserve">процента ошибки </w:t>
      </w:r>
      <w:r w:rsidR="00274D3C" w:rsidRPr="00170B7C">
        <w:rPr>
          <w:color w:val="000000"/>
          <w:sz w:val="28"/>
          <w:szCs w:val="28"/>
        </w:rPr>
        <w:t xml:space="preserve">между КТ-волюметрией и весом графта, а также отрицают влияние на риск развития послеоперационных осложнений. В нашем исследовании пациенты разделены на две группы: доноры с нормальным индексом массы тела до 25 и доноры с избыточным индексом массы тела более 25.  Нами не выявлено статистически значимой связи между ИМТ и </w:t>
      </w:r>
      <w:r w:rsidR="00B81B2A" w:rsidRPr="00170B7C">
        <w:rPr>
          <w:color w:val="000000"/>
          <w:sz w:val="28"/>
          <w:szCs w:val="28"/>
          <w:lang w:val="en-US"/>
        </w:rPr>
        <w:t>Error</w:t>
      </w:r>
      <w:r w:rsidR="00B81B2A" w:rsidRPr="00170B7C">
        <w:rPr>
          <w:color w:val="000000"/>
          <w:sz w:val="28"/>
          <w:szCs w:val="28"/>
        </w:rPr>
        <w:t xml:space="preserve"> </w:t>
      </w:r>
      <w:r w:rsidR="00B81B2A" w:rsidRPr="00170B7C">
        <w:rPr>
          <w:color w:val="000000"/>
          <w:sz w:val="28"/>
          <w:szCs w:val="28"/>
          <w:lang w:val="en-US"/>
        </w:rPr>
        <w:t>ratio</w:t>
      </w:r>
      <w:r w:rsidR="00274D3C" w:rsidRPr="00170B7C">
        <w:rPr>
          <w:color w:val="000000"/>
          <w:sz w:val="28"/>
          <w:szCs w:val="28"/>
        </w:rPr>
        <w:t xml:space="preserve"> мануальн</w:t>
      </w:r>
      <w:r w:rsidR="00B81B2A" w:rsidRPr="00170B7C">
        <w:rPr>
          <w:color w:val="000000"/>
          <w:sz w:val="28"/>
          <w:szCs w:val="28"/>
        </w:rPr>
        <w:t>ого</w:t>
      </w:r>
      <w:r w:rsidR="00274D3C" w:rsidRPr="00170B7C">
        <w:rPr>
          <w:color w:val="000000"/>
          <w:sz w:val="28"/>
          <w:szCs w:val="28"/>
        </w:rPr>
        <w:t xml:space="preserve"> (p=0,114), полуавтоматическ</w:t>
      </w:r>
      <w:r w:rsidR="00B81B2A" w:rsidRPr="00170B7C">
        <w:rPr>
          <w:color w:val="000000"/>
          <w:sz w:val="28"/>
          <w:szCs w:val="28"/>
        </w:rPr>
        <w:t>ого</w:t>
      </w:r>
      <w:r w:rsidR="00274D3C" w:rsidRPr="00170B7C">
        <w:rPr>
          <w:color w:val="000000"/>
          <w:sz w:val="28"/>
          <w:szCs w:val="28"/>
        </w:rPr>
        <w:t xml:space="preserve"> (p=0,441) и автоматическ</w:t>
      </w:r>
      <w:r w:rsidR="00B81B2A" w:rsidRPr="00170B7C">
        <w:rPr>
          <w:color w:val="000000"/>
          <w:sz w:val="28"/>
          <w:szCs w:val="28"/>
        </w:rPr>
        <w:t>ого</w:t>
      </w:r>
      <w:r w:rsidR="00274D3C" w:rsidRPr="00170B7C">
        <w:rPr>
          <w:color w:val="000000"/>
          <w:sz w:val="28"/>
          <w:szCs w:val="28"/>
        </w:rPr>
        <w:t xml:space="preserve"> (p=0,313) метод</w:t>
      </w:r>
      <w:r w:rsidR="00B81B2A" w:rsidRPr="00170B7C">
        <w:rPr>
          <w:color w:val="000000"/>
          <w:sz w:val="28"/>
          <w:szCs w:val="28"/>
        </w:rPr>
        <w:t>ов</w:t>
      </w:r>
      <w:r w:rsidR="006359FB" w:rsidRPr="00170B7C">
        <w:rPr>
          <w:color w:val="000000"/>
          <w:sz w:val="28"/>
          <w:szCs w:val="28"/>
        </w:rPr>
        <w:t>.</w:t>
      </w:r>
    </w:p>
    <w:p w14:paraId="3252F917" w14:textId="2F803CAF"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Одним из факторов, способных влиять на </w:t>
      </w:r>
      <w:r w:rsidR="006359FB" w:rsidRPr="00170B7C">
        <w:rPr>
          <w:color w:val="000000"/>
          <w:sz w:val="28"/>
          <w:szCs w:val="28"/>
        </w:rPr>
        <w:t>точность</w:t>
      </w:r>
      <w:r w:rsidRPr="00170B7C">
        <w:rPr>
          <w:color w:val="000000"/>
          <w:sz w:val="28"/>
          <w:szCs w:val="28"/>
        </w:rPr>
        <w:t xml:space="preserve"> рассчитанн</w:t>
      </w:r>
      <w:r w:rsidR="006359FB" w:rsidRPr="00170B7C">
        <w:rPr>
          <w:color w:val="000000"/>
          <w:sz w:val="28"/>
          <w:szCs w:val="28"/>
        </w:rPr>
        <w:t>ого</w:t>
      </w:r>
      <w:r w:rsidRPr="00170B7C">
        <w:rPr>
          <w:color w:val="000000"/>
          <w:sz w:val="28"/>
          <w:szCs w:val="28"/>
        </w:rPr>
        <w:t xml:space="preserve"> объем</w:t>
      </w:r>
      <w:r w:rsidR="006359FB" w:rsidRPr="00170B7C">
        <w:rPr>
          <w:color w:val="000000"/>
          <w:sz w:val="28"/>
          <w:szCs w:val="28"/>
        </w:rPr>
        <w:t>а</w:t>
      </w:r>
      <w:r w:rsidRPr="00170B7C">
        <w:rPr>
          <w:color w:val="000000"/>
          <w:sz w:val="28"/>
          <w:szCs w:val="28"/>
        </w:rPr>
        <w:t xml:space="preserve"> печени донора, по мнению авторов, является количество дней от проведения КТ-волюметрии до оперативного вмешательства</w:t>
      </w:r>
      <w:r w:rsidRPr="00170B7C">
        <w:rPr>
          <w:rFonts w:eastAsia="Calibri"/>
          <w:color w:val="000000"/>
          <w:sz w:val="28"/>
          <w:szCs w:val="28"/>
        </w:rPr>
        <w:t xml:space="preserve">. </w:t>
      </w:r>
      <w:r w:rsidRPr="00170B7C">
        <w:rPr>
          <w:color w:val="000000"/>
          <w:sz w:val="28"/>
          <w:szCs w:val="28"/>
        </w:rPr>
        <w:t xml:space="preserve">Согласно литературным данным большая разница во времени может влиять на вес, артериальное давление, развитие жирового гепатоза донора, соответственно влиять и на </w:t>
      </w:r>
      <w:r w:rsidR="006359FB" w:rsidRPr="00170B7C">
        <w:rPr>
          <w:color w:val="000000"/>
          <w:sz w:val="28"/>
          <w:szCs w:val="28"/>
        </w:rPr>
        <w:t xml:space="preserve">результаты КТ-волюметрии </w:t>
      </w:r>
      <w:r w:rsidR="006359FB" w:rsidRPr="00C5654B">
        <w:rPr>
          <w:color w:val="000000"/>
          <w:sz w:val="28"/>
          <w:szCs w:val="28"/>
        </w:rPr>
        <w:t>печени донора</w:t>
      </w:r>
      <w:r w:rsidRPr="00C5654B">
        <w:rPr>
          <w:color w:val="000000"/>
          <w:sz w:val="28"/>
          <w:szCs w:val="28"/>
        </w:rPr>
        <w:t>. В</w:t>
      </w:r>
      <w:r w:rsidRPr="00170B7C">
        <w:rPr>
          <w:color w:val="000000"/>
          <w:sz w:val="28"/>
          <w:szCs w:val="28"/>
        </w:rPr>
        <w:t xml:space="preserve"> нашем исследовании время от проведения КТ-волюметрии до трансплантации составило от 1 до 135 дней, средний показатель составил 57,6±34,5 дней (рисунок </w:t>
      </w:r>
      <w:r w:rsidR="00496251" w:rsidRPr="00170B7C">
        <w:rPr>
          <w:color w:val="000000"/>
          <w:sz w:val="28"/>
          <w:szCs w:val="28"/>
        </w:rPr>
        <w:t>33</w:t>
      </w:r>
      <w:r w:rsidRPr="00170B7C">
        <w:rPr>
          <w:color w:val="000000"/>
          <w:sz w:val="28"/>
          <w:szCs w:val="28"/>
        </w:rPr>
        <w:t>).  </w:t>
      </w:r>
    </w:p>
    <w:p w14:paraId="342AC6D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rFonts w:eastAsia="Calibri"/>
          <w:color w:val="000000"/>
          <w:sz w:val="28"/>
          <w:szCs w:val="28"/>
        </w:rPr>
        <w:t> </w:t>
      </w:r>
    </w:p>
    <w:p w14:paraId="681A032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left="940"/>
        <w:jc w:val="center"/>
        <w:rPr>
          <w:rFonts w:eastAsia="Calibri"/>
          <w:color w:val="000000"/>
          <w:sz w:val="28"/>
          <w:szCs w:val="28"/>
        </w:rPr>
      </w:pPr>
      <w:r w:rsidRPr="00170B7C">
        <w:rPr>
          <w:rFonts w:eastAsia="Arial"/>
          <w:noProof/>
          <w:color w:val="000000"/>
          <w:sz w:val="28"/>
          <w:szCs w:val="28"/>
          <w:lang w:eastAsia="ru-RU"/>
        </w:rPr>
        <w:lastRenderedPageBreak/>
        <w:drawing>
          <wp:inline distT="0" distB="0" distL="114300" distR="114300" wp14:anchorId="6EF73777" wp14:editId="1D17BD2E">
            <wp:extent cx="4665785" cy="3738563"/>
            <wp:effectExtent l="0" t="0" r="0" b="0"/>
            <wp:docPr id="372" name="image31.png" descr="IMG_297"/>
            <wp:cNvGraphicFramePr/>
            <a:graphic xmlns:a="http://schemas.openxmlformats.org/drawingml/2006/main">
              <a:graphicData uri="http://schemas.openxmlformats.org/drawingml/2006/picture">
                <pic:pic xmlns:pic="http://schemas.openxmlformats.org/drawingml/2006/picture">
                  <pic:nvPicPr>
                    <pic:cNvPr id="0" name="image31.png" descr="IMG_297"/>
                    <pic:cNvPicPr preferRelativeResize="0"/>
                  </pic:nvPicPr>
                  <pic:blipFill>
                    <a:blip r:embed="rId58"/>
                    <a:srcRect/>
                    <a:stretch>
                      <a:fillRect/>
                    </a:stretch>
                  </pic:blipFill>
                  <pic:spPr>
                    <a:xfrm>
                      <a:off x="0" y="0"/>
                      <a:ext cx="4665785" cy="3738563"/>
                    </a:xfrm>
                    <a:prstGeom prst="rect">
                      <a:avLst/>
                    </a:prstGeom>
                    <a:ln/>
                  </pic:spPr>
                </pic:pic>
              </a:graphicData>
            </a:graphic>
          </wp:inline>
        </w:drawing>
      </w:r>
      <w:r w:rsidRPr="00170B7C">
        <w:rPr>
          <w:rFonts w:eastAsia="Calibri"/>
          <w:color w:val="000000"/>
          <w:sz w:val="28"/>
          <w:szCs w:val="28"/>
        </w:rPr>
        <w:t> </w:t>
      </w:r>
    </w:p>
    <w:p w14:paraId="48F72CEE" w14:textId="77777777" w:rsidR="005E1661" w:rsidRDefault="005E1661" w:rsidP="00170B7C">
      <w:pPr>
        <w:pBdr>
          <w:top w:val="none" w:sz="0" w:space="0" w:color="000000"/>
          <w:left w:val="none" w:sz="0" w:space="0" w:color="000000"/>
          <w:bottom w:val="none" w:sz="0" w:space="0" w:color="000000"/>
          <w:right w:val="none" w:sz="0" w:space="0" w:color="000000"/>
          <w:between w:val="none" w:sz="0" w:space="0" w:color="000000"/>
        </w:pBdr>
        <w:ind w:left="-20" w:hanging="20"/>
        <w:jc w:val="center"/>
        <w:rPr>
          <w:color w:val="000000"/>
          <w:sz w:val="28"/>
          <w:szCs w:val="28"/>
        </w:rPr>
      </w:pPr>
    </w:p>
    <w:p w14:paraId="4D8390C9" w14:textId="77777777" w:rsidR="00C700B8" w:rsidRPr="00170B7C" w:rsidRDefault="00274D3C" w:rsidP="005E1661">
      <w:pPr>
        <w:pBdr>
          <w:top w:val="none" w:sz="0" w:space="0" w:color="000000"/>
          <w:left w:val="none" w:sz="0" w:space="0" w:color="000000"/>
          <w:bottom w:val="none" w:sz="0" w:space="0" w:color="000000"/>
          <w:right w:val="none" w:sz="0" w:space="0" w:color="000000"/>
          <w:between w:val="none" w:sz="0" w:space="0" w:color="000000"/>
        </w:pBdr>
        <w:ind w:left="-20" w:hanging="20"/>
        <w:jc w:val="center"/>
        <w:rPr>
          <w:rFonts w:eastAsia="Calibri"/>
          <w:color w:val="000000"/>
          <w:sz w:val="28"/>
          <w:szCs w:val="28"/>
        </w:rPr>
      </w:pPr>
      <w:r w:rsidRPr="00170B7C">
        <w:rPr>
          <w:color w:val="000000"/>
          <w:sz w:val="28"/>
          <w:szCs w:val="28"/>
        </w:rPr>
        <w:t xml:space="preserve">Рисунок </w:t>
      </w:r>
      <w:r w:rsidR="00496251" w:rsidRPr="00170B7C">
        <w:rPr>
          <w:color w:val="000000"/>
          <w:sz w:val="28"/>
          <w:szCs w:val="28"/>
        </w:rPr>
        <w:t>33</w:t>
      </w:r>
      <w:r w:rsidRPr="00170B7C">
        <w:rPr>
          <w:color w:val="000000"/>
          <w:sz w:val="28"/>
          <w:szCs w:val="28"/>
        </w:rPr>
        <w:t xml:space="preserve"> </w:t>
      </w:r>
      <w:r w:rsidR="005E1661" w:rsidRPr="00170B7C">
        <w:rPr>
          <w:color w:val="000000"/>
          <w:sz w:val="28"/>
          <w:szCs w:val="28"/>
        </w:rPr>
        <w:t>–</w:t>
      </w:r>
      <w:r w:rsidRPr="00170B7C">
        <w:rPr>
          <w:color w:val="000000"/>
          <w:sz w:val="28"/>
          <w:szCs w:val="28"/>
        </w:rPr>
        <w:t xml:space="preserve"> Количество дней от проведения КТ-волюметрии </w:t>
      </w:r>
      <w:r w:rsidR="005E1661">
        <w:rPr>
          <w:color w:val="000000"/>
          <w:sz w:val="28"/>
          <w:szCs w:val="28"/>
        </w:rPr>
        <w:t>до</w:t>
      </w:r>
      <w:r w:rsidRPr="00170B7C">
        <w:rPr>
          <w:color w:val="000000"/>
          <w:sz w:val="28"/>
          <w:szCs w:val="28"/>
        </w:rPr>
        <w:t xml:space="preserve"> трансплантации печени</w:t>
      </w:r>
    </w:p>
    <w:p w14:paraId="4B563F31" w14:textId="77777777" w:rsidR="005E1661" w:rsidRDefault="005E1661"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p>
    <w:p w14:paraId="46C3224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Анализ зависимости не выявил статистически значимого влияния количества прошедших дней между КТ-волюметрией и трансплантацией на </w:t>
      </w:r>
      <w:r w:rsidR="006359FB" w:rsidRPr="00170B7C">
        <w:rPr>
          <w:color w:val="000000"/>
          <w:sz w:val="28"/>
          <w:szCs w:val="28"/>
        </w:rPr>
        <w:t xml:space="preserve">точность расчета </w:t>
      </w:r>
      <w:r w:rsidRPr="00170B7C">
        <w:rPr>
          <w:color w:val="000000"/>
          <w:sz w:val="28"/>
          <w:szCs w:val="28"/>
        </w:rPr>
        <w:t xml:space="preserve">мануального (p=0,341), полуавтоматического (p=0,320) и автоматического (p=0,459) методов </w:t>
      </w:r>
      <w:r w:rsidR="006359FB" w:rsidRPr="00170B7C">
        <w:rPr>
          <w:color w:val="000000"/>
          <w:sz w:val="28"/>
          <w:szCs w:val="28"/>
        </w:rPr>
        <w:t xml:space="preserve">в сравнении </w:t>
      </w:r>
      <w:r w:rsidRPr="00170B7C">
        <w:rPr>
          <w:color w:val="000000"/>
          <w:sz w:val="28"/>
          <w:szCs w:val="28"/>
        </w:rPr>
        <w:t>с весом графта. </w:t>
      </w:r>
    </w:p>
    <w:p w14:paraId="4706D1B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Анализ результатов измерений показал отсутствие статистически значимых различий между расчетами, выполненными радиологом-1 и радиологом-2 как общего объема печени, так и правой доли тремя способами: мануальным, полуавтоматическим и автоматическим (p&lt;0,05).  </w:t>
      </w:r>
    </w:p>
    <w:p w14:paraId="6BA81DB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Анализ информативности трех методов КТ-волюметрии продемонстрировал высокую корреляцию, низкий </w:t>
      </w:r>
      <w:r w:rsidR="006359FB" w:rsidRPr="00170B7C">
        <w:rPr>
          <w:color w:val="000000"/>
          <w:sz w:val="28"/>
          <w:szCs w:val="28"/>
        </w:rPr>
        <w:t>процент</w:t>
      </w:r>
      <w:r w:rsidRPr="00170B7C">
        <w:rPr>
          <w:color w:val="000000"/>
          <w:sz w:val="28"/>
          <w:szCs w:val="28"/>
        </w:rPr>
        <w:t xml:space="preserve"> ошибки и разницы в расчетах объема печени мануальным методом в сравнении с весом графта. Несмотря на полученные данные, </w:t>
      </w:r>
      <w:r w:rsidR="006359FB" w:rsidRPr="00170B7C">
        <w:rPr>
          <w:color w:val="000000"/>
          <w:sz w:val="28"/>
          <w:szCs w:val="28"/>
        </w:rPr>
        <w:t>процент</w:t>
      </w:r>
      <w:r w:rsidRPr="00170B7C">
        <w:rPr>
          <w:color w:val="000000"/>
          <w:sz w:val="28"/>
          <w:szCs w:val="28"/>
        </w:rPr>
        <w:t xml:space="preserve"> ошибки данного метода остается достаточно высоким и составляет 12,7±16,6 %.  </w:t>
      </w:r>
    </w:p>
    <w:p w14:paraId="2B89C7B5" w14:textId="77777777" w:rsidR="005E1661"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В нашем исследовании не выявлено статистически значимой связи между возрастом, полом доноров </w:t>
      </w:r>
      <w:r w:rsidR="006359FB" w:rsidRPr="00170B7C">
        <w:rPr>
          <w:color w:val="000000"/>
          <w:sz w:val="28"/>
          <w:szCs w:val="28"/>
        </w:rPr>
        <w:t>и</w:t>
      </w:r>
      <w:r w:rsidRPr="00170B7C">
        <w:rPr>
          <w:color w:val="000000"/>
          <w:sz w:val="28"/>
          <w:szCs w:val="28"/>
        </w:rPr>
        <w:t xml:space="preserve"> </w:t>
      </w:r>
      <w:r w:rsidR="006359FB" w:rsidRPr="00170B7C">
        <w:rPr>
          <w:color w:val="000000"/>
          <w:sz w:val="28"/>
          <w:szCs w:val="28"/>
        </w:rPr>
        <w:t>точности расчета</w:t>
      </w:r>
      <w:r w:rsidRPr="00170B7C">
        <w:rPr>
          <w:color w:val="000000"/>
          <w:sz w:val="28"/>
          <w:szCs w:val="28"/>
        </w:rPr>
        <w:t xml:space="preserve"> КТ-волюметрии печени </w:t>
      </w:r>
      <w:r w:rsidR="006359FB" w:rsidRPr="00170B7C">
        <w:rPr>
          <w:color w:val="000000"/>
          <w:sz w:val="28"/>
          <w:szCs w:val="28"/>
        </w:rPr>
        <w:t>донор</w:t>
      </w:r>
      <w:r w:rsidRPr="00170B7C">
        <w:rPr>
          <w:color w:val="000000"/>
          <w:sz w:val="28"/>
          <w:szCs w:val="28"/>
        </w:rPr>
        <w:t>а</w:t>
      </w:r>
      <w:r w:rsidR="006359FB" w:rsidRPr="00170B7C">
        <w:rPr>
          <w:color w:val="000000"/>
          <w:sz w:val="28"/>
          <w:szCs w:val="28"/>
        </w:rPr>
        <w:t xml:space="preserve"> мануальным, полуавтоматическим и автоматическим методами</w:t>
      </w:r>
      <w:r w:rsidRPr="00170B7C">
        <w:rPr>
          <w:color w:val="000000"/>
          <w:sz w:val="28"/>
          <w:szCs w:val="28"/>
        </w:rPr>
        <w:t xml:space="preserve">. </w:t>
      </w:r>
    </w:p>
    <w:p w14:paraId="5FBF41E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Такие факторы, как ИМТ, количество дней между проведенной КТ-волюметрией и трансплантацией печени также не показали статистически значимой связи. </w:t>
      </w:r>
    </w:p>
    <w:p w14:paraId="474FD18C" w14:textId="77777777" w:rsidR="001D3B01" w:rsidRPr="00170B7C" w:rsidRDefault="001D3B01"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5C26BC27" w14:textId="77777777" w:rsidR="005E1661" w:rsidRDefault="005E1661"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550D0B45" w14:textId="77777777" w:rsidR="005E1661" w:rsidRDefault="005E1661"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b/>
          <w:color w:val="000000"/>
          <w:sz w:val="28"/>
          <w:szCs w:val="28"/>
        </w:rPr>
      </w:pPr>
    </w:p>
    <w:p w14:paraId="70762D8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b/>
          <w:color w:val="000000"/>
          <w:sz w:val="28"/>
          <w:szCs w:val="28"/>
        </w:rPr>
      </w:pPr>
      <w:r w:rsidRPr="00170B7C">
        <w:rPr>
          <w:b/>
          <w:color w:val="000000"/>
          <w:sz w:val="28"/>
          <w:szCs w:val="28"/>
        </w:rPr>
        <w:lastRenderedPageBreak/>
        <w:t xml:space="preserve">3.2 </w:t>
      </w:r>
      <w:r w:rsidR="0090350F" w:rsidRPr="00170B7C">
        <w:rPr>
          <w:b/>
          <w:sz w:val="28"/>
          <w:szCs w:val="28"/>
        </w:rPr>
        <w:t xml:space="preserve">Способ </w:t>
      </w:r>
      <w:r w:rsidR="005E1661" w:rsidRPr="00170B7C">
        <w:rPr>
          <w:b/>
          <w:sz w:val="28"/>
          <w:szCs w:val="28"/>
        </w:rPr>
        <w:t>оптимизации КТ</w:t>
      </w:r>
      <w:r w:rsidR="0090350F" w:rsidRPr="00170B7C">
        <w:rPr>
          <w:b/>
          <w:sz w:val="28"/>
          <w:szCs w:val="28"/>
        </w:rPr>
        <w:t>-волюметрии печени донора</w:t>
      </w:r>
    </w:p>
    <w:p w14:paraId="00BCAD19"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p>
    <w:p w14:paraId="614935A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С целью </w:t>
      </w:r>
      <w:r w:rsidR="00E46CDD" w:rsidRPr="00170B7C">
        <w:rPr>
          <w:color w:val="000000"/>
          <w:sz w:val="28"/>
          <w:szCs w:val="28"/>
        </w:rPr>
        <w:t xml:space="preserve">повышения точности расчета объема печени и достижения </w:t>
      </w:r>
      <w:r w:rsidRPr="00170B7C">
        <w:rPr>
          <w:color w:val="000000"/>
          <w:sz w:val="28"/>
          <w:szCs w:val="28"/>
        </w:rPr>
        <w:t>высокой корреляции</w:t>
      </w:r>
      <w:r w:rsidR="00E46CDD" w:rsidRPr="00170B7C">
        <w:rPr>
          <w:color w:val="000000"/>
          <w:sz w:val="28"/>
          <w:szCs w:val="28"/>
        </w:rPr>
        <w:t xml:space="preserve"> метода с весом трансплантата</w:t>
      </w:r>
      <w:r w:rsidRPr="00170B7C">
        <w:rPr>
          <w:color w:val="000000"/>
          <w:sz w:val="28"/>
          <w:szCs w:val="28"/>
        </w:rPr>
        <w:t>, нами</w:t>
      </w:r>
      <w:r w:rsidR="00E46CDD" w:rsidRPr="00170B7C">
        <w:rPr>
          <w:color w:val="000000"/>
          <w:sz w:val="28"/>
          <w:szCs w:val="28"/>
        </w:rPr>
        <w:t xml:space="preserve"> изменены </w:t>
      </w:r>
      <w:r w:rsidRPr="00170B7C">
        <w:rPr>
          <w:color w:val="000000"/>
          <w:sz w:val="28"/>
          <w:szCs w:val="28"/>
        </w:rPr>
        <w:t>радиологически</w:t>
      </w:r>
      <w:r w:rsidR="00E46CDD" w:rsidRPr="00170B7C">
        <w:rPr>
          <w:color w:val="000000"/>
          <w:sz w:val="28"/>
          <w:szCs w:val="28"/>
        </w:rPr>
        <w:t>е</w:t>
      </w:r>
      <w:r w:rsidRPr="00170B7C">
        <w:rPr>
          <w:color w:val="000000"/>
          <w:sz w:val="28"/>
          <w:szCs w:val="28"/>
        </w:rPr>
        <w:t xml:space="preserve"> параметр</w:t>
      </w:r>
      <w:r w:rsidR="00E46CDD" w:rsidRPr="00170B7C">
        <w:rPr>
          <w:color w:val="000000"/>
          <w:sz w:val="28"/>
          <w:szCs w:val="28"/>
        </w:rPr>
        <w:t>ы</w:t>
      </w:r>
      <w:r w:rsidRPr="00170B7C">
        <w:rPr>
          <w:color w:val="000000"/>
          <w:sz w:val="28"/>
          <w:szCs w:val="28"/>
        </w:rPr>
        <w:t xml:space="preserve">. Несмотря на то, что мануальный метод КТ-волюметрии трудоемкий процесс, и требует больше времени от радиолога, выбор в пользу мануального метода послужили ряд причин: высокий коэффициент корреляции, </w:t>
      </w:r>
      <w:r w:rsidR="00E46CDD" w:rsidRPr="00170B7C">
        <w:rPr>
          <w:color w:val="000000"/>
          <w:sz w:val="28"/>
          <w:szCs w:val="28"/>
        </w:rPr>
        <w:t>наименьший процент ошибки</w:t>
      </w:r>
      <w:r w:rsidRPr="00170B7C">
        <w:rPr>
          <w:color w:val="000000"/>
          <w:sz w:val="28"/>
          <w:szCs w:val="28"/>
        </w:rPr>
        <w:t xml:space="preserve"> в сравнении с полуавтоматическим и автоматическим методами, возможность изменения настроек и параметров вручную. Также следует отметить доступность метода, мануальная КТ-волюметрия встроена в панель управления рабочей станции компьютерного томографа и не требует дополнительных затрат на приобретение </w:t>
      </w:r>
      <w:r w:rsidR="00E46CDD" w:rsidRPr="00170B7C">
        <w:rPr>
          <w:color w:val="000000"/>
          <w:sz w:val="28"/>
          <w:szCs w:val="28"/>
        </w:rPr>
        <w:t xml:space="preserve">дополнительного </w:t>
      </w:r>
      <w:r w:rsidRPr="00170B7C">
        <w:rPr>
          <w:color w:val="000000"/>
          <w:sz w:val="28"/>
          <w:szCs w:val="28"/>
        </w:rPr>
        <w:t>программного обеспечения.   </w:t>
      </w:r>
    </w:p>
    <w:p w14:paraId="509D246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Как показал сравнительный анализ трех методов КТ-волюметрии полуавтоматический и автоматический методы имеют ряд преимуществ: более удобный интерфейс, быстрота проведения КТ-волюметрии. Недостатками данных методов является их доступность - все программы являются коммерческими приложениями с высокой стоимостью</w:t>
      </w:r>
      <w:r w:rsidR="00174D17" w:rsidRPr="00170B7C">
        <w:rPr>
          <w:color w:val="000000"/>
          <w:sz w:val="28"/>
          <w:szCs w:val="28"/>
        </w:rPr>
        <w:t>, необходимость корректировать ложноположительный контуринг печени вручную в каждой из программ, невозможность экстракции мелких сосудов</w:t>
      </w:r>
      <w:r w:rsidRPr="00170B7C">
        <w:rPr>
          <w:color w:val="000000"/>
          <w:sz w:val="28"/>
          <w:szCs w:val="28"/>
        </w:rPr>
        <w:t>.  </w:t>
      </w:r>
    </w:p>
    <w:p w14:paraId="3789B68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При сравнительном анализе всех метод</w:t>
      </w:r>
      <w:r w:rsidR="00174D17" w:rsidRPr="00170B7C">
        <w:rPr>
          <w:color w:val="000000"/>
          <w:sz w:val="28"/>
          <w:szCs w:val="28"/>
        </w:rPr>
        <w:t>ов</w:t>
      </w:r>
      <w:r w:rsidRPr="00170B7C">
        <w:rPr>
          <w:color w:val="000000"/>
          <w:sz w:val="28"/>
          <w:szCs w:val="28"/>
        </w:rPr>
        <w:t xml:space="preserve"> нами выявлена переоценка рассчитанного объема с весом графта в 70-73% случаях (p=0,004). Чтобы уменьшить разницу и </w:t>
      </w:r>
      <w:r w:rsidR="00174D17" w:rsidRPr="00170B7C">
        <w:rPr>
          <w:color w:val="000000"/>
          <w:sz w:val="28"/>
          <w:szCs w:val="28"/>
        </w:rPr>
        <w:t xml:space="preserve">процент ошибки </w:t>
      </w:r>
      <w:r w:rsidRPr="00170B7C">
        <w:rPr>
          <w:color w:val="000000"/>
          <w:sz w:val="28"/>
          <w:szCs w:val="28"/>
        </w:rPr>
        <w:t>между рассчитанным объемом печени и весом графта нами изменен порог плотности печени.  </w:t>
      </w:r>
    </w:p>
    <w:p w14:paraId="392CBE6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При расчете стандартным методом, порог плотности задавался на панели инструментов рабочей станции компьютерного томографа индивидуально таким образом, чтобы покрывал всю паренхиму печени и окрашивал розовым цветом. Для оптимизации метода нами снижен порог плотности сначала на 10 HU, затем, на 20 HU. Далее полученные результаты сравнивались с весом графта.  </w:t>
      </w:r>
    </w:p>
    <w:p w14:paraId="049128F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Среднее значение максимального порога плотности печени при мануальном методе составило 164 HU, при оптимизированном (-10 HU) - 154 HU, при (-20 HU) - 144 HU. </w:t>
      </w:r>
    </w:p>
    <w:p w14:paraId="4FDD8ABC" w14:textId="77777777" w:rsidR="006544D8"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Средний объем всей печени, рассчитанный </w:t>
      </w:r>
      <w:r w:rsidR="006359FB" w:rsidRPr="00170B7C">
        <w:rPr>
          <w:color w:val="000000"/>
          <w:sz w:val="28"/>
          <w:szCs w:val="28"/>
        </w:rPr>
        <w:t>по стандартному мануальному методу,</w:t>
      </w:r>
      <w:r w:rsidRPr="00170B7C">
        <w:rPr>
          <w:color w:val="000000"/>
          <w:sz w:val="28"/>
          <w:szCs w:val="28"/>
        </w:rPr>
        <w:t xml:space="preserve"> составил 1322±137,0 мл, по оптимизированно</w:t>
      </w:r>
      <w:r w:rsidR="00174D17" w:rsidRPr="00170B7C">
        <w:rPr>
          <w:color w:val="000000"/>
          <w:sz w:val="28"/>
          <w:szCs w:val="28"/>
        </w:rPr>
        <w:t>му</w:t>
      </w:r>
      <w:r w:rsidRPr="00170B7C">
        <w:rPr>
          <w:color w:val="000000"/>
          <w:sz w:val="28"/>
          <w:szCs w:val="28"/>
        </w:rPr>
        <w:t xml:space="preserve"> метод</w:t>
      </w:r>
      <w:r w:rsidR="00174D17" w:rsidRPr="00170B7C">
        <w:rPr>
          <w:color w:val="000000"/>
          <w:sz w:val="28"/>
          <w:szCs w:val="28"/>
        </w:rPr>
        <w:t>у</w:t>
      </w:r>
      <w:r w:rsidRPr="00170B7C">
        <w:rPr>
          <w:color w:val="000000"/>
          <w:sz w:val="28"/>
          <w:szCs w:val="28"/>
        </w:rPr>
        <w:t xml:space="preserve"> (-10 HU) - 1262,6±175,1 мл, (-20 HU) - 1083,64±143,5 мл. </w:t>
      </w:r>
    </w:p>
    <w:p w14:paraId="0120239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Объем правой доли печени, рассчитанный по мануальному методу составил 801,5±122,4 мл, по оптимизированному методу (-10 HU) - 790,6±130,4 мл, (-20 HU) - 770,9 ±112,4 мл. Вес трансплантата составил 711,2±137,0 гр. </w:t>
      </w:r>
    </w:p>
    <w:p w14:paraId="49014046" w14:textId="77777777" w:rsidR="006544D8"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По результатам нашего исследования корреляция Пирсона между массой трансплантата и объемом правой доли печени рассчитанный стандартным мануальным методом составила 0,730 (p&lt;0,01). </w:t>
      </w:r>
    </w:p>
    <w:p w14:paraId="500BAC06" w14:textId="77777777"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Корреляция Пирсона между весом графта и оптимизированным методом (-10 HU) составила 0,757 (p&lt;0,01), корреляция между трансплантатом и оптимизированным методом (-20 HU) – 0,860 (p&lt;0,01) (рисунок 3</w:t>
      </w:r>
      <w:r w:rsidR="00496251" w:rsidRPr="00170B7C">
        <w:rPr>
          <w:color w:val="000000"/>
          <w:sz w:val="28"/>
          <w:szCs w:val="28"/>
        </w:rPr>
        <w:t>4</w:t>
      </w:r>
      <w:r w:rsidRPr="00170B7C">
        <w:rPr>
          <w:color w:val="000000"/>
          <w:sz w:val="28"/>
          <w:szCs w:val="28"/>
        </w:rPr>
        <w:t>). </w:t>
      </w:r>
    </w:p>
    <w:p w14:paraId="6AD34B60" w14:textId="77777777" w:rsidR="001C516B" w:rsidRPr="00170B7C" w:rsidRDefault="001C516B"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p>
    <w:p w14:paraId="46FFA2F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581C2976" w14:textId="77777777" w:rsidR="00174D17"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32C14562" wp14:editId="3B8F98DE">
            <wp:extent cx="6043930" cy="3915783"/>
            <wp:effectExtent l="0" t="0" r="1270" b="0"/>
            <wp:docPr id="373" name="image12.png" descr="IMG_298"/>
            <wp:cNvGraphicFramePr/>
            <a:graphic xmlns:a="http://schemas.openxmlformats.org/drawingml/2006/main">
              <a:graphicData uri="http://schemas.openxmlformats.org/drawingml/2006/picture">
                <pic:pic xmlns:pic="http://schemas.openxmlformats.org/drawingml/2006/picture">
                  <pic:nvPicPr>
                    <pic:cNvPr id="0" name="image12.png" descr="IMG_298"/>
                    <pic:cNvPicPr preferRelativeResize="0"/>
                  </pic:nvPicPr>
                  <pic:blipFill>
                    <a:blip r:embed="rId59"/>
                    <a:srcRect/>
                    <a:stretch>
                      <a:fillRect/>
                    </a:stretch>
                  </pic:blipFill>
                  <pic:spPr>
                    <a:xfrm>
                      <a:off x="0" y="0"/>
                      <a:ext cx="6065769" cy="3929932"/>
                    </a:xfrm>
                    <a:prstGeom prst="rect">
                      <a:avLst/>
                    </a:prstGeom>
                    <a:ln/>
                  </pic:spPr>
                </pic:pic>
              </a:graphicData>
            </a:graphic>
          </wp:inline>
        </w:drawing>
      </w:r>
      <w:r w:rsidRPr="00170B7C">
        <w:rPr>
          <w:rFonts w:eastAsia="Calibri"/>
          <w:color w:val="000000"/>
          <w:sz w:val="28"/>
          <w:szCs w:val="28"/>
        </w:rPr>
        <w:t>  </w:t>
      </w:r>
    </w:p>
    <w:p w14:paraId="4B6F692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Рисунок 3</w:t>
      </w:r>
      <w:r w:rsidR="00496251" w:rsidRPr="00170B7C">
        <w:rPr>
          <w:color w:val="000000"/>
          <w:sz w:val="28"/>
          <w:szCs w:val="28"/>
        </w:rPr>
        <w:t>4</w:t>
      </w:r>
      <w:r w:rsidRPr="00170B7C">
        <w:rPr>
          <w:color w:val="000000"/>
          <w:sz w:val="28"/>
          <w:szCs w:val="28"/>
        </w:rPr>
        <w:t xml:space="preserve"> – Корреляция Пирсона между а) стандартным мануальным методом и весом графта, б) оптимизированным методом (-10 HU) и весом графта, c) оптимизированным методом (-20 HU) и весом графта </w:t>
      </w:r>
    </w:p>
    <w:p w14:paraId="0C21325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709415A7" w14:textId="77777777" w:rsidR="006544D8" w:rsidRDefault="00274D3C" w:rsidP="006544D8">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Как видно на рисунке 3</w:t>
      </w:r>
      <w:r w:rsidR="00496251" w:rsidRPr="00170B7C">
        <w:rPr>
          <w:color w:val="000000"/>
          <w:sz w:val="28"/>
          <w:szCs w:val="28"/>
        </w:rPr>
        <w:t>4</w:t>
      </w:r>
      <w:r w:rsidRPr="00170B7C">
        <w:rPr>
          <w:color w:val="000000"/>
          <w:sz w:val="28"/>
          <w:szCs w:val="28"/>
        </w:rPr>
        <w:t xml:space="preserve">, все три метода продемонстрировали высокую корреляцию с весом графта. </w:t>
      </w:r>
    </w:p>
    <w:p w14:paraId="7C0FABC3" w14:textId="77777777" w:rsidR="006544D8" w:rsidRDefault="00274D3C" w:rsidP="006544D8">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Нами выявлена статистически значимая разница между коэффициентом корреляции стандартного мануального и оптимизированного метода (-20 HU) (p=0,026) и статистически не значимая разница между стандартным мануальным и оптимизированным (-10 HU) методом (p=0,375).  </w:t>
      </w:r>
    </w:p>
    <w:p w14:paraId="003D610A" w14:textId="77777777" w:rsidR="00C700B8" w:rsidRPr="00170B7C" w:rsidRDefault="00174D17" w:rsidP="006544D8">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Процент ошибки</w:t>
      </w:r>
      <w:r w:rsidR="00274D3C" w:rsidRPr="00170B7C">
        <w:rPr>
          <w:color w:val="000000"/>
          <w:sz w:val="28"/>
          <w:szCs w:val="28"/>
        </w:rPr>
        <w:t xml:space="preserve"> оптимизированного метода (-20 HU) составила – 8,4%, стандартного мануального метода – 12,7%. </w:t>
      </w:r>
      <w:r w:rsidRPr="00170B7C">
        <w:rPr>
          <w:color w:val="000000"/>
          <w:sz w:val="28"/>
          <w:szCs w:val="28"/>
        </w:rPr>
        <w:t>Процент ошибки оптимизированного метода (-20H</w:t>
      </w:r>
      <w:r w:rsidRPr="00170B7C">
        <w:rPr>
          <w:color w:val="000000"/>
          <w:sz w:val="28"/>
          <w:szCs w:val="28"/>
          <w:lang w:val="en-US"/>
        </w:rPr>
        <w:t>U</w:t>
      </w:r>
      <w:r w:rsidRPr="00170B7C">
        <w:rPr>
          <w:color w:val="000000"/>
          <w:sz w:val="28"/>
          <w:szCs w:val="28"/>
        </w:rPr>
        <w:t>) статистически достоверно ниже</w:t>
      </w:r>
      <w:r w:rsidR="00274D3C" w:rsidRPr="00170B7C">
        <w:rPr>
          <w:color w:val="000000"/>
          <w:sz w:val="28"/>
          <w:szCs w:val="28"/>
        </w:rPr>
        <w:t xml:space="preserve"> стандартн</w:t>
      </w:r>
      <w:r w:rsidRPr="00170B7C">
        <w:rPr>
          <w:color w:val="000000"/>
          <w:sz w:val="28"/>
          <w:szCs w:val="28"/>
        </w:rPr>
        <w:t>ого</w:t>
      </w:r>
      <w:r w:rsidR="00274D3C" w:rsidRPr="00170B7C">
        <w:rPr>
          <w:color w:val="000000"/>
          <w:sz w:val="28"/>
          <w:szCs w:val="28"/>
        </w:rPr>
        <w:t xml:space="preserve"> мануальн</w:t>
      </w:r>
      <w:r w:rsidRPr="00170B7C">
        <w:rPr>
          <w:color w:val="000000"/>
          <w:sz w:val="28"/>
          <w:szCs w:val="28"/>
        </w:rPr>
        <w:t>ого</w:t>
      </w:r>
      <w:r w:rsidR="00274D3C" w:rsidRPr="00170B7C">
        <w:rPr>
          <w:color w:val="000000"/>
          <w:sz w:val="28"/>
          <w:szCs w:val="28"/>
        </w:rPr>
        <w:t xml:space="preserve"> метод</w:t>
      </w:r>
      <w:r w:rsidRPr="00170B7C">
        <w:rPr>
          <w:color w:val="000000"/>
          <w:sz w:val="28"/>
          <w:szCs w:val="28"/>
        </w:rPr>
        <w:t>а</w:t>
      </w:r>
      <w:r w:rsidR="00274D3C" w:rsidRPr="00170B7C">
        <w:rPr>
          <w:color w:val="000000"/>
          <w:sz w:val="28"/>
          <w:szCs w:val="28"/>
        </w:rPr>
        <w:t xml:space="preserve"> (-20 HU) (p=0,029), (рисунок 3</w:t>
      </w:r>
      <w:r w:rsidR="00496251" w:rsidRPr="00170B7C">
        <w:rPr>
          <w:color w:val="000000"/>
          <w:sz w:val="28"/>
          <w:szCs w:val="28"/>
        </w:rPr>
        <w:t>5</w:t>
      </w:r>
      <w:r w:rsidR="00274D3C" w:rsidRPr="00170B7C">
        <w:rPr>
          <w:color w:val="000000"/>
          <w:sz w:val="28"/>
          <w:szCs w:val="28"/>
        </w:rPr>
        <w:t>). </w:t>
      </w:r>
    </w:p>
    <w:p w14:paraId="4DC0603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68384F4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lastRenderedPageBreak/>
        <w:drawing>
          <wp:inline distT="0" distB="0" distL="114300" distR="114300" wp14:anchorId="0EE85571" wp14:editId="02228CE6">
            <wp:extent cx="4714240" cy="2926080"/>
            <wp:effectExtent l="0" t="0" r="0" b="0"/>
            <wp:docPr id="374" name="image13.png" descr="IMG_299"/>
            <wp:cNvGraphicFramePr/>
            <a:graphic xmlns:a="http://schemas.openxmlformats.org/drawingml/2006/main">
              <a:graphicData uri="http://schemas.openxmlformats.org/drawingml/2006/picture">
                <pic:pic xmlns:pic="http://schemas.openxmlformats.org/drawingml/2006/picture">
                  <pic:nvPicPr>
                    <pic:cNvPr id="0" name="image13.png" descr="IMG_299"/>
                    <pic:cNvPicPr preferRelativeResize="0"/>
                  </pic:nvPicPr>
                  <pic:blipFill>
                    <a:blip r:embed="rId60"/>
                    <a:srcRect/>
                    <a:stretch>
                      <a:fillRect/>
                    </a:stretch>
                  </pic:blipFill>
                  <pic:spPr>
                    <a:xfrm>
                      <a:off x="0" y="0"/>
                      <a:ext cx="4764713" cy="2957408"/>
                    </a:xfrm>
                    <a:prstGeom prst="rect">
                      <a:avLst/>
                    </a:prstGeom>
                    <a:ln/>
                  </pic:spPr>
                </pic:pic>
              </a:graphicData>
            </a:graphic>
          </wp:inline>
        </w:drawing>
      </w:r>
      <w:r w:rsidRPr="00170B7C">
        <w:rPr>
          <w:rFonts w:eastAsia="Calibri"/>
          <w:color w:val="000000"/>
          <w:sz w:val="28"/>
          <w:szCs w:val="28"/>
        </w:rPr>
        <w:t> </w:t>
      </w:r>
    </w:p>
    <w:p w14:paraId="53459C6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Рисунок 3</w:t>
      </w:r>
      <w:r w:rsidR="00496251" w:rsidRPr="00170B7C">
        <w:rPr>
          <w:color w:val="000000"/>
          <w:sz w:val="28"/>
          <w:szCs w:val="28"/>
        </w:rPr>
        <w:t>5</w:t>
      </w:r>
      <w:r w:rsidRPr="00170B7C">
        <w:rPr>
          <w:color w:val="000000"/>
          <w:sz w:val="28"/>
          <w:szCs w:val="28"/>
        </w:rPr>
        <w:t xml:space="preserve"> – </w:t>
      </w:r>
      <w:r w:rsidR="00FC4A01" w:rsidRPr="00170B7C">
        <w:rPr>
          <w:color w:val="000000"/>
          <w:sz w:val="28"/>
          <w:szCs w:val="28"/>
        </w:rPr>
        <w:t>Процент ошибки</w:t>
      </w:r>
      <w:r w:rsidRPr="00170B7C">
        <w:rPr>
          <w:color w:val="000000"/>
          <w:sz w:val="28"/>
          <w:szCs w:val="28"/>
        </w:rPr>
        <w:t> оптимизированн</w:t>
      </w:r>
      <w:r w:rsidR="006544D8">
        <w:rPr>
          <w:color w:val="000000"/>
          <w:sz w:val="28"/>
          <w:szCs w:val="28"/>
        </w:rPr>
        <w:t>ого</w:t>
      </w:r>
      <w:r w:rsidRPr="00170B7C">
        <w:rPr>
          <w:color w:val="000000"/>
          <w:sz w:val="28"/>
          <w:szCs w:val="28"/>
        </w:rPr>
        <w:t xml:space="preserve"> метод</w:t>
      </w:r>
      <w:r w:rsidR="006544D8">
        <w:rPr>
          <w:color w:val="000000"/>
          <w:sz w:val="28"/>
          <w:szCs w:val="28"/>
        </w:rPr>
        <w:t>а</w:t>
      </w:r>
      <w:r w:rsidRPr="00170B7C">
        <w:rPr>
          <w:color w:val="000000"/>
          <w:sz w:val="28"/>
          <w:szCs w:val="28"/>
        </w:rPr>
        <w:t>  </w:t>
      </w:r>
    </w:p>
    <w:p w14:paraId="308EC85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(-20HU) и (-10 HU)  </w:t>
      </w:r>
    </w:p>
    <w:p w14:paraId="70A82A5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170B7C">
        <w:rPr>
          <w:rFonts w:eastAsia="Calibri"/>
          <w:color w:val="000000"/>
          <w:sz w:val="28"/>
          <w:szCs w:val="28"/>
        </w:rPr>
        <w:t> </w:t>
      </w:r>
    </w:p>
    <w:p w14:paraId="7E6D0DB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На представленном рисунке 3</w:t>
      </w:r>
      <w:r w:rsidR="00496251" w:rsidRPr="00170B7C">
        <w:rPr>
          <w:color w:val="000000"/>
          <w:sz w:val="28"/>
          <w:szCs w:val="28"/>
        </w:rPr>
        <w:t>5</w:t>
      </w:r>
      <w:r w:rsidRPr="00170B7C">
        <w:rPr>
          <w:color w:val="000000"/>
          <w:sz w:val="28"/>
          <w:szCs w:val="28"/>
        </w:rPr>
        <w:t>, медиана для оптимизированного метода        (-10HU) составила 6,8; 25-ый процентиль - 4,4; 75-ый процентиль - 12,9. Медиана для оптимизированного метода (-20 HU) составила 7,5; 25-ый процентиль - 4,0; 75-ый процентиль - 16,6. </w:t>
      </w:r>
    </w:p>
    <w:p w14:paraId="38B3213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Таким образом, снижение плотности печени на 20 HU при расчете объема печени мануальным методом демонстрирует статистически значимо высокий коэффициент корреляции, минимальн</w:t>
      </w:r>
      <w:r w:rsidR="00FC4A01" w:rsidRPr="00170B7C">
        <w:rPr>
          <w:color w:val="000000"/>
          <w:sz w:val="28"/>
          <w:szCs w:val="28"/>
        </w:rPr>
        <w:t xml:space="preserve">ый процент ошибки </w:t>
      </w:r>
      <w:r w:rsidRPr="00170B7C">
        <w:rPr>
          <w:color w:val="000000"/>
          <w:sz w:val="28"/>
          <w:szCs w:val="28"/>
        </w:rPr>
        <w:t>с весом графта в сравнении со снижением плотности печени на 10 HU, a также в сравнении со стандартным мануальным методом.  </w:t>
      </w:r>
    </w:p>
    <w:p w14:paraId="4B0EBDD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Ниже представлен клинический случай с применением оптимизированного метода КТ-волюметрии (рисунок 3</w:t>
      </w:r>
      <w:r w:rsidR="00496251" w:rsidRPr="00170B7C">
        <w:rPr>
          <w:color w:val="000000"/>
          <w:sz w:val="28"/>
          <w:szCs w:val="28"/>
        </w:rPr>
        <w:t>6</w:t>
      </w:r>
      <w:r w:rsidRPr="00170B7C">
        <w:rPr>
          <w:color w:val="000000"/>
          <w:sz w:val="28"/>
          <w:szCs w:val="28"/>
        </w:rPr>
        <w:t>,3</w:t>
      </w:r>
      <w:r w:rsidR="00496251" w:rsidRPr="00170B7C">
        <w:rPr>
          <w:color w:val="000000"/>
          <w:sz w:val="28"/>
          <w:szCs w:val="28"/>
        </w:rPr>
        <w:t>7</w:t>
      </w:r>
      <w:r w:rsidRPr="00170B7C">
        <w:rPr>
          <w:color w:val="000000"/>
          <w:sz w:val="28"/>
          <w:szCs w:val="28"/>
        </w:rPr>
        <w:t>). </w:t>
      </w:r>
    </w:p>
    <w:p w14:paraId="0F966A3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18751918"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0283F38E" wp14:editId="1B233135">
            <wp:extent cx="3553368" cy="2162505"/>
            <wp:effectExtent l="0" t="0" r="0" b="0"/>
            <wp:docPr id="375" name="image1.png" descr="IMG_300"/>
            <wp:cNvGraphicFramePr/>
            <a:graphic xmlns:a="http://schemas.openxmlformats.org/drawingml/2006/main">
              <a:graphicData uri="http://schemas.openxmlformats.org/drawingml/2006/picture">
                <pic:pic xmlns:pic="http://schemas.openxmlformats.org/drawingml/2006/picture">
                  <pic:nvPicPr>
                    <pic:cNvPr id="0" name="image1.png" descr="IMG_300"/>
                    <pic:cNvPicPr preferRelativeResize="0"/>
                  </pic:nvPicPr>
                  <pic:blipFill>
                    <a:blip r:embed="rId61"/>
                    <a:srcRect/>
                    <a:stretch>
                      <a:fillRect/>
                    </a:stretch>
                  </pic:blipFill>
                  <pic:spPr>
                    <a:xfrm>
                      <a:off x="0" y="0"/>
                      <a:ext cx="3553368" cy="2162505"/>
                    </a:xfrm>
                    <a:prstGeom prst="rect">
                      <a:avLst/>
                    </a:prstGeom>
                    <a:ln/>
                  </pic:spPr>
                </pic:pic>
              </a:graphicData>
            </a:graphic>
          </wp:inline>
        </w:drawing>
      </w:r>
      <w:r w:rsidRPr="00170B7C">
        <w:rPr>
          <w:rFonts w:eastAsia="Arial"/>
          <w:noProof/>
          <w:color w:val="000000"/>
          <w:sz w:val="28"/>
          <w:szCs w:val="28"/>
          <w:lang w:eastAsia="ru-RU"/>
        </w:rPr>
        <w:drawing>
          <wp:inline distT="0" distB="0" distL="114300" distR="114300" wp14:anchorId="30238595" wp14:editId="5DC87454">
            <wp:extent cx="2467231" cy="2162399"/>
            <wp:effectExtent l="0" t="0" r="0" b="0"/>
            <wp:docPr id="376" name="image7.png" descr="IMG_301"/>
            <wp:cNvGraphicFramePr/>
            <a:graphic xmlns:a="http://schemas.openxmlformats.org/drawingml/2006/main">
              <a:graphicData uri="http://schemas.openxmlformats.org/drawingml/2006/picture">
                <pic:pic xmlns:pic="http://schemas.openxmlformats.org/drawingml/2006/picture">
                  <pic:nvPicPr>
                    <pic:cNvPr id="0" name="image7.png" descr="IMG_301"/>
                    <pic:cNvPicPr preferRelativeResize="0"/>
                  </pic:nvPicPr>
                  <pic:blipFill>
                    <a:blip r:embed="rId62"/>
                    <a:srcRect l="20388" t="4189" r="30420" b="38220"/>
                    <a:stretch>
                      <a:fillRect/>
                    </a:stretch>
                  </pic:blipFill>
                  <pic:spPr>
                    <a:xfrm>
                      <a:off x="0" y="0"/>
                      <a:ext cx="2467231" cy="2162399"/>
                    </a:xfrm>
                    <a:prstGeom prst="rect">
                      <a:avLst/>
                    </a:prstGeom>
                    <a:ln/>
                  </pic:spPr>
                </pic:pic>
              </a:graphicData>
            </a:graphic>
          </wp:inline>
        </w:drawing>
      </w:r>
    </w:p>
    <w:p w14:paraId="5F507D24"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2DDDBC9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Рисунок 3</w:t>
      </w:r>
      <w:r w:rsidR="00496251" w:rsidRPr="00170B7C">
        <w:rPr>
          <w:color w:val="000000"/>
          <w:sz w:val="28"/>
          <w:szCs w:val="28"/>
        </w:rPr>
        <w:t>6</w:t>
      </w:r>
      <w:r w:rsidRPr="00170B7C">
        <w:rPr>
          <w:color w:val="000000"/>
          <w:sz w:val="28"/>
          <w:szCs w:val="28"/>
        </w:rPr>
        <w:t xml:space="preserve"> - Расчет объема печени стандартным мануальным методом.  </w:t>
      </w:r>
    </w:p>
    <w:p w14:paraId="2E99105A" w14:textId="77777777" w:rsidR="00C700B8" w:rsidRPr="00170B7C" w:rsidRDefault="00274D3C" w:rsidP="006544D8">
      <w:pPr>
        <w:pBdr>
          <w:top w:val="none" w:sz="0" w:space="0" w:color="000000"/>
          <w:left w:val="none" w:sz="0" w:space="0" w:color="000000"/>
          <w:bottom w:val="none" w:sz="0" w:space="0" w:color="000000"/>
          <w:right w:val="none" w:sz="0" w:space="0" w:color="000000"/>
          <w:between w:val="none" w:sz="0" w:space="0" w:color="000000"/>
        </w:pBdr>
        <w:ind w:firstLine="560"/>
        <w:jc w:val="center"/>
        <w:rPr>
          <w:color w:val="000000"/>
          <w:sz w:val="28"/>
          <w:szCs w:val="28"/>
        </w:rPr>
      </w:pPr>
      <w:r w:rsidRPr="00170B7C">
        <w:rPr>
          <w:color w:val="000000"/>
          <w:sz w:val="28"/>
          <w:szCs w:val="28"/>
        </w:rPr>
        <w:t>Порог максимальной плотности 150 HU </w:t>
      </w:r>
      <w:r w:rsidRPr="00170B7C">
        <w:rPr>
          <w:rFonts w:eastAsia="Calibri"/>
          <w:color w:val="000000"/>
          <w:sz w:val="28"/>
          <w:szCs w:val="28"/>
        </w:rPr>
        <w:t> </w:t>
      </w:r>
    </w:p>
    <w:p w14:paraId="41150D3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lastRenderedPageBreak/>
        <w:drawing>
          <wp:inline distT="0" distB="0" distL="114300" distR="114300" wp14:anchorId="6E239421" wp14:editId="65F6991E">
            <wp:extent cx="3534436" cy="2267374"/>
            <wp:effectExtent l="0" t="0" r="0" b="0"/>
            <wp:docPr id="377" name="image11.png" descr="IMG_302"/>
            <wp:cNvGraphicFramePr/>
            <a:graphic xmlns:a="http://schemas.openxmlformats.org/drawingml/2006/main">
              <a:graphicData uri="http://schemas.openxmlformats.org/drawingml/2006/picture">
                <pic:pic xmlns:pic="http://schemas.openxmlformats.org/drawingml/2006/picture">
                  <pic:nvPicPr>
                    <pic:cNvPr id="0" name="image11.png" descr="IMG_302"/>
                    <pic:cNvPicPr preferRelativeResize="0"/>
                  </pic:nvPicPr>
                  <pic:blipFill>
                    <a:blip r:embed="rId63"/>
                    <a:srcRect/>
                    <a:stretch>
                      <a:fillRect/>
                    </a:stretch>
                  </pic:blipFill>
                  <pic:spPr>
                    <a:xfrm>
                      <a:off x="0" y="0"/>
                      <a:ext cx="3534436" cy="2267374"/>
                    </a:xfrm>
                    <a:prstGeom prst="rect">
                      <a:avLst/>
                    </a:prstGeom>
                    <a:ln/>
                  </pic:spPr>
                </pic:pic>
              </a:graphicData>
            </a:graphic>
          </wp:inline>
        </w:drawing>
      </w:r>
      <w:r w:rsidRPr="00170B7C">
        <w:rPr>
          <w:rFonts w:eastAsia="Arial"/>
          <w:noProof/>
          <w:color w:val="000000"/>
          <w:sz w:val="28"/>
          <w:szCs w:val="28"/>
          <w:lang w:eastAsia="ru-RU"/>
        </w:rPr>
        <w:drawing>
          <wp:inline distT="0" distB="0" distL="114300" distR="114300" wp14:anchorId="405CF9BA" wp14:editId="49E528A4">
            <wp:extent cx="2466900" cy="2259367"/>
            <wp:effectExtent l="0" t="0" r="0" b="1270"/>
            <wp:docPr id="378" name="image6.png" descr="IMG_303"/>
            <wp:cNvGraphicFramePr/>
            <a:graphic xmlns:a="http://schemas.openxmlformats.org/drawingml/2006/main">
              <a:graphicData uri="http://schemas.openxmlformats.org/drawingml/2006/picture">
                <pic:pic xmlns:pic="http://schemas.openxmlformats.org/drawingml/2006/picture">
                  <pic:nvPicPr>
                    <pic:cNvPr id="0" name="image6.png" descr="IMG_303"/>
                    <pic:cNvPicPr preferRelativeResize="0"/>
                  </pic:nvPicPr>
                  <pic:blipFill>
                    <a:blip r:embed="rId64"/>
                    <a:srcRect/>
                    <a:stretch>
                      <a:fillRect/>
                    </a:stretch>
                  </pic:blipFill>
                  <pic:spPr>
                    <a:xfrm>
                      <a:off x="0" y="0"/>
                      <a:ext cx="2483758" cy="2274807"/>
                    </a:xfrm>
                    <a:prstGeom prst="rect">
                      <a:avLst/>
                    </a:prstGeom>
                    <a:ln/>
                  </pic:spPr>
                </pic:pic>
              </a:graphicData>
            </a:graphic>
          </wp:inline>
        </w:drawing>
      </w:r>
    </w:p>
    <w:p w14:paraId="5FA89327"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p>
    <w:p w14:paraId="6122246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color w:val="000000"/>
          <w:sz w:val="28"/>
          <w:szCs w:val="28"/>
        </w:rPr>
        <w:t>Рисунок 3</w:t>
      </w:r>
      <w:r w:rsidR="00496251" w:rsidRPr="00170B7C">
        <w:rPr>
          <w:color w:val="000000"/>
          <w:sz w:val="28"/>
          <w:szCs w:val="28"/>
        </w:rPr>
        <w:t>7</w:t>
      </w:r>
      <w:r w:rsidRPr="00170B7C">
        <w:rPr>
          <w:color w:val="000000"/>
          <w:sz w:val="28"/>
          <w:szCs w:val="28"/>
        </w:rPr>
        <w:t xml:space="preserve"> - Расчет объема печени с применением оптимизированного метода. Порог максимальной плотности 130 HU </w:t>
      </w:r>
    </w:p>
    <w:p w14:paraId="75DB1FB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Calibri"/>
          <w:color w:val="000000"/>
          <w:sz w:val="28"/>
          <w:szCs w:val="28"/>
        </w:rPr>
        <w:t> </w:t>
      </w:r>
    </w:p>
    <w:p w14:paraId="725D88D2" w14:textId="77777777" w:rsidR="00C700B8" w:rsidRPr="006544D8" w:rsidRDefault="00274D3C" w:rsidP="006544D8">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На рисунках 3</w:t>
      </w:r>
      <w:r w:rsidR="00496251" w:rsidRPr="00170B7C">
        <w:rPr>
          <w:color w:val="000000"/>
          <w:sz w:val="28"/>
          <w:szCs w:val="28"/>
        </w:rPr>
        <w:t>6</w:t>
      </w:r>
      <w:r w:rsidRPr="00170B7C">
        <w:rPr>
          <w:color w:val="000000"/>
          <w:sz w:val="28"/>
          <w:szCs w:val="28"/>
        </w:rPr>
        <w:t>,3</w:t>
      </w:r>
      <w:r w:rsidR="00496251" w:rsidRPr="00170B7C">
        <w:rPr>
          <w:color w:val="000000"/>
          <w:sz w:val="28"/>
          <w:szCs w:val="28"/>
        </w:rPr>
        <w:t>7</w:t>
      </w:r>
      <w:r w:rsidRPr="00170B7C">
        <w:rPr>
          <w:color w:val="000000"/>
          <w:sz w:val="28"/>
          <w:szCs w:val="28"/>
        </w:rPr>
        <w:t xml:space="preserve"> представлен клинический случай, донор печени К., 1990 г.р. Общий и остаточный объем печени рассчитан стандартным мануальным и оптимизированным методами.  При расчете стандартным мануальным методом максимальный порог плотности печени составил 150 HU.  Общий объем печени составил 1209,9 мл,</w:t>
      </w:r>
      <w:r w:rsidR="006D6DDC">
        <w:rPr>
          <w:color w:val="000000"/>
          <w:sz w:val="28"/>
          <w:szCs w:val="28"/>
        </w:rPr>
        <w:t xml:space="preserve"> </w:t>
      </w:r>
      <w:r w:rsidRPr="00170B7C">
        <w:rPr>
          <w:color w:val="000000"/>
          <w:sz w:val="28"/>
          <w:szCs w:val="28"/>
        </w:rPr>
        <w:t>объем правой доли печени - 789,9 мл.  При расчете оптимизированным методом максимальный порог плотности печени снижен на 20 HU и составил 130 HU. Общий объем печени составил - 947,5 мл, объем правой доли печени - 629,3 мл. Вес графта составил 590 гр.  </w:t>
      </w:r>
      <w:r w:rsidR="00FC4A01" w:rsidRPr="00170B7C">
        <w:rPr>
          <w:color w:val="000000"/>
          <w:sz w:val="28"/>
          <w:szCs w:val="28"/>
        </w:rPr>
        <w:t>Процент ошибки</w:t>
      </w:r>
      <w:r w:rsidRPr="00170B7C">
        <w:rPr>
          <w:color w:val="000000"/>
          <w:sz w:val="28"/>
          <w:szCs w:val="28"/>
        </w:rPr>
        <w:t xml:space="preserve"> стандартного мануального метода с весом графта составил - 25,3%, </w:t>
      </w:r>
      <w:r w:rsidR="00FC4A01" w:rsidRPr="00170B7C">
        <w:rPr>
          <w:color w:val="000000"/>
          <w:sz w:val="28"/>
          <w:szCs w:val="28"/>
        </w:rPr>
        <w:t>процент ошибки</w:t>
      </w:r>
      <w:r w:rsidRPr="00170B7C">
        <w:rPr>
          <w:color w:val="000000"/>
          <w:sz w:val="28"/>
          <w:szCs w:val="28"/>
        </w:rPr>
        <w:t xml:space="preserve"> оптимизированного метода составил - 6,2%.  Таким образом, </w:t>
      </w:r>
      <w:r w:rsidR="00FC4A01" w:rsidRPr="00170B7C">
        <w:rPr>
          <w:color w:val="000000"/>
          <w:sz w:val="28"/>
          <w:szCs w:val="28"/>
        </w:rPr>
        <w:t>процент ошибки</w:t>
      </w:r>
      <w:r w:rsidRPr="00170B7C">
        <w:rPr>
          <w:color w:val="000000"/>
          <w:sz w:val="28"/>
          <w:szCs w:val="28"/>
        </w:rPr>
        <w:t xml:space="preserve"> </w:t>
      </w:r>
      <w:r w:rsidR="006D6DDC" w:rsidRPr="00170B7C">
        <w:rPr>
          <w:color w:val="000000"/>
          <w:sz w:val="28"/>
          <w:szCs w:val="28"/>
        </w:rPr>
        <w:t xml:space="preserve">оптимизированного метода </w:t>
      </w:r>
      <w:r w:rsidRPr="00170B7C">
        <w:rPr>
          <w:color w:val="000000"/>
          <w:sz w:val="28"/>
          <w:szCs w:val="28"/>
        </w:rPr>
        <w:t>с весом графта оказалась на 19,1% меньше стандартного мануального метода.   </w:t>
      </w:r>
    </w:p>
    <w:p w14:paraId="0956E78A" w14:textId="77777777" w:rsidR="006544D8" w:rsidRDefault="00274D3C" w:rsidP="006544D8">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Ниже представлен следующий клинический случай с применением оптимизированного метода КТ-волюметрии (рисунок 3</w:t>
      </w:r>
      <w:r w:rsidR="00496251" w:rsidRPr="00170B7C">
        <w:rPr>
          <w:color w:val="000000"/>
          <w:sz w:val="28"/>
          <w:szCs w:val="28"/>
        </w:rPr>
        <w:t>8</w:t>
      </w:r>
      <w:r w:rsidRPr="00170B7C">
        <w:rPr>
          <w:color w:val="000000"/>
          <w:sz w:val="28"/>
          <w:szCs w:val="28"/>
        </w:rPr>
        <w:t>,3</w:t>
      </w:r>
      <w:r w:rsidR="00496251" w:rsidRPr="00170B7C">
        <w:rPr>
          <w:color w:val="000000"/>
          <w:sz w:val="28"/>
          <w:szCs w:val="28"/>
        </w:rPr>
        <w:t>9</w:t>
      </w:r>
      <w:r w:rsidRPr="00170B7C">
        <w:rPr>
          <w:color w:val="000000"/>
          <w:sz w:val="28"/>
          <w:szCs w:val="28"/>
        </w:rPr>
        <w:t>).</w:t>
      </w:r>
    </w:p>
    <w:p w14:paraId="65FD475D" w14:textId="77777777" w:rsidR="006544D8" w:rsidRPr="00170B7C" w:rsidRDefault="006544D8" w:rsidP="006544D8">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p>
    <w:p w14:paraId="40A79766" w14:textId="77777777" w:rsidR="00C700B8" w:rsidRPr="00170B7C" w:rsidRDefault="00274D3C" w:rsidP="006544D8">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7754EDC5" wp14:editId="1032A8BD">
            <wp:extent cx="3497580" cy="2235835"/>
            <wp:effectExtent l="0" t="0" r="0" b="0"/>
            <wp:docPr id="379" name="image3.png" descr="IMG_304"/>
            <wp:cNvGraphicFramePr/>
            <a:graphic xmlns:a="http://schemas.openxmlformats.org/drawingml/2006/main">
              <a:graphicData uri="http://schemas.openxmlformats.org/drawingml/2006/picture">
                <pic:pic xmlns:pic="http://schemas.openxmlformats.org/drawingml/2006/picture">
                  <pic:nvPicPr>
                    <pic:cNvPr id="0" name="image3.png" descr="IMG_304"/>
                    <pic:cNvPicPr preferRelativeResize="0"/>
                  </pic:nvPicPr>
                  <pic:blipFill>
                    <a:blip r:embed="rId65"/>
                    <a:srcRect/>
                    <a:stretch>
                      <a:fillRect/>
                    </a:stretch>
                  </pic:blipFill>
                  <pic:spPr>
                    <a:xfrm>
                      <a:off x="0" y="0"/>
                      <a:ext cx="3526376" cy="2254243"/>
                    </a:xfrm>
                    <a:prstGeom prst="rect">
                      <a:avLst/>
                    </a:prstGeom>
                    <a:ln/>
                  </pic:spPr>
                </pic:pic>
              </a:graphicData>
            </a:graphic>
          </wp:inline>
        </w:drawing>
      </w:r>
      <w:r w:rsidRPr="00170B7C">
        <w:rPr>
          <w:rFonts w:eastAsia="Arial"/>
          <w:noProof/>
          <w:color w:val="000000"/>
          <w:sz w:val="28"/>
          <w:szCs w:val="28"/>
          <w:lang w:eastAsia="ru-RU"/>
        </w:rPr>
        <w:drawing>
          <wp:inline distT="0" distB="0" distL="114300" distR="114300" wp14:anchorId="02800C0B" wp14:editId="055AAA03">
            <wp:extent cx="2445385" cy="2237590"/>
            <wp:effectExtent l="0" t="0" r="5715" b="0"/>
            <wp:docPr id="410" name="image42.png" descr="IMG_305"/>
            <wp:cNvGraphicFramePr/>
            <a:graphic xmlns:a="http://schemas.openxmlformats.org/drawingml/2006/main">
              <a:graphicData uri="http://schemas.openxmlformats.org/drawingml/2006/picture">
                <pic:pic xmlns:pic="http://schemas.openxmlformats.org/drawingml/2006/picture">
                  <pic:nvPicPr>
                    <pic:cNvPr id="0" name="image42.png" descr="IMG_305"/>
                    <pic:cNvPicPr preferRelativeResize="0"/>
                  </pic:nvPicPr>
                  <pic:blipFill>
                    <a:blip r:embed="rId66"/>
                    <a:srcRect/>
                    <a:stretch>
                      <a:fillRect/>
                    </a:stretch>
                  </pic:blipFill>
                  <pic:spPr>
                    <a:xfrm>
                      <a:off x="0" y="0"/>
                      <a:ext cx="2450364" cy="2242146"/>
                    </a:xfrm>
                    <a:prstGeom prst="rect">
                      <a:avLst/>
                    </a:prstGeom>
                    <a:ln/>
                  </pic:spPr>
                </pic:pic>
              </a:graphicData>
            </a:graphic>
          </wp:inline>
        </w:drawing>
      </w:r>
    </w:p>
    <w:p w14:paraId="7867EB02"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Calibri"/>
          <w:color w:val="000000"/>
          <w:sz w:val="28"/>
          <w:szCs w:val="28"/>
        </w:rPr>
        <w:t> </w:t>
      </w:r>
    </w:p>
    <w:p w14:paraId="45AFAC7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Рисунок 3</w:t>
      </w:r>
      <w:r w:rsidR="00496251" w:rsidRPr="00170B7C">
        <w:rPr>
          <w:color w:val="000000"/>
          <w:sz w:val="28"/>
          <w:szCs w:val="28"/>
        </w:rPr>
        <w:t>8</w:t>
      </w:r>
      <w:r w:rsidRPr="00170B7C">
        <w:rPr>
          <w:color w:val="000000"/>
          <w:sz w:val="28"/>
          <w:szCs w:val="28"/>
        </w:rPr>
        <w:t xml:space="preserve"> – Расчет объема печени стандартным мануальным методом.  </w:t>
      </w:r>
    </w:p>
    <w:p w14:paraId="7F77BA6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0"/>
        <w:jc w:val="center"/>
        <w:rPr>
          <w:rFonts w:eastAsia="Calibri"/>
          <w:color w:val="000000"/>
          <w:sz w:val="28"/>
          <w:szCs w:val="28"/>
        </w:rPr>
      </w:pPr>
      <w:r w:rsidRPr="00170B7C">
        <w:rPr>
          <w:color w:val="000000"/>
          <w:sz w:val="28"/>
          <w:szCs w:val="28"/>
        </w:rPr>
        <w:t>Порог максимальной плотности 150 HU </w:t>
      </w:r>
    </w:p>
    <w:p w14:paraId="2F35E5B8" w14:textId="77777777" w:rsidR="00C700B8" w:rsidRPr="00170B7C" w:rsidRDefault="00274D3C" w:rsidP="00AB5BAD">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lastRenderedPageBreak/>
        <w:t> </w:t>
      </w:r>
      <w:r w:rsidRPr="00170B7C">
        <w:rPr>
          <w:rFonts w:eastAsia="Arial"/>
          <w:noProof/>
          <w:color w:val="000000"/>
          <w:sz w:val="28"/>
          <w:szCs w:val="28"/>
          <w:lang w:eastAsia="ru-RU"/>
        </w:rPr>
        <w:drawing>
          <wp:inline distT="0" distB="0" distL="114300" distR="114300" wp14:anchorId="0238E86C" wp14:editId="5C392B99">
            <wp:extent cx="3324225" cy="2269864"/>
            <wp:effectExtent l="0" t="0" r="3175" b="3810"/>
            <wp:docPr id="413" name="image37.png" descr="IMG_306"/>
            <wp:cNvGraphicFramePr/>
            <a:graphic xmlns:a="http://schemas.openxmlformats.org/drawingml/2006/main">
              <a:graphicData uri="http://schemas.openxmlformats.org/drawingml/2006/picture">
                <pic:pic xmlns:pic="http://schemas.openxmlformats.org/drawingml/2006/picture">
                  <pic:nvPicPr>
                    <pic:cNvPr id="0" name="image37.png" descr="IMG_306"/>
                    <pic:cNvPicPr preferRelativeResize="0"/>
                  </pic:nvPicPr>
                  <pic:blipFill>
                    <a:blip r:embed="rId67"/>
                    <a:srcRect/>
                    <a:stretch>
                      <a:fillRect/>
                    </a:stretch>
                  </pic:blipFill>
                  <pic:spPr>
                    <a:xfrm>
                      <a:off x="0" y="0"/>
                      <a:ext cx="3331481" cy="2274819"/>
                    </a:xfrm>
                    <a:prstGeom prst="rect">
                      <a:avLst/>
                    </a:prstGeom>
                    <a:ln/>
                  </pic:spPr>
                </pic:pic>
              </a:graphicData>
            </a:graphic>
          </wp:inline>
        </w:drawing>
      </w:r>
      <w:r w:rsidRPr="00170B7C">
        <w:rPr>
          <w:rFonts w:eastAsia="Arial"/>
          <w:noProof/>
          <w:color w:val="000000"/>
          <w:sz w:val="28"/>
          <w:szCs w:val="28"/>
          <w:lang w:eastAsia="ru-RU"/>
        </w:rPr>
        <w:drawing>
          <wp:inline distT="0" distB="0" distL="114300" distR="114300" wp14:anchorId="184A7C42" wp14:editId="7C8DB43C">
            <wp:extent cx="2530665" cy="2259106"/>
            <wp:effectExtent l="0" t="0" r="0" b="1905"/>
            <wp:docPr id="414" name="image45.png" descr="IMG_307"/>
            <wp:cNvGraphicFramePr/>
            <a:graphic xmlns:a="http://schemas.openxmlformats.org/drawingml/2006/main">
              <a:graphicData uri="http://schemas.openxmlformats.org/drawingml/2006/picture">
                <pic:pic xmlns:pic="http://schemas.openxmlformats.org/drawingml/2006/picture">
                  <pic:nvPicPr>
                    <pic:cNvPr id="0" name="image45.png" descr="IMG_307"/>
                    <pic:cNvPicPr preferRelativeResize="0"/>
                  </pic:nvPicPr>
                  <pic:blipFill>
                    <a:blip r:embed="rId68"/>
                    <a:srcRect/>
                    <a:stretch>
                      <a:fillRect/>
                    </a:stretch>
                  </pic:blipFill>
                  <pic:spPr>
                    <a:xfrm>
                      <a:off x="0" y="0"/>
                      <a:ext cx="2533047" cy="2261232"/>
                    </a:xfrm>
                    <a:prstGeom prst="rect">
                      <a:avLst/>
                    </a:prstGeom>
                    <a:ln/>
                  </pic:spPr>
                </pic:pic>
              </a:graphicData>
            </a:graphic>
          </wp:inline>
        </w:drawing>
      </w:r>
      <w:r w:rsidRPr="00170B7C">
        <w:rPr>
          <w:rFonts w:eastAsia="Calibri"/>
          <w:color w:val="000000"/>
          <w:sz w:val="28"/>
          <w:szCs w:val="28"/>
        </w:rPr>
        <w:t> </w:t>
      </w:r>
    </w:p>
    <w:p w14:paraId="41BA8C9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Calibri"/>
          <w:color w:val="000000"/>
          <w:sz w:val="28"/>
          <w:szCs w:val="28"/>
        </w:rPr>
        <w:t> </w:t>
      </w:r>
    </w:p>
    <w:p w14:paraId="2CB0B1B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Рисунок 3</w:t>
      </w:r>
      <w:r w:rsidR="00496251" w:rsidRPr="00170B7C">
        <w:rPr>
          <w:color w:val="000000"/>
          <w:sz w:val="28"/>
          <w:szCs w:val="28"/>
        </w:rPr>
        <w:t>9</w:t>
      </w:r>
      <w:r w:rsidRPr="00170B7C">
        <w:rPr>
          <w:color w:val="000000"/>
          <w:sz w:val="28"/>
          <w:szCs w:val="28"/>
        </w:rPr>
        <w:t xml:space="preserve"> – Расчет объема печени оптимизированным методом.  </w:t>
      </w:r>
    </w:p>
    <w:p w14:paraId="119F3F3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0"/>
        <w:jc w:val="center"/>
        <w:rPr>
          <w:rFonts w:eastAsia="Calibri"/>
          <w:color w:val="000000"/>
          <w:sz w:val="28"/>
          <w:szCs w:val="28"/>
        </w:rPr>
      </w:pPr>
      <w:r w:rsidRPr="00170B7C">
        <w:rPr>
          <w:color w:val="000000"/>
          <w:sz w:val="28"/>
          <w:szCs w:val="28"/>
        </w:rPr>
        <w:t>Порог максимальной плотности 130 HU </w:t>
      </w:r>
    </w:p>
    <w:p w14:paraId="254899C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170B7C">
        <w:rPr>
          <w:rFonts w:eastAsia="Calibri"/>
          <w:color w:val="000000"/>
          <w:sz w:val="28"/>
          <w:szCs w:val="28"/>
        </w:rPr>
        <w:t> </w:t>
      </w:r>
    </w:p>
    <w:p w14:paraId="6D40A36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На рисунках 3</w:t>
      </w:r>
      <w:r w:rsidR="00496251" w:rsidRPr="00170B7C">
        <w:rPr>
          <w:color w:val="000000"/>
          <w:sz w:val="28"/>
          <w:szCs w:val="28"/>
        </w:rPr>
        <w:t>8</w:t>
      </w:r>
      <w:r w:rsidRPr="00170B7C">
        <w:rPr>
          <w:color w:val="000000"/>
          <w:sz w:val="28"/>
          <w:szCs w:val="28"/>
        </w:rPr>
        <w:t>,3</w:t>
      </w:r>
      <w:r w:rsidR="00496251" w:rsidRPr="00170B7C">
        <w:rPr>
          <w:color w:val="000000"/>
          <w:sz w:val="28"/>
          <w:szCs w:val="28"/>
        </w:rPr>
        <w:t>9</w:t>
      </w:r>
      <w:r w:rsidRPr="00170B7C">
        <w:rPr>
          <w:color w:val="000000"/>
          <w:sz w:val="28"/>
          <w:szCs w:val="28"/>
        </w:rPr>
        <w:t xml:space="preserve"> представлен клинический случай, донор печени М., 1983 г.р. Общий и остаточный объем печени рассчитан стандартным мануальным и оптимизированным методами.  </w:t>
      </w:r>
    </w:p>
    <w:p w14:paraId="63CADD59" w14:textId="77777777" w:rsidR="00C700B8" w:rsidRPr="00170B7C" w:rsidRDefault="00274D3C" w:rsidP="006D6DD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При расчете стандартным мануальным методом максимальный порог плотности печени составил 150 HU.  Общий объем печени составил 1399,6 мл, объем левой доли печени</w:t>
      </w:r>
      <w:r w:rsidR="006D6DDC">
        <w:rPr>
          <w:color w:val="000000"/>
          <w:sz w:val="28"/>
          <w:szCs w:val="28"/>
        </w:rPr>
        <w:t xml:space="preserve"> </w:t>
      </w:r>
      <w:r w:rsidRPr="00170B7C">
        <w:rPr>
          <w:color w:val="000000"/>
          <w:sz w:val="28"/>
          <w:szCs w:val="28"/>
        </w:rPr>
        <w:t>- 514,8 мл, объем правой доли печени - 884,8 мл.  При расчете оптимизированным методом максимальный порог плотности печени снижен на 20 HU и составил 130 HU. Общий объем печени составил - 1099,0 мл, объем левой доли печени  - 395,5 мл, объем правой доли печени - 703,5 мл. Вес графта составил 710 гр.  </w:t>
      </w:r>
      <w:r w:rsidR="00FC4A01" w:rsidRPr="00170B7C">
        <w:rPr>
          <w:color w:val="000000"/>
          <w:sz w:val="28"/>
          <w:szCs w:val="28"/>
        </w:rPr>
        <w:t>Процент ошибки</w:t>
      </w:r>
      <w:r w:rsidRPr="00170B7C">
        <w:rPr>
          <w:color w:val="000000"/>
          <w:sz w:val="28"/>
          <w:szCs w:val="28"/>
        </w:rPr>
        <w:t xml:space="preserve"> стандартного мануального метода составил - 19,7%, </w:t>
      </w:r>
      <w:r w:rsidR="00FC4A01" w:rsidRPr="00170B7C">
        <w:rPr>
          <w:color w:val="000000"/>
          <w:sz w:val="28"/>
          <w:szCs w:val="28"/>
        </w:rPr>
        <w:t>процент ошибки</w:t>
      </w:r>
      <w:r w:rsidRPr="00170B7C">
        <w:rPr>
          <w:color w:val="000000"/>
          <w:sz w:val="28"/>
          <w:szCs w:val="28"/>
        </w:rPr>
        <w:t xml:space="preserve"> оптимизированного метода составил - 1,0%.  Таким образом, </w:t>
      </w:r>
      <w:r w:rsidR="00FC4A01" w:rsidRPr="00170B7C">
        <w:rPr>
          <w:color w:val="000000"/>
          <w:sz w:val="28"/>
          <w:szCs w:val="28"/>
        </w:rPr>
        <w:t>процент ошибки</w:t>
      </w:r>
      <w:r w:rsidRPr="00170B7C">
        <w:rPr>
          <w:color w:val="000000"/>
          <w:sz w:val="28"/>
          <w:szCs w:val="28"/>
        </w:rPr>
        <w:t xml:space="preserve"> </w:t>
      </w:r>
      <w:r w:rsidR="006D6DDC" w:rsidRPr="00170B7C">
        <w:rPr>
          <w:color w:val="000000"/>
          <w:sz w:val="28"/>
          <w:szCs w:val="28"/>
        </w:rPr>
        <w:t xml:space="preserve">оптимизированного метода </w:t>
      </w:r>
      <w:r w:rsidRPr="00170B7C">
        <w:rPr>
          <w:color w:val="000000"/>
          <w:sz w:val="28"/>
          <w:szCs w:val="28"/>
        </w:rPr>
        <w:t>с весом графта оказалась на 18,7% меньше стандартного мануального метода.  </w:t>
      </w:r>
    </w:p>
    <w:p w14:paraId="789A7B44" w14:textId="77777777" w:rsidR="00C700B8"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Ниже представлен следующий клинический случай с применением оптимизированного метода КТ-волюметрии (рисунок </w:t>
      </w:r>
      <w:r w:rsidR="00496251" w:rsidRPr="00170B7C">
        <w:rPr>
          <w:color w:val="000000"/>
          <w:sz w:val="28"/>
          <w:szCs w:val="28"/>
        </w:rPr>
        <w:t>40</w:t>
      </w:r>
      <w:r w:rsidRPr="00170B7C">
        <w:rPr>
          <w:color w:val="000000"/>
          <w:sz w:val="28"/>
          <w:szCs w:val="28"/>
        </w:rPr>
        <w:t>,</w:t>
      </w:r>
      <w:r w:rsidR="00496251" w:rsidRPr="00170B7C">
        <w:rPr>
          <w:color w:val="000000"/>
          <w:sz w:val="28"/>
          <w:szCs w:val="28"/>
        </w:rPr>
        <w:t>41</w:t>
      </w:r>
      <w:r w:rsidRPr="00170B7C">
        <w:rPr>
          <w:color w:val="000000"/>
          <w:sz w:val="28"/>
          <w:szCs w:val="28"/>
        </w:rPr>
        <w:t>). </w:t>
      </w:r>
    </w:p>
    <w:p w14:paraId="5977DB09" w14:textId="77777777" w:rsidR="006D6DDC" w:rsidRPr="00170B7C" w:rsidRDefault="006D6DD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p>
    <w:p w14:paraId="661AC182" w14:textId="77777777" w:rsidR="00C700B8" w:rsidRPr="00170B7C" w:rsidRDefault="00274D3C" w:rsidP="006D6DDC">
      <w:pPr>
        <w:pBdr>
          <w:top w:val="none" w:sz="0" w:space="0" w:color="000000"/>
          <w:left w:val="none" w:sz="0" w:space="0" w:color="000000"/>
          <w:bottom w:val="none" w:sz="0" w:space="0" w:color="000000"/>
          <w:right w:val="none" w:sz="0" w:space="0" w:color="000000"/>
          <w:between w:val="none" w:sz="0" w:space="0" w:color="000000"/>
        </w:pBdr>
        <w:rPr>
          <w:color w:val="000000"/>
          <w:sz w:val="28"/>
          <w:szCs w:val="28"/>
        </w:rPr>
      </w:pPr>
      <w:r w:rsidRPr="00170B7C">
        <w:rPr>
          <w:rFonts w:eastAsia="Calibri"/>
          <w:color w:val="000000"/>
          <w:sz w:val="28"/>
          <w:szCs w:val="28"/>
        </w:rPr>
        <w:t> </w:t>
      </w:r>
      <w:r w:rsidRPr="00170B7C">
        <w:rPr>
          <w:rFonts w:eastAsia="Arial"/>
          <w:noProof/>
          <w:color w:val="000000"/>
          <w:sz w:val="28"/>
          <w:szCs w:val="28"/>
          <w:lang w:eastAsia="ru-RU"/>
        </w:rPr>
        <w:drawing>
          <wp:inline distT="0" distB="0" distL="114300" distR="114300" wp14:anchorId="63484DD7" wp14:editId="67DF2E9C">
            <wp:extent cx="6023529" cy="2130014"/>
            <wp:effectExtent l="0" t="0" r="0" b="3810"/>
            <wp:docPr id="416" name="image51.png" descr="IMG_308"/>
            <wp:cNvGraphicFramePr/>
            <a:graphic xmlns:a="http://schemas.openxmlformats.org/drawingml/2006/main">
              <a:graphicData uri="http://schemas.openxmlformats.org/drawingml/2006/picture">
                <pic:pic xmlns:pic="http://schemas.openxmlformats.org/drawingml/2006/picture">
                  <pic:nvPicPr>
                    <pic:cNvPr id="0" name="image51.png" descr="IMG_308"/>
                    <pic:cNvPicPr preferRelativeResize="0"/>
                  </pic:nvPicPr>
                  <pic:blipFill>
                    <a:blip r:embed="rId69"/>
                    <a:srcRect/>
                    <a:stretch>
                      <a:fillRect/>
                    </a:stretch>
                  </pic:blipFill>
                  <pic:spPr>
                    <a:xfrm>
                      <a:off x="0" y="0"/>
                      <a:ext cx="6061475" cy="2143432"/>
                    </a:xfrm>
                    <a:prstGeom prst="rect">
                      <a:avLst/>
                    </a:prstGeom>
                    <a:ln/>
                  </pic:spPr>
                </pic:pic>
              </a:graphicData>
            </a:graphic>
          </wp:inline>
        </w:drawing>
      </w:r>
    </w:p>
    <w:p w14:paraId="2B7E7EE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 xml:space="preserve">Рисунок </w:t>
      </w:r>
      <w:r w:rsidR="00496251" w:rsidRPr="00170B7C">
        <w:rPr>
          <w:color w:val="000000"/>
          <w:sz w:val="28"/>
          <w:szCs w:val="28"/>
        </w:rPr>
        <w:t>40</w:t>
      </w:r>
      <w:r w:rsidRPr="00170B7C">
        <w:rPr>
          <w:color w:val="000000"/>
          <w:sz w:val="28"/>
          <w:szCs w:val="28"/>
        </w:rPr>
        <w:t xml:space="preserve"> – Расчет объема печени стандартным мануальным методом.  </w:t>
      </w:r>
    </w:p>
    <w:p w14:paraId="2ED651B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0"/>
        <w:jc w:val="center"/>
        <w:rPr>
          <w:color w:val="000000"/>
          <w:sz w:val="28"/>
          <w:szCs w:val="28"/>
        </w:rPr>
      </w:pPr>
      <w:r w:rsidRPr="00170B7C">
        <w:rPr>
          <w:color w:val="000000"/>
          <w:sz w:val="28"/>
          <w:szCs w:val="28"/>
        </w:rPr>
        <w:t>Порог максимальной плотности 150 HU </w:t>
      </w:r>
    </w:p>
    <w:p w14:paraId="6F0A6486"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ind w:firstLine="560"/>
        <w:jc w:val="center"/>
        <w:rPr>
          <w:color w:val="000000"/>
          <w:sz w:val="28"/>
          <w:szCs w:val="28"/>
        </w:rPr>
      </w:pPr>
    </w:p>
    <w:p w14:paraId="7CBF509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rFonts w:eastAsia="Arial"/>
          <w:noProof/>
          <w:color w:val="000000"/>
          <w:sz w:val="28"/>
          <w:szCs w:val="28"/>
          <w:lang w:eastAsia="ru-RU"/>
        </w:rPr>
        <w:drawing>
          <wp:inline distT="0" distB="0" distL="114300" distR="114300" wp14:anchorId="780BFA06" wp14:editId="7E83B2D5">
            <wp:extent cx="6084000" cy="2403475"/>
            <wp:effectExtent l="0" t="0" r="0" b="0"/>
            <wp:docPr id="419" name="image50.png" descr="IMG_309"/>
            <wp:cNvGraphicFramePr/>
            <a:graphic xmlns:a="http://schemas.openxmlformats.org/drawingml/2006/main">
              <a:graphicData uri="http://schemas.openxmlformats.org/drawingml/2006/picture">
                <pic:pic xmlns:pic="http://schemas.openxmlformats.org/drawingml/2006/picture">
                  <pic:nvPicPr>
                    <pic:cNvPr id="0" name="image50.png" descr="IMG_309"/>
                    <pic:cNvPicPr preferRelativeResize="0"/>
                  </pic:nvPicPr>
                  <pic:blipFill>
                    <a:blip r:embed="rId70"/>
                    <a:srcRect/>
                    <a:stretch>
                      <a:fillRect/>
                    </a:stretch>
                  </pic:blipFill>
                  <pic:spPr>
                    <a:xfrm>
                      <a:off x="0" y="0"/>
                      <a:ext cx="6084000" cy="2403475"/>
                    </a:xfrm>
                    <a:prstGeom prst="rect">
                      <a:avLst/>
                    </a:prstGeom>
                    <a:ln/>
                  </pic:spPr>
                </pic:pic>
              </a:graphicData>
            </a:graphic>
          </wp:inline>
        </w:drawing>
      </w:r>
    </w:p>
    <w:p w14:paraId="528421C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color w:val="000000"/>
          <w:sz w:val="28"/>
          <w:szCs w:val="28"/>
        </w:rPr>
      </w:pPr>
      <w:r w:rsidRPr="00170B7C">
        <w:rPr>
          <w:rFonts w:eastAsia="Calibri"/>
          <w:color w:val="000000"/>
          <w:sz w:val="28"/>
          <w:szCs w:val="28"/>
        </w:rPr>
        <w:t> </w:t>
      </w:r>
    </w:p>
    <w:p w14:paraId="320F9BB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jc w:val="center"/>
        <w:rPr>
          <w:rFonts w:eastAsia="Calibri"/>
          <w:color w:val="000000"/>
          <w:sz w:val="28"/>
          <w:szCs w:val="28"/>
        </w:rPr>
      </w:pPr>
      <w:r w:rsidRPr="00170B7C">
        <w:rPr>
          <w:color w:val="000000"/>
          <w:sz w:val="28"/>
          <w:szCs w:val="28"/>
        </w:rPr>
        <w:t xml:space="preserve">Рисунок </w:t>
      </w:r>
      <w:r w:rsidR="00496251" w:rsidRPr="00170B7C">
        <w:rPr>
          <w:color w:val="000000"/>
          <w:sz w:val="28"/>
          <w:szCs w:val="28"/>
        </w:rPr>
        <w:t>41</w:t>
      </w:r>
      <w:r w:rsidRPr="00170B7C">
        <w:rPr>
          <w:color w:val="000000"/>
          <w:sz w:val="28"/>
          <w:szCs w:val="28"/>
        </w:rPr>
        <w:t>– Расчет объема печени оптимизированным методом.  </w:t>
      </w:r>
    </w:p>
    <w:p w14:paraId="1BD4A01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0"/>
        <w:jc w:val="center"/>
        <w:rPr>
          <w:rFonts w:eastAsia="Calibri"/>
          <w:color w:val="000000"/>
          <w:sz w:val="28"/>
          <w:szCs w:val="28"/>
        </w:rPr>
      </w:pPr>
      <w:r w:rsidRPr="00170B7C">
        <w:rPr>
          <w:color w:val="000000"/>
          <w:sz w:val="28"/>
          <w:szCs w:val="28"/>
        </w:rPr>
        <w:t>Порог максимальной плотности 130 HU </w:t>
      </w:r>
    </w:p>
    <w:p w14:paraId="470E03BF"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7FB2801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На рисунках </w:t>
      </w:r>
      <w:r w:rsidR="00496251" w:rsidRPr="00170B7C">
        <w:rPr>
          <w:color w:val="000000"/>
          <w:sz w:val="28"/>
          <w:szCs w:val="28"/>
        </w:rPr>
        <w:t>40</w:t>
      </w:r>
      <w:r w:rsidRPr="00170B7C">
        <w:rPr>
          <w:color w:val="000000"/>
          <w:sz w:val="28"/>
          <w:szCs w:val="28"/>
        </w:rPr>
        <w:t>,</w:t>
      </w:r>
      <w:r w:rsidR="00496251" w:rsidRPr="00170B7C">
        <w:rPr>
          <w:color w:val="000000"/>
          <w:sz w:val="28"/>
          <w:szCs w:val="28"/>
        </w:rPr>
        <w:t>41</w:t>
      </w:r>
      <w:r w:rsidRPr="00170B7C">
        <w:rPr>
          <w:color w:val="000000"/>
          <w:sz w:val="28"/>
          <w:szCs w:val="28"/>
        </w:rPr>
        <w:t xml:space="preserve"> представлен клинический случай, донор печени К., 2000 г.р. Общий и остаточный объем печени рассчитан стандартным мануальным и оптимизированным методами.  </w:t>
      </w:r>
    </w:p>
    <w:p w14:paraId="7DE9CE8B"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При расчете стандартным мануальным методом максимальный порог плотности печени составил 150 HU (вся паренхима печени покрыта розовым цветом).  Общий объем печени составил 1411,6 мл, объем левой доли печени (остаточный объем печени) - 507,8 мл, объем правой доли печени - 903,8 мл.  </w:t>
      </w:r>
    </w:p>
    <w:p w14:paraId="0DA5AE0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При расчете оптимизированным методом максимальный порог плотности печени снижен на 20 HU и составил 130 HU. Общий объем печени составил - 1109,9 мл, объем левой доли печени (остаточный объем печени) - 390,4 мл, объем правой доли печени - 719,5 мл. Вес графта составил 710 гр.  </w:t>
      </w:r>
    </w:p>
    <w:p w14:paraId="2810E116" w14:textId="77777777" w:rsidR="00C700B8" w:rsidRPr="00170B7C" w:rsidRDefault="00FC4A01"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Процент ошибки</w:t>
      </w:r>
      <w:r w:rsidR="00274D3C" w:rsidRPr="00170B7C">
        <w:rPr>
          <w:color w:val="000000"/>
          <w:sz w:val="28"/>
          <w:szCs w:val="28"/>
        </w:rPr>
        <w:t xml:space="preserve"> при применении стандартного мануального метода с весом графта составил - 27,2%, </w:t>
      </w:r>
      <w:r w:rsidRPr="00170B7C">
        <w:rPr>
          <w:color w:val="000000"/>
          <w:sz w:val="28"/>
          <w:szCs w:val="28"/>
        </w:rPr>
        <w:t>процент ошибки</w:t>
      </w:r>
      <w:r w:rsidR="00274D3C" w:rsidRPr="00170B7C">
        <w:rPr>
          <w:color w:val="000000"/>
          <w:sz w:val="28"/>
          <w:szCs w:val="28"/>
        </w:rPr>
        <w:t xml:space="preserve"> при применении оптимизированного метода составил - 1,3%.  </w:t>
      </w:r>
    </w:p>
    <w:p w14:paraId="2A97CD7A" w14:textId="77777777" w:rsidR="00C700B8" w:rsidRPr="00170B7C" w:rsidRDefault="00FC4A01"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Процент ошибки</w:t>
      </w:r>
      <w:r w:rsidR="00274D3C" w:rsidRPr="00170B7C">
        <w:rPr>
          <w:color w:val="000000"/>
          <w:sz w:val="28"/>
          <w:szCs w:val="28"/>
        </w:rPr>
        <w:t xml:space="preserve"> с весом графта оптимизированного метода оказалась на 18,7% меньше стандартного мануального метода.   </w:t>
      </w:r>
    </w:p>
    <w:p w14:paraId="1CB29BE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Таким образом, исходя из вышеизложенных результатов, снижение порога плотности печени, произведенной на панели рабочей станции мануального метода КТ-волюметрии на 20 HU позволило оптимизировать данный метод, снизить </w:t>
      </w:r>
      <w:r w:rsidR="0061254F" w:rsidRPr="00170B7C">
        <w:rPr>
          <w:color w:val="000000"/>
          <w:sz w:val="28"/>
          <w:szCs w:val="28"/>
        </w:rPr>
        <w:t>процент ошибки</w:t>
      </w:r>
      <w:r w:rsidRPr="00170B7C">
        <w:rPr>
          <w:color w:val="000000"/>
          <w:sz w:val="28"/>
          <w:szCs w:val="28"/>
        </w:rPr>
        <w:t xml:space="preserve"> с весом графта до 8,4% и повысить коэффициент корреляции Пирсона до 0,860 (p&lt;0,01). </w:t>
      </w:r>
    </w:p>
    <w:p w14:paraId="0B14044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19F4C7F9"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5EA86D6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7E7AE3DB" w14:textId="77777777" w:rsidR="00C700B8" w:rsidRDefault="00C700B8" w:rsidP="006D6DD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4B845307" w14:textId="77777777" w:rsidR="006D6DDC" w:rsidRDefault="006D6DDC" w:rsidP="006D6DD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2E7200CC" w14:textId="77777777" w:rsidR="006D6DDC" w:rsidRPr="00170B7C" w:rsidRDefault="006D6DDC" w:rsidP="006D6DD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p>
    <w:p w14:paraId="66955000"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b/>
          <w:color w:val="000000"/>
          <w:sz w:val="28"/>
          <w:szCs w:val="28"/>
        </w:rPr>
        <w:lastRenderedPageBreak/>
        <w:t>4 ОБСУЖДЕНИЕ</w:t>
      </w:r>
      <w:r w:rsidRPr="00170B7C">
        <w:rPr>
          <w:color w:val="000000"/>
          <w:sz w:val="28"/>
          <w:szCs w:val="28"/>
        </w:rPr>
        <w:t> </w:t>
      </w:r>
    </w:p>
    <w:p w14:paraId="092AEB3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rFonts w:eastAsia="Calibri"/>
          <w:color w:val="000000"/>
          <w:sz w:val="28"/>
          <w:szCs w:val="28"/>
        </w:rPr>
        <w:t> </w:t>
      </w:r>
    </w:p>
    <w:p w14:paraId="4E8D6C73" w14:textId="4B2D4BBB" w:rsidR="003738AB" w:rsidRPr="008D10E8" w:rsidRDefault="003738AB"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Трансплантация печени от живого донора показана для экстренного лечения терминальной стадии заболевания печени, острой печеночной недостаточности и врожденных анатомических и метаболических заболеваниях печени</w:t>
      </w:r>
      <w:r w:rsidR="008D10E8" w:rsidRPr="008D10E8">
        <w:rPr>
          <w:rFonts w:eastAsia="Calibri"/>
          <w:color w:val="000000"/>
          <w:sz w:val="28"/>
          <w:szCs w:val="28"/>
        </w:rPr>
        <w:t xml:space="preserve">. </w:t>
      </w:r>
      <w:r w:rsidRPr="00170B7C">
        <w:rPr>
          <w:color w:val="000000"/>
          <w:sz w:val="28"/>
          <w:szCs w:val="28"/>
        </w:rPr>
        <w:t xml:space="preserve">Данный вид трансплантации особенно характерен для стран </w:t>
      </w:r>
      <w:r w:rsidR="00097216">
        <w:rPr>
          <w:color w:val="000000"/>
          <w:sz w:val="28"/>
          <w:szCs w:val="28"/>
        </w:rPr>
        <w:t>со</w:t>
      </w:r>
      <w:r w:rsidRPr="00170B7C">
        <w:rPr>
          <w:color w:val="000000"/>
          <w:sz w:val="28"/>
          <w:szCs w:val="28"/>
        </w:rPr>
        <w:t xml:space="preserve"> слабой программы </w:t>
      </w:r>
      <w:r w:rsidR="00A71AD7">
        <w:rPr>
          <w:color w:val="000000"/>
          <w:sz w:val="28"/>
          <w:szCs w:val="28"/>
        </w:rPr>
        <w:t>трупного донорства</w:t>
      </w:r>
      <w:r w:rsidR="008D10E8" w:rsidRPr="008D10E8">
        <w:rPr>
          <w:color w:val="000000"/>
          <w:sz w:val="28"/>
          <w:szCs w:val="28"/>
        </w:rPr>
        <w:t>.</w:t>
      </w:r>
    </w:p>
    <w:p w14:paraId="228653B7" w14:textId="09A3661F" w:rsidR="003738AB" w:rsidRPr="008D10E8" w:rsidRDefault="003738AB"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Предоперационная оценка объема донорской печени является одним из наиболее важных факторов, влияющих на успешную хирургическую стратегию, а также на послеоперационные осложнения и смертность при трансплантации от живого </w:t>
      </w:r>
      <w:r w:rsidR="00CF03A2">
        <w:rPr>
          <w:color w:val="000000"/>
          <w:sz w:val="28"/>
          <w:szCs w:val="28"/>
        </w:rPr>
        <w:t xml:space="preserve">родственного </w:t>
      </w:r>
      <w:r w:rsidR="00A71AD7">
        <w:rPr>
          <w:color w:val="000000"/>
          <w:sz w:val="28"/>
          <w:szCs w:val="28"/>
        </w:rPr>
        <w:t>донора</w:t>
      </w:r>
      <w:r w:rsidR="008D10E8" w:rsidRPr="008D10E8">
        <w:rPr>
          <w:color w:val="000000"/>
          <w:sz w:val="28"/>
          <w:szCs w:val="28"/>
        </w:rPr>
        <w:t>.</w:t>
      </w:r>
    </w:p>
    <w:p w14:paraId="16466874" w14:textId="77777777" w:rsidR="003738AB" w:rsidRPr="00170B7C" w:rsidRDefault="003738AB"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Одна из основных задач при обследовании донора - уточнение объема как всей печени, так и ее фрагмента, планируемого для использования в качестве трансплантата.   </w:t>
      </w:r>
    </w:p>
    <w:p w14:paraId="2621DCDE" w14:textId="59DAB9C4"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На сегодняшний день разработано множество мануальны</w:t>
      </w:r>
      <w:r w:rsidR="0061254F" w:rsidRPr="00170B7C">
        <w:rPr>
          <w:color w:val="000000"/>
          <w:sz w:val="28"/>
          <w:szCs w:val="28"/>
        </w:rPr>
        <w:t>х</w:t>
      </w:r>
      <w:r w:rsidRPr="00170B7C">
        <w:rPr>
          <w:color w:val="000000"/>
          <w:sz w:val="28"/>
          <w:szCs w:val="28"/>
        </w:rPr>
        <w:t>, полуавтоматически</w:t>
      </w:r>
      <w:r w:rsidR="0061254F" w:rsidRPr="00170B7C">
        <w:rPr>
          <w:color w:val="000000"/>
          <w:sz w:val="28"/>
          <w:szCs w:val="28"/>
        </w:rPr>
        <w:t>х и</w:t>
      </w:r>
      <w:r w:rsidRPr="00170B7C">
        <w:rPr>
          <w:color w:val="000000"/>
          <w:sz w:val="28"/>
          <w:szCs w:val="28"/>
        </w:rPr>
        <w:t xml:space="preserve"> автоматически</w:t>
      </w:r>
      <w:r w:rsidR="0061254F" w:rsidRPr="00170B7C">
        <w:rPr>
          <w:color w:val="000000"/>
          <w:sz w:val="28"/>
          <w:szCs w:val="28"/>
        </w:rPr>
        <w:t>х</w:t>
      </w:r>
      <w:r w:rsidRPr="00170B7C">
        <w:rPr>
          <w:color w:val="000000"/>
          <w:sz w:val="28"/>
          <w:szCs w:val="28"/>
        </w:rPr>
        <w:t xml:space="preserve"> метод</w:t>
      </w:r>
      <w:r w:rsidR="0061254F" w:rsidRPr="00170B7C">
        <w:rPr>
          <w:color w:val="000000"/>
          <w:sz w:val="28"/>
          <w:szCs w:val="28"/>
        </w:rPr>
        <w:t>ов</w:t>
      </w:r>
      <w:r w:rsidRPr="00170B7C">
        <w:rPr>
          <w:color w:val="000000"/>
          <w:sz w:val="28"/>
          <w:szCs w:val="28"/>
        </w:rPr>
        <w:t xml:space="preserve"> измерени</w:t>
      </w:r>
      <w:r w:rsidR="0014185E" w:rsidRPr="00170B7C">
        <w:rPr>
          <w:color w:val="000000"/>
          <w:sz w:val="28"/>
          <w:szCs w:val="28"/>
        </w:rPr>
        <w:t>й</w:t>
      </w:r>
      <w:r w:rsidRPr="00170B7C">
        <w:rPr>
          <w:color w:val="000000"/>
          <w:sz w:val="28"/>
          <w:szCs w:val="28"/>
        </w:rPr>
        <w:t xml:space="preserve"> объема печени</w:t>
      </w:r>
      <w:r w:rsidR="00A71AD7">
        <w:rPr>
          <w:color w:val="000000"/>
          <w:sz w:val="28"/>
          <w:szCs w:val="28"/>
        </w:rPr>
        <w:t>, а также программ на основе ИИ.</w:t>
      </w:r>
    </w:p>
    <w:p w14:paraId="7C23095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Несмотря на разработку различных методов КТ-волюметрии </w:t>
      </w:r>
      <w:r w:rsidR="0061254F" w:rsidRPr="00170B7C">
        <w:rPr>
          <w:color w:val="000000"/>
          <w:sz w:val="28"/>
          <w:szCs w:val="28"/>
        </w:rPr>
        <w:t>разница между</w:t>
      </w:r>
      <w:r w:rsidRPr="00170B7C">
        <w:rPr>
          <w:color w:val="000000"/>
          <w:sz w:val="28"/>
          <w:szCs w:val="28"/>
        </w:rPr>
        <w:t xml:space="preserve"> рассчитанным объемом печени и весом графта имеет место быть. </w:t>
      </w:r>
      <w:r w:rsidR="0061254F" w:rsidRPr="00170B7C">
        <w:rPr>
          <w:color w:val="000000"/>
          <w:sz w:val="28"/>
          <w:szCs w:val="28"/>
        </w:rPr>
        <w:t>Высокий процент ошибки</w:t>
      </w:r>
      <w:r w:rsidRPr="00170B7C">
        <w:rPr>
          <w:color w:val="000000"/>
          <w:sz w:val="28"/>
          <w:szCs w:val="28"/>
        </w:rPr>
        <w:t xml:space="preserve"> </w:t>
      </w:r>
      <w:r w:rsidR="0061254F" w:rsidRPr="00170B7C">
        <w:rPr>
          <w:color w:val="000000"/>
          <w:sz w:val="28"/>
          <w:szCs w:val="28"/>
        </w:rPr>
        <w:t xml:space="preserve">между </w:t>
      </w:r>
      <w:r w:rsidRPr="00170B7C">
        <w:rPr>
          <w:color w:val="000000"/>
          <w:sz w:val="28"/>
          <w:szCs w:val="28"/>
        </w:rPr>
        <w:t>рассчитанн</w:t>
      </w:r>
      <w:r w:rsidR="0061254F" w:rsidRPr="00170B7C">
        <w:rPr>
          <w:color w:val="000000"/>
          <w:sz w:val="28"/>
          <w:szCs w:val="28"/>
        </w:rPr>
        <w:t>ым</w:t>
      </w:r>
      <w:r w:rsidRPr="00170B7C">
        <w:rPr>
          <w:color w:val="000000"/>
          <w:sz w:val="28"/>
          <w:szCs w:val="28"/>
        </w:rPr>
        <w:t xml:space="preserve"> объем</w:t>
      </w:r>
      <w:r w:rsidR="0061254F" w:rsidRPr="00170B7C">
        <w:rPr>
          <w:color w:val="000000"/>
          <w:sz w:val="28"/>
          <w:szCs w:val="28"/>
        </w:rPr>
        <w:t>ом</w:t>
      </w:r>
      <w:r w:rsidRPr="00170B7C">
        <w:rPr>
          <w:color w:val="000000"/>
          <w:sz w:val="28"/>
          <w:szCs w:val="28"/>
        </w:rPr>
        <w:t xml:space="preserve"> печени и интраоперационно взвешенным весом графта повышает риск </w:t>
      </w:r>
      <w:r w:rsidR="0014185E" w:rsidRPr="00170B7C">
        <w:rPr>
          <w:color w:val="000000"/>
          <w:sz w:val="28"/>
          <w:szCs w:val="28"/>
        </w:rPr>
        <w:t xml:space="preserve">развития </w:t>
      </w:r>
      <w:r w:rsidR="0061254F" w:rsidRPr="00170B7C">
        <w:rPr>
          <w:color w:val="000000"/>
          <w:sz w:val="28"/>
          <w:szCs w:val="28"/>
        </w:rPr>
        <w:t xml:space="preserve">печеночной недостаточности донора, </w:t>
      </w:r>
      <w:r w:rsidRPr="00170B7C">
        <w:rPr>
          <w:color w:val="000000"/>
          <w:sz w:val="28"/>
          <w:szCs w:val="28"/>
        </w:rPr>
        <w:t xml:space="preserve">развития </w:t>
      </w:r>
      <w:r w:rsidR="00805A25" w:rsidRPr="00805A25">
        <w:rPr>
          <w:color w:val="000000"/>
          <w:sz w:val="28"/>
          <w:szCs w:val="28"/>
        </w:rPr>
        <w:t xml:space="preserve">small - for - size syndrome </w:t>
      </w:r>
      <w:r w:rsidR="0061254F" w:rsidRPr="00170B7C">
        <w:rPr>
          <w:color w:val="000000"/>
          <w:sz w:val="28"/>
          <w:szCs w:val="28"/>
        </w:rPr>
        <w:t>у реципиента</w:t>
      </w:r>
      <w:r w:rsidRPr="00170B7C">
        <w:rPr>
          <w:color w:val="000000"/>
          <w:sz w:val="28"/>
          <w:szCs w:val="28"/>
        </w:rPr>
        <w:t>. </w:t>
      </w:r>
    </w:p>
    <w:p w14:paraId="672B1105" w14:textId="77777777" w:rsidR="0014185E"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Несмотря на то, что большинство авторов считают, что полуавтоматический и автоматический методы более точны в сравнении с мануальным </w:t>
      </w:r>
      <w:r w:rsidRPr="000E7322">
        <w:rPr>
          <w:color w:val="000000"/>
          <w:sz w:val="28"/>
          <w:szCs w:val="28"/>
        </w:rPr>
        <w:t xml:space="preserve">методом </w:t>
      </w:r>
      <w:sdt>
        <w:sdtPr>
          <w:rPr>
            <w:color w:val="000000"/>
            <w:sz w:val="28"/>
            <w:szCs w:val="28"/>
          </w:rPr>
          <w:tag w:val="MENDELEY_CITATION_v3_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"/>
          <w:id w:val="-316647235"/>
          <w:placeholder>
            <w:docPart w:val="DefaultPlaceholder_-1854013440"/>
          </w:placeholder>
        </w:sdtPr>
        <w:sdtContent>
          <w:r w:rsidR="001D0D81" w:rsidRPr="001D0D81">
            <w:rPr>
              <w:color w:val="000000"/>
              <w:sz w:val="28"/>
              <w:szCs w:val="28"/>
            </w:rPr>
            <w:t>[59]</w:t>
          </w:r>
        </w:sdtContent>
      </w:sdt>
      <w:r w:rsidRPr="000E7322">
        <w:rPr>
          <w:color w:val="000000"/>
          <w:sz w:val="28"/>
          <w:szCs w:val="28"/>
        </w:rPr>
        <w:t>,</w:t>
      </w:r>
      <w:r w:rsidRPr="00170B7C">
        <w:rPr>
          <w:color w:val="000000"/>
          <w:sz w:val="28"/>
          <w:szCs w:val="28"/>
        </w:rPr>
        <w:t xml:space="preserve"> </w:t>
      </w:r>
      <w:r w:rsidR="0014185E" w:rsidRPr="00170B7C">
        <w:rPr>
          <w:color w:val="000000"/>
          <w:sz w:val="28"/>
          <w:szCs w:val="28"/>
        </w:rPr>
        <w:t>в нашем исследовании полуавтоматический и автоматический методы продемонстрировали положительную корреляцию с весом графта, в то время как мануальный метод показал высокую корреляцию.  </w:t>
      </w:r>
    </w:p>
    <w:p w14:paraId="7A38DDBB" w14:textId="77777777" w:rsidR="00C700B8" w:rsidRPr="00170B7C" w:rsidRDefault="0014185E"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Рассчитанный объем печени донора мануаль</w:t>
      </w:r>
      <w:r w:rsidR="00274D3C" w:rsidRPr="00170B7C">
        <w:rPr>
          <w:color w:val="000000"/>
          <w:sz w:val="28"/>
          <w:szCs w:val="28"/>
        </w:rPr>
        <w:t xml:space="preserve">ным, полуавтоматическим и автоматическим методами отличался от веса графта и продемонстрировал </w:t>
      </w:r>
      <w:r w:rsidRPr="00170B7C">
        <w:rPr>
          <w:color w:val="000000"/>
          <w:sz w:val="28"/>
          <w:szCs w:val="28"/>
        </w:rPr>
        <w:t>процент ошибки</w:t>
      </w:r>
      <w:r w:rsidR="00274D3C" w:rsidRPr="00170B7C">
        <w:rPr>
          <w:color w:val="000000"/>
          <w:sz w:val="28"/>
          <w:szCs w:val="28"/>
        </w:rPr>
        <w:t>. Мануальный метод п</w:t>
      </w:r>
      <w:r w:rsidRPr="00170B7C">
        <w:rPr>
          <w:color w:val="000000"/>
          <w:sz w:val="28"/>
          <w:szCs w:val="28"/>
        </w:rPr>
        <w:t>родемонстрировал</w:t>
      </w:r>
      <w:r w:rsidR="00274D3C" w:rsidRPr="00170B7C">
        <w:rPr>
          <w:color w:val="000000"/>
          <w:sz w:val="28"/>
          <w:szCs w:val="28"/>
        </w:rPr>
        <w:t xml:space="preserve"> минимальную разницу и </w:t>
      </w:r>
      <w:r w:rsidRPr="00170B7C">
        <w:rPr>
          <w:color w:val="000000"/>
          <w:sz w:val="28"/>
          <w:szCs w:val="28"/>
        </w:rPr>
        <w:t>процент ошибки</w:t>
      </w:r>
      <w:r w:rsidR="00274D3C" w:rsidRPr="00170B7C">
        <w:rPr>
          <w:color w:val="000000"/>
          <w:sz w:val="28"/>
          <w:szCs w:val="28"/>
        </w:rPr>
        <w:t xml:space="preserve"> с весом графта (12,7±16,6 %), что оказалось статистически значимо меньше в сравнении с полуавтоматическим (17,1±17,3%) и автоматическим (14,7±16,8%) методами (p=0,017). </w:t>
      </w:r>
    </w:p>
    <w:p w14:paraId="729F44DE"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Нами обнаружены различия, а иногда противоречащие друг другу математические формулы, предназначенные для прогнозирования размера трансплантата. Некоторые из этих методов используют площадь поверхности тела и диаметр воротной вены и/или их ветвей. Данные формулы не учитывают широкий разброс доноров по возрасту, полу, региональным демографическим характеристикам, включению или отсутствию средней печеночной вены в трансплантате, различным типам растворов для консервации, что может повлиять на расчеты и применение вышеуказанных формул. Более того, в нашей работе мы использовали формулу Урата для расчета общего объема печени и сравнили результаты с КТ-волюметрией, с целью перспективы ее дальнейшего использования. Формула Урата, применяемая для расчета общего объема печени </w:t>
      </w:r>
      <w:r w:rsidRPr="00170B7C">
        <w:rPr>
          <w:color w:val="000000"/>
          <w:sz w:val="28"/>
          <w:szCs w:val="28"/>
        </w:rPr>
        <w:lastRenderedPageBreak/>
        <w:t>проста и легко применяется, не требуя сложных вычислений или множества данных. Для использования формулы Урата требуется всего лишь знание</w:t>
      </w:r>
      <w:r w:rsidR="001B183B" w:rsidRPr="001B183B">
        <w:rPr>
          <w:color w:val="FF0000"/>
          <w:sz w:val="28"/>
          <w:szCs w:val="28"/>
        </w:rPr>
        <w:t xml:space="preserve"> </w:t>
      </w:r>
      <w:r w:rsidR="001B183B" w:rsidRPr="001B183B">
        <w:rPr>
          <w:color w:val="000000" w:themeColor="text1"/>
          <w:sz w:val="28"/>
          <w:szCs w:val="28"/>
        </w:rPr>
        <w:t>антропометрических данных донора</w:t>
      </w:r>
      <w:r w:rsidRPr="001B183B">
        <w:rPr>
          <w:color w:val="000000" w:themeColor="text1"/>
          <w:sz w:val="28"/>
          <w:szCs w:val="28"/>
        </w:rPr>
        <w:t xml:space="preserve">. </w:t>
      </w:r>
      <w:r w:rsidRPr="00170B7C">
        <w:rPr>
          <w:color w:val="000000"/>
          <w:sz w:val="28"/>
          <w:szCs w:val="28"/>
        </w:rPr>
        <w:t>Однако, данная формула продемонстрировала слабоположительную корреляцию с КТ-волюметрией при расчете общего объема печени донора. Следовательно, данный метод ненадежен, и может быть применим только в крайних случаях, когда методы КТ-волюметрии печени недоступны.   </w:t>
      </w:r>
    </w:p>
    <w:p w14:paraId="6321F541"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Каждый из методов КТ-волюметрии имел свои преимущества и недостатки.  Мануальная сегментация при выполнении трудоемка и требует высокой точности от радиологов, однако, стоит отметить доступность метода, мануальная КТ-волюметрия CT Volume Analysis встроена в панель управления рабочей станции </w:t>
      </w:r>
      <w:r w:rsidR="00035FB7" w:rsidRPr="00170B7C">
        <w:rPr>
          <w:color w:val="000000"/>
          <w:sz w:val="28"/>
          <w:szCs w:val="28"/>
        </w:rPr>
        <w:t>V</w:t>
      </w:r>
      <w:r w:rsidR="00035FB7" w:rsidRPr="00170B7C">
        <w:rPr>
          <w:color w:val="000000"/>
          <w:sz w:val="28"/>
          <w:szCs w:val="28"/>
          <w:lang w:val="en-US"/>
        </w:rPr>
        <w:t>itrea</w:t>
      </w:r>
      <w:r w:rsidR="00035FB7" w:rsidRPr="00170B7C">
        <w:rPr>
          <w:color w:val="000000"/>
          <w:sz w:val="28"/>
          <w:szCs w:val="28"/>
        </w:rPr>
        <w:t xml:space="preserve"> </w:t>
      </w:r>
      <w:r w:rsidRPr="00170B7C">
        <w:rPr>
          <w:color w:val="000000"/>
          <w:sz w:val="28"/>
          <w:szCs w:val="28"/>
        </w:rPr>
        <w:t>компьютерного томографа и не требует дополнительных затрат на приобретение программного обеспечения</w:t>
      </w:r>
      <w:r w:rsidR="0014185E" w:rsidRPr="00170B7C">
        <w:rPr>
          <w:color w:val="000000"/>
          <w:sz w:val="28"/>
          <w:szCs w:val="28"/>
        </w:rPr>
        <w:t>, выставлени</w:t>
      </w:r>
      <w:r w:rsidR="00035FB7" w:rsidRPr="00170B7C">
        <w:rPr>
          <w:color w:val="000000"/>
          <w:sz w:val="28"/>
          <w:szCs w:val="28"/>
        </w:rPr>
        <w:t>е</w:t>
      </w:r>
      <w:r w:rsidR="0014185E" w:rsidRPr="00170B7C">
        <w:rPr>
          <w:color w:val="000000"/>
          <w:sz w:val="28"/>
          <w:szCs w:val="28"/>
        </w:rPr>
        <w:t xml:space="preserve"> порога плотности паренхимы печени </w:t>
      </w:r>
      <w:r w:rsidR="00035FB7" w:rsidRPr="00170B7C">
        <w:rPr>
          <w:color w:val="000000"/>
          <w:sz w:val="28"/>
          <w:szCs w:val="28"/>
        </w:rPr>
        <w:t xml:space="preserve">на панели управления </w:t>
      </w:r>
      <w:r w:rsidR="0014185E" w:rsidRPr="00170B7C">
        <w:rPr>
          <w:color w:val="000000"/>
          <w:sz w:val="28"/>
          <w:szCs w:val="28"/>
        </w:rPr>
        <w:t>позволяет произвести экстракцию плотност</w:t>
      </w:r>
      <w:r w:rsidR="00035FB7" w:rsidRPr="00170B7C">
        <w:rPr>
          <w:color w:val="000000"/>
          <w:sz w:val="28"/>
          <w:szCs w:val="28"/>
        </w:rPr>
        <w:t>и</w:t>
      </w:r>
      <w:r w:rsidR="0014185E" w:rsidRPr="00170B7C">
        <w:rPr>
          <w:color w:val="000000"/>
          <w:sz w:val="28"/>
          <w:szCs w:val="28"/>
        </w:rPr>
        <w:t xml:space="preserve"> мелких сосудов.</w:t>
      </w:r>
    </w:p>
    <w:p w14:paraId="28CA9B2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Полуавтоматический метод Osirix MD является коммерческим приложением, позволяет проводить ручную сегментацию на каждом третьем срезе, далее проводит реконструкцию и рассчитывает объем печени автоматически. Данный метод сокращает время на расчет объема донорской печени, однако в 100% случаев требует ручной корректировки ложноположительного контуринга.  </w:t>
      </w:r>
      <w:r w:rsidR="00F65E87" w:rsidRPr="00170B7C">
        <w:rPr>
          <w:color w:val="000000"/>
          <w:sz w:val="28"/>
          <w:szCs w:val="28"/>
        </w:rPr>
        <w:t xml:space="preserve">Также программа не высчитывает объем сосудов печени, таким образом они идут в расчет объема паренхимы печени. </w:t>
      </w:r>
    </w:p>
    <w:p w14:paraId="7FAEE72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Программа автоматической сегментации печени CT Liver Analysis автоматически рассчитывал</w:t>
      </w:r>
      <w:r w:rsidR="00026280" w:rsidRPr="00170B7C">
        <w:rPr>
          <w:color w:val="000000"/>
          <w:sz w:val="28"/>
          <w:szCs w:val="28"/>
        </w:rPr>
        <w:t xml:space="preserve">а </w:t>
      </w:r>
      <w:r w:rsidRPr="00170B7C">
        <w:rPr>
          <w:color w:val="000000"/>
          <w:sz w:val="28"/>
          <w:szCs w:val="28"/>
        </w:rPr>
        <w:t xml:space="preserve">объем печени за 1 мин, однако для исправления ложноположительных результатов требовалось дополнительное время (9,3 мин), особенно в случаях, когда плотность паренхимы печени соответствовала плотности соседних органов, таких как селезенка, поджелудочная железа и почки. Стоит отметить преимущества данной программы в виде </w:t>
      </w:r>
      <w:r w:rsidR="00035FB7" w:rsidRPr="00170B7C">
        <w:rPr>
          <w:color w:val="000000"/>
          <w:sz w:val="28"/>
          <w:szCs w:val="28"/>
        </w:rPr>
        <w:t xml:space="preserve">удобного интерфейса: </w:t>
      </w:r>
      <w:r w:rsidRPr="00170B7C">
        <w:rPr>
          <w:color w:val="000000"/>
          <w:sz w:val="28"/>
          <w:szCs w:val="28"/>
        </w:rPr>
        <w:t xml:space="preserve">виртуальной резекции печени, позволяющий значительно </w:t>
      </w:r>
      <w:r w:rsidR="00177626" w:rsidRPr="00170B7C">
        <w:rPr>
          <w:color w:val="000000"/>
          <w:sz w:val="28"/>
          <w:szCs w:val="28"/>
        </w:rPr>
        <w:t>быстрее оценить</w:t>
      </w:r>
      <w:r w:rsidRPr="00170B7C">
        <w:rPr>
          <w:color w:val="000000"/>
          <w:sz w:val="28"/>
          <w:szCs w:val="28"/>
        </w:rPr>
        <w:t xml:space="preserve"> </w:t>
      </w:r>
      <w:r w:rsidR="00035FB7" w:rsidRPr="00170B7C">
        <w:rPr>
          <w:color w:val="000000"/>
          <w:sz w:val="28"/>
          <w:szCs w:val="28"/>
        </w:rPr>
        <w:t>объем правой и левой доли печени</w:t>
      </w:r>
      <w:r w:rsidRPr="00170B7C">
        <w:rPr>
          <w:color w:val="000000"/>
          <w:sz w:val="28"/>
          <w:szCs w:val="28"/>
        </w:rPr>
        <w:t>. </w:t>
      </w:r>
      <w:r w:rsidR="00026280" w:rsidRPr="00170B7C">
        <w:rPr>
          <w:color w:val="000000"/>
          <w:sz w:val="28"/>
          <w:szCs w:val="28"/>
        </w:rPr>
        <w:t xml:space="preserve"> </w:t>
      </w:r>
      <w:r w:rsidR="001961F5" w:rsidRPr="00170B7C">
        <w:rPr>
          <w:color w:val="000000"/>
          <w:sz w:val="28"/>
          <w:szCs w:val="28"/>
        </w:rPr>
        <w:t xml:space="preserve">Программа автоматически рассчитывает и исключает объем долевых и сегментарных сосудов, в то время как объем мелких сосудов </w:t>
      </w:r>
      <w:r w:rsidR="00F65E87" w:rsidRPr="00170B7C">
        <w:rPr>
          <w:color w:val="000000"/>
          <w:sz w:val="28"/>
          <w:szCs w:val="28"/>
        </w:rPr>
        <w:t>идет в расчет объема паренхимы печени.</w:t>
      </w:r>
    </w:p>
    <w:p w14:paraId="73E6C803" w14:textId="212B4208" w:rsidR="00C700B8" w:rsidRPr="00C5654B"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В целом, для оценки общего и остаточного объема печени методом мануальной сегментации радиологи потратили до 31 минуты больше, чем при использовании полуавтоматического и автоматического методов. В литературе среднее время расчета для полуавтоматической сегментации печени составляет в диапазоне от 6,5 минут </w:t>
      </w:r>
      <w:r w:rsidRPr="00C5654B">
        <w:rPr>
          <w:color w:val="000000"/>
          <w:sz w:val="28"/>
          <w:szCs w:val="28"/>
        </w:rPr>
        <w:t xml:space="preserve">до 8 минут, средняя продолжительность мануальной сегментации </w:t>
      </w:r>
      <w:r w:rsidR="00A71AD7">
        <w:rPr>
          <w:color w:val="000000"/>
          <w:sz w:val="28"/>
          <w:szCs w:val="28"/>
        </w:rPr>
        <w:t>составляла приблизительно 25 мин</w:t>
      </w:r>
      <w:r w:rsidR="000E7322" w:rsidRPr="00C5654B">
        <w:rPr>
          <w:color w:val="000000"/>
          <w:sz w:val="28"/>
          <w:szCs w:val="28"/>
        </w:rPr>
        <w:t>.</w:t>
      </w:r>
    </w:p>
    <w:p w14:paraId="77941D3D" w14:textId="132453CF" w:rsidR="00D1431D" w:rsidRPr="00C5654B" w:rsidRDefault="0096386C" w:rsidP="00170B7C">
      <w:pPr>
        <w:pStyle w:val="ab"/>
        <w:ind w:firstLine="708"/>
        <w:jc w:val="both"/>
        <w:rPr>
          <w:rFonts w:ascii="Times New Roman" w:hAnsi="Times New Roman" w:cs="Times New Roman"/>
          <w:color w:val="000000" w:themeColor="text1"/>
          <w:sz w:val="28"/>
          <w:szCs w:val="28"/>
          <w:lang w:val="ru-RU"/>
        </w:rPr>
      </w:pPr>
      <w:r w:rsidRPr="00C5654B">
        <w:rPr>
          <w:rFonts w:ascii="Times New Roman" w:hAnsi="Times New Roman" w:cs="Times New Roman"/>
          <w:sz w:val="28"/>
          <w:szCs w:val="28"/>
        </w:rPr>
        <w:t>Banchini</w:t>
      </w:r>
      <w:r w:rsidRPr="00C5654B">
        <w:rPr>
          <w:rFonts w:ascii="Times New Roman" w:hAnsi="Times New Roman" w:cs="Times New Roman"/>
          <w:sz w:val="28"/>
          <w:szCs w:val="28"/>
          <w:lang w:val="ru-RU"/>
        </w:rPr>
        <w:t xml:space="preserve"> </w:t>
      </w:r>
      <w:r w:rsidRPr="00C5654B">
        <w:rPr>
          <w:rFonts w:ascii="Times New Roman" w:hAnsi="Times New Roman" w:cs="Times New Roman"/>
          <w:sz w:val="28"/>
          <w:szCs w:val="28"/>
        </w:rPr>
        <w:t>F</w:t>
      </w:r>
      <w:r w:rsidR="00D1431D" w:rsidRPr="00C5654B">
        <w:rPr>
          <w:rFonts w:ascii="Times New Roman" w:hAnsi="Times New Roman" w:cs="Times New Roman"/>
          <w:sz w:val="28"/>
          <w:szCs w:val="28"/>
          <w:lang w:val="ru-RU"/>
        </w:rPr>
        <w:t>. и соавт.</w:t>
      </w:r>
      <w:r w:rsidR="00A71AD7">
        <w:rPr>
          <w:rFonts w:ascii="Times New Roman" w:hAnsi="Times New Roman" w:cs="Times New Roman"/>
          <w:sz w:val="28"/>
          <w:szCs w:val="28"/>
          <w:lang w:val="ru-RU"/>
        </w:rPr>
        <w:t xml:space="preserve"> </w:t>
      </w:r>
      <w:r w:rsidR="007D3264" w:rsidRPr="00C5654B">
        <w:rPr>
          <w:rFonts w:ascii="Times New Roman" w:hAnsi="Times New Roman" w:cs="Times New Roman"/>
          <w:sz w:val="28"/>
          <w:szCs w:val="28"/>
          <w:lang w:val="ru-RU"/>
        </w:rPr>
        <w:t>в</w:t>
      </w:r>
      <w:r w:rsidR="00D1431D" w:rsidRPr="00C5654B">
        <w:rPr>
          <w:rFonts w:ascii="Times New Roman" w:hAnsi="Times New Roman" w:cs="Times New Roman"/>
          <w:sz w:val="28"/>
          <w:szCs w:val="28"/>
          <w:lang w:val="ru-RU"/>
        </w:rPr>
        <w:t xml:space="preserve"> систематическом обзоре, включающий 47 </w:t>
      </w:r>
      <w:r w:rsidR="00D1431D" w:rsidRPr="00C5654B">
        <w:rPr>
          <w:rFonts w:ascii="Times New Roman" w:hAnsi="Times New Roman" w:cs="Times New Roman"/>
          <w:color w:val="000000" w:themeColor="text1"/>
          <w:sz w:val="28"/>
          <w:szCs w:val="28"/>
          <w:lang w:val="ru-RU"/>
        </w:rPr>
        <w:t>исследований проанализировали улучшение</w:t>
      </w:r>
      <w:r w:rsidR="00D1431D" w:rsidRPr="00170B7C">
        <w:rPr>
          <w:rFonts w:ascii="Times New Roman" w:hAnsi="Times New Roman" w:cs="Times New Roman"/>
          <w:color w:val="000000" w:themeColor="text1"/>
          <w:sz w:val="28"/>
          <w:szCs w:val="28"/>
          <w:lang w:val="ru-RU"/>
        </w:rPr>
        <w:t xml:space="preserve"> показателей программ расчета объема печени донора</w:t>
      </w:r>
      <w:r w:rsidR="00035FB7" w:rsidRPr="00170B7C">
        <w:rPr>
          <w:rFonts w:ascii="Times New Roman" w:hAnsi="Times New Roman" w:cs="Times New Roman"/>
          <w:color w:val="000000" w:themeColor="text1"/>
          <w:sz w:val="28"/>
          <w:szCs w:val="28"/>
          <w:lang w:val="ru-RU"/>
        </w:rPr>
        <w:t>. Предоперационное планирование пров</w:t>
      </w:r>
      <w:r w:rsidR="00B32034">
        <w:rPr>
          <w:rFonts w:ascii="Times New Roman" w:hAnsi="Times New Roman" w:cs="Times New Roman"/>
          <w:color w:val="000000" w:themeColor="text1"/>
          <w:sz w:val="28"/>
          <w:szCs w:val="28"/>
          <w:lang w:val="ru-RU"/>
        </w:rPr>
        <w:t>одилось с 3</w:t>
      </w:r>
      <w:r w:rsidR="00035FB7" w:rsidRPr="00170B7C">
        <w:rPr>
          <w:rFonts w:ascii="Times New Roman" w:hAnsi="Times New Roman" w:cs="Times New Roman"/>
          <w:color w:val="000000" w:themeColor="text1"/>
          <w:sz w:val="28"/>
          <w:szCs w:val="28"/>
        </w:rPr>
        <w:t>D</w:t>
      </w:r>
      <w:r w:rsidR="00035FB7" w:rsidRPr="00170B7C">
        <w:rPr>
          <w:rFonts w:ascii="Times New Roman" w:hAnsi="Times New Roman" w:cs="Times New Roman"/>
          <w:color w:val="000000" w:themeColor="text1"/>
          <w:sz w:val="28"/>
          <w:szCs w:val="28"/>
          <w:lang w:val="ru-RU"/>
        </w:rPr>
        <w:t xml:space="preserve"> </w:t>
      </w:r>
      <w:r w:rsidR="00CF03A2">
        <w:rPr>
          <w:rFonts w:ascii="Times New Roman" w:hAnsi="Times New Roman" w:cs="Times New Roman"/>
          <w:color w:val="000000" w:themeColor="text1"/>
          <w:sz w:val="28"/>
          <w:szCs w:val="28"/>
          <w:lang w:val="ru-RU"/>
        </w:rPr>
        <w:t>-</w:t>
      </w:r>
      <w:r w:rsidR="00035FB7" w:rsidRPr="00170B7C">
        <w:rPr>
          <w:rFonts w:ascii="Times New Roman" w:hAnsi="Times New Roman" w:cs="Times New Roman"/>
          <w:color w:val="000000" w:themeColor="text1"/>
          <w:sz w:val="28"/>
          <w:szCs w:val="28"/>
          <w:lang w:val="ru-RU"/>
        </w:rPr>
        <w:t>реконструкцией печени в 87,2% исследований.</w:t>
      </w:r>
      <w:r w:rsidR="00B32034">
        <w:rPr>
          <w:rFonts w:ascii="Times New Roman" w:hAnsi="Times New Roman" w:cs="Times New Roman"/>
          <w:color w:val="000000" w:themeColor="text1"/>
          <w:sz w:val="28"/>
          <w:szCs w:val="28"/>
          <w:lang w:val="ru-RU"/>
        </w:rPr>
        <w:t xml:space="preserve"> Большинство предоперационных 3</w:t>
      </w:r>
      <w:r w:rsidR="00035FB7" w:rsidRPr="00170B7C">
        <w:rPr>
          <w:rFonts w:ascii="Times New Roman" w:hAnsi="Times New Roman" w:cs="Times New Roman"/>
          <w:color w:val="000000" w:themeColor="text1"/>
          <w:sz w:val="28"/>
          <w:szCs w:val="28"/>
        </w:rPr>
        <w:t>D</w:t>
      </w:r>
      <w:r w:rsidR="00035FB7" w:rsidRPr="00170B7C">
        <w:rPr>
          <w:rFonts w:ascii="Times New Roman" w:hAnsi="Times New Roman" w:cs="Times New Roman"/>
          <w:color w:val="000000" w:themeColor="text1"/>
          <w:sz w:val="28"/>
          <w:szCs w:val="28"/>
          <w:lang w:val="ru-RU"/>
        </w:rPr>
        <w:t xml:space="preserve"> </w:t>
      </w:r>
      <w:r w:rsidR="00CF03A2">
        <w:rPr>
          <w:rFonts w:ascii="Times New Roman" w:hAnsi="Times New Roman" w:cs="Times New Roman"/>
          <w:color w:val="000000" w:themeColor="text1"/>
          <w:sz w:val="28"/>
          <w:szCs w:val="28"/>
          <w:lang w:val="ru-RU"/>
        </w:rPr>
        <w:t xml:space="preserve">- </w:t>
      </w:r>
      <w:r w:rsidR="00035FB7" w:rsidRPr="00170B7C">
        <w:rPr>
          <w:rFonts w:ascii="Times New Roman" w:hAnsi="Times New Roman" w:cs="Times New Roman"/>
          <w:color w:val="000000" w:themeColor="text1"/>
          <w:sz w:val="28"/>
          <w:szCs w:val="28"/>
          <w:lang w:val="ru-RU"/>
        </w:rPr>
        <w:t xml:space="preserve">реконструкций печени выполнялось при планировании сложных или крупных </w:t>
      </w:r>
      <w:r w:rsidR="00B32034">
        <w:rPr>
          <w:rFonts w:ascii="Times New Roman" w:hAnsi="Times New Roman" w:cs="Times New Roman"/>
          <w:color w:val="000000" w:themeColor="text1"/>
          <w:sz w:val="28"/>
          <w:szCs w:val="28"/>
          <w:lang w:val="ru-RU"/>
        </w:rPr>
        <w:t>резекций печени</w:t>
      </w:r>
      <w:r w:rsidR="00035FB7" w:rsidRPr="00170B7C">
        <w:rPr>
          <w:rFonts w:ascii="Times New Roman" w:hAnsi="Times New Roman" w:cs="Times New Roman"/>
          <w:color w:val="000000" w:themeColor="text1"/>
          <w:sz w:val="28"/>
          <w:szCs w:val="28"/>
          <w:lang w:val="ru-RU"/>
        </w:rPr>
        <w:t xml:space="preserve">. </w:t>
      </w:r>
      <w:r w:rsidR="00B32034">
        <w:rPr>
          <w:rFonts w:ascii="Times New Roman" w:hAnsi="Times New Roman" w:cs="Times New Roman"/>
          <w:color w:val="000000" w:themeColor="text1"/>
          <w:sz w:val="28"/>
          <w:szCs w:val="28"/>
          <w:lang w:val="ru-RU"/>
        </w:rPr>
        <w:t>Объемные</w:t>
      </w:r>
      <w:r w:rsidR="00035FB7" w:rsidRPr="00170B7C">
        <w:rPr>
          <w:rFonts w:ascii="Times New Roman" w:hAnsi="Times New Roman" w:cs="Times New Roman"/>
          <w:color w:val="000000" w:themeColor="text1"/>
          <w:sz w:val="28"/>
          <w:szCs w:val="28"/>
          <w:lang w:val="ru-RU"/>
        </w:rPr>
        <w:t xml:space="preserve"> </w:t>
      </w:r>
      <w:r w:rsidR="00B32034">
        <w:rPr>
          <w:rFonts w:ascii="Times New Roman" w:hAnsi="Times New Roman" w:cs="Times New Roman"/>
          <w:color w:val="000000" w:themeColor="text1"/>
          <w:sz w:val="28"/>
          <w:szCs w:val="28"/>
          <w:lang w:val="ru-RU"/>
        </w:rPr>
        <w:t>резекции</w:t>
      </w:r>
      <w:r w:rsidR="00035FB7" w:rsidRPr="00170B7C">
        <w:rPr>
          <w:rFonts w:ascii="Times New Roman" w:hAnsi="Times New Roman" w:cs="Times New Roman"/>
          <w:color w:val="000000" w:themeColor="text1"/>
          <w:sz w:val="28"/>
          <w:szCs w:val="28"/>
          <w:lang w:val="ru-RU"/>
        </w:rPr>
        <w:t xml:space="preserve"> выполнены у 64,3% пациентов. В </w:t>
      </w:r>
      <w:r w:rsidR="00035FB7" w:rsidRPr="00170B7C">
        <w:rPr>
          <w:rFonts w:ascii="Times New Roman" w:hAnsi="Times New Roman" w:cs="Times New Roman"/>
          <w:color w:val="000000" w:themeColor="text1"/>
          <w:sz w:val="28"/>
          <w:szCs w:val="28"/>
          <w:lang w:val="ru-RU"/>
        </w:rPr>
        <w:lastRenderedPageBreak/>
        <w:t>26 исследованиях (</w:t>
      </w:r>
      <w:r w:rsidR="00D1431D" w:rsidRPr="00170B7C">
        <w:rPr>
          <w:rFonts w:ascii="Times New Roman" w:hAnsi="Times New Roman" w:cs="Times New Roman"/>
          <w:color w:val="000000" w:themeColor="text1"/>
          <w:sz w:val="28"/>
          <w:szCs w:val="28"/>
          <w:lang w:val="ru-RU"/>
        </w:rPr>
        <w:t>55,3%</w:t>
      </w:r>
      <w:r w:rsidR="00035FB7" w:rsidRPr="00170B7C">
        <w:rPr>
          <w:rFonts w:ascii="Times New Roman" w:hAnsi="Times New Roman" w:cs="Times New Roman"/>
          <w:color w:val="000000" w:themeColor="text1"/>
          <w:sz w:val="28"/>
          <w:szCs w:val="28"/>
          <w:lang w:val="ru-RU"/>
        </w:rPr>
        <w:t>)</w:t>
      </w:r>
      <w:r w:rsidR="00D1431D" w:rsidRPr="00170B7C">
        <w:rPr>
          <w:rFonts w:ascii="Times New Roman" w:hAnsi="Times New Roman" w:cs="Times New Roman"/>
          <w:color w:val="000000" w:themeColor="text1"/>
          <w:sz w:val="28"/>
          <w:szCs w:val="28"/>
          <w:lang w:val="ru-RU"/>
        </w:rPr>
        <w:t xml:space="preserve"> сообщалось об улучшении навигации и точности во время </w:t>
      </w:r>
      <w:r w:rsidR="00D1431D" w:rsidRPr="00170B7C">
        <w:rPr>
          <w:rFonts w:ascii="Times New Roman" w:hAnsi="Times New Roman" w:cs="Times New Roman"/>
          <w:sz w:val="28"/>
          <w:szCs w:val="28"/>
          <w:lang w:val="ru-RU"/>
        </w:rPr>
        <w:t xml:space="preserve">резекции печени. В четырех исследованиях трансплантации печени от живого </w:t>
      </w:r>
      <w:r w:rsidR="00D1431D" w:rsidRPr="00C5654B">
        <w:rPr>
          <w:rFonts w:ascii="Times New Roman" w:hAnsi="Times New Roman" w:cs="Times New Roman"/>
          <w:color w:val="000000" w:themeColor="text1"/>
          <w:sz w:val="28"/>
          <w:szCs w:val="28"/>
          <w:lang w:val="ru-RU"/>
        </w:rPr>
        <w:t xml:space="preserve">донора (8,6%) авторы пришли к выводу, что трехмерная реконструкция печени полезна для критерия отбора донора и визуализации сосудов. </w:t>
      </w:r>
    </w:p>
    <w:p w14:paraId="08329AA2" w14:textId="5D1BCD86" w:rsidR="00C700B8" w:rsidRPr="00C5654B" w:rsidRDefault="007D3264"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themeColor="text1"/>
          <w:sz w:val="28"/>
          <w:szCs w:val="28"/>
        </w:rPr>
      </w:pPr>
      <w:r w:rsidRPr="00C5654B">
        <w:rPr>
          <w:color w:val="000000" w:themeColor="text1"/>
          <w:sz w:val="28"/>
          <w:szCs w:val="28"/>
        </w:rPr>
        <w:t>По литературным данным существуют факторы, способные влиять на точнос</w:t>
      </w:r>
      <w:r w:rsidR="00A71AD7">
        <w:rPr>
          <w:color w:val="000000" w:themeColor="text1"/>
          <w:sz w:val="28"/>
          <w:szCs w:val="28"/>
        </w:rPr>
        <w:t>ть расчета объема печени донора.</w:t>
      </w:r>
    </w:p>
    <w:p w14:paraId="1862FADE" w14:textId="21FCDDD4" w:rsidR="00C700B8" w:rsidRPr="00C5654B"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themeColor="text1"/>
          <w:sz w:val="28"/>
          <w:szCs w:val="28"/>
        </w:rPr>
      </w:pPr>
      <w:r w:rsidRPr="00C5654B">
        <w:rPr>
          <w:color w:val="000000" w:themeColor="text1"/>
          <w:sz w:val="28"/>
          <w:szCs w:val="28"/>
        </w:rPr>
        <w:t xml:space="preserve">По мнению авторов, </w:t>
      </w:r>
      <w:r w:rsidR="00691312" w:rsidRPr="00C5654B">
        <w:rPr>
          <w:color w:val="000000" w:themeColor="text1"/>
          <w:sz w:val="28"/>
          <w:szCs w:val="28"/>
        </w:rPr>
        <w:t>один из факторов способный влиять на точность КТ-волюметрии</w:t>
      </w:r>
      <w:r w:rsidR="007D3264" w:rsidRPr="00C5654B">
        <w:rPr>
          <w:color w:val="000000" w:themeColor="text1"/>
          <w:sz w:val="28"/>
          <w:szCs w:val="28"/>
        </w:rPr>
        <w:t xml:space="preserve"> печени </w:t>
      </w:r>
      <w:r w:rsidRPr="00C5654B">
        <w:rPr>
          <w:color w:val="000000" w:themeColor="text1"/>
          <w:sz w:val="28"/>
          <w:szCs w:val="28"/>
        </w:rPr>
        <w:t xml:space="preserve">это погрешность в расчетах между радиологами разного опыта работы. В нашем исследовании КТ-волюметрию выполняли два врача-радиолога с разным уровнем опыта КТ-волюметрии. Оба специалиста осведомлены о технике волюметрии во всех трех методах, о виртуальной линии резекции. Во всех наших случаях виртуальная резекция следовала по правой стороне средней печеночной вены и дну ложа желчного пузыря. Несмотря на то, что наблюдались </w:t>
      </w:r>
      <w:r w:rsidR="00E072DC" w:rsidRPr="00C5654B">
        <w:rPr>
          <w:color w:val="000000" w:themeColor="text1"/>
          <w:sz w:val="28"/>
          <w:szCs w:val="28"/>
        </w:rPr>
        <w:t xml:space="preserve">различия </w:t>
      </w:r>
      <w:r w:rsidRPr="00C5654B">
        <w:rPr>
          <w:color w:val="000000" w:themeColor="text1"/>
          <w:sz w:val="28"/>
          <w:szCs w:val="28"/>
        </w:rPr>
        <w:t xml:space="preserve">в расчетах объема печени, </w:t>
      </w:r>
      <w:r w:rsidR="00E072DC" w:rsidRPr="00C5654B">
        <w:rPr>
          <w:color w:val="000000" w:themeColor="text1"/>
          <w:sz w:val="28"/>
          <w:szCs w:val="28"/>
        </w:rPr>
        <w:t>они не оказались статистически значимыми.</w:t>
      </w:r>
      <w:r w:rsidRPr="00C5654B">
        <w:rPr>
          <w:color w:val="000000" w:themeColor="text1"/>
          <w:sz w:val="28"/>
          <w:szCs w:val="28"/>
        </w:rPr>
        <w:t xml:space="preserve"> Таким образом, результат КТ-волюметрии не зависит от опыта работы специалиста, однако, он должен быть обучен методике проведения и осведомлен о виртуальной линии резекции печени.  </w:t>
      </w:r>
    </w:p>
    <w:p w14:paraId="283ECB1A" w14:textId="77777777" w:rsidR="00691312" w:rsidRPr="00C5654B" w:rsidRDefault="00691312"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В нашем исследовании мы проводили расчет в порто-венозную фазу, так как объем внутрипеченочных сосудов (печеночные вены и воротная вена) можно рассчитать и вычесть из общего объема печени мануальным и автоматическим методами только в </w:t>
      </w:r>
      <w:r w:rsidR="00177626" w:rsidRPr="00170B7C">
        <w:rPr>
          <w:color w:val="000000"/>
          <w:sz w:val="28"/>
          <w:szCs w:val="28"/>
        </w:rPr>
        <w:t>данной фазе</w:t>
      </w:r>
      <w:r w:rsidRPr="00170B7C">
        <w:rPr>
          <w:color w:val="000000"/>
          <w:sz w:val="28"/>
          <w:szCs w:val="28"/>
        </w:rPr>
        <w:t xml:space="preserve">, благодаря лучшей </w:t>
      </w:r>
      <w:r w:rsidR="00EE02E7" w:rsidRPr="00170B7C">
        <w:rPr>
          <w:color w:val="000000"/>
          <w:sz w:val="28"/>
          <w:szCs w:val="28"/>
        </w:rPr>
        <w:t>визуализации сосудов</w:t>
      </w:r>
      <w:r w:rsidR="00851126">
        <w:rPr>
          <w:color w:val="000000"/>
          <w:sz w:val="28"/>
          <w:szCs w:val="28"/>
        </w:rPr>
        <w:t xml:space="preserve"> (усиление</w:t>
      </w:r>
      <w:r w:rsidRPr="00170B7C">
        <w:rPr>
          <w:color w:val="000000"/>
          <w:sz w:val="28"/>
          <w:szCs w:val="28"/>
        </w:rPr>
        <w:t xml:space="preserve"> </w:t>
      </w:r>
      <w:r w:rsidRPr="00C5654B">
        <w:rPr>
          <w:color w:val="000000"/>
          <w:sz w:val="28"/>
          <w:szCs w:val="28"/>
        </w:rPr>
        <w:t>контрастировани</w:t>
      </w:r>
      <w:r w:rsidR="00177626" w:rsidRPr="00C5654B">
        <w:rPr>
          <w:color w:val="000000"/>
          <w:sz w:val="28"/>
          <w:szCs w:val="28"/>
        </w:rPr>
        <w:t>ем</w:t>
      </w:r>
      <w:r w:rsidRPr="00C5654B">
        <w:rPr>
          <w:color w:val="000000"/>
          <w:sz w:val="28"/>
          <w:szCs w:val="28"/>
        </w:rPr>
        <w:t>). Поэтому, мы считаем, что анатомическая визуализация и извлечение сосудов в этой фазе являются более важными факторами для успешного проведения КТ-волюметрии.  </w:t>
      </w:r>
    </w:p>
    <w:p w14:paraId="0C025D9E" w14:textId="53F74217" w:rsidR="00C700B8" w:rsidRPr="00C5654B"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C5654B">
        <w:rPr>
          <w:color w:val="202124"/>
          <w:sz w:val="28"/>
          <w:szCs w:val="28"/>
        </w:rPr>
        <w:t>Считается, что чем тоньше срез скан</w:t>
      </w:r>
      <w:r w:rsidR="00E072DC" w:rsidRPr="00C5654B">
        <w:rPr>
          <w:color w:val="202124"/>
          <w:sz w:val="28"/>
          <w:szCs w:val="28"/>
        </w:rPr>
        <w:t>ирования</w:t>
      </w:r>
      <w:r w:rsidRPr="00C5654B">
        <w:rPr>
          <w:color w:val="202124"/>
          <w:sz w:val="28"/>
          <w:szCs w:val="28"/>
        </w:rPr>
        <w:t xml:space="preserve"> КТ-исследования, тем точнее результаты, поскольку вероятность ложноположительных результатов расчета объема печени уменьшаются. Недостаток такого исследования в том, что требуется больше количества времени на расчет объема </w:t>
      </w:r>
      <w:r w:rsidRPr="00C5654B">
        <w:rPr>
          <w:sz w:val="28"/>
          <w:szCs w:val="28"/>
        </w:rPr>
        <w:t xml:space="preserve">печени. Mayer P. и соавт. в своем исследовании приводят данные, что статистически </w:t>
      </w:r>
      <w:r w:rsidRPr="00C5654B">
        <w:rPr>
          <w:color w:val="202124"/>
          <w:sz w:val="28"/>
          <w:szCs w:val="28"/>
        </w:rPr>
        <w:t xml:space="preserve">значимых различий между исследуемым объемом печени, выполненном с небольшой толщиной среза (&lt;3 мм) и большей толщиной среза (&gt;3 мм) не выявлено. Таким образом, в нашем исследовании мы проводили КТ-волюметрию </w:t>
      </w:r>
      <w:r w:rsidRPr="00C5654B">
        <w:rPr>
          <w:color w:val="000000"/>
          <w:sz w:val="28"/>
          <w:szCs w:val="28"/>
        </w:rPr>
        <w:t>в каждо</w:t>
      </w:r>
      <w:r w:rsidR="00E072DC" w:rsidRPr="00C5654B">
        <w:rPr>
          <w:color w:val="000000"/>
          <w:sz w:val="28"/>
          <w:szCs w:val="28"/>
        </w:rPr>
        <w:t>й</w:t>
      </w:r>
      <w:r w:rsidRPr="00C5654B">
        <w:rPr>
          <w:color w:val="000000"/>
          <w:sz w:val="28"/>
          <w:szCs w:val="28"/>
        </w:rPr>
        <w:t xml:space="preserve"> </w:t>
      </w:r>
      <w:r w:rsidR="00E072DC" w:rsidRPr="00C5654B">
        <w:rPr>
          <w:color w:val="000000"/>
          <w:sz w:val="28"/>
          <w:szCs w:val="28"/>
        </w:rPr>
        <w:t xml:space="preserve">программе </w:t>
      </w:r>
      <w:r w:rsidRPr="00C5654B">
        <w:rPr>
          <w:color w:val="000000"/>
          <w:sz w:val="28"/>
          <w:szCs w:val="28"/>
        </w:rPr>
        <w:t xml:space="preserve"> </w:t>
      </w:r>
      <w:r w:rsidRPr="00C5654B">
        <w:rPr>
          <w:color w:val="202124"/>
          <w:sz w:val="28"/>
          <w:szCs w:val="28"/>
        </w:rPr>
        <w:t>на сканах толщиной среза 3 мм.  </w:t>
      </w:r>
    </w:p>
    <w:p w14:paraId="51CE4094" w14:textId="472FA971" w:rsidR="00B84E10" w:rsidRPr="00C5654B" w:rsidRDefault="00B84E10" w:rsidP="00170B7C">
      <w:pPr>
        <w:pStyle w:val="ab"/>
        <w:ind w:firstLine="567"/>
        <w:jc w:val="both"/>
        <w:rPr>
          <w:rFonts w:ascii="Times New Roman" w:hAnsi="Times New Roman" w:cs="Times New Roman"/>
          <w:sz w:val="28"/>
          <w:szCs w:val="28"/>
          <w:lang w:val="ru-RU"/>
        </w:rPr>
      </w:pPr>
      <w:r w:rsidRPr="00C5654B">
        <w:rPr>
          <w:rFonts w:ascii="Times New Roman" w:hAnsi="Times New Roman" w:cs="Times New Roman"/>
          <w:color w:val="212121"/>
          <w:sz w:val="28"/>
          <w:szCs w:val="28"/>
          <w:shd w:val="clear" w:color="auto" w:fill="FFFFFF"/>
        </w:rPr>
        <w:t>Seo</w:t>
      </w:r>
      <w:r w:rsidRPr="00C5654B">
        <w:rPr>
          <w:rFonts w:ascii="Times New Roman" w:hAnsi="Times New Roman" w:cs="Times New Roman"/>
          <w:color w:val="212121"/>
          <w:sz w:val="28"/>
          <w:szCs w:val="28"/>
          <w:shd w:val="clear" w:color="auto" w:fill="FFFFFF"/>
          <w:lang w:val="ru-RU"/>
        </w:rPr>
        <w:t xml:space="preserve"> </w:t>
      </w:r>
      <w:r w:rsidRPr="00C5654B">
        <w:rPr>
          <w:rFonts w:ascii="Times New Roman" w:hAnsi="Times New Roman" w:cs="Times New Roman"/>
          <w:color w:val="212121"/>
          <w:sz w:val="28"/>
          <w:szCs w:val="28"/>
          <w:shd w:val="clear" w:color="auto" w:fill="FFFFFF"/>
        </w:rPr>
        <w:t>J</w:t>
      </w:r>
      <w:r w:rsidRPr="00C5654B">
        <w:rPr>
          <w:rFonts w:ascii="Times New Roman" w:hAnsi="Times New Roman" w:cs="Times New Roman"/>
          <w:sz w:val="28"/>
          <w:szCs w:val="28"/>
          <w:lang w:val="ru-RU"/>
        </w:rPr>
        <w:t xml:space="preserve"> и соавт.</w:t>
      </w:r>
      <w:r w:rsidR="00CF03A2">
        <w:rPr>
          <w:rFonts w:ascii="Times New Roman" w:hAnsi="Times New Roman" w:cs="Times New Roman"/>
          <w:sz w:val="28"/>
          <w:szCs w:val="28"/>
          <w:lang w:val="ru-RU"/>
        </w:rPr>
        <w:t xml:space="preserve"> </w:t>
      </w:r>
      <w:r w:rsidRPr="00C5654B">
        <w:rPr>
          <w:rFonts w:ascii="Times New Roman" w:hAnsi="Times New Roman" w:cs="Times New Roman"/>
          <w:sz w:val="28"/>
          <w:szCs w:val="28"/>
          <w:lang w:val="ru-RU"/>
        </w:rPr>
        <w:t xml:space="preserve">в своем исследовании провели сравнительный анализ объема печени и веса графта при лапароскопической трансплантации и традиционной открытой трансплантацией. </w:t>
      </w:r>
      <w:r w:rsidRPr="00C5654B">
        <w:rPr>
          <w:rFonts w:ascii="Times New Roman" w:hAnsi="Times New Roman" w:cs="Times New Roman"/>
          <w:color w:val="000000" w:themeColor="text1"/>
          <w:sz w:val="28"/>
          <w:szCs w:val="28"/>
          <w:lang w:val="ru-RU"/>
        </w:rPr>
        <w:t>Хотя</w:t>
      </w:r>
      <w:r w:rsidRPr="00170B7C">
        <w:rPr>
          <w:rFonts w:ascii="Times New Roman" w:hAnsi="Times New Roman" w:cs="Times New Roman"/>
          <w:color w:val="000000" w:themeColor="text1"/>
          <w:sz w:val="28"/>
          <w:szCs w:val="28"/>
          <w:lang w:val="ru-RU"/>
        </w:rPr>
        <w:t xml:space="preserve"> рассчитанный объем печени был </w:t>
      </w:r>
      <w:r w:rsidR="00E072DC" w:rsidRPr="00170B7C">
        <w:rPr>
          <w:rFonts w:ascii="Times New Roman" w:hAnsi="Times New Roman" w:cs="Times New Roman"/>
          <w:color w:val="000000" w:themeColor="text1"/>
          <w:sz w:val="28"/>
          <w:szCs w:val="28"/>
          <w:lang w:val="ru-RU"/>
        </w:rPr>
        <w:t>выше,</w:t>
      </w:r>
      <w:r w:rsidRPr="00170B7C">
        <w:rPr>
          <w:rFonts w:ascii="Times New Roman" w:hAnsi="Times New Roman" w:cs="Times New Roman"/>
          <w:color w:val="000000" w:themeColor="text1"/>
          <w:sz w:val="28"/>
          <w:szCs w:val="28"/>
          <w:lang w:val="ru-RU"/>
        </w:rPr>
        <w:t xml:space="preserve"> чем вес графта, между ними наблюдалась положительная корреляция. Коэффициент корреляции</w:t>
      </w:r>
      <w:r w:rsidR="00A3064E" w:rsidRPr="00A3064E">
        <w:rPr>
          <w:rFonts w:ascii="Times New Roman" w:hAnsi="Times New Roman" w:cs="Times New Roman"/>
          <w:color w:val="000000" w:themeColor="text1"/>
          <w:sz w:val="28"/>
          <w:szCs w:val="28"/>
          <w:lang w:val="ru-RU"/>
        </w:rPr>
        <w:t xml:space="preserve"> </w:t>
      </w:r>
      <w:r w:rsidRPr="00170B7C">
        <w:rPr>
          <w:rFonts w:ascii="Times New Roman" w:hAnsi="Times New Roman" w:cs="Times New Roman"/>
          <w:color w:val="000000" w:themeColor="text1"/>
          <w:sz w:val="28"/>
          <w:szCs w:val="28"/>
          <w:lang w:val="ru-RU"/>
        </w:rPr>
        <w:t>(</w:t>
      </w:r>
      <w:r w:rsidRPr="00170B7C">
        <w:rPr>
          <w:rFonts w:ascii="Times New Roman" w:hAnsi="Times New Roman" w:cs="Times New Roman"/>
          <w:color w:val="000000" w:themeColor="text1"/>
          <w:sz w:val="28"/>
          <w:szCs w:val="28"/>
        </w:rPr>
        <w:t>r</w:t>
      </w:r>
      <w:r w:rsidRPr="00170B7C">
        <w:rPr>
          <w:rFonts w:ascii="Times New Roman" w:hAnsi="Times New Roman" w:cs="Times New Roman"/>
          <w:color w:val="000000" w:themeColor="text1"/>
          <w:sz w:val="28"/>
          <w:szCs w:val="28"/>
          <w:lang w:val="ru-RU"/>
        </w:rPr>
        <w:t>) составил 0,814 в группе традиционной трансплантации и 0,759 в группе лапароскопической,</w:t>
      </w:r>
      <w:r w:rsidRPr="00170B7C">
        <w:rPr>
          <w:rFonts w:ascii="Times New Roman" w:hAnsi="Times New Roman" w:cs="Times New Roman"/>
          <w:sz w:val="28"/>
          <w:szCs w:val="28"/>
          <w:lang w:val="ru-RU"/>
        </w:rPr>
        <w:t xml:space="preserve"> </w:t>
      </w:r>
      <w:r w:rsidRPr="00170B7C">
        <w:rPr>
          <w:rFonts w:ascii="Times New Roman" w:hAnsi="Times New Roman" w:cs="Times New Roman"/>
          <w:color w:val="000000" w:themeColor="text1"/>
          <w:sz w:val="28"/>
          <w:szCs w:val="28"/>
          <w:lang w:val="ru-RU"/>
        </w:rPr>
        <w:t>оба из которых указывают на положительную корреляцию. Однако,</w:t>
      </w:r>
      <w:r w:rsidRPr="00170B7C">
        <w:rPr>
          <w:rFonts w:ascii="Times New Roman" w:hAnsi="Times New Roman" w:cs="Times New Roman"/>
          <w:sz w:val="28"/>
          <w:szCs w:val="28"/>
          <w:lang w:val="ru-RU"/>
        </w:rPr>
        <w:t xml:space="preserve"> </w:t>
      </w:r>
      <w:r w:rsidRPr="00170B7C">
        <w:rPr>
          <w:rFonts w:ascii="Times New Roman" w:hAnsi="Times New Roman" w:cs="Times New Roman"/>
          <w:color w:val="000000" w:themeColor="text1"/>
          <w:sz w:val="28"/>
          <w:szCs w:val="28"/>
          <w:lang w:val="ru-RU"/>
        </w:rPr>
        <w:t>коэффициент был немного выше в группе открытой операции. Аналогично,</w:t>
      </w:r>
      <w:r w:rsidRPr="00170B7C">
        <w:rPr>
          <w:rFonts w:ascii="Times New Roman" w:hAnsi="Times New Roman" w:cs="Times New Roman"/>
          <w:sz w:val="28"/>
          <w:szCs w:val="28"/>
          <w:lang w:val="ru-RU"/>
        </w:rPr>
        <w:t xml:space="preserve"> </w:t>
      </w:r>
      <w:r w:rsidRPr="00170B7C">
        <w:rPr>
          <w:rFonts w:ascii="Times New Roman" w:hAnsi="Times New Roman" w:cs="Times New Roman"/>
          <w:color w:val="000000" w:themeColor="text1"/>
          <w:sz w:val="28"/>
          <w:szCs w:val="28"/>
          <w:lang w:val="ru-RU"/>
        </w:rPr>
        <w:t xml:space="preserve">значение </w:t>
      </w:r>
      <w:r w:rsidRPr="00170B7C">
        <w:rPr>
          <w:rFonts w:ascii="Times New Roman" w:hAnsi="Times New Roman" w:cs="Times New Roman"/>
          <w:color w:val="000000" w:themeColor="text1"/>
          <w:sz w:val="28"/>
          <w:szCs w:val="28"/>
        </w:rPr>
        <w:t>R</w:t>
      </w:r>
      <w:r w:rsidRPr="00C60723">
        <w:rPr>
          <w:rFonts w:ascii="Times New Roman" w:hAnsi="Times New Roman" w:cs="Times New Roman"/>
          <w:color w:val="000000" w:themeColor="text1"/>
          <w:sz w:val="28"/>
          <w:szCs w:val="28"/>
          <w:vertAlign w:val="superscript"/>
          <w:lang w:val="ru-RU"/>
        </w:rPr>
        <w:t>2</w:t>
      </w:r>
      <w:r w:rsidRPr="00170B7C">
        <w:rPr>
          <w:rFonts w:ascii="Times New Roman" w:hAnsi="Times New Roman" w:cs="Times New Roman"/>
          <w:color w:val="000000" w:themeColor="text1"/>
          <w:sz w:val="28"/>
          <w:szCs w:val="28"/>
          <w:lang w:val="ru-RU"/>
        </w:rPr>
        <w:t>, которое показывает линейную зависимость между</w:t>
      </w:r>
      <w:r w:rsidRPr="00170B7C">
        <w:rPr>
          <w:rFonts w:ascii="Times New Roman" w:hAnsi="Times New Roman" w:cs="Times New Roman"/>
          <w:sz w:val="28"/>
          <w:szCs w:val="28"/>
          <w:lang w:val="ru-RU"/>
        </w:rPr>
        <w:t xml:space="preserve"> </w:t>
      </w:r>
      <w:r w:rsidRPr="00170B7C">
        <w:rPr>
          <w:rFonts w:ascii="Times New Roman" w:hAnsi="Times New Roman" w:cs="Times New Roman"/>
          <w:color w:val="000000" w:themeColor="text1"/>
          <w:sz w:val="28"/>
          <w:szCs w:val="28"/>
          <w:lang w:val="ru-RU"/>
        </w:rPr>
        <w:t xml:space="preserve">2 переменными, было немного выше в группе открытой </w:t>
      </w:r>
      <w:r w:rsidR="00C23E60" w:rsidRPr="00170B7C">
        <w:rPr>
          <w:rFonts w:ascii="Times New Roman" w:hAnsi="Times New Roman" w:cs="Times New Roman"/>
          <w:color w:val="000000" w:themeColor="text1"/>
          <w:sz w:val="28"/>
          <w:szCs w:val="28"/>
          <w:lang w:val="ru-RU"/>
        </w:rPr>
        <w:t>трансплантации</w:t>
      </w:r>
      <w:r w:rsidRPr="00170B7C">
        <w:rPr>
          <w:rFonts w:ascii="Times New Roman" w:hAnsi="Times New Roman" w:cs="Times New Roman"/>
          <w:color w:val="000000" w:themeColor="text1"/>
          <w:sz w:val="28"/>
          <w:szCs w:val="28"/>
          <w:lang w:val="ru-RU"/>
        </w:rPr>
        <w:t xml:space="preserve">. Более </w:t>
      </w:r>
      <w:r w:rsidR="00C23E60" w:rsidRPr="00170B7C">
        <w:rPr>
          <w:rFonts w:ascii="Times New Roman" w:hAnsi="Times New Roman" w:cs="Times New Roman"/>
          <w:color w:val="000000" w:themeColor="text1"/>
          <w:sz w:val="28"/>
          <w:szCs w:val="28"/>
          <w:lang w:val="ru-RU"/>
        </w:rPr>
        <w:t>высокая разница между рассчитанным объемом печени и весом трансплантата</w:t>
      </w:r>
      <w:r w:rsidRPr="00170B7C">
        <w:rPr>
          <w:rFonts w:ascii="Times New Roman" w:hAnsi="Times New Roman" w:cs="Times New Roman"/>
          <w:color w:val="000000" w:themeColor="text1"/>
          <w:sz w:val="28"/>
          <w:szCs w:val="28"/>
          <w:lang w:val="ru-RU"/>
        </w:rPr>
        <w:t xml:space="preserve"> в группе лапароскопической операции может быть связано с </w:t>
      </w:r>
      <w:r w:rsidRPr="00170B7C">
        <w:rPr>
          <w:rFonts w:ascii="Times New Roman" w:hAnsi="Times New Roman" w:cs="Times New Roman"/>
          <w:color w:val="000000" w:themeColor="text1"/>
          <w:sz w:val="28"/>
          <w:szCs w:val="28"/>
          <w:lang w:val="ru-RU"/>
        </w:rPr>
        <w:lastRenderedPageBreak/>
        <w:t>использованием</w:t>
      </w:r>
      <w:r w:rsidRPr="00170B7C">
        <w:rPr>
          <w:rFonts w:ascii="Times New Roman" w:hAnsi="Times New Roman" w:cs="Times New Roman"/>
          <w:sz w:val="28"/>
          <w:szCs w:val="28"/>
          <w:lang w:val="ru-RU"/>
        </w:rPr>
        <w:t xml:space="preserve"> </w:t>
      </w:r>
      <w:r w:rsidRPr="00170B7C">
        <w:rPr>
          <w:rFonts w:ascii="Times New Roman" w:hAnsi="Times New Roman" w:cs="Times New Roman"/>
          <w:color w:val="000000" w:themeColor="text1"/>
          <w:sz w:val="28"/>
          <w:szCs w:val="28"/>
          <w:lang w:val="ru-RU"/>
        </w:rPr>
        <w:t xml:space="preserve">клипс и степлеров, тогда как сосудистая сеть и </w:t>
      </w:r>
      <w:r w:rsidRPr="00C5654B">
        <w:rPr>
          <w:rFonts w:ascii="Times New Roman" w:hAnsi="Times New Roman" w:cs="Times New Roman"/>
          <w:color w:val="000000" w:themeColor="text1"/>
          <w:sz w:val="28"/>
          <w:szCs w:val="28"/>
          <w:lang w:val="ru-RU"/>
        </w:rPr>
        <w:t>желчные протоки рассекаются и сшиваются во время традиционной открытой</w:t>
      </w:r>
      <w:r w:rsidR="00C23E60" w:rsidRPr="00C5654B">
        <w:rPr>
          <w:rFonts w:ascii="Times New Roman" w:hAnsi="Times New Roman" w:cs="Times New Roman"/>
          <w:color w:val="000000" w:themeColor="text1"/>
          <w:sz w:val="28"/>
          <w:szCs w:val="28"/>
          <w:lang w:val="ru-RU"/>
        </w:rPr>
        <w:t xml:space="preserve"> операции</w:t>
      </w:r>
      <w:r w:rsidRPr="00C5654B">
        <w:rPr>
          <w:rFonts w:ascii="Times New Roman" w:hAnsi="Times New Roman" w:cs="Times New Roman"/>
          <w:color w:val="000000" w:themeColor="text1"/>
          <w:sz w:val="28"/>
          <w:szCs w:val="28"/>
          <w:lang w:val="ru-RU"/>
        </w:rPr>
        <w:t>. Использование клипс и степлеров занимает место, и, таким образом, точка разделения будет более наклонена к трансплантату, чем ожидалось</w:t>
      </w:r>
      <w:r w:rsidR="00EE02E7" w:rsidRPr="00C5654B">
        <w:rPr>
          <w:rFonts w:ascii="Times New Roman" w:hAnsi="Times New Roman" w:cs="Times New Roman"/>
          <w:sz w:val="28"/>
          <w:szCs w:val="28"/>
          <w:lang w:val="ru-RU"/>
        </w:rPr>
        <w:t xml:space="preserve">. </w:t>
      </w:r>
      <w:r w:rsidR="00330900" w:rsidRPr="00C5654B">
        <w:rPr>
          <w:rFonts w:ascii="Times New Roman" w:hAnsi="Times New Roman" w:cs="Times New Roman"/>
          <w:color w:val="000000" w:themeColor="text1"/>
          <w:sz w:val="28"/>
          <w:szCs w:val="28"/>
          <w:lang w:val="ru-RU"/>
        </w:rPr>
        <w:t>В нашем исследовании проводилась традиционная открытая трансплантация печени.</w:t>
      </w:r>
    </w:p>
    <w:p w14:paraId="709040DC" w14:textId="0C17A174" w:rsidR="00E072DC" w:rsidRPr="00170B7C" w:rsidRDefault="00E072DC" w:rsidP="00434C7A">
      <w:pPr>
        <w:pStyle w:val="ab"/>
        <w:ind w:firstLine="567"/>
        <w:jc w:val="both"/>
        <w:rPr>
          <w:rFonts w:ascii="Times New Roman" w:hAnsi="Times New Roman" w:cs="Times New Roman"/>
          <w:color w:val="0070C0"/>
          <w:sz w:val="28"/>
          <w:szCs w:val="28"/>
          <w:lang w:val="ru-RU"/>
        </w:rPr>
      </w:pPr>
      <w:r w:rsidRPr="00C5654B">
        <w:rPr>
          <w:rFonts w:ascii="Times New Roman" w:hAnsi="Times New Roman" w:cs="Times New Roman"/>
          <w:sz w:val="28"/>
          <w:szCs w:val="28"/>
        </w:rPr>
        <w:t>Xie</w:t>
      </w:r>
      <w:r w:rsidRPr="00C5654B">
        <w:rPr>
          <w:rFonts w:ascii="Times New Roman" w:hAnsi="Times New Roman" w:cs="Times New Roman"/>
          <w:sz w:val="28"/>
          <w:szCs w:val="28"/>
          <w:lang w:val="ru-RU"/>
        </w:rPr>
        <w:t xml:space="preserve"> </w:t>
      </w:r>
      <w:r w:rsidRPr="00C5654B">
        <w:rPr>
          <w:rFonts w:ascii="Times New Roman" w:hAnsi="Times New Roman" w:cs="Times New Roman"/>
          <w:sz w:val="28"/>
          <w:szCs w:val="28"/>
        </w:rPr>
        <w:t>T</w:t>
      </w:r>
      <w:r w:rsidRPr="00C5654B">
        <w:rPr>
          <w:rFonts w:ascii="Times New Roman" w:hAnsi="Times New Roman" w:cs="Times New Roman"/>
          <w:sz w:val="28"/>
          <w:szCs w:val="28"/>
          <w:lang w:val="ru-RU"/>
        </w:rPr>
        <w:t xml:space="preserve">. и соавт. в своей работе не выявили значимой разницы между расчетом объема печени </w:t>
      </w:r>
      <w:r w:rsidR="00177626" w:rsidRPr="00C5654B">
        <w:rPr>
          <w:rFonts w:ascii="Times New Roman" w:hAnsi="Times New Roman" w:cs="Times New Roman"/>
          <w:sz w:val="28"/>
          <w:szCs w:val="28"/>
          <w:lang w:val="ru-RU"/>
        </w:rPr>
        <w:t xml:space="preserve">с </w:t>
      </w:r>
      <w:r w:rsidR="00434C7A" w:rsidRPr="00C5654B">
        <w:rPr>
          <w:rFonts w:ascii="Times New Roman" w:hAnsi="Times New Roman" w:cs="Times New Roman"/>
          <w:sz w:val="28"/>
          <w:szCs w:val="28"/>
          <w:lang w:val="ru-RU"/>
        </w:rPr>
        <w:t>экстракцией</w:t>
      </w:r>
      <w:r w:rsidRPr="00170B7C">
        <w:rPr>
          <w:rFonts w:ascii="Times New Roman" w:hAnsi="Times New Roman" w:cs="Times New Roman"/>
          <w:sz w:val="28"/>
          <w:szCs w:val="28"/>
          <w:lang w:val="ru-RU"/>
        </w:rPr>
        <w:t xml:space="preserve"> сосудов и без нее, используя автоматическую программу с внедрением </w:t>
      </w:r>
      <w:r w:rsidR="00177626" w:rsidRPr="00170B7C">
        <w:rPr>
          <w:rFonts w:ascii="Times New Roman" w:hAnsi="Times New Roman" w:cs="Times New Roman"/>
          <w:sz w:val="28"/>
          <w:szCs w:val="28"/>
          <w:lang w:val="ru-RU"/>
        </w:rPr>
        <w:t>ИИ</w:t>
      </w:r>
      <w:r w:rsidRPr="00170B7C">
        <w:rPr>
          <w:rFonts w:ascii="Times New Roman" w:hAnsi="Times New Roman" w:cs="Times New Roman"/>
          <w:sz w:val="28"/>
          <w:szCs w:val="28"/>
          <w:lang w:val="ru-RU"/>
        </w:rPr>
        <w:t>.  Недостатком данного исследования, по мнению самих авторов является отсутствие сравнение полученных данных с интраоперационным весом графта, что требует дальнейших исследований в данном направлении</w:t>
      </w:r>
      <w:r w:rsidR="00EE02E7" w:rsidRPr="00170B7C">
        <w:rPr>
          <w:rFonts w:ascii="Times New Roman" w:hAnsi="Times New Roman" w:cs="Times New Roman"/>
          <w:sz w:val="28"/>
          <w:szCs w:val="28"/>
          <w:lang w:val="ru-RU"/>
        </w:rPr>
        <w:t>.</w:t>
      </w:r>
    </w:p>
    <w:p w14:paraId="6915229E" w14:textId="3FC5B307" w:rsidR="000F258B" w:rsidRPr="00170B7C" w:rsidRDefault="000F258B"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По данным авторов </w:t>
      </w:r>
      <w:r w:rsidR="00177626" w:rsidRPr="00170B7C">
        <w:rPr>
          <w:color w:val="000000"/>
          <w:sz w:val="28"/>
          <w:szCs w:val="28"/>
        </w:rPr>
        <w:t>снижени</w:t>
      </w:r>
      <w:r w:rsidR="00434C7A">
        <w:rPr>
          <w:color w:val="000000"/>
          <w:sz w:val="28"/>
          <w:szCs w:val="28"/>
        </w:rPr>
        <w:t>е</w:t>
      </w:r>
      <w:r w:rsidRPr="00170B7C">
        <w:rPr>
          <w:color w:val="000000"/>
          <w:sz w:val="28"/>
          <w:szCs w:val="28"/>
        </w:rPr>
        <w:t xml:space="preserve"> веса графта обусловлено потерей в интраоперационном периоде и процедуры back table внутрипеченочных жидкостей (крови, ликвора, желчи), а также за счет дегидратации под действием кардиоплегических растворов. </w:t>
      </w:r>
      <w:r w:rsidR="00F618EA">
        <w:rPr>
          <w:sz w:val="28"/>
          <w:szCs w:val="28"/>
          <w:lang w:val="en-US"/>
        </w:rPr>
        <w:t>Celik</w:t>
      </w:r>
      <w:r w:rsidR="00F618EA" w:rsidRPr="00402A91">
        <w:rPr>
          <w:sz w:val="28"/>
          <w:szCs w:val="28"/>
        </w:rPr>
        <w:t xml:space="preserve"> </w:t>
      </w:r>
      <w:r w:rsidR="00F618EA">
        <w:rPr>
          <w:sz w:val="28"/>
          <w:szCs w:val="28"/>
          <w:lang w:val="en-US"/>
        </w:rPr>
        <w:t>H</w:t>
      </w:r>
      <w:r w:rsidR="00D51710">
        <w:rPr>
          <w:sz w:val="28"/>
          <w:szCs w:val="28"/>
        </w:rPr>
        <w:t xml:space="preserve">. и соавт. </w:t>
      </w:r>
      <w:r w:rsidRPr="00170B7C">
        <w:rPr>
          <w:sz w:val="28"/>
          <w:szCs w:val="28"/>
        </w:rPr>
        <w:t xml:space="preserve">в своем </w:t>
      </w:r>
      <w:r w:rsidRPr="00170B7C">
        <w:rPr>
          <w:color w:val="000000"/>
          <w:sz w:val="28"/>
          <w:szCs w:val="28"/>
        </w:rPr>
        <w:t xml:space="preserve">исследовании выявили, что рассчитанный объем печени превышал вес графта после перфузии на 20%, </w:t>
      </w:r>
      <w:r w:rsidR="005802C2">
        <w:rPr>
          <w:color w:val="000000"/>
          <w:sz w:val="28"/>
          <w:szCs w:val="28"/>
        </w:rPr>
        <w:t xml:space="preserve">а </w:t>
      </w:r>
      <w:r w:rsidRPr="00170B7C">
        <w:rPr>
          <w:color w:val="000000"/>
          <w:sz w:val="28"/>
          <w:szCs w:val="28"/>
        </w:rPr>
        <w:t xml:space="preserve">разница с наполненным кровью графтом составила всего 4%. </w:t>
      </w:r>
    </w:p>
    <w:p w14:paraId="6ADDFA69" w14:textId="77777777" w:rsidR="000F258B"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В проведенном нами исследовании фактичес</w:t>
      </w:r>
      <w:r w:rsidR="00D92882" w:rsidRPr="00170B7C">
        <w:rPr>
          <w:color w:val="000000"/>
          <w:sz w:val="28"/>
          <w:szCs w:val="28"/>
        </w:rPr>
        <w:t>кий вес</w:t>
      </w:r>
      <w:r w:rsidRPr="00170B7C">
        <w:rPr>
          <w:color w:val="000000"/>
          <w:sz w:val="28"/>
          <w:szCs w:val="28"/>
        </w:rPr>
        <w:t xml:space="preserve"> трансплантата и рассчитанный объем печени сравнивался без учета крови. Вес графта измеряли интраоперационно в условиях ex vivo после дренирования крови. </w:t>
      </w:r>
      <w:r w:rsidR="000F258B" w:rsidRPr="00170B7C">
        <w:rPr>
          <w:color w:val="000000"/>
          <w:sz w:val="28"/>
          <w:szCs w:val="28"/>
        </w:rPr>
        <w:t>В исследовании трансплантат промывали раствором Кустодиола, осмолярность которого меньше в сравнении с раствором UW (310 мОсм/л против 320 мОсм/л), мы считаем, что это оказывает меньшее влияние на вес трансплантата.  </w:t>
      </w:r>
    </w:p>
    <w:p w14:paraId="60DC8760" w14:textId="77777777" w:rsidR="000F258B" w:rsidRPr="00C5654B" w:rsidRDefault="000F258B"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Также п</w:t>
      </w:r>
      <w:r w:rsidR="00274D3C" w:rsidRPr="00170B7C">
        <w:rPr>
          <w:color w:val="000000"/>
          <w:sz w:val="28"/>
          <w:szCs w:val="28"/>
        </w:rPr>
        <w:t xml:space="preserve">ри оценке объема печени в каждом методе исключались сосуды. Оценка объема печени с помощью мануального метода CT Volume Analysis включает порог плотности печени и исключает плотность контрастирования сосудов. Программа CT Liver Analysis автоматически рассчитывает объем </w:t>
      </w:r>
      <w:r w:rsidR="00C23E60" w:rsidRPr="00170B7C">
        <w:rPr>
          <w:color w:val="000000"/>
          <w:sz w:val="28"/>
          <w:szCs w:val="28"/>
        </w:rPr>
        <w:t xml:space="preserve">долевых и сегментарных </w:t>
      </w:r>
      <w:r w:rsidR="00274D3C" w:rsidRPr="00170B7C">
        <w:rPr>
          <w:color w:val="000000"/>
          <w:sz w:val="28"/>
          <w:szCs w:val="28"/>
        </w:rPr>
        <w:t xml:space="preserve">внутрипеченочных сосудов. Во время расчетов, проведенных в программе OsiriX MD исключены только основные сосуды (правая и левая </w:t>
      </w:r>
      <w:r w:rsidR="00CF03A2">
        <w:rPr>
          <w:color w:val="000000"/>
          <w:sz w:val="28"/>
          <w:szCs w:val="28"/>
        </w:rPr>
        <w:t xml:space="preserve">главные </w:t>
      </w:r>
      <w:r w:rsidR="00274D3C" w:rsidRPr="00170B7C">
        <w:rPr>
          <w:color w:val="000000"/>
          <w:sz w:val="28"/>
          <w:szCs w:val="28"/>
        </w:rPr>
        <w:t>ветв</w:t>
      </w:r>
      <w:r w:rsidR="00CF03A2">
        <w:rPr>
          <w:color w:val="000000"/>
          <w:sz w:val="28"/>
          <w:szCs w:val="28"/>
        </w:rPr>
        <w:t>и</w:t>
      </w:r>
      <w:r w:rsidR="00274D3C" w:rsidRPr="00170B7C">
        <w:rPr>
          <w:color w:val="000000"/>
          <w:sz w:val="28"/>
          <w:szCs w:val="28"/>
        </w:rPr>
        <w:t xml:space="preserve"> воротной вены), что, вероятно, привело к высоко</w:t>
      </w:r>
      <w:r w:rsidR="00C23E60" w:rsidRPr="00170B7C">
        <w:rPr>
          <w:color w:val="000000"/>
          <w:sz w:val="28"/>
          <w:szCs w:val="28"/>
        </w:rPr>
        <w:t>му проценту ошибки</w:t>
      </w:r>
      <w:r w:rsidR="00177626" w:rsidRPr="00170B7C">
        <w:rPr>
          <w:color w:val="000000"/>
          <w:sz w:val="28"/>
          <w:szCs w:val="28"/>
        </w:rPr>
        <w:t xml:space="preserve"> расчета </w:t>
      </w:r>
      <w:r w:rsidR="00177626" w:rsidRPr="00C5654B">
        <w:rPr>
          <w:color w:val="000000"/>
          <w:sz w:val="28"/>
          <w:szCs w:val="28"/>
        </w:rPr>
        <w:t>объема печени</w:t>
      </w:r>
      <w:r w:rsidR="00274D3C" w:rsidRPr="00C5654B">
        <w:rPr>
          <w:color w:val="000000"/>
          <w:sz w:val="28"/>
          <w:szCs w:val="28"/>
        </w:rPr>
        <w:t>. </w:t>
      </w:r>
    </w:p>
    <w:p w14:paraId="07426A2F" w14:textId="45DC756A" w:rsidR="00435770" w:rsidRPr="00C5654B"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Gungsuh"/>
          <w:color w:val="000000" w:themeColor="text1"/>
          <w:sz w:val="28"/>
          <w:szCs w:val="28"/>
        </w:rPr>
      </w:pPr>
      <w:r w:rsidRPr="00C5654B">
        <w:rPr>
          <w:color w:val="000000"/>
          <w:sz w:val="28"/>
          <w:szCs w:val="28"/>
        </w:rPr>
        <w:t xml:space="preserve">Несмотря на </w:t>
      </w:r>
      <w:r w:rsidR="000F258B" w:rsidRPr="00C5654B">
        <w:rPr>
          <w:color w:val="000000"/>
          <w:sz w:val="28"/>
          <w:szCs w:val="28"/>
        </w:rPr>
        <w:t>д</w:t>
      </w:r>
      <w:r w:rsidRPr="00C5654B">
        <w:rPr>
          <w:color w:val="000000"/>
          <w:sz w:val="28"/>
          <w:szCs w:val="28"/>
        </w:rPr>
        <w:t>искуссии авторов об истинном весе печени, в нашем исследовании мы сравнивали объем печени и фактическую массу трансплантата, по общепринятой оценке, 1,0 г</w:t>
      </w:r>
      <w:r w:rsidR="00CF03A2">
        <w:rPr>
          <w:color w:val="000000"/>
          <w:sz w:val="28"/>
          <w:szCs w:val="28"/>
        </w:rPr>
        <w:t>р</w:t>
      </w:r>
      <w:r w:rsidRPr="00C5654B">
        <w:rPr>
          <w:color w:val="000000"/>
          <w:sz w:val="28"/>
          <w:szCs w:val="28"/>
        </w:rPr>
        <w:t>/мл</w:t>
      </w:r>
      <w:r w:rsidR="000E7322" w:rsidRPr="00C5654B">
        <w:rPr>
          <w:color w:val="000000"/>
          <w:sz w:val="28"/>
          <w:szCs w:val="28"/>
        </w:rPr>
        <w:t xml:space="preserve">. </w:t>
      </w:r>
      <w:r w:rsidR="00C427B4" w:rsidRPr="00C5654B">
        <w:rPr>
          <w:color w:val="000000" w:themeColor="text1"/>
          <w:sz w:val="28"/>
          <w:szCs w:val="28"/>
        </w:rPr>
        <w:t xml:space="preserve">Авторы рассуждают об изменении плотности печени у </w:t>
      </w:r>
      <w:r w:rsidR="0077006A">
        <w:rPr>
          <w:color w:val="000000" w:themeColor="text1"/>
          <w:sz w:val="28"/>
          <w:szCs w:val="28"/>
        </w:rPr>
        <w:t>доноров</w:t>
      </w:r>
      <w:r w:rsidR="00C427B4" w:rsidRPr="00C5654B">
        <w:rPr>
          <w:color w:val="000000" w:themeColor="text1"/>
          <w:sz w:val="28"/>
          <w:szCs w:val="28"/>
        </w:rPr>
        <w:t xml:space="preserve"> с жировой дегенераций или развитием фиброза. </w:t>
      </w:r>
      <w:r w:rsidR="00435770" w:rsidRPr="00C5654B">
        <w:rPr>
          <w:rFonts w:eastAsia="Gungsuh"/>
          <w:color w:val="000000"/>
          <w:sz w:val="28"/>
          <w:szCs w:val="28"/>
        </w:rPr>
        <w:t>Что касается живых родственных доноров печени, некоторые центры выступают за безопасность использования трансплантатов</w:t>
      </w:r>
      <w:r w:rsidR="00435770" w:rsidRPr="00170B7C">
        <w:rPr>
          <w:rFonts w:eastAsia="Gungsuh"/>
          <w:color w:val="000000"/>
          <w:sz w:val="28"/>
          <w:szCs w:val="28"/>
        </w:rPr>
        <w:t xml:space="preserve"> правой доли </w:t>
      </w:r>
      <w:r w:rsidR="00F618EA">
        <w:rPr>
          <w:rFonts w:eastAsia="Gungsuh"/>
          <w:color w:val="000000"/>
          <w:sz w:val="28"/>
          <w:szCs w:val="28"/>
          <w:lang w:val="en-US"/>
        </w:rPr>
        <w:t>c</w:t>
      </w:r>
      <w:r w:rsidR="00F618EA" w:rsidRPr="00F618EA">
        <w:rPr>
          <w:rFonts w:eastAsia="Gungsuh"/>
          <w:color w:val="000000"/>
          <w:sz w:val="28"/>
          <w:szCs w:val="28"/>
        </w:rPr>
        <w:t xml:space="preserve"> </w:t>
      </w:r>
      <w:r w:rsidR="00F618EA">
        <w:rPr>
          <w:rFonts w:eastAsia="Gungsuh"/>
          <w:color w:val="000000"/>
          <w:sz w:val="28"/>
          <w:szCs w:val="28"/>
        </w:rPr>
        <w:t xml:space="preserve">жировой дегенерацией </w:t>
      </w:r>
      <w:r w:rsidR="00435770" w:rsidRPr="00170B7C">
        <w:rPr>
          <w:rFonts w:eastAsia="Gungsuh"/>
          <w:color w:val="000000"/>
          <w:sz w:val="28"/>
          <w:szCs w:val="28"/>
        </w:rPr>
        <w:t>при условии соответствия размеров между реципиентами и донорами, реципиенты имеют баллы по MELD ≤15, и трансплантаты взяты от относительно более молодых доноров, возраст которых составляет менее 40 лет</w:t>
      </w:r>
      <w:r w:rsidR="00F473B7" w:rsidRPr="00C5654B">
        <w:rPr>
          <w:rFonts w:eastAsia="Gungsuh"/>
          <w:color w:val="000000" w:themeColor="text1"/>
          <w:sz w:val="28"/>
          <w:szCs w:val="28"/>
        </w:rPr>
        <w:t>.</w:t>
      </w:r>
      <w:r w:rsidR="00435770" w:rsidRPr="00C5654B">
        <w:rPr>
          <w:rFonts w:eastAsia="Gungsuh"/>
          <w:color w:val="000000" w:themeColor="text1"/>
          <w:sz w:val="28"/>
          <w:szCs w:val="28"/>
        </w:rPr>
        <w:t xml:space="preserve">  Однако, трансплантаты от живых доноров печени со стеатозом по-прежнему считаются спорными и должны использоваться с особой осторожностью. </w:t>
      </w:r>
    </w:p>
    <w:p w14:paraId="19F04DAA" w14:textId="77777777" w:rsidR="00435770" w:rsidRPr="00170B7C" w:rsidRDefault="00435770"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C5654B">
        <w:rPr>
          <w:color w:val="000000" w:themeColor="text1"/>
          <w:sz w:val="28"/>
          <w:szCs w:val="28"/>
        </w:rPr>
        <w:t xml:space="preserve">Изменение плотности </w:t>
      </w:r>
      <w:r w:rsidRPr="00170B7C">
        <w:rPr>
          <w:color w:val="000000"/>
          <w:sz w:val="28"/>
          <w:szCs w:val="28"/>
        </w:rPr>
        <w:t xml:space="preserve">печени приводит к увеличению разницы между рассчитанным объемом печени и весом графта. При плотности паренхимы </w:t>
      </w:r>
      <w:r w:rsidRPr="00170B7C">
        <w:rPr>
          <w:color w:val="000000"/>
          <w:sz w:val="28"/>
          <w:szCs w:val="28"/>
        </w:rPr>
        <w:lastRenderedPageBreak/>
        <w:t>печени более 1,0 г</w:t>
      </w:r>
      <w:r w:rsidR="00CF03A2">
        <w:rPr>
          <w:color w:val="000000"/>
          <w:sz w:val="28"/>
          <w:szCs w:val="28"/>
        </w:rPr>
        <w:t>р</w:t>
      </w:r>
      <w:r w:rsidRPr="00170B7C">
        <w:rPr>
          <w:color w:val="000000"/>
          <w:sz w:val="28"/>
          <w:szCs w:val="28"/>
        </w:rPr>
        <w:t xml:space="preserve">/мл измеренный объем правой доли печени будет занижен по сравнению с массой трансплантата. Формула плотности ( </w:t>
      </w:r>
      <w:r w:rsidRPr="00170B7C">
        <w:rPr>
          <w:noProof/>
          <w:color w:val="000000"/>
          <w:sz w:val="28"/>
          <w:szCs w:val="28"/>
          <w:lang w:eastAsia="ru-RU"/>
        </w:rPr>
        <w:drawing>
          <wp:inline distT="0" distB="0" distL="114300" distR="114300" wp14:anchorId="1D70A2EC" wp14:editId="0526EFDC">
            <wp:extent cx="390525" cy="247650"/>
            <wp:effectExtent l="0" t="0" r="0" b="0"/>
            <wp:docPr id="421" name="image48.png" descr="IMG_310"/>
            <wp:cNvGraphicFramePr/>
            <a:graphic xmlns:a="http://schemas.openxmlformats.org/drawingml/2006/main">
              <a:graphicData uri="http://schemas.openxmlformats.org/drawingml/2006/picture">
                <pic:pic xmlns:pic="http://schemas.openxmlformats.org/drawingml/2006/picture">
                  <pic:nvPicPr>
                    <pic:cNvPr id="0" name="image48.png" descr="IMG_310"/>
                    <pic:cNvPicPr preferRelativeResize="0"/>
                  </pic:nvPicPr>
                  <pic:blipFill>
                    <a:blip r:embed="rId71"/>
                    <a:srcRect/>
                    <a:stretch>
                      <a:fillRect/>
                    </a:stretch>
                  </pic:blipFill>
                  <pic:spPr>
                    <a:xfrm>
                      <a:off x="0" y="0"/>
                      <a:ext cx="390525" cy="247650"/>
                    </a:xfrm>
                    <a:prstGeom prst="rect">
                      <a:avLst/>
                    </a:prstGeom>
                    <a:ln/>
                  </pic:spPr>
                </pic:pic>
              </a:graphicData>
            </a:graphic>
          </wp:inline>
        </w:drawing>
      </w:r>
      <w:sdt>
        <w:sdtPr>
          <w:rPr>
            <w:sz w:val="28"/>
            <w:szCs w:val="28"/>
          </w:rPr>
          <w:tag w:val="goog_rdk_6"/>
          <w:id w:val="504177221"/>
        </w:sdtPr>
        <w:sdtContent>
          <w:r w:rsidRPr="00170B7C">
            <w:rPr>
              <w:rFonts w:eastAsia="Gungsuh"/>
              <w:color w:val="000000"/>
              <w:sz w:val="28"/>
              <w:szCs w:val="28"/>
            </w:rPr>
            <w:t xml:space="preserve">) </w:t>
          </w:r>
          <w:r w:rsidRPr="00170B7C">
            <w:rPr>
              <w:rFonts w:ascii="Cambria Math" w:eastAsia="Gungsuh" w:hAnsi="Cambria Math" w:cs="Cambria Math"/>
              <w:color w:val="000000"/>
              <w:sz w:val="28"/>
              <w:szCs w:val="28"/>
            </w:rPr>
            <w:t>⇒</w:t>
          </w:r>
          <w:r w:rsidRPr="00170B7C">
            <w:rPr>
              <w:rFonts w:eastAsia="Gungsuh"/>
              <w:color w:val="000000"/>
              <w:sz w:val="28"/>
              <w:szCs w:val="28"/>
            </w:rPr>
            <w:t xml:space="preserve"> m=p*v, где m-масса (г</w:t>
          </w:r>
          <w:r w:rsidR="00CF03A2">
            <w:rPr>
              <w:rFonts w:eastAsia="Gungsuh"/>
              <w:color w:val="000000"/>
              <w:sz w:val="28"/>
              <w:szCs w:val="28"/>
            </w:rPr>
            <w:t>р</w:t>
          </w:r>
          <w:r w:rsidRPr="00170B7C">
            <w:rPr>
              <w:rFonts w:eastAsia="Gungsuh"/>
              <w:color w:val="000000"/>
              <w:sz w:val="28"/>
              <w:szCs w:val="28"/>
            </w:rPr>
            <w:t>), v-объем (см</w:t>
          </w:r>
        </w:sdtContent>
      </w:sdt>
      <w:r w:rsidRPr="00C60723">
        <w:rPr>
          <w:color w:val="000000"/>
          <w:sz w:val="28"/>
          <w:szCs w:val="28"/>
          <w:vertAlign w:val="superscript"/>
        </w:rPr>
        <w:t>3</w:t>
      </w:r>
      <w:r w:rsidRPr="00170B7C">
        <w:rPr>
          <w:color w:val="000000"/>
          <w:sz w:val="28"/>
          <w:szCs w:val="28"/>
        </w:rPr>
        <w:t>); 1 мл = 1см</w:t>
      </w:r>
      <w:r w:rsidRPr="00C60723">
        <w:rPr>
          <w:color w:val="000000"/>
          <w:sz w:val="28"/>
          <w:szCs w:val="28"/>
          <w:vertAlign w:val="superscript"/>
        </w:rPr>
        <w:t>3</w:t>
      </w:r>
      <w:r w:rsidRPr="00170B7C">
        <w:rPr>
          <w:color w:val="000000"/>
          <w:sz w:val="28"/>
          <w:szCs w:val="28"/>
        </w:rPr>
        <w:t>. Если плотность паренхимы печени будет меньше 1,0 г</w:t>
      </w:r>
      <w:r w:rsidR="00CF03A2">
        <w:rPr>
          <w:color w:val="000000"/>
          <w:sz w:val="28"/>
          <w:szCs w:val="28"/>
        </w:rPr>
        <w:t>р</w:t>
      </w:r>
      <w:r w:rsidRPr="00170B7C">
        <w:rPr>
          <w:color w:val="000000"/>
          <w:sz w:val="28"/>
          <w:szCs w:val="28"/>
        </w:rPr>
        <w:t>/мл из-за, например, стеатоза, измеренный объем правой доли печени будет завышен, чем вес трансплантата. Поэтому в обоих случаях несоответствие между объемом печени и трансплантатом будет увеличиваться.   </w:t>
      </w:r>
    </w:p>
    <w:p w14:paraId="32E03C43" w14:textId="77777777" w:rsidR="00C700B8" w:rsidRPr="00170B7C" w:rsidRDefault="00C427B4"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themeColor="text1"/>
          <w:sz w:val="28"/>
          <w:szCs w:val="28"/>
        </w:rPr>
      </w:pPr>
      <w:r w:rsidRPr="00170B7C">
        <w:rPr>
          <w:color w:val="000000" w:themeColor="text1"/>
          <w:sz w:val="28"/>
          <w:szCs w:val="28"/>
        </w:rPr>
        <w:t xml:space="preserve">Для получения объективных результатов </w:t>
      </w:r>
      <w:r w:rsidR="00A12FE2" w:rsidRPr="00170B7C">
        <w:rPr>
          <w:color w:val="000000" w:themeColor="text1"/>
          <w:sz w:val="28"/>
          <w:szCs w:val="28"/>
        </w:rPr>
        <w:t xml:space="preserve">предоперационного объема печени </w:t>
      </w:r>
      <w:r w:rsidRPr="00170B7C">
        <w:rPr>
          <w:color w:val="000000" w:themeColor="text1"/>
          <w:sz w:val="28"/>
          <w:szCs w:val="28"/>
        </w:rPr>
        <w:t>нами были исключены доноры с жировой дегенерацией</w:t>
      </w:r>
      <w:r w:rsidR="00E95E9C">
        <w:rPr>
          <w:color w:val="000000" w:themeColor="text1"/>
          <w:sz w:val="28"/>
          <w:szCs w:val="28"/>
        </w:rPr>
        <w:t xml:space="preserve"> (</w:t>
      </w:r>
      <w:r w:rsidR="00E95E9C" w:rsidRPr="00E95E9C">
        <w:rPr>
          <w:color w:val="000000" w:themeColor="text1"/>
          <w:sz w:val="28"/>
          <w:szCs w:val="28"/>
        </w:rPr>
        <w:t>&lt;5%)</w:t>
      </w:r>
      <w:r w:rsidR="00A12FE2" w:rsidRPr="00170B7C">
        <w:rPr>
          <w:color w:val="000000" w:themeColor="text1"/>
          <w:sz w:val="28"/>
          <w:szCs w:val="28"/>
        </w:rPr>
        <w:t xml:space="preserve"> и фиброзом печени верифицированные результатами </w:t>
      </w:r>
      <w:r w:rsidR="00E95E9C">
        <w:rPr>
          <w:color w:val="000000" w:themeColor="text1"/>
          <w:sz w:val="28"/>
          <w:szCs w:val="28"/>
        </w:rPr>
        <w:t>гистологии</w:t>
      </w:r>
      <w:r w:rsidR="00A12FE2" w:rsidRPr="00170B7C">
        <w:rPr>
          <w:color w:val="000000" w:themeColor="text1"/>
          <w:sz w:val="28"/>
          <w:szCs w:val="28"/>
        </w:rPr>
        <w:t xml:space="preserve">, проводимой во время операции. </w:t>
      </w:r>
    </w:p>
    <w:p w14:paraId="5F74B772" w14:textId="77777777" w:rsidR="0006661B" w:rsidRPr="00170B7C" w:rsidRDefault="0006661B"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В нашем исследовании, для получения объективных результатов относительно предоперационной оценки объема печени донора мы также исключили другие возможные факторы, указанные в литературных данных. </w:t>
      </w:r>
    </w:p>
    <w:p w14:paraId="1BAE79D7" w14:textId="28376861" w:rsidR="000F258B" w:rsidRPr="00C5654B" w:rsidRDefault="0006661B"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Ряд авторов в своих исследованиях выявили, что реципиенты, донорами которых были </w:t>
      </w:r>
      <w:r w:rsidR="00520806">
        <w:rPr>
          <w:color w:val="000000"/>
          <w:sz w:val="28"/>
          <w:szCs w:val="28"/>
        </w:rPr>
        <w:t>доноры</w:t>
      </w:r>
      <w:r w:rsidRPr="00C5654B">
        <w:rPr>
          <w:color w:val="000000"/>
          <w:sz w:val="28"/>
          <w:szCs w:val="28"/>
        </w:rPr>
        <w:t xml:space="preserve"> старшего возраста имели низкие показатели выживаемости и высокие показатели послеоперационных осложнений</w:t>
      </w:r>
      <w:r w:rsidR="000F258B" w:rsidRPr="00C60723">
        <w:rPr>
          <w:color w:val="000000" w:themeColor="text1"/>
          <w:sz w:val="28"/>
          <w:szCs w:val="28"/>
        </w:rPr>
        <w:t xml:space="preserve">, а </w:t>
      </w:r>
      <w:r w:rsidR="00E95E9C" w:rsidRPr="00C60723">
        <w:rPr>
          <w:color w:val="000000" w:themeColor="text1"/>
          <w:sz w:val="28"/>
          <w:szCs w:val="28"/>
        </w:rPr>
        <w:t>также у</w:t>
      </w:r>
      <w:r w:rsidR="000F258B" w:rsidRPr="00C60723">
        <w:rPr>
          <w:color w:val="000000" w:themeColor="text1"/>
          <w:sz w:val="28"/>
          <w:szCs w:val="28"/>
        </w:rPr>
        <w:t xml:space="preserve"> пожилых и </w:t>
      </w:r>
      <w:r w:rsidR="00520806">
        <w:rPr>
          <w:color w:val="000000" w:themeColor="text1"/>
          <w:sz w:val="28"/>
          <w:szCs w:val="28"/>
        </w:rPr>
        <w:t>реципиентов</w:t>
      </w:r>
      <w:r w:rsidR="000F258B" w:rsidRPr="00C60723">
        <w:rPr>
          <w:color w:val="000000" w:themeColor="text1"/>
          <w:sz w:val="28"/>
          <w:szCs w:val="28"/>
        </w:rPr>
        <w:t xml:space="preserve"> с поздней стадией </w:t>
      </w:r>
      <w:r w:rsidR="00E95E9C" w:rsidRPr="00C60723">
        <w:rPr>
          <w:color w:val="000000" w:themeColor="text1"/>
          <w:sz w:val="28"/>
          <w:szCs w:val="28"/>
        </w:rPr>
        <w:t>цирроза плохой</w:t>
      </w:r>
      <w:r w:rsidR="000F258B" w:rsidRPr="00C60723">
        <w:rPr>
          <w:color w:val="000000" w:themeColor="text1"/>
          <w:sz w:val="28"/>
          <w:szCs w:val="28"/>
        </w:rPr>
        <w:t xml:space="preserve"> прогноз при </w:t>
      </w:r>
      <w:r w:rsidR="000F258B" w:rsidRPr="00C5654B">
        <w:rPr>
          <w:color w:val="000000"/>
          <w:sz w:val="28"/>
          <w:szCs w:val="28"/>
        </w:rPr>
        <w:t>родственной трансплантации</w:t>
      </w:r>
      <w:r w:rsidR="00EE02E7" w:rsidRPr="00C5654B">
        <w:rPr>
          <w:color w:val="000000"/>
          <w:sz w:val="28"/>
          <w:szCs w:val="28"/>
        </w:rPr>
        <w:t>.</w:t>
      </w:r>
    </w:p>
    <w:p w14:paraId="0F84F663" w14:textId="1C255207" w:rsidR="00F953CC" w:rsidRPr="00170B7C" w:rsidRDefault="00F953C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C5654B">
        <w:rPr>
          <w:color w:val="000000"/>
          <w:sz w:val="28"/>
          <w:szCs w:val="28"/>
        </w:rPr>
        <w:t>Возраст донора более 60 лет указан как один из факторов, отрицательно влияющих на вы</w:t>
      </w:r>
      <w:r w:rsidR="00D51710">
        <w:rPr>
          <w:color w:val="000000"/>
          <w:sz w:val="28"/>
          <w:szCs w:val="28"/>
        </w:rPr>
        <w:t>живаемость</w:t>
      </w:r>
      <w:r w:rsidRPr="00C5654B">
        <w:rPr>
          <w:color w:val="000000"/>
          <w:sz w:val="28"/>
          <w:szCs w:val="28"/>
        </w:rPr>
        <w:t xml:space="preserve">. Уровень общего билирубина и объем асцита значительно ниже в группе доноров в возрасте &lt;50 лет.  Mahmoud M. и соавт. в своем исследовании сообщили, что возраст донора старше 45 лет является независимым фактором риска </w:t>
      </w:r>
      <w:r w:rsidRPr="00805A25">
        <w:rPr>
          <w:sz w:val="28"/>
          <w:szCs w:val="28"/>
        </w:rPr>
        <w:t xml:space="preserve">развития </w:t>
      </w:r>
      <w:r w:rsidR="00805A25" w:rsidRPr="00805A25">
        <w:rPr>
          <w:sz w:val="28"/>
          <w:szCs w:val="28"/>
        </w:rPr>
        <w:t>small - for - size syndrome</w:t>
      </w:r>
      <w:r w:rsidRPr="00C5654B">
        <w:rPr>
          <w:color w:val="000000"/>
          <w:sz w:val="28"/>
          <w:szCs w:val="28"/>
        </w:rPr>
        <w:t xml:space="preserve">. Авторы рекомендуют для </w:t>
      </w:r>
      <w:r w:rsidR="000D2C65">
        <w:rPr>
          <w:color w:val="000000"/>
          <w:sz w:val="28"/>
          <w:szCs w:val="28"/>
        </w:rPr>
        <w:t>реципиентов</w:t>
      </w:r>
      <w:r w:rsidRPr="00C5654B">
        <w:rPr>
          <w:color w:val="000000"/>
          <w:sz w:val="28"/>
          <w:szCs w:val="28"/>
        </w:rPr>
        <w:t>, находящихся</w:t>
      </w:r>
      <w:r w:rsidRPr="00170B7C">
        <w:rPr>
          <w:color w:val="000000"/>
          <w:sz w:val="28"/>
          <w:szCs w:val="28"/>
        </w:rPr>
        <w:t xml:space="preserve"> в более критическом состоянии, по возможности выбирать более молодых доноров. </w:t>
      </w:r>
    </w:p>
    <w:p w14:paraId="7AED002A" w14:textId="5F0D9C0D" w:rsidR="00F953CC" w:rsidRPr="00170B7C" w:rsidRDefault="00F953C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Однако в исследовании </w:t>
      </w:r>
      <w:r w:rsidRPr="00170B7C">
        <w:rPr>
          <w:sz w:val="28"/>
          <w:szCs w:val="28"/>
        </w:rPr>
        <w:t xml:space="preserve">Kurihara T. и соавт. группа </w:t>
      </w:r>
      <w:r w:rsidRPr="00170B7C">
        <w:rPr>
          <w:color w:val="000000"/>
          <w:sz w:val="28"/>
          <w:szCs w:val="28"/>
        </w:rPr>
        <w:t>c правосторонней ге</w:t>
      </w:r>
      <w:r w:rsidR="000D2C65">
        <w:rPr>
          <w:color w:val="000000"/>
          <w:sz w:val="28"/>
          <w:szCs w:val="28"/>
        </w:rPr>
        <w:t>миге</w:t>
      </w:r>
      <w:r w:rsidRPr="00170B7C">
        <w:rPr>
          <w:color w:val="000000"/>
          <w:sz w:val="28"/>
          <w:szCs w:val="28"/>
        </w:rPr>
        <w:t xml:space="preserve">патэктомией имела более высокий возраст донора и </w:t>
      </w:r>
      <w:r w:rsidR="000D2C65">
        <w:rPr>
          <w:color w:val="000000"/>
          <w:sz w:val="28"/>
          <w:szCs w:val="28"/>
        </w:rPr>
        <w:t>тяжелый</w:t>
      </w:r>
      <w:r w:rsidRPr="00170B7C">
        <w:rPr>
          <w:color w:val="000000"/>
          <w:sz w:val="28"/>
          <w:szCs w:val="28"/>
        </w:rPr>
        <w:t xml:space="preserve"> статус реципиента, но выживаемость существенно не отличалась, поскольку выбран трансплантат достаточного объема. </w:t>
      </w:r>
    </w:p>
    <w:p w14:paraId="712C410B" w14:textId="77777777" w:rsidR="00435770" w:rsidRPr="00170B7C" w:rsidRDefault="00F953C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Следует отметить, что средний возраст доноров печени в нашем исследовании достаточно молодой, средний показатель составил 28,7±7,8 лет.  </w:t>
      </w:r>
      <w:r w:rsidR="000F258B" w:rsidRPr="00170B7C">
        <w:rPr>
          <w:rFonts w:eastAsia="Calibri"/>
          <w:color w:val="000000"/>
          <w:sz w:val="28"/>
          <w:szCs w:val="28"/>
        </w:rPr>
        <w:t>Однако</w:t>
      </w:r>
      <w:r w:rsidR="00177626" w:rsidRPr="00170B7C">
        <w:rPr>
          <w:rFonts w:eastAsia="Calibri"/>
          <w:color w:val="000000"/>
          <w:sz w:val="28"/>
          <w:szCs w:val="28"/>
        </w:rPr>
        <w:t xml:space="preserve"> наблюдался </w:t>
      </w:r>
      <w:r w:rsidR="000F258B" w:rsidRPr="00170B7C">
        <w:rPr>
          <w:color w:val="000000"/>
          <w:sz w:val="28"/>
          <w:szCs w:val="28"/>
        </w:rPr>
        <w:t>ш</w:t>
      </w:r>
      <w:r w:rsidR="00435770" w:rsidRPr="00170B7C">
        <w:rPr>
          <w:color w:val="000000"/>
          <w:sz w:val="28"/>
          <w:szCs w:val="28"/>
        </w:rPr>
        <w:t>ирокий возрастной диапазон доноров печени от 18 до 51 лет</w:t>
      </w:r>
      <w:r w:rsidR="00177626" w:rsidRPr="00170B7C">
        <w:rPr>
          <w:color w:val="000000"/>
          <w:sz w:val="28"/>
          <w:szCs w:val="28"/>
        </w:rPr>
        <w:t>, что</w:t>
      </w:r>
      <w:r w:rsidR="00435770" w:rsidRPr="00170B7C">
        <w:rPr>
          <w:color w:val="000000"/>
          <w:sz w:val="28"/>
          <w:szCs w:val="28"/>
        </w:rPr>
        <w:t xml:space="preserve"> статистически не повлиял на процент ошибки рассчитанного объема печени мануальным (p=0,682), полуавтоматическим (p=0,886) и автоматическим (p=0,898) методами.  </w:t>
      </w:r>
    </w:p>
    <w:p w14:paraId="49C83184" w14:textId="77777777" w:rsidR="0006661B" w:rsidRPr="00170B7C" w:rsidRDefault="0006661B"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В нашем исследовании </w:t>
      </w:r>
      <w:r w:rsidR="00177626" w:rsidRPr="00170B7C">
        <w:rPr>
          <w:color w:val="000000"/>
          <w:sz w:val="28"/>
          <w:szCs w:val="28"/>
        </w:rPr>
        <w:t xml:space="preserve">количество мужчин превалировало над количеством женщин, однако </w:t>
      </w:r>
      <w:r w:rsidR="00E95E9C" w:rsidRPr="00170B7C">
        <w:rPr>
          <w:color w:val="000000"/>
          <w:sz w:val="28"/>
          <w:szCs w:val="28"/>
        </w:rPr>
        <w:t>мы не</w:t>
      </w:r>
      <w:r w:rsidRPr="00170B7C">
        <w:rPr>
          <w:color w:val="000000"/>
          <w:sz w:val="28"/>
          <w:szCs w:val="28"/>
        </w:rPr>
        <w:t xml:space="preserve"> выявил</w:t>
      </w:r>
      <w:r w:rsidR="00435770" w:rsidRPr="00170B7C">
        <w:rPr>
          <w:color w:val="000000"/>
          <w:sz w:val="28"/>
          <w:szCs w:val="28"/>
        </w:rPr>
        <w:t>и</w:t>
      </w:r>
      <w:r w:rsidRPr="00170B7C">
        <w:rPr>
          <w:color w:val="000000"/>
          <w:sz w:val="28"/>
          <w:szCs w:val="28"/>
        </w:rPr>
        <w:t xml:space="preserve"> статистически значимых связей между полом и </w:t>
      </w:r>
      <w:r w:rsidRPr="00170B7C">
        <w:rPr>
          <w:color w:val="000000"/>
          <w:sz w:val="28"/>
          <w:szCs w:val="28"/>
          <w:lang w:val="en-US"/>
        </w:rPr>
        <w:t>error</w:t>
      </w:r>
      <w:r w:rsidRPr="00170B7C">
        <w:rPr>
          <w:color w:val="000000"/>
          <w:sz w:val="28"/>
          <w:szCs w:val="28"/>
        </w:rPr>
        <w:t xml:space="preserve"> </w:t>
      </w:r>
      <w:r w:rsidRPr="00170B7C">
        <w:rPr>
          <w:color w:val="000000"/>
          <w:sz w:val="28"/>
          <w:szCs w:val="28"/>
          <w:lang w:val="en-US"/>
        </w:rPr>
        <w:t>ratio</w:t>
      </w:r>
      <w:r w:rsidRPr="00170B7C">
        <w:rPr>
          <w:color w:val="000000"/>
          <w:sz w:val="28"/>
          <w:szCs w:val="28"/>
        </w:rPr>
        <w:t xml:space="preserve"> мануального (p=0,325), полуавтоматического (p=0,975) и автоматического (p=0,467) методов.  </w:t>
      </w:r>
    </w:p>
    <w:p w14:paraId="20206BCC" w14:textId="66A3DDE4" w:rsidR="00435770" w:rsidRPr="00C5654B" w:rsidRDefault="0006661B"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Индекс массы тела также является одним из критериев отбора донора печени</w:t>
      </w:r>
      <w:r w:rsidR="00050C03" w:rsidRPr="00170B7C">
        <w:rPr>
          <w:color w:val="000000"/>
          <w:sz w:val="28"/>
          <w:szCs w:val="28"/>
        </w:rPr>
        <w:t xml:space="preserve">, более вероятно, за счет риска развития жировой дегенерации печени. </w:t>
      </w:r>
      <w:r w:rsidR="00435770" w:rsidRPr="00170B7C">
        <w:rPr>
          <w:color w:val="000000"/>
          <w:sz w:val="28"/>
          <w:szCs w:val="28"/>
        </w:rPr>
        <w:t xml:space="preserve">Среди трансплантатов печени от посмертного </w:t>
      </w:r>
      <w:r w:rsidR="00D51710">
        <w:rPr>
          <w:sz w:val="28"/>
          <w:szCs w:val="28"/>
        </w:rPr>
        <w:t xml:space="preserve">донора Wong T. и соавт. </w:t>
      </w:r>
      <w:r w:rsidR="00435770" w:rsidRPr="00170B7C">
        <w:rPr>
          <w:rFonts w:eastAsia="Gungsuh"/>
          <w:color w:val="000000"/>
          <w:sz w:val="28"/>
          <w:szCs w:val="28"/>
        </w:rPr>
        <w:t xml:space="preserve">ретроспективно сравнили &gt;60% макровезикулярных стеатозных трансплантатов печени с &lt;60% стеатозных трансплантатов. Авторы обнаружили, что ранняя </w:t>
      </w:r>
      <w:r w:rsidR="00435770" w:rsidRPr="00170B7C">
        <w:rPr>
          <w:rFonts w:eastAsia="Gungsuh"/>
          <w:color w:val="000000"/>
          <w:sz w:val="28"/>
          <w:szCs w:val="28"/>
        </w:rPr>
        <w:lastRenderedPageBreak/>
        <w:t xml:space="preserve">дисфункция аллотрансплантата, 30-дневная смертность, а также 1- и 3-летняя общая выживаемость одинаковые в </w:t>
      </w:r>
      <w:r w:rsidR="00435770" w:rsidRPr="00C5654B">
        <w:rPr>
          <w:rFonts w:eastAsia="Gungsuh"/>
          <w:color w:val="000000"/>
          <w:sz w:val="28"/>
          <w:szCs w:val="28"/>
        </w:rPr>
        <w:t>обеих группах при условии осторожного применения. В недавнем исследовании сравнивались умершие доноры со стеатозом трансплантата ≥30% с трансплантатами со стеатозом &lt;30% и ИМТ реципиента &lt;35 по сравнению с &gt;35 кг/м</w:t>
      </w:r>
      <w:r w:rsidR="00435770" w:rsidRPr="00C60723">
        <w:rPr>
          <w:color w:val="000000"/>
          <w:sz w:val="28"/>
          <w:szCs w:val="28"/>
          <w:vertAlign w:val="superscript"/>
        </w:rPr>
        <w:t>2</w:t>
      </w:r>
      <w:r w:rsidR="00435770" w:rsidRPr="00C5654B">
        <w:rPr>
          <w:sz w:val="28"/>
          <w:szCs w:val="28"/>
        </w:rPr>
        <w:t>. О</w:t>
      </w:r>
      <w:r w:rsidR="00435770" w:rsidRPr="00C5654B">
        <w:rPr>
          <w:color w:val="000000"/>
          <w:sz w:val="28"/>
          <w:szCs w:val="28"/>
        </w:rPr>
        <w:t>бнаружено, что как высокий ИМТ, так и трансплантаты с жировой дегенерацией связаны с более высокой 30-дневной с</w:t>
      </w:r>
      <w:r w:rsidR="00D51710">
        <w:rPr>
          <w:color w:val="000000"/>
          <w:sz w:val="28"/>
          <w:szCs w:val="28"/>
        </w:rPr>
        <w:t>мертностью после трансплантации</w:t>
      </w:r>
      <w:r w:rsidR="00435770" w:rsidRPr="00C5654B">
        <w:rPr>
          <w:color w:val="000000"/>
          <w:sz w:val="28"/>
          <w:szCs w:val="28"/>
        </w:rPr>
        <w:t xml:space="preserve">. </w:t>
      </w:r>
    </w:p>
    <w:p w14:paraId="16D43898" w14:textId="77777777" w:rsidR="0006661B" w:rsidRPr="00170B7C" w:rsidRDefault="0006661B"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C5654B">
        <w:rPr>
          <w:color w:val="000000"/>
          <w:sz w:val="28"/>
          <w:szCs w:val="28"/>
        </w:rPr>
        <w:t>В наше исследовани</w:t>
      </w:r>
      <w:r w:rsidR="00050C03" w:rsidRPr="00C5654B">
        <w:rPr>
          <w:color w:val="000000"/>
          <w:sz w:val="28"/>
          <w:szCs w:val="28"/>
        </w:rPr>
        <w:t>е включены доноры</w:t>
      </w:r>
      <w:r w:rsidRPr="00C5654B">
        <w:rPr>
          <w:color w:val="000000"/>
          <w:sz w:val="28"/>
          <w:szCs w:val="28"/>
        </w:rPr>
        <w:t xml:space="preserve"> с избыточным индексом массы тела более 25.  </w:t>
      </w:r>
      <w:r w:rsidR="00050C03" w:rsidRPr="00C5654B">
        <w:rPr>
          <w:color w:val="000000"/>
          <w:sz w:val="28"/>
          <w:szCs w:val="28"/>
        </w:rPr>
        <w:t xml:space="preserve">Однако, мы </w:t>
      </w:r>
      <w:r w:rsidRPr="00C5654B">
        <w:rPr>
          <w:color w:val="000000"/>
          <w:sz w:val="28"/>
          <w:szCs w:val="28"/>
        </w:rPr>
        <w:t>не выяв</w:t>
      </w:r>
      <w:r w:rsidR="00050C03" w:rsidRPr="00C5654B">
        <w:rPr>
          <w:color w:val="000000"/>
          <w:sz w:val="28"/>
          <w:szCs w:val="28"/>
        </w:rPr>
        <w:t>или</w:t>
      </w:r>
      <w:r w:rsidRPr="00C5654B">
        <w:rPr>
          <w:color w:val="000000"/>
          <w:sz w:val="28"/>
          <w:szCs w:val="28"/>
        </w:rPr>
        <w:t xml:space="preserve"> статистически значимой связи между ИМТ и </w:t>
      </w:r>
      <w:r w:rsidRPr="00C5654B">
        <w:rPr>
          <w:color w:val="000000"/>
          <w:sz w:val="28"/>
          <w:szCs w:val="28"/>
          <w:lang w:val="en-US"/>
        </w:rPr>
        <w:t>Error</w:t>
      </w:r>
      <w:r w:rsidRPr="00C5654B">
        <w:rPr>
          <w:color w:val="000000"/>
          <w:sz w:val="28"/>
          <w:szCs w:val="28"/>
        </w:rPr>
        <w:t xml:space="preserve"> </w:t>
      </w:r>
      <w:r w:rsidRPr="00C5654B">
        <w:rPr>
          <w:color w:val="000000"/>
          <w:sz w:val="28"/>
          <w:szCs w:val="28"/>
          <w:lang w:val="en-US"/>
        </w:rPr>
        <w:t>ratio</w:t>
      </w:r>
      <w:r w:rsidRPr="00C5654B">
        <w:rPr>
          <w:color w:val="000000"/>
          <w:sz w:val="28"/>
          <w:szCs w:val="28"/>
        </w:rPr>
        <w:t xml:space="preserve"> мануального (p=0,114), полуавтоматического</w:t>
      </w:r>
      <w:r w:rsidRPr="00170B7C">
        <w:rPr>
          <w:color w:val="000000"/>
          <w:sz w:val="28"/>
          <w:szCs w:val="28"/>
        </w:rPr>
        <w:t xml:space="preserve"> (p=0,441) и автоматического (p=0,313) методов.</w:t>
      </w:r>
    </w:p>
    <w:p w14:paraId="668BDDA2" w14:textId="77777777" w:rsidR="0006661B" w:rsidRPr="00170B7C" w:rsidRDefault="0006661B"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Одним из факторов, способных влиять на точность рассчитанного объема печени донора</w:t>
      </w:r>
      <w:r w:rsidR="00050C03" w:rsidRPr="00170B7C">
        <w:rPr>
          <w:color w:val="000000"/>
          <w:sz w:val="28"/>
          <w:szCs w:val="28"/>
        </w:rPr>
        <w:t xml:space="preserve"> </w:t>
      </w:r>
      <w:r w:rsidRPr="00170B7C">
        <w:rPr>
          <w:color w:val="000000"/>
          <w:sz w:val="28"/>
          <w:szCs w:val="28"/>
        </w:rPr>
        <w:t>является количество дней от проведения КТ-волюметрии до оперативного вмешательства</w:t>
      </w:r>
      <w:r w:rsidR="00050C03" w:rsidRPr="00170B7C">
        <w:rPr>
          <w:color w:val="000000"/>
          <w:sz w:val="28"/>
          <w:szCs w:val="28"/>
        </w:rPr>
        <w:t xml:space="preserve">. Отбор потенциального донора печени, включающий физикальное, лабораторное и инструментальное обследование, а также подготовка реципиента к трансплантации также может занимать определенное количество времени. В нашем исследовании средний показатель составил почти 2 месяца, а максимальный показатель - 4,5 месяцев. </w:t>
      </w:r>
      <w:r w:rsidRPr="00170B7C">
        <w:rPr>
          <w:rFonts w:eastAsia="Calibri"/>
          <w:color w:val="000000"/>
          <w:sz w:val="28"/>
          <w:szCs w:val="28"/>
        </w:rPr>
        <w:t xml:space="preserve"> </w:t>
      </w:r>
      <w:r w:rsidR="000D2392" w:rsidRPr="00170B7C">
        <w:rPr>
          <w:color w:val="000000"/>
          <w:sz w:val="28"/>
          <w:szCs w:val="28"/>
        </w:rPr>
        <w:t>Таким образом, б</w:t>
      </w:r>
      <w:r w:rsidRPr="00170B7C">
        <w:rPr>
          <w:color w:val="000000"/>
          <w:sz w:val="28"/>
          <w:szCs w:val="28"/>
        </w:rPr>
        <w:t xml:space="preserve">ольшая разница во времени может влиять на вес, артериальное давление, развитие жирового гепатоза </w:t>
      </w:r>
      <w:r w:rsidR="00E95E9C">
        <w:rPr>
          <w:color w:val="000000"/>
          <w:sz w:val="28"/>
          <w:szCs w:val="28"/>
        </w:rPr>
        <w:t xml:space="preserve">печени </w:t>
      </w:r>
      <w:r w:rsidRPr="00170B7C">
        <w:rPr>
          <w:color w:val="000000"/>
          <w:sz w:val="28"/>
          <w:szCs w:val="28"/>
        </w:rPr>
        <w:t>донора, соответственно влиять и на результаты КТ-волюметрии</w:t>
      </w:r>
      <w:r w:rsidR="000D2392" w:rsidRPr="00170B7C">
        <w:rPr>
          <w:color w:val="000000"/>
          <w:sz w:val="28"/>
          <w:szCs w:val="28"/>
        </w:rPr>
        <w:t xml:space="preserve">. </w:t>
      </w:r>
      <w:r w:rsidRPr="00170B7C">
        <w:rPr>
          <w:color w:val="000000"/>
          <w:sz w:val="28"/>
          <w:szCs w:val="28"/>
        </w:rPr>
        <w:t xml:space="preserve"> </w:t>
      </w:r>
      <w:r w:rsidR="000D2392" w:rsidRPr="00170B7C">
        <w:rPr>
          <w:color w:val="000000"/>
          <w:sz w:val="28"/>
          <w:szCs w:val="28"/>
        </w:rPr>
        <w:t>Несмотря на то, что мы не выявили статистически значимой связи между количеством дней и точностью рассчитанного объема печени, для исключения вышеуказанных факторов рекомендуется проведение повторной КТ-волюметрии печени донора</w:t>
      </w:r>
      <w:r w:rsidR="004C5438" w:rsidRPr="00170B7C">
        <w:rPr>
          <w:color w:val="000000"/>
          <w:sz w:val="28"/>
          <w:szCs w:val="28"/>
        </w:rPr>
        <w:t xml:space="preserve"> за несколько дне</w:t>
      </w:r>
      <w:r w:rsidR="001D05BC">
        <w:rPr>
          <w:color w:val="000000"/>
          <w:sz w:val="28"/>
          <w:szCs w:val="28"/>
        </w:rPr>
        <w:t>й до планируемой трансплантации</w:t>
      </w:r>
      <w:r w:rsidR="004C5438" w:rsidRPr="00170B7C">
        <w:rPr>
          <w:color w:val="000000"/>
          <w:sz w:val="28"/>
          <w:szCs w:val="28"/>
        </w:rPr>
        <w:t>.</w:t>
      </w:r>
    </w:p>
    <w:p w14:paraId="1EC2757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Наше исследование имело несколько ограничений. Во-первых, исследование включало только правостороннюю ге</w:t>
      </w:r>
      <w:r w:rsidR="001D05BC">
        <w:rPr>
          <w:color w:val="000000"/>
          <w:sz w:val="28"/>
          <w:szCs w:val="28"/>
        </w:rPr>
        <w:t>миге</w:t>
      </w:r>
      <w:r w:rsidRPr="00170B7C">
        <w:rPr>
          <w:color w:val="000000"/>
          <w:sz w:val="28"/>
          <w:szCs w:val="28"/>
        </w:rPr>
        <w:t xml:space="preserve">патэктомию. Доноры с другими </w:t>
      </w:r>
      <w:r w:rsidR="00E95E9C">
        <w:rPr>
          <w:color w:val="000000"/>
          <w:sz w:val="28"/>
          <w:szCs w:val="28"/>
        </w:rPr>
        <w:t xml:space="preserve">видами </w:t>
      </w:r>
      <w:r w:rsidRPr="00170B7C">
        <w:rPr>
          <w:color w:val="000000"/>
          <w:sz w:val="28"/>
          <w:szCs w:val="28"/>
        </w:rPr>
        <w:t>резекц</w:t>
      </w:r>
      <w:r w:rsidR="0077006A">
        <w:rPr>
          <w:color w:val="000000"/>
          <w:sz w:val="28"/>
          <w:szCs w:val="28"/>
        </w:rPr>
        <w:t xml:space="preserve">иями не изучались (недостаточное количество </w:t>
      </w:r>
      <w:r w:rsidR="00CF03A2">
        <w:rPr>
          <w:color w:val="000000"/>
          <w:sz w:val="28"/>
          <w:szCs w:val="28"/>
        </w:rPr>
        <w:t>доноров</w:t>
      </w:r>
      <w:r w:rsidRPr="00170B7C">
        <w:rPr>
          <w:color w:val="000000"/>
          <w:sz w:val="28"/>
          <w:szCs w:val="28"/>
        </w:rPr>
        <w:t>). Во-вторых, исследования проводились только врачами-радиологами, хирурги не привлекались для проведения КТ-волюметрии печени доноров. </w:t>
      </w:r>
    </w:p>
    <w:p w14:paraId="2520C8AC" w14:textId="77777777" w:rsidR="00C700B8" w:rsidRPr="00C5654B"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Мы не включали расчеты КТ-волюметрии, проводимые хирургами в это исследование, так как это не было целью нашей работы. Однако, несмотря на одинаковые анатомические ориентиры, виртуальная резекция может незначительно отличаться от реальной</w:t>
      </w:r>
      <w:r w:rsidR="00A12FE2" w:rsidRPr="00170B7C">
        <w:rPr>
          <w:color w:val="000000"/>
          <w:sz w:val="28"/>
          <w:szCs w:val="28"/>
        </w:rPr>
        <w:t xml:space="preserve"> </w:t>
      </w:r>
      <w:r w:rsidRPr="00170B7C">
        <w:rPr>
          <w:color w:val="000000"/>
          <w:sz w:val="28"/>
          <w:szCs w:val="28"/>
        </w:rPr>
        <w:t>и тем самым</w:t>
      </w:r>
      <w:r w:rsidR="001D05BC">
        <w:rPr>
          <w:color w:val="000000"/>
          <w:sz w:val="28"/>
          <w:szCs w:val="28"/>
        </w:rPr>
        <w:t>,</w:t>
      </w:r>
      <w:r w:rsidRPr="00170B7C">
        <w:rPr>
          <w:color w:val="000000"/>
          <w:sz w:val="28"/>
          <w:szCs w:val="28"/>
        </w:rPr>
        <w:t xml:space="preserve"> влиять на несоответствие между рассчитанным объемом печени и реальным</w:t>
      </w:r>
      <w:r w:rsidR="001D05BC">
        <w:rPr>
          <w:color w:val="000000"/>
          <w:sz w:val="28"/>
          <w:szCs w:val="28"/>
        </w:rPr>
        <w:t xml:space="preserve"> весом графта</w:t>
      </w:r>
      <w:r w:rsidRPr="00170B7C">
        <w:rPr>
          <w:color w:val="000000"/>
          <w:sz w:val="28"/>
          <w:szCs w:val="28"/>
        </w:rPr>
        <w:t xml:space="preserve">. Мы убеждены, что виртуальную резекцию предпочтительнее выполнять в консенсусе с оперирующими донора хирургами при планировании трансплантации, в частности, в случаях, когда речь идет об индивидуальных особенностях строения печеночных вен для получения более точных </w:t>
      </w:r>
      <w:r w:rsidRPr="00C5654B">
        <w:rPr>
          <w:color w:val="000000"/>
          <w:sz w:val="28"/>
          <w:szCs w:val="28"/>
        </w:rPr>
        <w:t>измерений. </w:t>
      </w:r>
    </w:p>
    <w:p w14:paraId="75BF26AD" w14:textId="1147140A" w:rsidR="00B564B2" w:rsidRPr="00170B7C" w:rsidRDefault="00B564B2" w:rsidP="00170B7C">
      <w:pPr>
        <w:pStyle w:val="ab"/>
        <w:ind w:firstLine="567"/>
        <w:jc w:val="both"/>
        <w:rPr>
          <w:rFonts w:ascii="Times New Roman" w:hAnsi="Times New Roman" w:cs="Times New Roman"/>
          <w:color w:val="000000" w:themeColor="text1"/>
          <w:sz w:val="28"/>
          <w:szCs w:val="28"/>
          <w:lang w:val="ru-RU"/>
        </w:rPr>
      </w:pPr>
      <w:r w:rsidRPr="00C5654B">
        <w:rPr>
          <w:rFonts w:ascii="Times New Roman" w:hAnsi="Times New Roman" w:cs="Times New Roman"/>
          <w:sz w:val="28"/>
          <w:szCs w:val="28"/>
          <w:shd w:val="clear" w:color="auto" w:fill="FFFFFF"/>
        </w:rPr>
        <w:t>Seo</w:t>
      </w:r>
      <w:r w:rsidRPr="00C5654B">
        <w:rPr>
          <w:rFonts w:ascii="Times New Roman" w:hAnsi="Times New Roman" w:cs="Times New Roman"/>
          <w:sz w:val="28"/>
          <w:szCs w:val="28"/>
          <w:shd w:val="clear" w:color="auto" w:fill="FFFFFF"/>
          <w:lang w:val="ru-RU"/>
        </w:rPr>
        <w:t xml:space="preserve"> </w:t>
      </w:r>
      <w:r w:rsidRPr="00C5654B">
        <w:rPr>
          <w:rFonts w:ascii="Times New Roman" w:hAnsi="Times New Roman" w:cs="Times New Roman"/>
          <w:sz w:val="28"/>
          <w:szCs w:val="28"/>
          <w:shd w:val="clear" w:color="auto" w:fill="FFFFFF"/>
        </w:rPr>
        <w:t>J</w:t>
      </w:r>
      <w:r w:rsidRPr="00C5654B">
        <w:rPr>
          <w:rFonts w:ascii="Times New Roman" w:hAnsi="Times New Roman" w:cs="Times New Roman"/>
          <w:sz w:val="28"/>
          <w:szCs w:val="28"/>
          <w:lang w:val="ru-RU"/>
        </w:rPr>
        <w:t xml:space="preserve"> и соавт.</w:t>
      </w:r>
      <w:r w:rsidR="00D51710">
        <w:rPr>
          <w:rFonts w:ascii="Times New Roman" w:hAnsi="Times New Roman" w:cs="Times New Roman"/>
          <w:sz w:val="28"/>
          <w:szCs w:val="28"/>
          <w:lang w:val="ru-RU"/>
        </w:rPr>
        <w:t xml:space="preserve"> </w:t>
      </w:r>
      <w:r w:rsidRPr="00C5654B">
        <w:rPr>
          <w:rFonts w:ascii="Times New Roman" w:hAnsi="Times New Roman" w:cs="Times New Roman"/>
          <w:sz w:val="28"/>
          <w:szCs w:val="28"/>
          <w:lang w:val="ru-RU"/>
        </w:rPr>
        <w:t>включили</w:t>
      </w:r>
      <w:r w:rsidRPr="00170B7C">
        <w:rPr>
          <w:rFonts w:ascii="Times New Roman" w:hAnsi="Times New Roman" w:cs="Times New Roman"/>
          <w:sz w:val="28"/>
          <w:szCs w:val="28"/>
          <w:lang w:val="ru-RU"/>
        </w:rPr>
        <w:t xml:space="preserve"> в свое исследование </w:t>
      </w:r>
      <w:r w:rsidR="0077006A">
        <w:rPr>
          <w:rFonts w:ascii="Times New Roman" w:hAnsi="Times New Roman" w:cs="Times New Roman"/>
          <w:sz w:val="28"/>
          <w:szCs w:val="28"/>
          <w:lang w:val="ru-RU"/>
        </w:rPr>
        <w:t>реципиентов</w:t>
      </w:r>
      <w:r w:rsidRPr="00170B7C">
        <w:rPr>
          <w:rFonts w:ascii="Times New Roman" w:hAnsi="Times New Roman" w:cs="Times New Roman"/>
          <w:sz w:val="28"/>
          <w:szCs w:val="28"/>
          <w:lang w:val="ru-RU"/>
        </w:rPr>
        <w:t xml:space="preserve"> с разной этиологией развития цирроза печени, </w:t>
      </w:r>
      <w:r w:rsidRPr="00170B7C">
        <w:rPr>
          <w:rFonts w:ascii="Times New Roman" w:hAnsi="Times New Roman" w:cs="Times New Roman"/>
          <w:color w:val="000000" w:themeColor="text1"/>
          <w:sz w:val="28"/>
          <w:szCs w:val="28"/>
          <w:lang w:val="ru-RU"/>
        </w:rPr>
        <w:t>однако этиология реципиента не оказала существенного влияния на вес трансплантата</w:t>
      </w:r>
      <w:r w:rsidR="00E95E9C">
        <w:rPr>
          <w:rFonts w:ascii="Times New Roman" w:hAnsi="Times New Roman" w:cs="Times New Roman"/>
          <w:color w:val="000000" w:themeColor="text1"/>
          <w:sz w:val="28"/>
          <w:szCs w:val="28"/>
          <w:lang w:val="ru-RU"/>
        </w:rPr>
        <w:t xml:space="preserve"> в раннем послеоперационном этапе</w:t>
      </w:r>
      <w:r w:rsidRPr="00170B7C">
        <w:rPr>
          <w:rFonts w:ascii="Times New Roman" w:hAnsi="Times New Roman" w:cs="Times New Roman"/>
          <w:color w:val="000000" w:themeColor="text1"/>
          <w:sz w:val="28"/>
          <w:szCs w:val="28"/>
          <w:lang w:val="ru-RU"/>
        </w:rPr>
        <w:t>.</w:t>
      </w:r>
    </w:p>
    <w:p w14:paraId="413BC3E4" w14:textId="77777777" w:rsidR="00B564B2" w:rsidRPr="00170B7C" w:rsidRDefault="00B564B2"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lastRenderedPageBreak/>
        <w:t>В представленном исследовании в 100% случаев трансплантация печени проводилась реципиентам в исходе терминальной стадии цирроза печени. </w:t>
      </w:r>
      <w:r w:rsidRPr="00170B7C">
        <w:rPr>
          <w:rFonts w:eastAsia="Calibri"/>
          <w:color w:val="000000"/>
          <w:sz w:val="28"/>
          <w:szCs w:val="28"/>
        </w:rPr>
        <w:t>В</w:t>
      </w:r>
      <w:r w:rsidRPr="00170B7C">
        <w:rPr>
          <w:color w:val="000000"/>
          <w:sz w:val="28"/>
          <w:szCs w:val="28"/>
        </w:rPr>
        <w:t xml:space="preserve"> 43,3% случаев причиной развития цирроза стало сочетание вирусного гепатита В+D (HBV+HDV), в 11,7% случаях - ПБЦ, в 13,3% случ</w:t>
      </w:r>
      <w:r w:rsidR="00434C7A">
        <w:rPr>
          <w:color w:val="000000"/>
          <w:sz w:val="28"/>
          <w:szCs w:val="28"/>
        </w:rPr>
        <w:t>а</w:t>
      </w:r>
      <w:r w:rsidRPr="00170B7C">
        <w:rPr>
          <w:color w:val="000000"/>
          <w:sz w:val="28"/>
          <w:szCs w:val="28"/>
        </w:rPr>
        <w:t xml:space="preserve">ях – вирусный гепатит B (HBV), в 13,3% - гепатит С (HCV), в 11,7% – стеатогепатит, в 5,0% случаях - аутоиммунный гепатит, в 1,7% - цирроз в исходе синдрома Бадда-Киари. У 10% </w:t>
      </w:r>
      <w:r w:rsidR="0077006A">
        <w:rPr>
          <w:color w:val="000000"/>
          <w:sz w:val="28"/>
          <w:szCs w:val="28"/>
        </w:rPr>
        <w:t>реципиентов</w:t>
      </w:r>
      <w:r w:rsidRPr="00170B7C">
        <w:rPr>
          <w:color w:val="000000"/>
          <w:sz w:val="28"/>
          <w:szCs w:val="28"/>
        </w:rPr>
        <w:t xml:space="preserve"> на фоне цирроза печени выявлена ГЦК. Средний показатель тяжести состояния реципиентов с циррозом печени по шкале MELD составил 18,8 (минимум - 10, максимум - 27).  </w:t>
      </w:r>
    </w:p>
    <w:p w14:paraId="2CD6E436" w14:textId="15D84431"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Важность адекватного функционирования будущего объема печени для минимизации риска возникновения печеночной недостаточности после обширной </w:t>
      </w:r>
      <w:r w:rsidR="00743035">
        <w:rPr>
          <w:color w:val="000000"/>
          <w:sz w:val="28"/>
          <w:szCs w:val="28"/>
        </w:rPr>
        <w:t>резекции</w:t>
      </w:r>
      <w:r w:rsidRPr="00170B7C">
        <w:rPr>
          <w:color w:val="000000"/>
          <w:sz w:val="28"/>
          <w:szCs w:val="28"/>
        </w:rPr>
        <w:t xml:space="preserve"> хорошо известна</w:t>
      </w:r>
      <w:r w:rsidR="00D51710">
        <w:rPr>
          <w:color w:val="000000"/>
          <w:sz w:val="28"/>
          <w:szCs w:val="28"/>
        </w:rPr>
        <w:t>.</w:t>
      </w:r>
      <w:r w:rsidRPr="00170B7C">
        <w:rPr>
          <w:color w:val="000000"/>
          <w:sz w:val="28"/>
          <w:szCs w:val="28"/>
        </w:rPr>
        <w:t xml:space="preserve"> После развития родственной трансплантации в странах Азии все чаще наблюдались послеоперационные осложнения, объединенные в </w:t>
      </w:r>
      <w:r w:rsidRPr="00805A25">
        <w:rPr>
          <w:sz w:val="28"/>
          <w:szCs w:val="28"/>
        </w:rPr>
        <w:t xml:space="preserve">группу </w:t>
      </w:r>
      <w:r w:rsidR="00805A25" w:rsidRPr="00805A25">
        <w:rPr>
          <w:sz w:val="28"/>
          <w:szCs w:val="28"/>
        </w:rPr>
        <w:t>small - for - size syndrome</w:t>
      </w:r>
      <w:r w:rsidRPr="00805A25">
        <w:rPr>
          <w:sz w:val="28"/>
          <w:szCs w:val="28"/>
        </w:rPr>
        <w:t>. На</w:t>
      </w:r>
      <w:r w:rsidRPr="00170B7C">
        <w:rPr>
          <w:color w:val="000000"/>
          <w:sz w:val="28"/>
          <w:szCs w:val="28"/>
        </w:rPr>
        <w:t xml:space="preserve"> развитие данного синдрома влияет множество факторов, такие как предоперационное состояние </w:t>
      </w:r>
      <w:r w:rsidR="0077006A">
        <w:rPr>
          <w:color w:val="000000"/>
          <w:sz w:val="28"/>
          <w:szCs w:val="28"/>
        </w:rPr>
        <w:t>реципиента</w:t>
      </w:r>
      <w:r w:rsidRPr="00170B7C">
        <w:rPr>
          <w:color w:val="000000"/>
          <w:sz w:val="28"/>
          <w:szCs w:val="28"/>
        </w:rPr>
        <w:t>, хирургическая тактика, качество и размер графта.  </w:t>
      </w:r>
    </w:p>
    <w:p w14:paraId="4AFDB20D" w14:textId="5C81EE48"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Определение </w:t>
      </w:r>
      <w:r w:rsidR="00805A25" w:rsidRPr="00805A25">
        <w:rPr>
          <w:sz w:val="28"/>
          <w:szCs w:val="28"/>
        </w:rPr>
        <w:t>small - for - size syndrome</w:t>
      </w:r>
      <w:r w:rsidRPr="00805A25">
        <w:rPr>
          <w:sz w:val="28"/>
          <w:szCs w:val="28"/>
        </w:rPr>
        <w:t xml:space="preserve"> различалось</w:t>
      </w:r>
      <w:r w:rsidR="00D51710">
        <w:rPr>
          <w:color w:val="000000"/>
          <w:sz w:val="28"/>
          <w:szCs w:val="28"/>
        </w:rPr>
        <w:t xml:space="preserve"> в разных источниках</w:t>
      </w:r>
      <w:r w:rsidRPr="00170B7C">
        <w:rPr>
          <w:color w:val="000000"/>
          <w:sz w:val="28"/>
          <w:szCs w:val="28"/>
        </w:rPr>
        <w:t xml:space="preserve">. </w:t>
      </w:r>
      <w:r w:rsidR="00243209">
        <w:rPr>
          <w:color w:val="000000"/>
          <w:sz w:val="28"/>
          <w:szCs w:val="28"/>
        </w:rPr>
        <w:t>Так, группа авторов</w:t>
      </w:r>
      <w:r w:rsidRPr="00170B7C">
        <w:rPr>
          <w:color w:val="000000"/>
          <w:sz w:val="28"/>
          <w:szCs w:val="28"/>
        </w:rPr>
        <w:t xml:space="preserve"> определили критерии синдрома как уровень общего билирубина &gt;5 мг/дл (который впоследствии изменен до 10 мг/дл (~170 ммоль/л) на 14-ый послеоперационный день, асцит более 1 литра на 14-ый постоперационный день или более 500 мл на 28-ой послеоперационный день</w:t>
      </w:r>
      <w:r w:rsidR="00E95E9C">
        <w:rPr>
          <w:color w:val="000000"/>
          <w:sz w:val="28"/>
          <w:szCs w:val="28"/>
        </w:rPr>
        <w:t>. В</w:t>
      </w:r>
      <w:r w:rsidRPr="00170B7C">
        <w:rPr>
          <w:color w:val="000000"/>
          <w:sz w:val="28"/>
          <w:szCs w:val="28"/>
        </w:rPr>
        <w:t xml:space="preserve"> исследовании 36 реципиентов печени разделили на две группы на основе критериев и сравнили их демографические данные. </w:t>
      </w:r>
      <w:r w:rsidR="008377E8">
        <w:rPr>
          <w:color w:val="000000"/>
          <w:sz w:val="28"/>
          <w:szCs w:val="28"/>
        </w:rPr>
        <w:t>Реципиенты</w:t>
      </w:r>
      <w:r w:rsidRPr="00170B7C">
        <w:rPr>
          <w:color w:val="000000"/>
          <w:sz w:val="28"/>
          <w:szCs w:val="28"/>
        </w:rPr>
        <w:t xml:space="preserve"> с циррозом печени имели значительно более высокую частоту </w:t>
      </w:r>
      <w:r w:rsidR="00805A25" w:rsidRPr="00805A25">
        <w:rPr>
          <w:sz w:val="28"/>
          <w:szCs w:val="28"/>
        </w:rPr>
        <w:t>small - for - size syndrome</w:t>
      </w:r>
      <w:r w:rsidRPr="00170B7C">
        <w:rPr>
          <w:color w:val="000000"/>
          <w:sz w:val="28"/>
          <w:szCs w:val="28"/>
        </w:rPr>
        <w:t xml:space="preserve">. </w:t>
      </w:r>
      <w:r w:rsidR="0077006A" w:rsidRPr="00805A25">
        <w:rPr>
          <w:sz w:val="28"/>
          <w:szCs w:val="28"/>
        </w:rPr>
        <w:t xml:space="preserve">Реципиенты </w:t>
      </w:r>
      <w:r w:rsidRPr="00805A25">
        <w:rPr>
          <w:sz w:val="28"/>
          <w:szCs w:val="28"/>
        </w:rPr>
        <w:t xml:space="preserve"> с </w:t>
      </w:r>
      <w:r w:rsidR="00805A25" w:rsidRPr="00805A25">
        <w:rPr>
          <w:sz w:val="28"/>
          <w:szCs w:val="28"/>
        </w:rPr>
        <w:t>small - for - size syndrome</w:t>
      </w:r>
      <w:r w:rsidR="00805A25" w:rsidRPr="00805A25">
        <w:rPr>
          <w:color w:val="FF0000"/>
          <w:sz w:val="28"/>
          <w:szCs w:val="28"/>
        </w:rPr>
        <w:t xml:space="preserve"> </w:t>
      </w:r>
      <w:r w:rsidRPr="00170B7C">
        <w:rPr>
          <w:color w:val="000000"/>
          <w:sz w:val="28"/>
          <w:szCs w:val="28"/>
        </w:rPr>
        <w:t xml:space="preserve">показали относительно низкую выживаемость трансплантата по сравнению с </w:t>
      </w:r>
      <w:r w:rsidR="0077006A">
        <w:rPr>
          <w:color w:val="000000"/>
          <w:sz w:val="28"/>
          <w:szCs w:val="28"/>
        </w:rPr>
        <w:t xml:space="preserve">реципиентами </w:t>
      </w:r>
      <w:r w:rsidR="00D51710">
        <w:rPr>
          <w:color w:val="000000"/>
          <w:sz w:val="28"/>
          <w:szCs w:val="28"/>
        </w:rPr>
        <w:t>без синдрома</w:t>
      </w:r>
      <w:r w:rsidRPr="00170B7C">
        <w:rPr>
          <w:color w:val="000000"/>
          <w:sz w:val="28"/>
          <w:szCs w:val="28"/>
        </w:rPr>
        <w:t>.</w:t>
      </w:r>
    </w:p>
    <w:p w14:paraId="01A46CAD" w14:textId="77777777" w:rsidR="00C700B8" w:rsidRPr="00170B7C" w:rsidRDefault="00805A25"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805A25">
        <w:rPr>
          <w:sz w:val="28"/>
          <w:szCs w:val="28"/>
          <w:lang w:val="en-US"/>
        </w:rPr>
        <w:t>S</w:t>
      </w:r>
      <w:r w:rsidRPr="00805A25">
        <w:rPr>
          <w:sz w:val="28"/>
          <w:szCs w:val="28"/>
        </w:rPr>
        <w:t xml:space="preserve">mall - for - size syndrome </w:t>
      </w:r>
      <w:r w:rsidR="00984194" w:rsidRPr="00805A25">
        <w:rPr>
          <w:sz w:val="28"/>
          <w:szCs w:val="28"/>
        </w:rPr>
        <w:t>выставляется</w:t>
      </w:r>
      <w:r w:rsidR="00984194" w:rsidRPr="00170B7C">
        <w:rPr>
          <w:color w:val="000000"/>
          <w:sz w:val="28"/>
          <w:szCs w:val="28"/>
        </w:rPr>
        <w:t xml:space="preserve"> в случае соотношения веса трансплантата к весу реципиента &lt;0,8%. Данный синдром </w:t>
      </w:r>
      <w:r w:rsidR="002F3146" w:rsidRPr="00170B7C">
        <w:rPr>
          <w:color w:val="000000"/>
          <w:sz w:val="28"/>
          <w:szCs w:val="28"/>
        </w:rPr>
        <w:t xml:space="preserve">определяется </w:t>
      </w:r>
      <w:r w:rsidR="00274D3C" w:rsidRPr="00170B7C">
        <w:rPr>
          <w:color w:val="000000"/>
          <w:sz w:val="28"/>
          <w:szCs w:val="28"/>
        </w:rPr>
        <w:t xml:space="preserve">при наличии следующих клинических проявлений: общий билирубин &gt;100 мкмоль/л; международное нормализованное отношение (МНО) &gt;2, асцит и энцефалопатия 3 или 4 степени. Несмотря на то, что в нашем исследовании всем </w:t>
      </w:r>
      <w:r w:rsidR="004C5438" w:rsidRPr="00170B7C">
        <w:rPr>
          <w:color w:val="000000"/>
          <w:sz w:val="28"/>
          <w:szCs w:val="28"/>
        </w:rPr>
        <w:t>реципиентам пересажен</w:t>
      </w:r>
      <w:r w:rsidR="00274D3C" w:rsidRPr="00170B7C">
        <w:rPr>
          <w:color w:val="000000"/>
          <w:sz w:val="28"/>
          <w:szCs w:val="28"/>
        </w:rPr>
        <w:t xml:space="preserve"> достаточный объем печени (отношение веса графта к массе тела реципиента составило 1,2±0,2%), у 15% (9/60) </w:t>
      </w:r>
      <w:r w:rsidR="0077006A">
        <w:rPr>
          <w:color w:val="000000"/>
          <w:sz w:val="28"/>
          <w:szCs w:val="28"/>
        </w:rPr>
        <w:t>реципиентов</w:t>
      </w:r>
      <w:r w:rsidR="00274D3C" w:rsidRPr="00170B7C">
        <w:rPr>
          <w:color w:val="000000"/>
          <w:sz w:val="28"/>
          <w:szCs w:val="28"/>
        </w:rPr>
        <w:t xml:space="preserve"> в раннем послеоперационном периоде наблюдался </w:t>
      </w:r>
      <w:r w:rsidRPr="00805A25">
        <w:rPr>
          <w:sz w:val="28"/>
          <w:szCs w:val="28"/>
        </w:rPr>
        <w:t>small - for - size syndrome</w:t>
      </w:r>
      <w:r w:rsidRPr="00805A25">
        <w:rPr>
          <w:color w:val="FF0000"/>
          <w:sz w:val="28"/>
          <w:szCs w:val="28"/>
        </w:rPr>
        <w:t xml:space="preserve"> </w:t>
      </w:r>
      <w:r w:rsidR="00984194" w:rsidRPr="00170B7C">
        <w:rPr>
          <w:color w:val="000000"/>
          <w:sz w:val="28"/>
          <w:szCs w:val="28"/>
        </w:rPr>
        <w:t xml:space="preserve">(гипербилирубинемия, гиперкоагулопатия, асцит и энцефалопатия). </w:t>
      </w:r>
    </w:p>
    <w:p w14:paraId="1BE9D50F" w14:textId="6DCA9B3A" w:rsidR="00C700B8" w:rsidRPr="00C5654B"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Средний показатель МНО у всех реципиентов послеоперационном периоде составил 1,9%, средний показатель общего билирубина составил 81 ммоль/л. У 36% (15/42) </w:t>
      </w:r>
      <w:r w:rsidR="0077006A">
        <w:rPr>
          <w:color w:val="000000"/>
          <w:sz w:val="28"/>
          <w:szCs w:val="28"/>
        </w:rPr>
        <w:t>реципиентов</w:t>
      </w:r>
      <w:r w:rsidRPr="00170B7C">
        <w:rPr>
          <w:color w:val="000000"/>
          <w:sz w:val="28"/>
          <w:szCs w:val="28"/>
        </w:rPr>
        <w:t xml:space="preserve"> наблюдался асцит (объем жидкости &gt;1 л), у 9% (4/42) </w:t>
      </w:r>
      <w:r w:rsidR="002E5DED">
        <w:rPr>
          <w:color w:val="000000"/>
          <w:sz w:val="28"/>
          <w:szCs w:val="28"/>
        </w:rPr>
        <w:t>реципиентов</w:t>
      </w:r>
      <w:r w:rsidRPr="00170B7C">
        <w:rPr>
          <w:color w:val="000000"/>
          <w:sz w:val="28"/>
          <w:szCs w:val="28"/>
        </w:rPr>
        <w:t xml:space="preserve"> - признаки энцефалопатии. У 17,4% (4/23) </w:t>
      </w:r>
      <w:r w:rsidR="002E5DED">
        <w:rPr>
          <w:color w:val="000000"/>
          <w:sz w:val="28"/>
          <w:szCs w:val="28"/>
        </w:rPr>
        <w:t>реципиентов</w:t>
      </w:r>
      <w:r w:rsidRPr="00170B7C">
        <w:rPr>
          <w:color w:val="000000"/>
          <w:sz w:val="28"/>
          <w:szCs w:val="28"/>
        </w:rPr>
        <w:t xml:space="preserve"> развился гепатопульмональный синдром, это редкое и серьезное осложнение, которое может возникнуть после трансплантации печени. Данный синдром характеризуется нарушением функции легких у </w:t>
      </w:r>
      <w:r w:rsidR="0077006A">
        <w:rPr>
          <w:color w:val="000000"/>
          <w:sz w:val="28"/>
          <w:szCs w:val="28"/>
        </w:rPr>
        <w:t>реципиентов</w:t>
      </w:r>
      <w:r w:rsidRPr="00170B7C">
        <w:rPr>
          <w:color w:val="000000"/>
          <w:sz w:val="28"/>
          <w:szCs w:val="28"/>
        </w:rPr>
        <w:t xml:space="preserve"> с печеночной недостаточностью. Он проявляется в виде кислородной недостаточности и дыхательных проблем. Этот синдром может возникнуть из-за расширения </w:t>
      </w:r>
      <w:r w:rsidRPr="00170B7C">
        <w:rPr>
          <w:color w:val="000000"/>
          <w:sz w:val="28"/>
          <w:szCs w:val="28"/>
        </w:rPr>
        <w:lastRenderedPageBreak/>
        <w:t xml:space="preserve">сосудов в легких (портопульмональной гипертензии), что является частым симптомом </w:t>
      </w:r>
      <w:r w:rsidRPr="00C5654B">
        <w:rPr>
          <w:color w:val="000000"/>
          <w:sz w:val="28"/>
          <w:szCs w:val="28"/>
        </w:rPr>
        <w:t>цирроза печени.  </w:t>
      </w:r>
      <w:r w:rsidR="00984194" w:rsidRPr="00C5654B">
        <w:rPr>
          <w:color w:val="000000"/>
          <w:sz w:val="28"/>
          <w:szCs w:val="28"/>
        </w:rPr>
        <w:t>При достаточном соотношении веса трансплантата к весу реципиента и своевременном лечении вероятность купирования данного синдрома повышается. </w:t>
      </w:r>
    </w:p>
    <w:p w14:paraId="749F5A5E" w14:textId="36F27724" w:rsidR="00984194" w:rsidRPr="00C5654B" w:rsidRDefault="00984194" w:rsidP="00B1360D">
      <w:pPr>
        <w:ind w:firstLine="708"/>
        <w:jc w:val="both"/>
        <w:rPr>
          <w:sz w:val="28"/>
          <w:szCs w:val="28"/>
        </w:rPr>
      </w:pPr>
      <w:r w:rsidRPr="00C5654B">
        <w:rPr>
          <w:color w:val="000000"/>
          <w:sz w:val="28"/>
          <w:szCs w:val="28"/>
        </w:rPr>
        <w:t>В случае соотношения веса трансплантата к весу реципиента между 0,7% и 0,8%, при отсутствии другого донора</w:t>
      </w:r>
      <w:r w:rsidRPr="00170B7C">
        <w:rPr>
          <w:color w:val="000000"/>
          <w:sz w:val="28"/>
          <w:szCs w:val="28"/>
        </w:rPr>
        <w:t xml:space="preserve"> печени </w:t>
      </w:r>
      <w:r w:rsidRPr="00F473B7">
        <w:rPr>
          <w:color w:val="000000"/>
          <w:sz w:val="28"/>
          <w:szCs w:val="28"/>
        </w:rPr>
        <w:t>инраоперационно</w:t>
      </w:r>
      <w:r w:rsidRPr="00170B7C">
        <w:rPr>
          <w:color w:val="000000"/>
          <w:sz w:val="28"/>
          <w:szCs w:val="28"/>
        </w:rPr>
        <w:t xml:space="preserve"> проводится модуляция портального кровотока</w:t>
      </w:r>
      <w:r w:rsidR="00CF03A2">
        <w:rPr>
          <w:color w:val="000000"/>
          <w:sz w:val="28"/>
          <w:szCs w:val="28"/>
        </w:rPr>
        <w:t xml:space="preserve"> </w:t>
      </w:r>
      <w:r w:rsidRPr="00170B7C">
        <w:rPr>
          <w:color w:val="000000"/>
          <w:sz w:val="28"/>
          <w:szCs w:val="28"/>
        </w:rPr>
        <w:t xml:space="preserve">- комбинированная перевязка либо эмболизация селезеночной артерии или спленэктомия. При этом основным критерием для трансплантации графта с соотношением веса трансплантата к весу реципиента менее 0,8% являются стабильные </w:t>
      </w:r>
      <w:r w:rsidR="0077006A">
        <w:rPr>
          <w:color w:val="000000"/>
          <w:sz w:val="28"/>
          <w:szCs w:val="28"/>
        </w:rPr>
        <w:t>реципиенты</w:t>
      </w:r>
      <w:r w:rsidRPr="00170B7C">
        <w:rPr>
          <w:color w:val="000000"/>
          <w:sz w:val="28"/>
          <w:szCs w:val="28"/>
        </w:rPr>
        <w:t xml:space="preserve"> с классом А по Чайлд-Пью.</w:t>
      </w:r>
      <w:r w:rsidR="00EC7D1B">
        <w:rPr>
          <w:color w:val="000000"/>
          <w:sz w:val="28"/>
          <w:szCs w:val="28"/>
        </w:rPr>
        <w:t xml:space="preserve"> </w:t>
      </w:r>
      <w:r w:rsidRPr="00170B7C">
        <w:rPr>
          <w:sz w:val="28"/>
          <w:szCs w:val="28"/>
        </w:rPr>
        <w:t xml:space="preserve">Минимальный объем остаточной печени зависит также от институциональной политики по </w:t>
      </w:r>
      <w:r w:rsidRPr="00C5654B">
        <w:rPr>
          <w:sz w:val="28"/>
          <w:szCs w:val="28"/>
        </w:rPr>
        <w:t xml:space="preserve">приемлемым уровням смертности. Хотя теоретически низкий объем остаточной печени может позволять безопасную резекцию, послеоперационные осложнения, такие как сепсис, могут серьезно сказаться на выживаемости </w:t>
      </w:r>
      <w:r w:rsidR="0077006A">
        <w:rPr>
          <w:sz w:val="28"/>
          <w:szCs w:val="28"/>
        </w:rPr>
        <w:t>реципиента</w:t>
      </w:r>
      <w:r w:rsidRPr="00C5654B">
        <w:rPr>
          <w:sz w:val="28"/>
          <w:szCs w:val="28"/>
        </w:rPr>
        <w:t>, если остаточная печень не способна адекватно реагировать на внешние воздействия</w:t>
      </w:r>
      <w:r w:rsidR="005A3A1C" w:rsidRPr="00C5654B">
        <w:rPr>
          <w:sz w:val="28"/>
          <w:szCs w:val="28"/>
        </w:rPr>
        <w:t>.</w:t>
      </w:r>
      <w:r w:rsidRPr="00C5654B">
        <w:rPr>
          <w:i/>
          <w:iCs/>
          <w:sz w:val="28"/>
          <w:szCs w:val="28"/>
        </w:rPr>
        <w:t xml:space="preserve"> </w:t>
      </w:r>
    </w:p>
    <w:p w14:paraId="205ABD27" w14:textId="77777777" w:rsidR="00984194" w:rsidRPr="00C5654B" w:rsidRDefault="00984194"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themeColor="text1"/>
          <w:sz w:val="28"/>
          <w:szCs w:val="28"/>
        </w:rPr>
      </w:pPr>
      <w:r w:rsidRPr="00C5654B">
        <w:rPr>
          <w:color w:val="000000"/>
          <w:sz w:val="28"/>
          <w:szCs w:val="28"/>
        </w:rPr>
        <w:t xml:space="preserve">Мы не проводили сравнительный анализ развития </w:t>
      </w:r>
      <w:r w:rsidR="00805A25" w:rsidRPr="00805A25">
        <w:rPr>
          <w:color w:val="000000"/>
          <w:sz w:val="28"/>
          <w:szCs w:val="28"/>
        </w:rPr>
        <w:t>small - for - size syndrome</w:t>
      </w:r>
      <w:r w:rsidR="00A94A84" w:rsidRPr="00A94A84">
        <w:rPr>
          <w:color w:val="000000"/>
          <w:sz w:val="28"/>
          <w:szCs w:val="28"/>
        </w:rPr>
        <w:t xml:space="preserve"> </w:t>
      </w:r>
      <w:r w:rsidR="00A94A84">
        <w:rPr>
          <w:color w:val="000000"/>
          <w:sz w:val="28"/>
          <w:szCs w:val="28"/>
        </w:rPr>
        <w:t xml:space="preserve">у реципиентов </w:t>
      </w:r>
      <w:r w:rsidRPr="00C5654B">
        <w:rPr>
          <w:color w:val="000000"/>
          <w:sz w:val="28"/>
          <w:szCs w:val="28"/>
        </w:rPr>
        <w:t xml:space="preserve"> с отношением веса трансплантата к весу реципиента менее 0,8% и более </w:t>
      </w:r>
      <w:r w:rsidRPr="00C5654B">
        <w:rPr>
          <w:color w:val="000000" w:themeColor="text1"/>
          <w:sz w:val="28"/>
          <w:szCs w:val="28"/>
        </w:rPr>
        <w:t xml:space="preserve">0,8%. Для проведения подобного исследования необходима достаточная выборка </w:t>
      </w:r>
      <w:r w:rsidR="002D2B3D">
        <w:rPr>
          <w:color w:val="000000" w:themeColor="text1"/>
          <w:sz w:val="28"/>
          <w:szCs w:val="28"/>
        </w:rPr>
        <w:t>реципиентов</w:t>
      </w:r>
      <w:r w:rsidRPr="00C5654B">
        <w:rPr>
          <w:color w:val="000000" w:themeColor="text1"/>
          <w:sz w:val="28"/>
          <w:szCs w:val="28"/>
        </w:rPr>
        <w:t>, где GRWR составит &lt;0,8%, что не соответствует критериям включения нашего исследования. Подобный опыт также опасен повышением риска развития послеоперационных осложнений реципиента.  </w:t>
      </w:r>
    </w:p>
    <w:p w14:paraId="541739BD" w14:textId="2C7E626A" w:rsidR="002F3146" w:rsidRPr="00F473B7" w:rsidRDefault="00F473B7" w:rsidP="00F473B7">
      <w:pPr>
        <w:ind w:firstLine="708"/>
        <w:jc w:val="both"/>
        <w:rPr>
          <w:sz w:val="28"/>
          <w:szCs w:val="28"/>
        </w:rPr>
      </w:pPr>
      <w:r w:rsidRPr="00C5654B">
        <w:rPr>
          <w:color w:val="000000" w:themeColor="text1"/>
          <w:sz w:val="28"/>
          <w:szCs w:val="28"/>
        </w:rPr>
        <w:t>Ряд авторов</w:t>
      </w:r>
      <w:r w:rsidR="00F740A9" w:rsidRPr="00C5654B">
        <w:rPr>
          <w:color w:val="000000" w:themeColor="text1"/>
          <w:sz w:val="28"/>
          <w:szCs w:val="28"/>
        </w:rPr>
        <w:t xml:space="preserve"> отметили, что резекция печени считается безопасной при остаточном объеме &gt;20% для здоровой печени, &gt;30% в случае фиброза и &gt;40% при циррозе. </w:t>
      </w:r>
      <w:r w:rsidRPr="00C5654B">
        <w:rPr>
          <w:color w:val="000000" w:themeColor="text1"/>
          <w:sz w:val="28"/>
          <w:szCs w:val="28"/>
        </w:rPr>
        <w:t xml:space="preserve">Другие авторы </w:t>
      </w:r>
      <w:r>
        <w:rPr>
          <w:sz w:val="28"/>
          <w:szCs w:val="28"/>
        </w:rPr>
        <w:t>напротив,</w:t>
      </w:r>
      <w:r w:rsidR="00F740A9" w:rsidRPr="00170B7C">
        <w:rPr>
          <w:sz w:val="28"/>
          <w:szCs w:val="28"/>
        </w:rPr>
        <w:t xml:space="preserve"> утверждают, что безопасный предел для </w:t>
      </w:r>
      <w:r w:rsidR="009F3B62">
        <w:rPr>
          <w:sz w:val="28"/>
          <w:szCs w:val="28"/>
        </w:rPr>
        <w:t>реципиентов</w:t>
      </w:r>
      <w:r w:rsidR="00F740A9" w:rsidRPr="00170B7C">
        <w:rPr>
          <w:sz w:val="28"/>
          <w:szCs w:val="28"/>
        </w:rPr>
        <w:t xml:space="preserve"> с циррозом составляет &gt;50%. </w:t>
      </w:r>
      <w:r>
        <w:rPr>
          <w:sz w:val="28"/>
          <w:szCs w:val="28"/>
        </w:rPr>
        <w:t>Авторы</w:t>
      </w:r>
      <w:r w:rsidR="00F740A9" w:rsidRPr="00170B7C">
        <w:rPr>
          <w:sz w:val="28"/>
          <w:szCs w:val="28"/>
        </w:rPr>
        <w:t xml:space="preserve"> высказали мнение, что соотношение объема остаточной печени к массе тела является более специфичным критерием, чем традиционное соотношение остаточной печени к общему объему, и предложили, что значение &lt;0,5% может служить новым порогом для оценки послеоперационной печеночной дисфункц</w:t>
      </w:r>
      <w:r w:rsidR="00434C7A">
        <w:rPr>
          <w:sz w:val="28"/>
          <w:szCs w:val="28"/>
        </w:rPr>
        <w:t>и</w:t>
      </w:r>
      <w:r w:rsidR="00F740A9" w:rsidRPr="00170B7C">
        <w:rPr>
          <w:sz w:val="28"/>
          <w:szCs w:val="28"/>
        </w:rPr>
        <w:t>и</w:t>
      </w:r>
      <w:r w:rsidR="00DE2FBC" w:rsidRPr="00170B7C">
        <w:rPr>
          <w:sz w:val="28"/>
          <w:szCs w:val="28"/>
        </w:rPr>
        <w:t xml:space="preserve">. </w:t>
      </w:r>
      <w:r>
        <w:rPr>
          <w:sz w:val="28"/>
          <w:szCs w:val="28"/>
        </w:rPr>
        <w:t>Н</w:t>
      </w:r>
      <w:r w:rsidR="00F740A9" w:rsidRPr="00170B7C">
        <w:rPr>
          <w:sz w:val="28"/>
          <w:szCs w:val="28"/>
        </w:rPr>
        <w:t>а более поздних стадиях цирроза наблюдается снижение соотношения общего объема печени к стандартному объему. Это подчеркивает предоперационное неравновесие между функцией и объемом печени, которое может негативно сказаться на послеоперационной регенерации</w:t>
      </w:r>
      <w:r w:rsidR="00DE2FBC" w:rsidRPr="00170B7C">
        <w:rPr>
          <w:sz w:val="28"/>
          <w:szCs w:val="28"/>
          <w:shd w:val="clear" w:color="auto" w:fill="FFFFFF"/>
        </w:rPr>
        <w:t>.</w:t>
      </w:r>
    </w:p>
    <w:p w14:paraId="1A0EE6D2" w14:textId="0875E137" w:rsidR="002F3146" w:rsidRPr="00170B7C" w:rsidRDefault="002F3146" w:rsidP="00170B7C">
      <w:pPr>
        <w:pStyle w:val="ab"/>
        <w:ind w:firstLine="567"/>
        <w:jc w:val="both"/>
        <w:rPr>
          <w:rFonts w:ascii="Times New Roman" w:hAnsi="Times New Roman" w:cs="Times New Roman"/>
          <w:color w:val="000000" w:themeColor="text1"/>
          <w:sz w:val="28"/>
          <w:szCs w:val="28"/>
          <w:shd w:val="clear" w:color="auto" w:fill="FFFFFF"/>
          <w:lang w:val="ru-RU"/>
        </w:rPr>
      </w:pPr>
      <w:r w:rsidRPr="00170B7C">
        <w:rPr>
          <w:rFonts w:ascii="Times New Roman" w:hAnsi="Times New Roman" w:cs="Times New Roman"/>
          <w:color w:val="000000" w:themeColor="text1"/>
          <w:sz w:val="28"/>
          <w:szCs w:val="28"/>
          <w:shd w:val="clear" w:color="auto" w:fill="FFFFFF"/>
          <w:lang w:val="ru-RU"/>
        </w:rPr>
        <w:t xml:space="preserve">В послеоперационном периоде </w:t>
      </w:r>
      <w:r w:rsidR="00B564B2" w:rsidRPr="00170B7C">
        <w:rPr>
          <w:rFonts w:ascii="Times New Roman" w:hAnsi="Times New Roman" w:cs="Times New Roman"/>
          <w:color w:val="000000" w:themeColor="text1"/>
          <w:sz w:val="28"/>
          <w:szCs w:val="28"/>
          <w:shd w:val="clear" w:color="auto" w:fill="FFFFFF"/>
          <w:lang w:val="ru-RU"/>
        </w:rPr>
        <w:t xml:space="preserve">реципиента </w:t>
      </w:r>
      <w:r w:rsidRPr="00170B7C">
        <w:rPr>
          <w:rFonts w:ascii="Times New Roman" w:hAnsi="Times New Roman" w:cs="Times New Roman"/>
          <w:color w:val="000000" w:themeColor="text1"/>
          <w:sz w:val="28"/>
          <w:szCs w:val="28"/>
          <w:shd w:val="clear" w:color="auto" w:fill="FFFFFF"/>
          <w:lang w:val="ru-RU"/>
        </w:rPr>
        <w:t xml:space="preserve">летальный исход наблюдался в 8,3% (5/60) случаев вследствие осложнений не совместимых с жизнью, в 8,3% (5/60) случаев проведена релапаротомия, в 6,6% (4/60) случаев – спленэктомия, в остальных 76,8% (47/60) случаев осложнения не наблюдались либо купировались консервативным лечением. Наиболее частыми послеоперационными </w:t>
      </w:r>
      <w:r w:rsidR="00B564B2" w:rsidRPr="00170B7C">
        <w:rPr>
          <w:rFonts w:ascii="Times New Roman" w:hAnsi="Times New Roman" w:cs="Times New Roman"/>
          <w:color w:val="000000" w:themeColor="text1"/>
          <w:sz w:val="28"/>
          <w:szCs w:val="28"/>
          <w:shd w:val="clear" w:color="auto" w:fill="FFFFFF"/>
          <w:lang w:val="ru-RU"/>
        </w:rPr>
        <w:t>осложнениями</w:t>
      </w:r>
      <w:r w:rsidRPr="00170B7C">
        <w:rPr>
          <w:rFonts w:ascii="Times New Roman" w:hAnsi="Times New Roman" w:cs="Times New Roman"/>
          <w:color w:val="000000" w:themeColor="text1"/>
          <w:sz w:val="28"/>
          <w:szCs w:val="28"/>
          <w:shd w:val="clear" w:color="auto" w:fill="FFFFFF"/>
          <w:lang w:val="ru-RU"/>
        </w:rPr>
        <w:t xml:space="preserve"> донора </w:t>
      </w:r>
      <w:r w:rsidR="00B564B2" w:rsidRPr="00170B7C">
        <w:rPr>
          <w:rFonts w:ascii="Times New Roman" w:hAnsi="Times New Roman" w:cs="Times New Roman"/>
          <w:color w:val="000000" w:themeColor="text1"/>
          <w:sz w:val="28"/>
          <w:szCs w:val="28"/>
          <w:shd w:val="clear" w:color="auto" w:fill="FFFFFF"/>
          <w:lang w:val="ru-RU"/>
        </w:rPr>
        <w:t>являются</w:t>
      </w:r>
      <w:r w:rsidRPr="00170B7C">
        <w:rPr>
          <w:rFonts w:ascii="Times New Roman" w:hAnsi="Times New Roman" w:cs="Times New Roman"/>
          <w:color w:val="000000" w:themeColor="text1"/>
          <w:sz w:val="28"/>
          <w:szCs w:val="28"/>
          <w:shd w:val="clear" w:color="auto" w:fill="FFFFFF"/>
          <w:lang w:val="ru-RU"/>
        </w:rPr>
        <w:t xml:space="preserve"> </w:t>
      </w:r>
      <w:r w:rsidR="00B564B2" w:rsidRPr="00170B7C">
        <w:rPr>
          <w:rFonts w:ascii="Times New Roman" w:hAnsi="Times New Roman" w:cs="Times New Roman"/>
          <w:color w:val="000000" w:themeColor="text1"/>
          <w:sz w:val="28"/>
          <w:szCs w:val="28"/>
          <w:shd w:val="clear" w:color="auto" w:fill="FFFFFF"/>
          <w:lang w:val="ru-RU"/>
        </w:rPr>
        <w:t xml:space="preserve">несостоятельность билиарного анастомоза либо его стриктура, наиболее частыми послеоперационными осложнениями реципиента также являются стриктура билиарного анастомоза, осложнения артериального и порто-портального </w:t>
      </w:r>
      <w:r w:rsidR="00B564B2" w:rsidRPr="00170B7C">
        <w:rPr>
          <w:rFonts w:ascii="Times New Roman" w:hAnsi="Times New Roman" w:cs="Times New Roman"/>
          <w:color w:val="000000" w:themeColor="text1"/>
          <w:sz w:val="28"/>
          <w:szCs w:val="28"/>
          <w:shd w:val="clear" w:color="auto" w:fill="FFFFFF"/>
          <w:lang w:val="ru-RU"/>
        </w:rPr>
        <w:lastRenderedPageBreak/>
        <w:t>анастомозов, которые легко корректируются мини инвазивными методами</w:t>
      </w:r>
      <w:r w:rsidR="001D0D81" w:rsidRPr="001D0D81">
        <w:rPr>
          <w:rFonts w:ascii="Times New Roman" w:hAnsi="Times New Roman" w:cs="Times New Roman"/>
          <w:color w:val="000000" w:themeColor="text1"/>
          <w:sz w:val="28"/>
          <w:szCs w:val="28"/>
          <w:shd w:val="clear" w:color="auto" w:fill="FFFFFF"/>
          <w:lang w:val="ru-RU"/>
        </w:rPr>
        <w:t xml:space="preserve"> </w:t>
      </w:r>
      <w:r w:rsidR="00EE06CA">
        <w:rPr>
          <w:rFonts w:ascii="Times New Roman" w:hAnsi="Times New Roman" w:cs="Times New Roman"/>
          <w:color w:val="000000" w:themeColor="text1"/>
          <w:sz w:val="28"/>
          <w:szCs w:val="28"/>
          <w:shd w:val="clear" w:color="auto" w:fill="FFFFFF"/>
          <w:lang w:val="ru-RU"/>
        </w:rPr>
        <w:t>лечения</w:t>
      </w:r>
      <w:r w:rsidR="00B564B2" w:rsidRPr="00170B7C">
        <w:rPr>
          <w:rFonts w:ascii="Times New Roman" w:hAnsi="Times New Roman" w:cs="Times New Roman"/>
          <w:color w:val="000000" w:themeColor="text1"/>
          <w:sz w:val="28"/>
          <w:szCs w:val="28"/>
          <w:shd w:val="clear" w:color="auto" w:fill="FFFFFF"/>
          <w:lang w:val="ru-RU"/>
        </w:rPr>
        <w:t xml:space="preserve">. </w:t>
      </w:r>
    </w:p>
    <w:p w14:paraId="48B9D3FD" w14:textId="77777777" w:rsidR="00B564B2" w:rsidRPr="00170B7C" w:rsidRDefault="00B564B2" w:rsidP="00170B7C">
      <w:pPr>
        <w:pStyle w:val="ab"/>
        <w:ind w:firstLine="567"/>
        <w:jc w:val="both"/>
        <w:rPr>
          <w:rFonts w:ascii="Times New Roman" w:hAnsi="Times New Roman" w:cs="Times New Roman"/>
          <w:color w:val="000000" w:themeColor="text1"/>
          <w:sz w:val="28"/>
          <w:szCs w:val="28"/>
          <w:shd w:val="clear" w:color="auto" w:fill="FFFFFF"/>
          <w:lang w:val="ru-RU"/>
        </w:rPr>
      </w:pPr>
      <w:r w:rsidRPr="00170B7C">
        <w:rPr>
          <w:rFonts w:ascii="Times New Roman" w:hAnsi="Times New Roman" w:cs="Times New Roman"/>
          <w:color w:val="000000" w:themeColor="text1"/>
          <w:sz w:val="28"/>
          <w:szCs w:val="28"/>
          <w:shd w:val="clear" w:color="auto" w:fill="FFFFFF"/>
          <w:lang w:val="ru-RU"/>
        </w:rPr>
        <w:t>В нашем исследовании среди 60 доноров в послеоперационном периоде у двух доноров наблюдались билиарные осложнения с последующим успешным купированием.</w:t>
      </w:r>
    </w:p>
    <w:p w14:paraId="1C06789D" w14:textId="2AF295FC"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Важно отметить, что </w:t>
      </w:r>
      <w:r w:rsidR="000F258B" w:rsidRPr="00170B7C">
        <w:rPr>
          <w:color w:val="000000"/>
          <w:sz w:val="28"/>
          <w:szCs w:val="28"/>
        </w:rPr>
        <w:t xml:space="preserve">разность </w:t>
      </w:r>
      <w:r w:rsidR="00434C7A" w:rsidRPr="00170B7C">
        <w:rPr>
          <w:color w:val="000000"/>
          <w:sz w:val="28"/>
          <w:szCs w:val="28"/>
        </w:rPr>
        <w:t>предоперационной</w:t>
      </w:r>
      <w:r w:rsidR="000F258B" w:rsidRPr="00170B7C">
        <w:rPr>
          <w:color w:val="000000"/>
          <w:sz w:val="28"/>
          <w:szCs w:val="28"/>
        </w:rPr>
        <w:t xml:space="preserve"> оценки объема печени </w:t>
      </w:r>
      <w:r w:rsidRPr="00170B7C">
        <w:rPr>
          <w:color w:val="000000"/>
          <w:sz w:val="28"/>
          <w:szCs w:val="28"/>
        </w:rPr>
        <w:t>с весом графта могут возникать в обе стороны, что приводит к завышению и заниже</w:t>
      </w:r>
      <w:r w:rsidR="00EE06CA">
        <w:rPr>
          <w:color w:val="000000"/>
          <w:sz w:val="28"/>
          <w:szCs w:val="28"/>
        </w:rPr>
        <w:t>нию рассчитанного объема печени</w:t>
      </w:r>
      <w:r w:rsidRPr="00170B7C">
        <w:rPr>
          <w:color w:val="000000"/>
          <w:sz w:val="28"/>
          <w:szCs w:val="28"/>
        </w:rPr>
        <w:t>.</w:t>
      </w:r>
    </w:p>
    <w:p w14:paraId="3F4DE17F" w14:textId="1AEAB97D" w:rsidR="00330900" w:rsidRPr="00170B7C" w:rsidRDefault="00274D3C" w:rsidP="00170B7C">
      <w:pPr>
        <w:ind w:firstLine="567"/>
        <w:jc w:val="both"/>
        <w:rPr>
          <w:sz w:val="28"/>
          <w:szCs w:val="28"/>
        </w:rPr>
      </w:pPr>
      <w:r w:rsidRPr="00170B7C">
        <w:rPr>
          <w:color w:val="000000"/>
          <w:sz w:val="28"/>
          <w:szCs w:val="28"/>
        </w:rPr>
        <w:t xml:space="preserve">В нашем исследовании все три метода: мануальный, полуавтоматический и автоматический превышали рассчитанный объем печени в сравнении с весом графта в 70-73% случаях. </w:t>
      </w:r>
      <w:r w:rsidR="00330900" w:rsidRPr="00170B7C">
        <w:rPr>
          <w:sz w:val="28"/>
          <w:szCs w:val="28"/>
        </w:rPr>
        <w:t xml:space="preserve">Переоценка может быть проблематичной в случаях, когда прогнозируемый размер трансплантата является пограничным, и реципиент может впоследствии получить GRWR менее </w:t>
      </w:r>
      <w:r w:rsidR="00EE06CA">
        <w:rPr>
          <w:sz w:val="28"/>
          <w:szCs w:val="28"/>
        </w:rPr>
        <w:t>0,8%</w:t>
      </w:r>
      <w:r w:rsidR="00DE2FBC" w:rsidRPr="00170B7C">
        <w:rPr>
          <w:sz w:val="28"/>
          <w:szCs w:val="28"/>
        </w:rPr>
        <w:t>.</w:t>
      </w:r>
      <w:r w:rsidR="00330900" w:rsidRPr="00170B7C">
        <w:rPr>
          <w:sz w:val="28"/>
          <w:szCs w:val="28"/>
        </w:rPr>
        <w:t xml:space="preserve"> </w:t>
      </w:r>
    </w:p>
    <w:p w14:paraId="29D0A366" w14:textId="77777777" w:rsidR="00FD65BB" w:rsidRPr="00170B7C" w:rsidRDefault="00D75AB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Таким образом, на основании анализа современных научных работ и проведения собственного исследования о предоперационной оценке объема печени донора при родственной трансплантации нами</w:t>
      </w:r>
      <w:r w:rsidR="00274D3C" w:rsidRPr="00170B7C">
        <w:rPr>
          <w:color w:val="000000"/>
          <w:sz w:val="28"/>
          <w:szCs w:val="28"/>
        </w:rPr>
        <w:t xml:space="preserve"> </w:t>
      </w:r>
      <w:r w:rsidRPr="00170B7C">
        <w:rPr>
          <w:color w:val="000000"/>
          <w:sz w:val="28"/>
          <w:szCs w:val="28"/>
        </w:rPr>
        <w:t xml:space="preserve">представлен способ по улучшению метода КТ-волюметрии печени донора при родственной трансплантации. </w:t>
      </w:r>
      <w:r w:rsidR="00FD65BB" w:rsidRPr="00170B7C">
        <w:rPr>
          <w:color w:val="000000"/>
          <w:sz w:val="28"/>
          <w:szCs w:val="28"/>
        </w:rPr>
        <w:t>Несмотря на то, что полуавтоматический и автоматический методы имеют преимущества в виде быстроты расчетов, удобного интерфейса, главным показателем метода КТ-волюметрии остается высокая корреляция и минимальная разница с весом графта.  Мануальный метод продемонстрировал высокий коэффициент корреляции с весом графта в сравнении с полуавтоматическим и автоматическим методами, однако процент ошибки составил 12,7%.</w:t>
      </w:r>
      <w:r w:rsidR="009830AF" w:rsidRPr="00170B7C">
        <w:rPr>
          <w:color w:val="000000"/>
          <w:sz w:val="28"/>
          <w:szCs w:val="28"/>
        </w:rPr>
        <w:t xml:space="preserve"> </w:t>
      </w:r>
    </w:p>
    <w:p w14:paraId="441946D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За основу метода КТ-волюметрии выбран мануальный метод с изменением радиологических параметров, а именно снижения порога плотности печени. Данный параметр применяется для включения в область интереса паренхимы печени без сосудов и дальнейшего расчета объема. Таким образом, снижение максимального порога плотности на 20 HU приблизило полученный объем печени к истинному весу трансплантата</w:t>
      </w:r>
      <w:r w:rsidR="00FD65BB" w:rsidRPr="00170B7C">
        <w:rPr>
          <w:color w:val="000000"/>
          <w:sz w:val="28"/>
          <w:szCs w:val="28"/>
        </w:rPr>
        <w:t xml:space="preserve"> за счет экстракции плотности мелких субсегментарных сосудов. </w:t>
      </w:r>
      <w:r w:rsidR="009830AF" w:rsidRPr="00170B7C">
        <w:rPr>
          <w:color w:val="000000"/>
          <w:sz w:val="28"/>
          <w:szCs w:val="28"/>
        </w:rPr>
        <w:t>Предложенный нами способ</w:t>
      </w:r>
      <w:r w:rsidR="00FD65BB" w:rsidRPr="00170B7C">
        <w:rPr>
          <w:color w:val="000000"/>
          <w:sz w:val="28"/>
          <w:szCs w:val="28"/>
        </w:rPr>
        <w:t xml:space="preserve"> позволил статистически значимо повысить его точность в сравнении со стандартным мануальным.</w:t>
      </w:r>
      <w:r w:rsidRPr="00170B7C">
        <w:rPr>
          <w:color w:val="000000"/>
          <w:sz w:val="28"/>
          <w:szCs w:val="28"/>
        </w:rPr>
        <w:t xml:space="preserve"> </w:t>
      </w:r>
      <w:r w:rsidR="00FD65BB" w:rsidRPr="00170B7C">
        <w:rPr>
          <w:color w:val="000000"/>
          <w:sz w:val="28"/>
          <w:szCs w:val="28"/>
          <w:lang w:val="en-US"/>
        </w:rPr>
        <w:t>Error</w:t>
      </w:r>
      <w:r w:rsidR="00FD65BB" w:rsidRPr="00170B7C">
        <w:rPr>
          <w:color w:val="000000"/>
          <w:sz w:val="28"/>
          <w:szCs w:val="28"/>
        </w:rPr>
        <w:t xml:space="preserve"> </w:t>
      </w:r>
      <w:r w:rsidR="00FD65BB" w:rsidRPr="00170B7C">
        <w:rPr>
          <w:color w:val="000000"/>
          <w:sz w:val="28"/>
          <w:szCs w:val="28"/>
          <w:lang w:val="en-US"/>
        </w:rPr>
        <w:t>ratio</w:t>
      </w:r>
      <w:r w:rsidR="00FD65BB" w:rsidRPr="00170B7C">
        <w:rPr>
          <w:color w:val="000000"/>
          <w:sz w:val="28"/>
          <w:szCs w:val="28"/>
        </w:rPr>
        <w:t xml:space="preserve"> составил </w:t>
      </w:r>
      <w:r w:rsidRPr="00170B7C">
        <w:rPr>
          <w:color w:val="000000"/>
          <w:sz w:val="28"/>
          <w:szCs w:val="28"/>
        </w:rPr>
        <w:t>8,4%, что на 4,3% меньше стандартного мануального метода (p=0,029). Следует отметить доступность метода, мануальная КТ-волюметрия встроена в панель управления рабочей станции компьютерного томографа и не требует дополнительных затрат на приобретение программного обеспечения.   </w:t>
      </w:r>
    </w:p>
    <w:p w14:paraId="18C058B7" w14:textId="77777777" w:rsidR="003552D0"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tabs>
          <w:tab w:val="left" w:pos="567"/>
        </w:tabs>
        <w:jc w:val="both"/>
        <w:rPr>
          <w:color w:val="000000"/>
          <w:sz w:val="28"/>
          <w:szCs w:val="28"/>
        </w:rPr>
      </w:pPr>
      <w:r w:rsidRPr="00170B7C">
        <w:rPr>
          <w:color w:val="000000"/>
          <w:sz w:val="28"/>
          <w:szCs w:val="28"/>
        </w:rPr>
        <w:tab/>
      </w:r>
      <w:r w:rsidR="003552D0" w:rsidRPr="00170B7C">
        <w:rPr>
          <w:color w:val="000000"/>
          <w:sz w:val="28"/>
          <w:szCs w:val="28"/>
        </w:rPr>
        <w:t>КТ-волюметрия печени донора является важным предоперационным критерием отбора потенциального донора. Основное требование к успешной трансплантации печени от живого родственного донора – нулевая смертность доноров после операции с обеспечением достаточного объема остаточной печени. По р</w:t>
      </w:r>
      <w:r w:rsidR="003552D0" w:rsidRPr="00170B7C">
        <w:rPr>
          <w:color w:val="000000"/>
          <w:sz w:val="28"/>
          <w:szCs w:val="28"/>
          <w:lang w:val="kk-KZ"/>
        </w:rPr>
        <w:t xml:space="preserve">езультатам </w:t>
      </w:r>
      <w:r w:rsidR="003552D0" w:rsidRPr="00170B7C">
        <w:rPr>
          <w:color w:val="000000"/>
          <w:sz w:val="28"/>
          <w:szCs w:val="28"/>
        </w:rPr>
        <w:t xml:space="preserve">КТ-волюметрии </w:t>
      </w:r>
      <w:r w:rsidR="00CF03A2">
        <w:rPr>
          <w:color w:val="000000"/>
          <w:sz w:val="28"/>
          <w:szCs w:val="28"/>
        </w:rPr>
        <w:t>33</w:t>
      </w:r>
      <w:r w:rsidR="003552D0" w:rsidRPr="00170B7C">
        <w:rPr>
          <w:color w:val="000000"/>
          <w:sz w:val="28"/>
          <w:szCs w:val="28"/>
        </w:rPr>
        <w:t xml:space="preserve">% потенциальных кандидатов исключили из-за недостаточного объема остаточной печени (&lt;35%). </w:t>
      </w:r>
    </w:p>
    <w:p w14:paraId="26182273" w14:textId="77777777" w:rsidR="00C700B8" w:rsidRPr="00170B7C" w:rsidRDefault="003552D0" w:rsidP="00170B7C">
      <w:pPr>
        <w:pBdr>
          <w:top w:val="none" w:sz="0" w:space="0" w:color="000000"/>
          <w:left w:val="none" w:sz="0" w:space="0" w:color="000000"/>
          <w:bottom w:val="none" w:sz="0" w:space="0" w:color="000000"/>
          <w:right w:val="none" w:sz="0" w:space="0" w:color="000000"/>
          <w:between w:val="none" w:sz="0" w:space="0" w:color="000000"/>
        </w:pBdr>
        <w:tabs>
          <w:tab w:val="left" w:pos="567"/>
        </w:tabs>
        <w:jc w:val="both"/>
        <w:rPr>
          <w:rFonts w:eastAsia="Calibri"/>
          <w:color w:val="000000"/>
          <w:sz w:val="28"/>
          <w:szCs w:val="28"/>
        </w:rPr>
      </w:pPr>
      <w:r w:rsidRPr="00170B7C">
        <w:rPr>
          <w:color w:val="000000"/>
          <w:sz w:val="28"/>
          <w:szCs w:val="28"/>
        </w:rPr>
        <w:tab/>
      </w:r>
      <w:r w:rsidR="009830AF" w:rsidRPr="00170B7C">
        <w:rPr>
          <w:color w:val="000000"/>
          <w:sz w:val="28"/>
          <w:szCs w:val="28"/>
        </w:rPr>
        <w:t xml:space="preserve">Обеспечение достаточным объемом печени как донора, так и реципиента, необходимое соотношение веса трансплантата к весу реципиента </w:t>
      </w:r>
      <w:r w:rsidR="009830AF" w:rsidRPr="00170B7C">
        <w:rPr>
          <w:color w:val="000000"/>
          <w:sz w:val="28"/>
          <w:szCs w:val="28"/>
        </w:rPr>
        <w:lastRenderedPageBreak/>
        <w:t xml:space="preserve">обуславливается адекватной предоперационной оценкой объема печени. </w:t>
      </w:r>
      <w:r w:rsidR="00274D3C" w:rsidRPr="00170B7C">
        <w:rPr>
          <w:color w:val="000000"/>
          <w:sz w:val="28"/>
          <w:szCs w:val="28"/>
        </w:rPr>
        <w:t xml:space="preserve">При расчете объема печени у двух потенциально здоровых доноров печени, предпочтение будет отдано </w:t>
      </w:r>
      <w:r w:rsidR="002D2B3D">
        <w:rPr>
          <w:color w:val="000000"/>
          <w:sz w:val="28"/>
          <w:szCs w:val="28"/>
        </w:rPr>
        <w:t>донору</w:t>
      </w:r>
      <w:r w:rsidR="00274D3C" w:rsidRPr="00170B7C">
        <w:rPr>
          <w:color w:val="000000"/>
          <w:sz w:val="28"/>
          <w:szCs w:val="28"/>
        </w:rPr>
        <w:t xml:space="preserve"> с наибольшим объемом печени</w:t>
      </w:r>
      <w:r w:rsidR="009830AF" w:rsidRPr="00170B7C">
        <w:rPr>
          <w:color w:val="000000"/>
          <w:sz w:val="28"/>
          <w:szCs w:val="28"/>
        </w:rPr>
        <w:t xml:space="preserve"> и </w:t>
      </w:r>
      <w:r w:rsidR="009830AF" w:rsidRPr="00170B7C">
        <w:rPr>
          <w:color w:val="000000"/>
          <w:sz w:val="28"/>
          <w:szCs w:val="28"/>
          <w:lang w:val="en-US"/>
        </w:rPr>
        <w:t>GRWR</w:t>
      </w:r>
      <w:r w:rsidR="009830AF" w:rsidRPr="00170B7C">
        <w:rPr>
          <w:color w:val="000000"/>
          <w:sz w:val="28"/>
          <w:szCs w:val="28"/>
        </w:rPr>
        <w:t xml:space="preserve"> &gt;0,8% </w:t>
      </w:r>
      <w:r w:rsidR="00274D3C" w:rsidRPr="00170B7C">
        <w:rPr>
          <w:color w:val="000000"/>
          <w:sz w:val="28"/>
          <w:szCs w:val="28"/>
        </w:rPr>
        <w:t xml:space="preserve">даже если разница в </w:t>
      </w:r>
      <w:r w:rsidR="00243209">
        <w:rPr>
          <w:color w:val="000000"/>
          <w:sz w:val="28"/>
          <w:szCs w:val="28"/>
        </w:rPr>
        <w:t xml:space="preserve">рассчитанном </w:t>
      </w:r>
      <w:r w:rsidR="009830AF" w:rsidRPr="00170B7C">
        <w:rPr>
          <w:color w:val="000000"/>
          <w:sz w:val="28"/>
          <w:szCs w:val="28"/>
        </w:rPr>
        <w:t xml:space="preserve">остаточном </w:t>
      </w:r>
      <w:r w:rsidR="00274D3C" w:rsidRPr="00170B7C">
        <w:rPr>
          <w:color w:val="000000"/>
          <w:sz w:val="28"/>
          <w:szCs w:val="28"/>
        </w:rPr>
        <w:t>объеме</w:t>
      </w:r>
      <w:r w:rsidR="00243209">
        <w:rPr>
          <w:color w:val="000000"/>
          <w:sz w:val="28"/>
          <w:szCs w:val="28"/>
        </w:rPr>
        <w:t xml:space="preserve"> </w:t>
      </w:r>
      <w:r w:rsidR="006D6DDC">
        <w:rPr>
          <w:color w:val="000000"/>
          <w:sz w:val="28"/>
          <w:szCs w:val="28"/>
        </w:rPr>
        <w:t xml:space="preserve">печени </w:t>
      </w:r>
      <w:r w:rsidR="006D6DDC" w:rsidRPr="00170B7C">
        <w:rPr>
          <w:color w:val="000000"/>
          <w:sz w:val="28"/>
          <w:szCs w:val="28"/>
        </w:rPr>
        <w:t>составит</w:t>
      </w:r>
      <w:r w:rsidR="00274D3C" w:rsidRPr="00170B7C">
        <w:rPr>
          <w:color w:val="000000"/>
          <w:sz w:val="28"/>
          <w:szCs w:val="28"/>
        </w:rPr>
        <w:t xml:space="preserve"> 1%.  </w:t>
      </w:r>
    </w:p>
    <w:p w14:paraId="06EE519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 xml:space="preserve">Таким образом, оптимизированный метод </w:t>
      </w:r>
      <w:r w:rsidR="003552D0" w:rsidRPr="00170B7C">
        <w:rPr>
          <w:color w:val="000000"/>
          <w:sz w:val="28"/>
          <w:szCs w:val="28"/>
        </w:rPr>
        <w:t xml:space="preserve">мануальной </w:t>
      </w:r>
      <w:r w:rsidRPr="00170B7C">
        <w:rPr>
          <w:color w:val="000000"/>
          <w:sz w:val="28"/>
          <w:szCs w:val="28"/>
        </w:rPr>
        <w:t xml:space="preserve">КТ-волюметрии </w:t>
      </w:r>
      <w:r w:rsidR="003552D0" w:rsidRPr="00170B7C">
        <w:rPr>
          <w:color w:val="000000"/>
          <w:sz w:val="28"/>
          <w:szCs w:val="28"/>
        </w:rPr>
        <w:t>как важный этап отбора потенциального донора печени</w:t>
      </w:r>
      <w:r w:rsidR="00672A7D" w:rsidRPr="00170B7C">
        <w:rPr>
          <w:color w:val="000000"/>
          <w:sz w:val="28"/>
          <w:szCs w:val="28"/>
        </w:rPr>
        <w:t>,</w:t>
      </w:r>
      <w:r w:rsidR="003552D0" w:rsidRPr="00170B7C">
        <w:rPr>
          <w:color w:val="000000"/>
          <w:sz w:val="28"/>
          <w:szCs w:val="28"/>
        </w:rPr>
        <w:t xml:space="preserve"> </w:t>
      </w:r>
      <w:r w:rsidRPr="00170B7C">
        <w:rPr>
          <w:color w:val="000000"/>
          <w:sz w:val="28"/>
          <w:szCs w:val="28"/>
        </w:rPr>
        <w:t xml:space="preserve">улучшает предоперационную </w:t>
      </w:r>
      <w:r w:rsidR="00672A7D" w:rsidRPr="00170B7C">
        <w:rPr>
          <w:color w:val="000000"/>
          <w:sz w:val="28"/>
          <w:szCs w:val="28"/>
        </w:rPr>
        <w:t xml:space="preserve">оценку объема печени, </w:t>
      </w:r>
      <w:r w:rsidR="003552D0" w:rsidRPr="00170B7C">
        <w:rPr>
          <w:color w:val="000000"/>
          <w:sz w:val="28"/>
          <w:szCs w:val="28"/>
        </w:rPr>
        <w:t>повыша</w:t>
      </w:r>
      <w:r w:rsidR="00672A7D" w:rsidRPr="00170B7C">
        <w:rPr>
          <w:color w:val="000000"/>
          <w:sz w:val="28"/>
          <w:szCs w:val="28"/>
        </w:rPr>
        <w:t>я</w:t>
      </w:r>
      <w:r w:rsidR="003552D0" w:rsidRPr="00170B7C">
        <w:rPr>
          <w:color w:val="000000"/>
          <w:sz w:val="28"/>
          <w:szCs w:val="28"/>
        </w:rPr>
        <w:t xml:space="preserve"> его точность </w:t>
      </w:r>
      <w:r w:rsidR="00672A7D" w:rsidRPr="00170B7C">
        <w:rPr>
          <w:color w:val="000000"/>
          <w:sz w:val="28"/>
          <w:szCs w:val="28"/>
        </w:rPr>
        <w:t>в сравнении с весом трансплантата, что способствует</w:t>
      </w:r>
      <w:r w:rsidRPr="00170B7C">
        <w:rPr>
          <w:color w:val="000000"/>
          <w:sz w:val="28"/>
          <w:szCs w:val="28"/>
        </w:rPr>
        <w:t xml:space="preserve"> </w:t>
      </w:r>
      <w:r w:rsidR="00672A7D" w:rsidRPr="00170B7C">
        <w:rPr>
          <w:color w:val="000000"/>
          <w:sz w:val="28"/>
          <w:szCs w:val="28"/>
        </w:rPr>
        <w:t xml:space="preserve">обеспечению адекватного остаточного объема печени как </w:t>
      </w:r>
      <w:r w:rsidR="00FE678B" w:rsidRPr="00170B7C">
        <w:rPr>
          <w:color w:val="000000"/>
          <w:sz w:val="28"/>
          <w:szCs w:val="28"/>
        </w:rPr>
        <w:t>донора,</w:t>
      </w:r>
      <w:r w:rsidR="00672A7D" w:rsidRPr="00170B7C">
        <w:rPr>
          <w:color w:val="000000"/>
          <w:sz w:val="28"/>
          <w:szCs w:val="28"/>
        </w:rPr>
        <w:t xml:space="preserve"> так и реципиента, </w:t>
      </w:r>
      <w:r w:rsidRPr="00170B7C">
        <w:rPr>
          <w:color w:val="000000"/>
          <w:sz w:val="28"/>
          <w:szCs w:val="28"/>
        </w:rPr>
        <w:t>сниж</w:t>
      </w:r>
      <w:r w:rsidR="00672A7D" w:rsidRPr="00170B7C">
        <w:rPr>
          <w:color w:val="000000"/>
          <w:sz w:val="28"/>
          <w:szCs w:val="28"/>
        </w:rPr>
        <w:t>ая</w:t>
      </w:r>
      <w:r w:rsidRPr="00170B7C">
        <w:rPr>
          <w:color w:val="000000"/>
          <w:sz w:val="28"/>
          <w:szCs w:val="28"/>
        </w:rPr>
        <w:t xml:space="preserve"> риск развития послеоперационных осложнений.  </w:t>
      </w:r>
    </w:p>
    <w:p w14:paraId="7FBC25E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7007F7C5" w14:textId="77777777" w:rsidR="003272B3" w:rsidRPr="00170B7C" w:rsidRDefault="003272B3" w:rsidP="00170B7C">
      <w:pPr>
        <w:pBdr>
          <w:top w:val="none" w:sz="0" w:space="0" w:color="000000"/>
          <w:left w:val="none" w:sz="0" w:space="0" w:color="000000"/>
          <w:bottom w:val="none" w:sz="0" w:space="0" w:color="000000"/>
          <w:right w:val="none" w:sz="0" w:space="0" w:color="000000"/>
          <w:between w:val="none" w:sz="0" w:space="0" w:color="000000"/>
        </w:pBdr>
        <w:ind w:firstLine="720"/>
        <w:jc w:val="both"/>
        <w:rPr>
          <w:b/>
          <w:color w:val="000000"/>
          <w:sz w:val="28"/>
          <w:szCs w:val="28"/>
        </w:rPr>
      </w:pPr>
    </w:p>
    <w:p w14:paraId="7CB93860" w14:textId="77777777" w:rsidR="003272B3" w:rsidRPr="00170B7C" w:rsidRDefault="003272B3" w:rsidP="00170B7C">
      <w:pPr>
        <w:pBdr>
          <w:top w:val="none" w:sz="0" w:space="0" w:color="000000"/>
          <w:left w:val="none" w:sz="0" w:space="0" w:color="000000"/>
          <w:bottom w:val="none" w:sz="0" w:space="0" w:color="000000"/>
          <w:right w:val="none" w:sz="0" w:space="0" w:color="000000"/>
          <w:between w:val="none" w:sz="0" w:space="0" w:color="000000"/>
        </w:pBdr>
        <w:ind w:firstLine="720"/>
        <w:jc w:val="both"/>
        <w:rPr>
          <w:b/>
          <w:color w:val="000000"/>
          <w:sz w:val="28"/>
          <w:szCs w:val="28"/>
        </w:rPr>
      </w:pPr>
    </w:p>
    <w:p w14:paraId="68B4A5CC" w14:textId="77777777" w:rsidR="003272B3" w:rsidRPr="00170B7C" w:rsidRDefault="003272B3" w:rsidP="00170B7C">
      <w:pPr>
        <w:pBdr>
          <w:top w:val="none" w:sz="0" w:space="0" w:color="000000"/>
          <w:left w:val="none" w:sz="0" w:space="0" w:color="000000"/>
          <w:bottom w:val="none" w:sz="0" w:space="0" w:color="000000"/>
          <w:right w:val="none" w:sz="0" w:space="0" w:color="000000"/>
          <w:between w:val="none" w:sz="0" w:space="0" w:color="000000"/>
        </w:pBdr>
        <w:ind w:firstLine="720"/>
        <w:jc w:val="both"/>
        <w:rPr>
          <w:b/>
          <w:color w:val="000000"/>
          <w:sz w:val="28"/>
          <w:szCs w:val="28"/>
        </w:rPr>
      </w:pPr>
    </w:p>
    <w:p w14:paraId="754964BD" w14:textId="77777777" w:rsidR="004146E2" w:rsidRPr="00170B7C" w:rsidRDefault="004146E2" w:rsidP="00170B7C">
      <w:pPr>
        <w:pBdr>
          <w:top w:val="none" w:sz="0" w:space="0" w:color="000000"/>
          <w:left w:val="none" w:sz="0" w:space="0" w:color="000000"/>
          <w:bottom w:val="none" w:sz="0" w:space="0" w:color="000000"/>
          <w:right w:val="none" w:sz="0" w:space="0" w:color="000000"/>
          <w:between w:val="none" w:sz="0" w:space="0" w:color="000000"/>
        </w:pBdr>
        <w:ind w:firstLine="720"/>
        <w:jc w:val="both"/>
        <w:rPr>
          <w:b/>
          <w:color w:val="000000"/>
          <w:sz w:val="28"/>
          <w:szCs w:val="28"/>
        </w:rPr>
      </w:pPr>
    </w:p>
    <w:p w14:paraId="1BAA9A80" w14:textId="77777777" w:rsidR="004146E2" w:rsidRPr="00170B7C" w:rsidRDefault="004146E2" w:rsidP="00170B7C">
      <w:pPr>
        <w:pBdr>
          <w:top w:val="none" w:sz="0" w:space="0" w:color="000000"/>
          <w:left w:val="none" w:sz="0" w:space="0" w:color="000000"/>
          <w:bottom w:val="none" w:sz="0" w:space="0" w:color="000000"/>
          <w:right w:val="none" w:sz="0" w:space="0" w:color="000000"/>
          <w:between w:val="none" w:sz="0" w:space="0" w:color="000000"/>
        </w:pBdr>
        <w:ind w:firstLine="720"/>
        <w:jc w:val="both"/>
        <w:rPr>
          <w:b/>
          <w:color w:val="000000"/>
          <w:sz w:val="28"/>
          <w:szCs w:val="28"/>
        </w:rPr>
      </w:pPr>
    </w:p>
    <w:p w14:paraId="7AF5F371" w14:textId="77777777" w:rsidR="004146E2" w:rsidRPr="00170B7C" w:rsidRDefault="004146E2" w:rsidP="00170B7C">
      <w:pPr>
        <w:pBdr>
          <w:top w:val="none" w:sz="0" w:space="0" w:color="000000"/>
          <w:left w:val="none" w:sz="0" w:space="0" w:color="000000"/>
          <w:bottom w:val="none" w:sz="0" w:space="0" w:color="000000"/>
          <w:right w:val="none" w:sz="0" w:space="0" w:color="000000"/>
          <w:between w:val="none" w:sz="0" w:space="0" w:color="000000"/>
        </w:pBdr>
        <w:ind w:firstLine="720"/>
        <w:jc w:val="both"/>
        <w:rPr>
          <w:b/>
          <w:color w:val="000000"/>
          <w:sz w:val="28"/>
          <w:szCs w:val="28"/>
        </w:rPr>
      </w:pPr>
    </w:p>
    <w:p w14:paraId="4889392D" w14:textId="77777777" w:rsidR="004146E2" w:rsidRPr="00170B7C" w:rsidRDefault="004146E2" w:rsidP="00170B7C">
      <w:pPr>
        <w:pBdr>
          <w:top w:val="none" w:sz="0" w:space="0" w:color="000000"/>
          <w:left w:val="none" w:sz="0" w:space="0" w:color="000000"/>
          <w:bottom w:val="none" w:sz="0" w:space="0" w:color="000000"/>
          <w:right w:val="none" w:sz="0" w:space="0" w:color="000000"/>
          <w:between w:val="none" w:sz="0" w:space="0" w:color="000000"/>
        </w:pBdr>
        <w:ind w:firstLine="720"/>
        <w:jc w:val="both"/>
        <w:rPr>
          <w:b/>
          <w:color w:val="000000"/>
          <w:sz w:val="28"/>
          <w:szCs w:val="28"/>
        </w:rPr>
      </w:pPr>
    </w:p>
    <w:p w14:paraId="53634864" w14:textId="77777777" w:rsidR="004146E2" w:rsidRPr="00170B7C" w:rsidRDefault="004146E2" w:rsidP="00170B7C">
      <w:pPr>
        <w:pBdr>
          <w:top w:val="none" w:sz="0" w:space="0" w:color="000000"/>
          <w:left w:val="none" w:sz="0" w:space="0" w:color="000000"/>
          <w:bottom w:val="none" w:sz="0" w:space="0" w:color="000000"/>
          <w:right w:val="none" w:sz="0" w:space="0" w:color="000000"/>
          <w:between w:val="none" w:sz="0" w:space="0" w:color="000000"/>
        </w:pBdr>
        <w:ind w:firstLine="720"/>
        <w:jc w:val="both"/>
        <w:rPr>
          <w:b/>
          <w:color w:val="000000"/>
          <w:sz w:val="28"/>
          <w:szCs w:val="28"/>
        </w:rPr>
      </w:pPr>
    </w:p>
    <w:p w14:paraId="22DD0463" w14:textId="77777777" w:rsidR="004C5438" w:rsidRPr="00170B7C" w:rsidRDefault="004C5438" w:rsidP="00170B7C">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13FE1E90" w14:textId="77777777" w:rsidR="004146E2" w:rsidRPr="00170B7C" w:rsidRDefault="004146E2" w:rsidP="00170B7C">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16E73090" w14:textId="77777777" w:rsidR="00984194" w:rsidRPr="00170B7C" w:rsidRDefault="00984194" w:rsidP="00170B7C">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3E3ECB45" w14:textId="77777777" w:rsidR="0073070D" w:rsidRPr="00170B7C" w:rsidRDefault="0073070D" w:rsidP="00170B7C">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0A08F06F" w14:textId="77777777" w:rsidR="00940BFD" w:rsidRPr="00170B7C" w:rsidRDefault="00940BFD" w:rsidP="00170B7C">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13FC880D" w14:textId="77777777" w:rsidR="00940BFD" w:rsidRPr="00170B7C" w:rsidRDefault="00940BFD" w:rsidP="00170B7C">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59FC1743" w14:textId="77777777" w:rsidR="00940BFD" w:rsidRPr="00170B7C" w:rsidRDefault="00940BFD" w:rsidP="00170B7C">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37155C8D" w14:textId="77777777" w:rsidR="00940BFD" w:rsidRPr="00170B7C" w:rsidRDefault="00940BFD" w:rsidP="00170B7C">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498C66B0" w14:textId="77777777" w:rsidR="00940BFD" w:rsidRPr="00170B7C" w:rsidRDefault="00940BFD" w:rsidP="00170B7C">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2A4C4322" w14:textId="77777777" w:rsidR="00940BFD" w:rsidRPr="00170B7C" w:rsidRDefault="00940BFD" w:rsidP="00170B7C">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4AB836FC" w14:textId="77777777" w:rsidR="00D407BA" w:rsidRPr="00170B7C" w:rsidRDefault="00D407BA" w:rsidP="00170B7C">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18222DE7" w14:textId="77777777" w:rsidR="00D407BA" w:rsidRDefault="00D407BA" w:rsidP="00170B7C">
      <w:pPr>
        <w:pBdr>
          <w:top w:val="none" w:sz="0" w:space="0" w:color="000000"/>
          <w:left w:val="none" w:sz="0" w:space="0" w:color="000000"/>
          <w:bottom w:val="none" w:sz="0" w:space="0" w:color="000000"/>
          <w:right w:val="none" w:sz="0" w:space="0" w:color="000000"/>
          <w:between w:val="none" w:sz="0" w:space="0" w:color="000000"/>
        </w:pBdr>
        <w:jc w:val="both"/>
        <w:rPr>
          <w:b/>
          <w:color w:val="000000"/>
          <w:sz w:val="28"/>
          <w:szCs w:val="28"/>
        </w:rPr>
      </w:pPr>
    </w:p>
    <w:p w14:paraId="7247ADEA" w14:textId="77777777" w:rsidR="00EC7D1B" w:rsidRDefault="00EC7D1B" w:rsidP="00243209">
      <w:pPr>
        <w:pStyle w:val="ab"/>
        <w:jc w:val="both"/>
        <w:rPr>
          <w:rStyle w:val="s9"/>
          <w:rFonts w:ascii="Times New Roman" w:hAnsi="Times New Roman" w:cs="Times New Roman"/>
          <w:b/>
          <w:bCs/>
          <w:color w:val="000000"/>
          <w:sz w:val="28"/>
          <w:szCs w:val="28"/>
          <w:lang w:val="ru-RU"/>
        </w:rPr>
      </w:pPr>
    </w:p>
    <w:p w14:paraId="42E7D049" w14:textId="77777777" w:rsidR="009471B9" w:rsidRDefault="009471B9" w:rsidP="00243209">
      <w:pPr>
        <w:pStyle w:val="ab"/>
        <w:jc w:val="both"/>
        <w:rPr>
          <w:rStyle w:val="s9"/>
          <w:rFonts w:ascii="Times New Roman" w:hAnsi="Times New Roman" w:cs="Times New Roman"/>
          <w:b/>
          <w:bCs/>
          <w:color w:val="000000"/>
          <w:sz w:val="28"/>
          <w:szCs w:val="28"/>
          <w:lang w:val="ru-RU"/>
        </w:rPr>
      </w:pPr>
    </w:p>
    <w:p w14:paraId="522E581C" w14:textId="77777777" w:rsidR="009471B9" w:rsidRDefault="009471B9" w:rsidP="00243209">
      <w:pPr>
        <w:pStyle w:val="ab"/>
        <w:jc w:val="both"/>
        <w:rPr>
          <w:rStyle w:val="s9"/>
          <w:rFonts w:ascii="Times New Roman" w:hAnsi="Times New Roman" w:cs="Times New Roman"/>
          <w:b/>
          <w:bCs/>
          <w:color w:val="000000"/>
          <w:sz w:val="28"/>
          <w:szCs w:val="28"/>
          <w:lang w:val="ru-RU"/>
        </w:rPr>
      </w:pPr>
    </w:p>
    <w:p w14:paraId="56F710F9" w14:textId="77777777" w:rsidR="009471B9" w:rsidRDefault="009471B9" w:rsidP="00243209">
      <w:pPr>
        <w:pStyle w:val="ab"/>
        <w:jc w:val="both"/>
        <w:rPr>
          <w:rStyle w:val="s9"/>
          <w:rFonts w:ascii="Times New Roman" w:hAnsi="Times New Roman" w:cs="Times New Roman"/>
          <w:b/>
          <w:bCs/>
          <w:color w:val="000000"/>
          <w:sz w:val="28"/>
          <w:szCs w:val="28"/>
          <w:lang w:val="ru-RU"/>
        </w:rPr>
      </w:pPr>
    </w:p>
    <w:p w14:paraId="5F530263" w14:textId="77777777" w:rsidR="009471B9" w:rsidRDefault="009471B9" w:rsidP="00243209">
      <w:pPr>
        <w:pStyle w:val="ab"/>
        <w:jc w:val="both"/>
        <w:rPr>
          <w:rStyle w:val="s9"/>
          <w:rFonts w:ascii="Times New Roman" w:hAnsi="Times New Roman" w:cs="Times New Roman"/>
          <w:b/>
          <w:bCs/>
          <w:color w:val="000000"/>
          <w:sz w:val="28"/>
          <w:szCs w:val="28"/>
          <w:lang w:val="ru-RU"/>
        </w:rPr>
      </w:pPr>
    </w:p>
    <w:p w14:paraId="0E8F7951" w14:textId="77777777" w:rsidR="009471B9" w:rsidRDefault="009471B9" w:rsidP="00243209">
      <w:pPr>
        <w:pStyle w:val="ab"/>
        <w:jc w:val="both"/>
        <w:rPr>
          <w:rStyle w:val="s9"/>
          <w:rFonts w:ascii="Times New Roman" w:hAnsi="Times New Roman" w:cs="Times New Roman"/>
          <w:b/>
          <w:bCs/>
          <w:color w:val="000000"/>
          <w:sz w:val="28"/>
          <w:szCs w:val="28"/>
          <w:lang w:val="ru-RU"/>
        </w:rPr>
      </w:pPr>
    </w:p>
    <w:p w14:paraId="312DDABD" w14:textId="77777777" w:rsidR="009471B9" w:rsidRDefault="009471B9" w:rsidP="00243209">
      <w:pPr>
        <w:pStyle w:val="ab"/>
        <w:jc w:val="both"/>
        <w:rPr>
          <w:rStyle w:val="s9"/>
          <w:rFonts w:ascii="Times New Roman" w:hAnsi="Times New Roman" w:cs="Times New Roman"/>
          <w:b/>
          <w:bCs/>
          <w:color w:val="000000"/>
          <w:sz w:val="28"/>
          <w:szCs w:val="28"/>
          <w:lang w:val="ru-RU"/>
        </w:rPr>
      </w:pPr>
    </w:p>
    <w:p w14:paraId="42B5C1FD" w14:textId="77777777" w:rsidR="00E8569A" w:rsidRDefault="00E8569A" w:rsidP="00243209">
      <w:pPr>
        <w:pStyle w:val="ab"/>
        <w:jc w:val="both"/>
        <w:rPr>
          <w:rStyle w:val="s9"/>
          <w:rFonts w:ascii="Times New Roman" w:hAnsi="Times New Roman" w:cs="Times New Roman"/>
          <w:b/>
          <w:bCs/>
          <w:color w:val="000000"/>
          <w:sz w:val="28"/>
          <w:szCs w:val="28"/>
          <w:lang w:val="ru-RU"/>
        </w:rPr>
      </w:pPr>
    </w:p>
    <w:p w14:paraId="39DAA0BD" w14:textId="77777777" w:rsidR="00EE06CA" w:rsidRDefault="00EE06CA" w:rsidP="00243209">
      <w:pPr>
        <w:pStyle w:val="ab"/>
        <w:jc w:val="both"/>
        <w:rPr>
          <w:rStyle w:val="s9"/>
          <w:rFonts w:ascii="Times New Roman" w:hAnsi="Times New Roman" w:cs="Times New Roman"/>
          <w:b/>
          <w:bCs/>
          <w:color w:val="000000"/>
          <w:sz w:val="28"/>
          <w:szCs w:val="28"/>
          <w:lang w:val="ru-RU"/>
        </w:rPr>
      </w:pPr>
    </w:p>
    <w:p w14:paraId="13555292" w14:textId="77777777" w:rsidR="00EE06CA" w:rsidRDefault="00EE06CA" w:rsidP="00243209">
      <w:pPr>
        <w:pStyle w:val="ab"/>
        <w:jc w:val="both"/>
        <w:rPr>
          <w:rStyle w:val="s9"/>
          <w:rFonts w:ascii="Times New Roman" w:hAnsi="Times New Roman" w:cs="Times New Roman"/>
          <w:b/>
          <w:bCs/>
          <w:color w:val="000000"/>
          <w:sz w:val="28"/>
          <w:szCs w:val="28"/>
          <w:lang w:val="ru-RU"/>
        </w:rPr>
      </w:pPr>
    </w:p>
    <w:p w14:paraId="4B4D71B2" w14:textId="77777777" w:rsidR="00EE06CA" w:rsidRDefault="00EE06CA" w:rsidP="00243209">
      <w:pPr>
        <w:pStyle w:val="ab"/>
        <w:jc w:val="both"/>
        <w:rPr>
          <w:rStyle w:val="s9"/>
          <w:rFonts w:ascii="Times New Roman" w:hAnsi="Times New Roman" w:cs="Times New Roman"/>
          <w:b/>
          <w:bCs/>
          <w:color w:val="000000"/>
          <w:sz w:val="28"/>
          <w:szCs w:val="28"/>
          <w:lang w:val="ru-RU"/>
        </w:rPr>
      </w:pPr>
    </w:p>
    <w:p w14:paraId="750F9E84" w14:textId="77777777" w:rsidR="00EE06CA" w:rsidRPr="00170B7C" w:rsidRDefault="00EE06CA" w:rsidP="00243209">
      <w:pPr>
        <w:pStyle w:val="ab"/>
        <w:jc w:val="both"/>
        <w:rPr>
          <w:rStyle w:val="s9"/>
          <w:rFonts w:ascii="Times New Roman" w:hAnsi="Times New Roman" w:cs="Times New Roman"/>
          <w:b/>
          <w:bCs/>
          <w:color w:val="000000"/>
          <w:sz w:val="28"/>
          <w:szCs w:val="28"/>
          <w:lang w:val="ru-RU"/>
        </w:rPr>
      </w:pPr>
    </w:p>
    <w:p w14:paraId="472D54FC" w14:textId="77777777" w:rsidR="0073070D" w:rsidRPr="00170B7C" w:rsidRDefault="00362F2D" w:rsidP="00170B7C">
      <w:pPr>
        <w:pStyle w:val="ab"/>
        <w:ind w:firstLine="720"/>
        <w:jc w:val="both"/>
        <w:rPr>
          <w:rFonts w:ascii="Times New Roman" w:hAnsi="Times New Roman" w:cs="Times New Roman"/>
          <w:b/>
          <w:bCs/>
          <w:sz w:val="28"/>
          <w:szCs w:val="28"/>
          <w:lang w:val="ru-RU"/>
        </w:rPr>
      </w:pPr>
      <w:r w:rsidRPr="00170B7C">
        <w:rPr>
          <w:rStyle w:val="s9"/>
          <w:rFonts w:ascii="Times New Roman" w:hAnsi="Times New Roman" w:cs="Times New Roman"/>
          <w:b/>
          <w:bCs/>
          <w:color w:val="000000"/>
          <w:sz w:val="28"/>
          <w:szCs w:val="28"/>
          <w:lang w:val="ru-RU"/>
        </w:rPr>
        <w:lastRenderedPageBreak/>
        <w:t>ЗАКЛЮЧЕНИЕ</w:t>
      </w:r>
    </w:p>
    <w:p w14:paraId="31221699" w14:textId="77777777" w:rsidR="0073070D" w:rsidRPr="00170B7C" w:rsidRDefault="0073070D" w:rsidP="00170B7C">
      <w:pPr>
        <w:pStyle w:val="ab"/>
        <w:jc w:val="both"/>
        <w:rPr>
          <w:rFonts w:ascii="Times New Roman" w:hAnsi="Times New Roman" w:cs="Times New Roman"/>
          <w:sz w:val="28"/>
          <w:szCs w:val="28"/>
          <w:lang w:val="ru-RU"/>
        </w:rPr>
      </w:pPr>
      <w:r w:rsidRPr="00170B7C">
        <w:rPr>
          <w:rFonts w:ascii="Times New Roman" w:hAnsi="Times New Roman" w:cs="Times New Roman"/>
          <w:sz w:val="28"/>
          <w:szCs w:val="28"/>
        </w:rPr>
        <w:t> </w:t>
      </w:r>
    </w:p>
    <w:p w14:paraId="03C9B743" w14:textId="77777777" w:rsidR="0073070D" w:rsidRPr="00170B7C" w:rsidRDefault="0073070D" w:rsidP="00170B7C">
      <w:pPr>
        <w:pStyle w:val="ab"/>
        <w:ind w:firstLine="720"/>
        <w:jc w:val="both"/>
        <w:rPr>
          <w:rFonts w:ascii="Times New Roman" w:hAnsi="Times New Roman" w:cs="Times New Roman"/>
          <w:sz w:val="28"/>
          <w:szCs w:val="28"/>
          <w:lang w:val="ru-RU"/>
        </w:rPr>
      </w:pPr>
      <w:r w:rsidRPr="00170B7C">
        <w:rPr>
          <w:rStyle w:val="s9"/>
          <w:rFonts w:ascii="Times New Roman" w:hAnsi="Times New Roman" w:cs="Times New Roman"/>
          <w:color w:val="000000"/>
          <w:sz w:val="28"/>
          <w:szCs w:val="28"/>
          <w:lang w:val="ru-RU"/>
        </w:rPr>
        <w:t>Актуальность данной работы обусловлена необходимостью повышения точности предоперационной оценки объема печени доноров для обеспечения безопасности как доноров, так и реципиентов, с целью минимизации риска послеоперационных осложнений и улучшения исходов трансплантации.</w:t>
      </w:r>
    </w:p>
    <w:p w14:paraId="6C884A59" w14:textId="77777777" w:rsidR="0073070D" w:rsidRPr="00170B7C" w:rsidRDefault="0073070D" w:rsidP="00170B7C">
      <w:pPr>
        <w:pStyle w:val="ab"/>
        <w:jc w:val="both"/>
        <w:rPr>
          <w:rFonts w:ascii="Times New Roman" w:hAnsi="Times New Roman" w:cs="Times New Roman"/>
          <w:sz w:val="28"/>
          <w:szCs w:val="28"/>
          <w:lang w:val="ru-RU"/>
        </w:rPr>
      </w:pPr>
      <w:r w:rsidRPr="00170B7C">
        <w:rPr>
          <w:rFonts w:ascii="Times New Roman" w:hAnsi="Times New Roman" w:cs="Times New Roman"/>
          <w:sz w:val="28"/>
          <w:szCs w:val="28"/>
        </w:rPr>
        <w:t> </w:t>
      </w:r>
      <w:r w:rsidRPr="00170B7C">
        <w:rPr>
          <w:rFonts w:ascii="Times New Roman" w:hAnsi="Times New Roman" w:cs="Times New Roman"/>
          <w:sz w:val="28"/>
          <w:szCs w:val="28"/>
          <w:lang w:val="ru-RU"/>
        </w:rPr>
        <w:tab/>
      </w:r>
      <w:r w:rsidRPr="00170B7C">
        <w:rPr>
          <w:rStyle w:val="s9"/>
          <w:rFonts w:ascii="Times New Roman" w:hAnsi="Times New Roman" w:cs="Times New Roman"/>
          <w:color w:val="000000"/>
          <w:sz w:val="28"/>
          <w:szCs w:val="28"/>
          <w:lang w:val="ru-RU"/>
        </w:rPr>
        <w:t xml:space="preserve">На сегодняшний день существует множество методов КТ-волюметрии, включая мануальный, полуавтоматический и автоматический, а также программы на основе искусственного интеллекта. Однако, несмотря на разнообразие методов остается актуальной процент ошибки между рассчитанным предоперационным объемом печени и фактической массой трансплантата. Высокий процент ошибки в расчетах может привести к серьезным клиническим последствиям, включая риск развития печеночной недостаточности у доноров и </w:t>
      </w:r>
      <w:r w:rsidR="00607CB9" w:rsidRPr="00607CB9">
        <w:rPr>
          <w:rFonts w:ascii="Times New Roman" w:hAnsi="Times New Roman" w:cs="Times New Roman"/>
          <w:color w:val="000000"/>
          <w:sz w:val="28"/>
          <w:szCs w:val="28"/>
          <w:lang w:val="ru-RU"/>
        </w:rPr>
        <w:t xml:space="preserve">small - for - size syndrome </w:t>
      </w:r>
      <w:r w:rsidRPr="00170B7C">
        <w:rPr>
          <w:rStyle w:val="s9"/>
          <w:rFonts w:ascii="Times New Roman" w:hAnsi="Times New Roman" w:cs="Times New Roman"/>
          <w:color w:val="000000"/>
          <w:sz w:val="28"/>
          <w:szCs w:val="28"/>
          <w:lang w:val="ru-RU"/>
        </w:rPr>
        <w:t>у реципиентов.</w:t>
      </w:r>
    </w:p>
    <w:p w14:paraId="43991D56" w14:textId="77777777" w:rsidR="0073070D" w:rsidRPr="00170B7C" w:rsidRDefault="0073070D" w:rsidP="00170B7C">
      <w:pPr>
        <w:pStyle w:val="ab"/>
        <w:jc w:val="both"/>
        <w:rPr>
          <w:rFonts w:ascii="Times New Roman" w:hAnsi="Times New Roman" w:cs="Times New Roman"/>
          <w:sz w:val="28"/>
          <w:szCs w:val="28"/>
          <w:lang w:val="ru-RU"/>
        </w:rPr>
      </w:pPr>
      <w:r w:rsidRPr="00170B7C">
        <w:rPr>
          <w:rFonts w:ascii="Times New Roman" w:hAnsi="Times New Roman" w:cs="Times New Roman"/>
          <w:sz w:val="28"/>
          <w:szCs w:val="28"/>
        </w:rPr>
        <w:t> </w:t>
      </w:r>
      <w:r w:rsidRPr="00170B7C">
        <w:rPr>
          <w:rFonts w:ascii="Times New Roman" w:hAnsi="Times New Roman" w:cs="Times New Roman"/>
          <w:sz w:val="28"/>
          <w:szCs w:val="28"/>
          <w:lang w:val="ru-RU"/>
        </w:rPr>
        <w:tab/>
      </w:r>
      <w:r w:rsidRPr="00170B7C">
        <w:rPr>
          <w:rStyle w:val="s9"/>
          <w:rFonts w:ascii="Times New Roman" w:hAnsi="Times New Roman" w:cs="Times New Roman"/>
          <w:color w:val="000000"/>
          <w:sz w:val="28"/>
          <w:szCs w:val="28"/>
          <w:lang w:val="ru-RU"/>
        </w:rPr>
        <w:t>В ходе исследования было проведено сравнение мануального, полуавтоматического и автоматического методов КТ-волюметрии. Результаты показали, что все три метода демонстрируют положительную корреляцию с весом трансплантата. Однако мануальный метод выделяется наиболее высоким коэффициентом корреляции и наименьшим процентом ошибки (12,7±16,6%), что статистически значимо меньше по сравнению с полуавтоматическим (17,1±17,3%) и автоматическим (14,7±16,8%) методами (</w:t>
      </w:r>
      <w:r w:rsidRPr="00170B7C">
        <w:rPr>
          <w:rStyle w:val="s9"/>
          <w:rFonts w:ascii="Times New Roman" w:hAnsi="Times New Roman" w:cs="Times New Roman"/>
          <w:color w:val="000000"/>
          <w:sz w:val="28"/>
          <w:szCs w:val="28"/>
        </w:rPr>
        <w:t>p</w:t>
      </w:r>
      <w:r w:rsidRPr="00170B7C">
        <w:rPr>
          <w:rStyle w:val="s9"/>
          <w:rFonts w:ascii="Times New Roman" w:hAnsi="Times New Roman" w:cs="Times New Roman"/>
          <w:color w:val="000000"/>
          <w:sz w:val="28"/>
          <w:szCs w:val="28"/>
          <w:lang w:val="ru-RU"/>
        </w:rPr>
        <w:t>=0,017).</w:t>
      </w:r>
    </w:p>
    <w:p w14:paraId="64074063" w14:textId="77777777" w:rsidR="0073070D" w:rsidRPr="00170B7C" w:rsidRDefault="0073070D" w:rsidP="00170B7C">
      <w:pPr>
        <w:pStyle w:val="ab"/>
        <w:ind w:firstLine="720"/>
        <w:jc w:val="both"/>
        <w:rPr>
          <w:rFonts w:ascii="Times New Roman" w:hAnsi="Times New Roman" w:cs="Times New Roman"/>
          <w:sz w:val="28"/>
          <w:szCs w:val="28"/>
          <w:lang w:val="ru-RU"/>
        </w:rPr>
      </w:pPr>
      <w:r w:rsidRPr="00170B7C">
        <w:rPr>
          <w:rStyle w:val="s9"/>
          <w:rFonts w:ascii="Times New Roman" w:hAnsi="Times New Roman" w:cs="Times New Roman"/>
          <w:color w:val="000000"/>
          <w:sz w:val="28"/>
          <w:szCs w:val="28"/>
          <w:lang w:val="ru-RU"/>
        </w:rPr>
        <w:t>Также рассмотрены различные математические формулы для прогнозирования размера трансплантата, включая формулу</w:t>
      </w:r>
      <w:r w:rsidRPr="00170B7C">
        <w:rPr>
          <w:rStyle w:val="apple-converted-space"/>
          <w:rFonts w:ascii="Times New Roman" w:hAnsi="Times New Roman" w:cs="Times New Roman"/>
          <w:color w:val="000000"/>
          <w:sz w:val="28"/>
          <w:szCs w:val="28"/>
        </w:rPr>
        <w:t> </w:t>
      </w:r>
      <w:r w:rsidRPr="00170B7C">
        <w:rPr>
          <w:rStyle w:val="s9"/>
          <w:rFonts w:ascii="Times New Roman" w:hAnsi="Times New Roman" w:cs="Times New Roman"/>
          <w:color w:val="000000"/>
          <w:sz w:val="28"/>
          <w:szCs w:val="28"/>
          <w:lang w:val="ru-RU"/>
        </w:rPr>
        <w:t>Урата. Однако</w:t>
      </w:r>
      <w:r w:rsidR="00DA1F64">
        <w:rPr>
          <w:rStyle w:val="s9"/>
          <w:rFonts w:ascii="Times New Roman" w:hAnsi="Times New Roman" w:cs="Times New Roman"/>
          <w:color w:val="000000"/>
          <w:sz w:val="28"/>
          <w:szCs w:val="28"/>
          <w:lang w:val="ru-RU"/>
        </w:rPr>
        <w:t>,</w:t>
      </w:r>
      <w:r w:rsidRPr="00170B7C">
        <w:rPr>
          <w:rStyle w:val="s9"/>
          <w:rFonts w:ascii="Times New Roman" w:hAnsi="Times New Roman" w:cs="Times New Roman"/>
          <w:color w:val="000000"/>
          <w:sz w:val="28"/>
          <w:szCs w:val="28"/>
          <w:lang w:val="ru-RU"/>
        </w:rPr>
        <w:t xml:space="preserve"> данная формула показал</w:t>
      </w:r>
      <w:r w:rsidR="00434C7A">
        <w:rPr>
          <w:rStyle w:val="s9"/>
          <w:rFonts w:ascii="Times New Roman" w:hAnsi="Times New Roman" w:cs="Times New Roman"/>
          <w:color w:val="000000"/>
          <w:sz w:val="28"/>
          <w:szCs w:val="28"/>
          <w:lang w:val="ru-RU"/>
        </w:rPr>
        <w:t>а</w:t>
      </w:r>
      <w:r w:rsidRPr="00170B7C">
        <w:rPr>
          <w:rStyle w:val="s9"/>
          <w:rFonts w:ascii="Times New Roman" w:hAnsi="Times New Roman" w:cs="Times New Roman"/>
          <w:color w:val="000000"/>
          <w:sz w:val="28"/>
          <w:szCs w:val="28"/>
          <w:lang w:val="ru-RU"/>
        </w:rPr>
        <w:t xml:space="preserve"> слабую корреляцию с результатами КТ-волюметрии</w:t>
      </w:r>
      <w:r w:rsidRPr="00170B7C">
        <w:rPr>
          <w:rStyle w:val="apple-converted-space"/>
          <w:rFonts w:ascii="Times New Roman" w:hAnsi="Times New Roman" w:cs="Times New Roman"/>
          <w:color w:val="000000"/>
          <w:sz w:val="28"/>
          <w:szCs w:val="28"/>
        </w:rPr>
        <w:t> </w:t>
      </w:r>
      <w:r w:rsidRPr="00170B7C">
        <w:rPr>
          <w:rStyle w:val="s9"/>
          <w:rFonts w:ascii="Times New Roman" w:hAnsi="Times New Roman" w:cs="Times New Roman"/>
          <w:color w:val="000000"/>
          <w:sz w:val="28"/>
          <w:szCs w:val="28"/>
          <w:lang w:val="ru-RU"/>
        </w:rPr>
        <w:t>и оказал</w:t>
      </w:r>
      <w:r w:rsidR="00DA1F64">
        <w:rPr>
          <w:rStyle w:val="s9"/>
          <w:rFonts w:ascii="Times New Roman" w:hAnsi="Times New Roman" w:cs="Times New Roman"/>
          <w:color w:val="000000"/>
          <w:sz w:val="28"/>
          <w:szCs w:val="28"/>
          <w:lang w:val="ru-RU"/>
        </w:rPr>
        <w:t>а</w:t>
      </w:r>
      <w:r w:rsidRPr="00170B7C">
        <w:rPr>
          <w:rStyle w:val="s9"/>
          <w:rFonts w:ascii="Times New Roman" w:hAnsi="Times New Roman" w:cs="Times New Roman"/>
          <w:color w:val="000000"/>
          <w:sz w:val="28"/>
          <w:szCs w:val="28"/>
          <w:lang w:val="ru-RU"/>
        </w:rPr>
        <w:t>сь ненадежной для прогнозирования объема печени донора. Это подчеркивает необходимость использования более точных методов</w:t>
      </w:r>
      <w:r w:rsidRPr="00170B7C">
        <w:rPr>
          <w:rStyle w:val="apple-converted-space"/>
          <w:rFonts w:ascii="Times New Roman" w:hAnsi="Times New Roman" w:cs="Times New Roman"/>
          <w:color w:val="000000"/>
          <w:sz w:val="28"/>
          <w:szCs w:val="28"/>
        </w:rPr>
        <w:t> </w:t>
      </w:r>
      <w:r w:rsidRPr="00170B7C">
        <w:rPr>
          <w:rStyle w:val="s9"/>
          <w:rFonts w:ascii="Times New Roman" w:hAnsi="Times New Roman" w:cs="Times New Roman"/>
          <w:color w:val="000000"/>
          <w:sz w:val="28"/>
          <w:szCs w:val="28"/>
          <w:lang w:val="ru-RU"/>
        </w:rPr>
        <w:t>визуальной</w:t>
      </w:r>
      <w:r w:rsidRPr="00170B7C">
        <w:rPr>
          <w:rStyle w:val="apple-converted-space"/>
          <w:rFonts w:ascii="Times New Roman" w:hAnsi="Times New Roman" w:cs="Times New Roman"/>
          <w:color w:val="000000"/>
          <w:sz w:val="28"/>
          <w:szCs w:val="28"/>
        </w:rPr>
        <w:t> </w:t>
      </w:r>
      <w:r w:rsidRPr="00170B7C">
        <w:rPr>
          <w:rStyle w:val="s9"/>
          <w:rFonts w:ascii="Times New Roman" w:hAnsi="Times New Roman" w:cs="Times New Roman"/>
          <w:color w:val="000000"/>
          <w:sz w:val="28"/>
          <w:szCs w:val="28"/>
          <w:lang w:val="ru-RU"/>
        </w:rPr>
        <w:t>диагностики для предоперационной оценки объема печени донора.</w:t>
      </w:r>
    </w:p>
    <w:p w14:paraId="053DEF22" w14:textId="77777777" w:rsidR="0073070D" w:rsidRPr="00170B7C" w:rsidRDefault="0073070D" w:rsidP="00170B7C">
      <w:pPr>
        <w:pStyle w:val="ab"/>
        <w:ind w:firstLine="720"/>
        <w:jc w:val="both"/>
        <w:rPr>
          <w:rFonts w:ascii="Times New Roman" w:hAnsi="Times New Roman" w:cs="Times New Roman"/>
          <w:sz w:val="28"/>
          <w:szCs w:val="28"/>
          <w:lang w:val="ru-RU"/>
        </w:rPr>
      </w:pPr>
      <w:r w:rsidRPr="00170B7C">
        <w:rPr>
          <w:rStyle w:val="s9"/>
          <w:rFonts w:ascii="Times New Roman" w:hAnsi="Times New Roman" w:cs="Times New Roman"/>
          <w:color w:val="000000"/>
          <w:sz w:val="28"/>
          <w:szCs w:val="28"/>
          <w:lang w:val="ru-RU"/>
        </w:rPr>
        <w:t>Каждый из методов КТ-волюметрии</w:t>
      </w:r>
      <w:r w:rsidRPr="00170B7C">
        <w:rPr>
          <w:rStyle w:val="apple-converted-space"/>
          <w:rFonts w:ascii="Times New Roman" w:hAnsi="Times New Roman" w:cs="Times New Roman"/>
          <w:color w:val="000000"/>
          <w:sz w:val="28"/>
          <w:szCs w:val="28"/>
        </w:rPr>
        <w:t> </w:t>
      </w:r>
      <w:r w:rsidRPr="00170B7C">
        <w:rPr>
          <w:rStyle w:val="s9"/>
          <w:rFonts w:ascii="Times New Roman" w:hAnsi="Times New Roman" w:cs="Times New Roman"/>
          <w:color w:val="000000"/>
          <w:sz w:val="28"/>
          <w:szCs w:val="28"/>
          <w:lang w:val="ru-RU"/>
        </w:rPr>
        <w:t>обладает своими преимуществами и недостатками. Мануальный метод, хоть и трудоемкий и требующий высокой квалификации радиолога, отличается доступностью. Полуавтоматический метод сокращает время расчета объема печени, но требует ручной корректировки результатов и не учитывает объем сосудов</w:t>
      </w:r>
      <w:r w:rsidRPr="00170B7C">
        <w:rPr>
          <w:rStyle w:val="apple-converted-space"/>
          <w:rFonts w:ascii="Times New Roman" w:hAnsi="Times New Roman" w:cs="Times New Roman"/>
          <w:color w:val="000000"/>
          <w:sz w:val="28"/>
          <w:szCs w:val="28"/>
        </w:rPr>
        <w:t> </w:t>
      </w:r>
      <w:r w:rsidRPr="00170B7C">
        <w:rPr>
          <w:rStyle w:val="s9"/>
          <w:rFonts w:ascii="Times New Roman" w:hAnsi="Times New Roman" w:cs="Times New Roman"/>
          <w:color w:val="000000"/>
          <w:sz w:val="28"/>
          <w:szCs w:val="28"/>
          <w:lang w:val="ru-RU"/>
        </w:rPr>
        <w:t>печени, что может влиять на точность</w:t>
      </w:r>
      <w:r w:rsidR="00DA1F64">
        <w:rPr>
          <w:rStyle w:val="s9"/>
          <w:rFonts w:ascii="Times New Roman" w:hAnsi="Times New Roman" w:cs="Times New Roman"/>
          <w:color w:val="000000"/>
          <w:sz w:val="28"/>
          <w:szCs w:val="28"/>
          <w:lang w:val="ru-RU"/>
        </w:rPr>
        <w:t xml:space="preserve"> расчета</w:t>
      </w:r>
      <w:r w:rsidRPr="00170B7C">
        <w:rPr>
          <w:rStyle w:val="s9"/>
          <w:rFonts w:ascii="Times New Roman" w:hAnsi="Times New Roman" w:cs="Times New Roman"/>
          <w:color w:val="000000"/>
          <w:sz w:val="28"/>
          <w:szCs w:val="28"/>
          <w:lang w:val="ru-RU"/>
        </w:rPr>
        <w:t xml:space="preserve">. Автоматический метод </w:t>
      </w:r>
      <w:r w:rsidR="00DA1F64">
        <w:rPr>
          <w:rStyle w:val="s9"/>
          <w:rFonts w:ascii="Times New Roman" w:hAnsi="Times New Roman" w:cs="Times New Roman"/>
          <w:color w:val="000000"/>
          <w:sz w:val="28"/>
          <w:szCs w:val="28"/>
          <w:lang w:val="ru-RU"/>
        </w:rPr>
        <w:t xml:space="preserve">рассчитывает объем печени самостоятельно, </w:t>
      </w:r>
      <w:r w:rsidRPr="00170B7C">
        <w:rPr>
          <w:rStyle w:val="s9"/>
          <w:rFonts w:ascii="Times New Roman" w:hAnsi="Times New Roman" w:cs="Times New Roman"/>
          <w:color w:val="000000"/>
          <w:sz w:val="28"/>
          <w:szCs w:val="28"/>
          <w:lang w:val="ru-RU"/>
        </w:rPr>
        <w:t>быстро предоставляет результаты и имеет удобный интерфейс, однако также требует дополнительного времени на исправление ложноположительных данных, особенно при близости плотности паренхимы печени к соседним органам.</w:t>
      </w:r>
    </w:p>
    <w:p w14:paraId="340BA4AC" w14:textId="77777777" w:rsidR="0073070D" w:rsidRPr="00170B7C" w:rsidRDefault="0073070D" w:rsidP="00170B7C">
      <w:pPr>
        <w:pStyle w:val="ab"/>
        <w:ind w:firstLine="720"/>
        <w:jc w:val="both"/>
        <w:rPr>
          <w:rFonts w:ascii="Times New Roman" w:hAnsi="Times New Roman" w:cs="Times New Roman"/>
          <w:sz w:val="28"/>
          <w:szCs w:val="28"/>
          <w:lang w:val="ru-RU"/>
        </w:rPr>
      </w:pPr>
      <w:r w:rsidRPr="00170B7C">
        <w:rPr>
          <w:rStyle w:val="s9"/>
          <w:rFonts w:ascii="Times New Roman" w:hAnsi="Times New Roman" w:cs="Times New Roman"/>
          <w:color w:val="000000"/>
          <w:sz w:val="28"/>
          <w:szCs w:val="28"/>
          <w:lang w:val="ru-RU"/>
        </w:rPr>
        <w:t>Время, затрачиваемое на расчет объема печени, также варьирует в зависимости от метода. Мануальная сегментация требует значительно больше времени по сравнению с полуавтоматически</w:t>
      </w:r>
      <w:r w:rsidR="00DA1F64">
        <w:rPr>
          <w:rStyle w:val="s9"/>
          <w:rFonts w:ascii="Times New Roman" w:hAnsi="Times New Roman" w:cs="Times New Roman"/>
          <w:color w:val="000000"/>
          <w:sz w:val="28"/>
          <w:szCs w:val="28"/>
          <w:lang w:val="ru-RU"/>
        </w:rPr>
        <w:t>м</w:t>
      </w:r>
      <w:r w:rsidRPr="00170B7C">
        <w:rPr>
          <w:rStyle w:val="s9"/>
          <w:rFonts w:ascii="Times New Roman" w:hAnsi="Times New Roman" w:cs="Times New Roman"/>
          <w:color w:val="000000"/>
          <w:sz w:val="28"/>
          <w:szCs w:val="28"/>
          <w:lang w:val="ru-RU"/>
        </w:rPr>
        <w:t xml:space="preserve"> и автоматическим методами. Однако, несмотря на временные затраты, мануальный метод обеспечивает более высокую точность, что является критически важным для успешной трансплантации.</w:t>
      </w:r>
    </w:p>
    <w:p w14:paraId="3DB9329A" w14:textId="77777777" w:rsidR="0073070D" w:rsidRPr="00170B7C" w:rsidRDefault="0073070D" w:rsidP="00170B7C">
      <w:pPr>
        <w:pStyle w:val="ab"/>
        <w:jc w:val="both"/>
        <w:rPr>
          <w:rFonts w:ascii="Times New Roman" w:hAnsi="Times New Roman" w:cs="Times New Roman"/>
          <w:sz w:val="28"/>
          <w:szCs w:val="28"/>
          <w:lang w:val="ru-RU"/>
        </w:rPr>
      </w:pPr>
      <w:r w:rsidRPr="00170B7C">
        <w:rPr>
          <w:rFonts w:ascii="Times New Roman" w:hAnsi="Times New Roman" w:cs="Times New Roman"/>
          <w:sz w:val="28"/>
          <w:szCs w:val="28"/>
        </w:rPr>
        <w:lastRenderedPageBreak/>
        <w:t> </w:t>
      </w:r>
    </w:p>
    <w:p w14:paraId="04D708CD" w14:textId="77777777" w:rsidR="0073070D" w:rsidRPr="00170B7C" w:rsidRDefault="0073070D" w:rsidP="00170B7C">
      <w:pPr>
        <w:pStyle w:val="ab"/>
        <w:ind w:firstLine="720"/>
        <w:jc w:val="both"/>
        <w:rPr>
          <w:rFonts w:ascii="Times New Roman" w:hAnsi="Times New Roman" w:cs="Times New Roman"/>
          <w:sz w:val="28"/>
          <w:szCs w:val="28"/>
          <w:lang w:val="ru-RU"/>
        </w:rPr>
      </w:pPr>
      <w:r w:rsidRPr="00170B7C">
        <w:rPr>
          <w:rStyle w:val="s9"/>
          <w:rFonts w:ascii="Times New Roman" w:hAnsi="Times New Roman" w:cs="Times New Roman"/>
          <w:color w:val="000000"/>
          <w:sz w:val="28"/>
          <w:szCs w:val="28"/>
          <w:lang w:val="ru-RU"/>
        </w:rPr>
        <w:t>Анализ литературы выявил факторы, способные влиять на точность расчетов объема печени, такие как опыт работы радиологов, фазу КТ-сканирования, толщину срезов и другие технические параметры. В нашем исследовании установлено, что опыт работы специалистов не оказывает статистически значимого влияния на результаты, при условии, что они обучены методике проведения КТ-волюметрии</w:t>
      </w:r>
      <w:r w:rsidRPr="00170B7C">
        <w:rPr>
          <w:rStyle w:val="apple-converted-space"/>
          <w:rFonts w:ascii="Times New Roman" w:hAnsi="Times New Roman" w:cs="Times New Roman"/>
          <w:color w:val="000000"/>
          <w:sz w:val="28"/>
          <w:szCs w:val="28"/>
        </w:rPr>
        <w:t> </w:t>
      </w:r>
      <w:r w:rsidRPr="00170B7C">
        <w:rPr>
          <w:rStyle w:val="s9"/>
          <w:rFonts w:ascii="Times New Roman" w:hAnsi="Times New Roman" w:cs="Times New Roman"/>
          <w:color w:val="000000"/>
          <w:sz w:val="28"/>
          <w:szCs w:val="28"/>
          <w:lang w:val="ru-RU"/>
        </w:rPr>
        <w:t>и осведомлены о виртуальной линии резекции печени.</w:t>
      </w:r>
    </w:p>
    <w:p w14:paraId="4879658E" w14:textId="77777777" w:rsidR="0073070D" w:rsidRPr="00170B7C" w:rsidRDefault="0073070D" w:rsidP="00170B7C">
      <w:pPr>
        <w:pStyle w:val="ab"/>
        <w:ind w:firstLine="720"/>
        <w:jc w:val="both"/>
        <w:rPr>
          <w:rFonts w:ascii="Times New Roman" w:hAnsi="Times New Roman" w:cs="Times New Roman"/>
          <w:sz w:val="28"/>
          <w:szCs w:val="28"/>
          <w:lang w:val="ru-RU"/>
        </w:rPr>
      </w:pPr>
      <w:r w:rsidRPr="00170B7C">
        <w:rPr>
          <w:rStyle w:val="s9"/>
          <w:rFonts w:ascii="Times New Roman" w:hAnsi="Times New Roman" w:cs="Times New Roman"/>
          <w:color w:val="000000"/>
          <w:sz w:val="28"/>
          <w:szCs w:val="28"/>
          <w:lang w:val="ru-RU"/>
        </w:rPr>
        <w:t>Важно отметить, что снижение порога плотности печени при мануальном методе КТ-волюметрии</w:t>
      </w:r>
      <w:r w:rsidRPr="00170B7C">
        <w:rPr>
          <w:rStyle w:val="apple-converted-space"/>
          <w:rFonts w:ascii="Times New Roman" w:hAnsi="Times New Roman" w:cs="Times New Roman"/>
          <w:color w:val="000000"/>
          <w:sz w:val="28"/>
          <w:szCs w:val="28"/>
        </w:rPr>
        <w:t> </w:t>
      </w:r>
      <w:r w:rsidRPr="00170B7C">
        <w:rPr>
          <w:rStyle w:val="s9"/>
          <w:rFonts w:ascii="Times New Roman" w:hAnsi="Times New Roman" w:cs="Times New Roman"/>
          <w:color w:val="000000"/>
          <w:sz w:val="28"/>
          <w:szCs w:val="28"/>
          <w:lang w:val="ru-RU"/>
        </w:rPr>
        <w:t xml:space="preserve">способствует повышению точности предоперационной оценки объема печени. Снижение максимального порога плотности на 20 </w:t>
      </w:r>
      <w:r w:rsidRPr="00170B7C">
        <w:rPr>
          <w:rStyle w:val="s9"/>
          <w:rFonts w:ascii="Times New Roman" w:hAnsi="Times New Roman" w:cs="Times New Roman"/>
          <w:color w:val="000000"/>
          <w:sz w:val="28"/>
          <w:szCs w:val="28"/>
        </w:rPr>
        <w:t>HU</w:t>
      </w:r>
      <w:r w:rsidRPr="00170B7C">
        <w:rPr>
          <w:rStyle w:val="s9"/>
          <w:rFonts w:ascii="Times New Roman" w:hAnsi="Times New Roman" w:cs="Times New Roman"/>
          <w:color w:val="000000"/>
          <w:sz w:val="28"/>
          <w:szCs w:val="28"/>
          <w:lang w:val="ru-RU"/>
        </w:rPr>
        <w:t xml:space="preserve"> позволило приблизить полученный объем печени к фактической массе трансплантата за счет исключения плотности мелких</w:t>
      </w:r>
      <w:r w:rsidRPr="00170B7C">
        <w:rPr>
          <w:rStyle w:val="apple-converted-space"/>
          <w:rFonts w:ascii="Times New Roman" w:hAnsi="Times New Roman" w:cs="Times New Roman"/>
          <w:color w:val="000000"/>
          <w:sz w:val="28"/>
          <w:szCs w:val="28"/>
        </w:rPr>
        <w:t> </w:t>
      </w:r>
      <w:r w:rsidRPr="00170B7C">
        <w:rPr>
          <w:rStyle w:val="s9"/>
          <w:rFonts w:ascii="Times New Roman" w:hAnsi="Times New Roman" w:cs="Times New Roman"/>
          <w:color w:val="000000"/>
          <w:sz w:val="28"/>
          <w:szCs w:val="28"/>
          <w:lang w:val="ru-RU"/>
        </w:rPr>
        <w:t>субсегментарных</w:t>
      </w:r>
      <w:r w:rsidRPr="00170B7C">
        <w:rPr>
          <w:rStyle w:val="apple-converted-space"/>
          <w:rFonts w:ascii="Times New Roman" w:hAnsi="Times New Roman" w:cs="Times New Roman"/>
          <w:color w:val="000000"/>
          <w:sz w:val="28"/>
          <w:szCs w:val="28"/>
        </w:rPr>
        <w:t> </w:t>
      </w:r>
      <w:r w:rsidRPr="00170B7C">
        <w:rPr>
          <w:rStyle w:val="s9"/>
          <w:rFonts w:ascii="Times New Roman" w:hAnsi="Times New Roman" w:cs="Times New Roman"/>
          <w:color w:val="000000"/>
          <w:sz w:val="28"/>
          <w:szCs w:val="28"/>
          <w:lang w:val="ru-RU"/>
        </w:rPr>
        <w:t>сосудов. Предложенный метод продемонстрировал уменьшение ошибки до 8,4%, что на 4,3% меньше по сравнению со стандартным мануальным методом (</w:t>
      </w:r>
      <w:r w:rsidRPr="00170B7C">
        <w:rPr>
          <w:rStyle w:val="s9"/>
          <w:rFonts w:ascii="Times New Roman" w:hAnsi="Times New Roman" w:cs="Times New Roman"/>
          <w:color w:val="000000"/>
          <w:sz w:val="28"/>
          <w:szCs w:val="28"/>
        </w:rPr>
        <w:t>p</w:t>
      </w:r>
      <w:r w:rsidRPr="00170B7C">
        <w:rPr>
          <w:rStyle w:val="s9"/>
          <w:rFonts w:ascii="Times New Roman" w:hAnsi="Times New Roman" w:cs="Times New Roman"/>
          <w:color w:val="000000"/>
          <w:sz w:val="28"/>
          <w:szCs w:val="28"/>
          <w:lang w:val="ru-RU"/>
        </w:rPr>
        <w:t>=0,029).</w:t>
      </w:r>
    </w:p>
    <w:p w14:paraId="7439E48E" w14:textId="77777777" w:rsidR="0073070D" w:rsidRPr="00170B7C" w:rsidRDefault="00DA1F64" w:rsidP="00170B7C">
      <w:pPr>
        <w:pStyle w:val="ab"/>
        <w:ind w:firstLine="720"/>
        <w:jc w:val="both"/>
        <w:rPr>
          <w:rFonts w:ascii="Times New Roman" w:hAnsi="Times New Roman" w:cs="Times New Roman"/>
          <w:sz w:val="28"/>
          <w:szCs w:val="28"/>
          <w:lang w:val="ru-RU"/>
        </w:rPr>
      </w:pPr>
      <w:r>
        <w:rPr>
          <w:rStyle w:val="s9"/>
          <w:rFonts w:ascii="Times New Roman" w:hAnsi="Times New Roman" w:cs="Times New Roman"/>
          <w:color w:val="000000"/>
          <w:sz w:val="28"/>
          <w:szCs w:val="28"/>
          <w:lang w:val="ru-RU"/>
        </w:rPr>
        <w:t>В и</w:t>
      </w:r>
      <w:r w:rsidR="0073070D" w:rsidRPr="00170B7C">
        <w:rPr>
          <w:rStyle w:val="s9"/>
          <w:rFonts w:ascii="Times New Roman" w:hAnsi="Times New Roman" w:cs="Times New Roman"/>
          <w:color w:val="000000"/>
          <w:sz w:val="28"/>
          <w:szCs w:val="28"/>
          <w:lang w:val="ru-RU"/>
        </w:rPr>
        <w:t>сследовани</w:t>
      </w:r>
      <w:r>
        <w:rPr>
          <w:rStyle w:val="s9"/>
          <w:rFonts w:ascii="Times New Roman" w:hAnsi="Times New Roman" w:cs="Times New Roman"/>
          <w:color w:val="000000"/>
          <w:sz w:val="28"/>
          <w:szCs w:val="28"/>
          <w:lang w:val="ru-RU"/>
        </w:rPr>
        <w:t>и</w:t>
      </w:r>
      <w:r w:rsidR="0073070D" w:rsidRPr="00170B7C">
        <w:rPr>
          <w:rStyle w:val="s9"/>
          <w:rFonts w:ascii="Times New Roman" w:hAnsi="Times New Roman" w:cs="Times New Roman"/>
          <w:color w:val="000000"/>
          <w:sz w:val="28"/>
          <w:szCs w:val="28"/>
          <w:lang w:val="ru-RU"/>
        </w:rPr>
        <w:t xml:space="preserve"> также рассмотре</w:t>
      </w:r>
      <w:r w:rsidR="006C28F5">
        <w:rPr>
          <w:rStyle w:val="s9"/>
          <w:rFonts w:ascii="Times New Roman" w:hAnsi="Times New Roman" w:cs="Times New Roman"/>
          <w:color w:val="000000"/>
          <w:sz w:val="28"/>
          <w:szCs w:val="28"/>
          <w:lang w:val="ru-RU"/>
        </w:rPr>
        <w:t>н</w:t>
      </w:r>
      <w:r w:rsidR="0073070D" w:rsidRPr="00170B7C">
        <w:rPr>
          <w:rStyle w:val="s9"/>
          <w:rFonts w:ascii="Times New Roman" w:hAnsi="Times New Roman" w:cs="Times New Roman"/>
          <w:color w:val="000000"/>
          <w:sz w:val="28"/>
          <w:szCs w:val="28"/>
          <w:lang w:val="ru-RU"/>
        </w:rPr>
        <w:t>о влияние различных факторов, таких как возраст, пол, индекс массы тела донора и интервал времени между проведением КТ-волюметрии</w:t>
      </w:r>
      <w:r w:rsidR="0073070D" w:rsidRPr="00170B7C">
        <w:rPr>
          <w:rStyle w:val="apple-converted-space"/>
          <w:rFonts w:ascii="Times New Roman" w:hAnsi="Times New Roman" w:cs="Times New Roman"/>
          <w:color w:val="000000"/>
          <w:sz w:val="28"/>
          <w:szCs w:val="28"/>
        </w:rPr>
        <w:t> </w:t>
      </w:r>
      <w:r w:rsidR="0073070D" w:rsidRPr="00170B7C">
        <w:rPr>
          <w:rStyle w:val="s9"/>
          <w:rFonts w:ascii="Times New Roman" w:hAnsi="Times New Roman" w:cs="Times New Roman"/>
          <w:color w:val="000000"/>
          <w:sz w:val="28"/>
          <w:szCs w:val="28"/>
          <w:lang w:val="ru-RU"/>
        </w:rPr>
        <w:t>и операцией, на точность предоперационной оценки объема печени. Статистически значимой связи между</w:t>
      </w:r>
      <w:r w:rsidR="0073070D" w:rsidRPr="00170B7C">
        <w:rPr>
          <w:rStyle w:val="apple-converted-space"/>
          <w:rFonts w:ascii="Times New Roman" w:hAnsi="Times New Roman" w:cs="Times New Roman"/>
          <w:color w:val="000000"/>
          <w:sz w:val="28"/>
          <w:szCs w:val="28"/>
        </w:rPr>
        <w:t> </w:t>
      </w:r>
      <w:r w:rsidR="0073070D" w:rsidRPr="00170B7C">
        <w:rPr>
          <w:rStyle w:val="s9"/>
          <w:rFonts w:ascii="Times New Roman" w:hAnsi="Times New Roman" w:cs="Times New Roman"/>
          <w:color w:val="000000"/>
          <w:sz w:val="28"/>
          <w:szCs w:val="28"/>
          <w:lang w:val="ru-RU"/>
        </w:rPr>
        <w:t>этими факторами и процент</w:t>
      </w:r>
      <w:r w:rsidR="00861BF8" w:rsidRPr="00170B7C">
        <w:rPr>
          <w:rStyle w:val="s9"/>
          <w:rFonts w:ascii="Times New Roman" w:hAnsi="Times New Roman" w:cs="Times New Roman"/>
          <w:color w:val="000000"/>
          <w:sz w:val="28"/>
          <w:szCs w:val="28"/>
          <w:lang w:val="ru-RU"/>
        </w:rPr>
        <w:t>ом</w:t>
      </w:r>
      <w:r w:rsidR="0073070D" w:rsidRPr="00170B7C">
        <w:rPr>
          <w:rStyle w:val="s9"/>
          <w:rFonts w:ascii="Times New Roman" w:hAnsi="Times New Roman" w:cs="Times New Roman"/>
          <w:color w:val="000000"/>
          <w:sz w:val="28"/>
          <w:szCs w:val="28"/>
          <w:lang w:val="ru-RU"/>
        </w:rPr>
        <w:t xml:space="preserve"> ошибк</w:t>
      </w:r>
      <w:r w:rsidR="00861BF8" w:rsidRPr="00170B7C">
        <w:rPr>
          <w:rStyle w:val="s9"/>
          <w:rFonts w:ascii="Times New Roman" w:hAnsi="Times New Roman" w:cs="Times New Roman"/>
          <w:color w:val="000000"/>
          <w:sz w:val="28"/>
          <w:szCs w:val="28"/>
          <w:lang w:val="ru-RU"/>
        </w:rPr>
        <w:t>и</w:t>
      </w:r>
      <w:r w:rsidR="0073070D" w:rsidRPr="00170B7C">
        <w:rPr>
          <w:rStyle w:val="s9"/>
          <w:rFonts w:ascii="Times New Roman" w:hAnsi="Times New Roman" w:cs="Times New Roman"/>
          <w:color w:val="000000"/>
          <w:sz w:val="28"/>
          <w:szCs w:val="28"/>
          <w:lang w:val="ru-RU"/>
        </w:rPr>
        <w:t xml:space="preserve"> методов КТ-волюметрии</w:t>
      </w:r>
      <w:r w:rsidR="0073070D" w:rsidRPr="00170B7C">
        <w:rPr>
          <w:rStyle w:val="apple-converted-space"/>
          <w:rFonts w:ascii="Times New Roman" w:hAnsi="Times New Roman" w:cs="Times New Roman"/>
          <w:color w:val="000000"/>
          <w:sz w:val="28"/>
          <w:szCs w:val="28"/>
        </w:rPr>
        <w:t> </w:t>
      </w:r>
      <w:r w:rsidR="0073070D" w:rsidRPr="00170B7C">
        <w:rPr>
          <w:rStyle w:val="s9"/>
          <w:rFonts w:ascii="Times New Roman" w:hAnsi="Times New Roman" w:cs="Times New Roman"/>
          <w:color w:val="000000"/>
          <w:sz w:val="28"/>
          <w:szCs w:val="28"/>
          <w:lang w:val="ru-RU"/>
        </w:rPr>
        <w:t>не выявлено. Это позволяет предположить, что точность предоперационной оценки зависит преимущественно от выбранной методики КТ-волюметрии, а не от демографических или временных факторов.</w:t>
      </w:r>
    </w:p>
    <w:p w14:paraId="6C0211F8" w14:textId="77777777" w:rsidR="0073070D" w:rsidRPr="00170B7C" w:rsidRDefault="0073070D" w:rsidP="00170B7C">
      <w:pPr>
        <w:pStyle w:val="ab"/>
        <w:jc w:val="both"/>
        <w:rPr>
          <w:rFonts w:ascii="Times New Roman" w:hAnsi="Times New Roman" w:cs="Times New Roman"/>
          <w:sz w:val="28"/>
          <w:szCs w:val="28"/>
          <w:lang w:val="ru-RU"/>
        </w:rPr>
      </w:pPr>
      <w:r w:rsidRPr="00170B7C">
        <w:rPr>
          <w:rFonts w:ascii="Times New Roman" w:hAnsi="Times New Roman" w:cs="Times New Roman"/>
          <w:sz w:val="28"/>
          <w:szCs w:val="28"/>
        </w:rPr>
        <w:t> </w:t>
      </w:r>
      <w:r w:rsidR="00861BF8" w:rsidRPr="00170B7C">
        <w:rPr>
          <w:rFonts w:ascii="Times New Roman" w:hAnsi="Times New Roman" w:cs="Times New Roman"/>
          <w:sz w:val="28"/>
          <w:szCs w:val="28"/>
          <w:lang w:val="ru-RU"/>
        </w:rPr>
        <w:tab/>
      </w:r>
      <w:r w:rsidRPr="00170B7C">
        <w:rPr>
          <w:rStyle w:val="s9"/>
          <w:rFonts w:ascii="Times New Roman" w:hAnsi="Times New Roman" w:cs="Times New Roman"/>
          <w:color w:val="000000"/>
          <w:sz w:val="28"/>
          <w:szCs w:val="28"/>
          <w:lang w:val="ru-RU"/>
        </w:rPr>
        <w:t xml:space="preserve">В контексте клинических </w:t>
      </w:r>
      <w:r w:rsidR="006F118E" w:rsidRPr="00170B7C">
        <w:rPr>
          <w:rStyle w:val="s9"/>
          <w:rFonts w:ascii="Times New Roman" w:hAnsi="Times New Roman" w:cs="Times New Roman"/>
          <w:color w:val="000000"/>
          <w:sz w:val="28"/>
          <w:szCs w:val="28"/>
          <w:lang w:val="ru-RU"/>
        </w:rPr>
        <w:t>исходов несмотря на то, что</w:t>
      </w:r>
      <w:r w:rsidRPr="00170B7C">
        <w:rPr>
          <w:rStyle w:val="s9"/>
          <w:rFonts w:ascii="Times New Roman" w:hAnsi="Times New Roman" w:cs="Times New Roman"/>
          <w:color w:val="000000"/>
          <w:sz w:val="28"/>
          <w:szCs w:val="28"/>
          <w:lang w:val="ru-RU"/>
        </w:rPr>
        <w:t xml:space="preserve"> всем </w:t>
      </w:r>
      <w:r w:rsidR="006F118E" w:rsidRPr="00170B7C">
        <w:rPr>
          <w:rStyle w:val="s9"/>
          <w:rFonts w:ascii="Times New Roman" w:hAnsi="Times New Roman" w:cs="Times New Roman"/>
          <w:color w:val="000000"/>
          <w:sz w:val="28"/>
          <w:szCs w:val="28"/>
          <w:lang w:val="ru-RU"/>
        </w:rPr>
        <w:t>реципиентам пересажен</w:t>
      </w:r>
      <w:r w:rsidRPr="00170B7C">
        <w:rPr>
          <w:rStyle w:val="s9"/>
          <w:rFonts w:ascii="Times New Roman" w:hAnsi="Times New Roman" w:cs="Times New Roman"/>
          <w:color w:val="000000"/>
          <w:sz w:val="28"/>
          <w:szCs w:val="28"/>
          <w:lang w:val="ru-RU"/>
        </w:rPr>
        <w:t xml:space="preserve"> достаточный объем печени (среднее отношение веса трансплантата к массе тела реципиента составило 1,2±0,2%), у 15% </w:t>
      </w:r>
      <w:r w:rsidR="009161AA">
        <w:rPr>
          <w:rStyle w:val="s9"/>
          <w:rFonts w:ascii="Times New Roman" w:hAnsi="Times New Roman" w:cs="Times New Roman"/>
          <w:color w:val="000000"/>
          <w:sz w:val="28"/>
          <w:szCs w:val="28"/>
          <w:lang w:val="ru-RU"/>
        </w:rPr>
        <w:t>реципиентов</w:t>
      </w:r>
      <w:r w:rsidRPr="00170B7C">
        <w:rPr>
          <w:rStyle w:val="s9"/>
          <w:rFonts w:ascii="Times New Roman" w:hAnsi="Times New Roman" w:cs="Times New Roman"/>
          <w:color w:val="000000"/>
          <w:sz w:val="28"/>
          <w:szCs w:val="28"/>
          <w:lang w:val="ru-RU"/>
        </w:rPr>
        <w:t xml:space="preserve"> в раннем послеоперационном периоде </w:t>
      </w:r>
      <w:r w:rsidR="00DA1F64">
        <w:rPr>
          <w:rStyle w:val="s9"/>
          <w:rFonts w:ascii="Times New Roman" w:hAnsi="Times New Roman" w:cs="Times New Roman"/>
          <w:color w:val="000000"/>
          <w:sz w:val="28"/>
          <w:szCs w:val="28"/>
          <w:lang w:val="ru-RU"/>
        </w:rPr>
        <w:t xml:space="preserve">наблюдались </w:t>
      </w:r>
      <w:r w:rsidR="00820DF0">
        <w:rPr>
          <w:rStyle w:val="s9"/>
          <w:rFonts w:ascii="Times New Roman" w:hAnsi="Times New Roman" w:cs="Times New Roman"/>
          <w:color w:val="000000"/>
          <w:sz w:val="28"/>
          <w:szCs w:val="28"/>
          <w:lang w:val="ru-RU"/>
        </w:rPr>
        <w:t xml:space="preserve">признаки </w:t>
      </w:r>
      <w:r w:rsidR="00A94A84" w:rsidRPr="00A94A84">
        <w:rPr>
          <w:rFonts w:ascii="Times New Roman" w:hAnsi="Times New Roman" w:cs="Times New Roman"/>
          <w:color w:val="000000"/>
          <w:sz w:val="28"/>
          <w:szCs w:val="28"/>
          <w:lang w:val="ru-RU"/>
        </w:rPr>
        <w:t>small - for - size syndrome</w:t>
      </w:r>
      <w:r w:rsidRPr="00170B7C">
        <w:rPr>
          <w:rStyle w:val="s9"/>
          <w:rFonts w:ascii="Times New Roman" w:hAnsi="Times New Roman" w:cs="Times New Roman"/>
          <w:color w:val="000000"/>
          <w:sz w:val="28"/>
          <w:szCs w:val="28"/>
          <w:lang w:val="ru-RU"/>
        </w:rPr>
        <w:t>. Это указывает на то, что, помимо точной предоперационной оценки объема печени, необходим комплексный подход, учитывающий состояние реципиента, качество трансплантата и другие факторы, влияющие на успешность трансплантации.</w:t>
      </w:r>
    </w:p>
    <w:p w14:paraId="26785700" w14:textId="77777777" w:rsidR="00861BF8" w:rsidRPr="00170B7C" w:rsidRDefault="0073070D" w:rsidP="00170B7C">
      <w:pPr>
        <w:pStyle w:val="ab"/>
        <w:jc w:val="both"/>
        <w:rPr>
          <w:rFonts w:ascii="Times New Roman" w:hAnsi="Times New Roman" w:cs="Times New Roman"/>
          <w:sz w:val="28"/>
          <w:szCs w:val="28"/>
          <w:lang w:val="ru-RU"/>
        </w:rPr>
      </w:pPr>
      <w:r w:rsidRPr="00170B7C">
        <w:rPr>
          <w:rFonts w:ascii="Times New Roman" w:hAnsi="Times New Roman" w:cs="Times New Roman"/>
          <w:sz w:val="28"/>
          <w:szCs w:val="28"/>
        </w:rPr>
        <w:t> </w:t>
      </w:r>
      <w:r w:rsidR="00861BF8" w:rsidRPr="00170B7C">
        <w:rPr>
          <w:rFonts w:ascii="Times New Roman" w:hAnsi="Times New Roman" w:cs="Times New Roman"/>
          <w:sz w:val="28"/>
          <w:szCs w:val="28"/>
          <w:lang w:val="ru-RU"/>
        </w:rPr>
        <w:tab/>
      </w:r>
      <w:r w:rsidRPr="00170B7C">
        <w:rPr>
          <w:rStyle w:val="s9"/>
          <w:rFonts w:ascii="Times New Roman" w:hAnsi="Times New Roman" w:cs="Times New Roman"/>
          <w:color w:val="000000"/>
          <w:sz w:val="28"/>
          <w:szCs w:val="28"/>
          <w:lang w:val="ru-RU"/>
        </w:rPr>
        <w:t>Ограничения исследования включают фокусировку только на правосторонней</w:t>
      </w:r>
      <w:r w:rsidRPr="00170B7C">
        <w:rPr>
          <w:rStyle w:val="apple-converted-space"/>
          <w:rFonts w:ascii="Times New Roman" w:hAnsi="Times New Roman" w:cs="Times New Roman"/>
          <w:color w:val="000000"/>
          <w:sz w:val="28"/>
          <w:szCs w:val="28"/>
        </w:rPr>
        <w:t> </w:t>
      </w:r>
      <w:r w:rsidRPr="00170B7C">
        <w:rPr>
          <w:rStyle w:val="s9"/>
          <w:rFonts w:ascii="Times New Roman" w:hAnsi="Times New Roman" w:cs="Times New Roman"/>
          <w:color w:val="000000"/>
          <w:sz w:val="28"/>
          <w:szCs w:val="28"/>
          <w:lang w:val="ru-RU"/>
        </w:rPr>
        <w:t>ге</w:t>
      </w:r>
      <w:r w:rsidR="009161AA">
        <w:rPr>
          <w:rStyle w:val="s9"/>
          <w:rFonts w:ascii="Times New Roman" w:hAnsi="Times New Roman" w:cs="Times New Roman"/>
          <w:color w:val="000000"/>
          <w:sz w:val="28"/>
          <w:szCs w:val="28"/>
          <w:lang w:val="ru-RU"/>
        </w:rPr>
        <w:t>миге</w:t>
      </w:r>
      <w:r w:rsidRPr="00170B7C">
        <w:rPr>
          <w:rStyle w:val="s9"/>
          <w:rFonts w:ascii="Times New Roman" w:hAnsi="Times New Roman" w:cs="Times New Roman"/>
          <w:color w:val="000000"/>
          <w:sz w:val="28"/>
          <w:szCs w:val="28"/>
          <w:lang w:val="ru-RU"/>
        </w:rPr>
        <w:t>патэктомии</w:t>
      </w:r>
      <w:r w:rsidRPr="00170B7C">
        <w:rPr>
          <w:rStyle w:val="apple-converted-space"/>
          <w:rFonts w:ascii="Times New Roman" w:hAnsi="Times New Roman" w:cs="Times New Roman"/>
          <w:color w:val="000000"/>
          <w:sz w:val="28"/>
          <w:szCs w:val="28"/>
        </w:rPr>
        <w:t> </w:t>
      </w:r>
      <w:r w:rsidRPr="00170B7C">
        <w:rPr>
          <w:rStyle w:val="s9"/>
          <w:rFonts w:ascii="Times New Roman" w:hAnsi="Times New Roman" w:cs="Times New Roman"/>
          <w:color w:val="000000"/>
          <w:sz w:val="28"/>
          <w:szCs w:val="28"/>
          <w:lang w:val="ru-RU"/>
        </w:rPr>
        <w:t>и проведение КТ-волюметрии</w:t>
      </w:r>
      <w:r w:rsidR="00861BF8" w:rsidRPr="00170B7C">
        <w:rPr>
          <w:rStyle w:val="s9"/>
          <w:rFonts w:ascii="Times New Roman" w:hAnsi="Times New Roman" w:cs="Times New Roman"/>
          <w:color w:val="000000"/>
          <w:sz w:val="28"/>
          <w:szCs w:val="28"/>
          <w:lang w:val="ru-RU"/>
        </w:rPr>
        <w:t xml:space="preserve"> </w:t>
      </w:r>
      <w:r w:rsidRPr="00170B7C">
        <w:rPr>
          <w:rStyle w:val="s9"/>
          <w:rFonts w:ascii="Times New Roman" w:hAnsi="Times New Roman" w:cs="Times New Roman"/>
          <w:color w:val="000000"/>
          <w:sz w:val="28"/>
          <w:szCs w:val="28"/>
          <w:lang w:val="ru-RU"/>
        </w:rPr>
        <w:t>исключительно врачами</w:t>
      </w:r>
      <w:r w:rsidR="009161AA">
        <w:rPr>
          <w:rStyle w:val="s9"/>
          <w:rFonts w:ascii="Times New Roman" w:hAnsi="Times New Roman" w:cs="Times New Roman"/>
          <w:color w:val="000000"/>
          <w:sz w:val="28"/>
          <w:szCs w:val="28"/>
          <w:lang w:val="ru-RU"/>
        </w:rPr>
        <w:t xml:space="preserve"> </w:t>
      </w:r>
      <w:r w:rsidRPr="00170B7C">
        <w:rPr>
          <w:rStyle w:val="s9"/>
          <w:rFonts w:ascii="Times New Roman" w:hAnsi="Times New Roman" w:cs="Times New Roman"/>
          <w:color w:val="000000"/>
          <w:sz w:val="28"/>
          <w:szCs w:val="28"/>
          <w:lang w:val="ru-RU"/>
        </w:rPr>
        <w:t>-</w:t>
      </w:r>
      <w:r w:rsidR="009161AA">
        <w:rPr>
          <w:rStyle w:val="s9"/>
          <w:rFonts w:ascii="Times New Roman" w:hAnsi="Times New Roman" w:cs="Times New Roman"/>
          <w:color w:val="000000"/>
          <w:sz w:val="28"/>
          <w:szCs w:val="28"/>
          <w:lang w:val="ru-RU"/>
        </w:rPr>
        <w:t xml:space="preserve"> </w:t>
      </w:r>
      <w:r w:rsidRPr="00170B7C">
        <w:rPr>
          <w:rStyle w:val="s9"/>
          <w:rFonts w:ascii="Times New Roman" w:hAnsi="Times New Roman" w:cs="Times New Roman"/>
          <w:color w:val="000000"/>
          <w:sz w:val="28"/>
          <w:szCs w:val="28"/>
          <w:lang w:val="ru-RU"/>
        </w:rPr>
        <w:t>радиологами без привлечения хирургов. Несмотря на это, полученные результаты подтверждают важность и эффективность оптимизированного мануального метода КТ-волюметрии</w:t>
      </w:r>
      <w:r w:rsidRPr="00170B7C">
        <w:rPr>
          <w:rStyle w:val="apple-converted-space"/>
          <w:rFonts w:ascii="Times New Roman" w:hAnsi="Times New Roman" w:cs="Times New Roman"/>
          <w:color w:val="000000"/>
          <w:sz w:val="28"/>
          <w:szCs w:val="28"/>
        </w:rPr>
        <w:t> </w:t>
      </w:r>
      <w:r w:rsidRPr="00170B7C">
        <w:rPr>
          <w:rStyle w:val="s9"/>
          <w:rFonts w:ascii="Times New Roman" w:hAnsi="Times New Roman" w:cs="Times New Roman"/>
          <w:color w:val="000000"/>
          <w:sz w:val="28"/>
          <w:szCs w:val="28"/>
          <w:lang w:val="ru-RU"/>
        </w:rPr>
        <w:t>для предоперационной оценки объема печени доноров.</w:t>
      </w:r>
    </w:p>
    <w:p w14:paraId="71AE50DF" w14:textId="77777777" w:rsidR="00C700B8" w:rsidRPr="00170B7C" w:rsidRDefault="00A52884" w:rsidP="00170B7C">
      <w:pPr>
        <w:pStyle w:val="ab"/>
        <w:ind w:firstLine="720"/>
        <w:jc w:val="both"/>
        <w:rPr>
          <w:rFonts w:ascii="Times New Roman" w:hAnsi="Times New Roman" w:cs="Times New Roman"/>
          <w:sz w:val="28"/>
          <w:szCs w:val="28"/>
          <w:lang w:val="ru-RU"/>
        </w:rPr>
      </w:pPr>
      <w:r>
        <w:rPr>
          <w:rFonts w:ascii="Times New Roman" w:hAnsi="Times New Roman" w:cs="Times New Roman"/>
          <w:color w:val="000000"/>
          <w:sz w:val="28"/>
          <w:szCs w:val="28"/>
          <w:lang w:val="ru-RU"/>
        </w:rPr>
        <w:t xml:space="preserve">По результатам </w:t>
      </w:r>
      <w:r w:rsidRPr="00C5654B">
        <w:rPr>
          <w:rFonts w:ascii="Times New Roman" w:hAnsi="Times New Roman" w:cs="Times New Roman"/>
          <w:color w:val="000000"/>
          <w:sz w:val="28"/>
          <w:szCs w:val="28"/>
          <w:lang w:val="ru-RU"/>
        </w:rPr>
        <w:t>исследования</w:t>
      </w:r>
      <w:r w:rsidR="00D52456">
        <w:rPr>
          <w:rFonts w:ascii="Times New Roman" w:hAnsi="Times New Roman" w:cs="Times New Roman"/>
          <w:color w:val="000000"/>
          <w:sz w:val="28"/>
          <w:szCs w:val="28"/>
          <w:lang w:val="ru-RU"/>
        </w:rPr>
        <w:t>,</w:t>
      </w:r>
      <w:r w:rsidRPr="00C5654B">
        <w:rPr>
          <w:rFonts w:ascii="Times New Roman" w:hAnsi="Times New Roman" w:cs="Times New Roman"/>
          <w:color w:val="000000"/>
          <w:sz w:val="28"/>
          <w:szCs w:val="28"/>
          <w:lang w:val="ru-RU"/>
        </w:rPr>
        <w:t xml:space="preserve"> </w:t>
      </w:r>
      <w:r w:rsidR="00397121" w:rsidRPr="00C5654B">
        <w:rPr>
          <w:rFonts w:ascii="Times New Roman" w:hAnsi="Times New Roman" w:cs="Times New Roman"/>
          <w:color w:val="000000"/>
          <w:sz w:val="28"/>
          <w:szCs w:val="28"/>
          <w:lang w:val="ru-RU"/>
        </w:rPr>
        <w:t xml:space="preserve">оптимизированный метод КТ-волюметрии высоко коррелирует с весом графта и демонстрирует высокую точность в сравнении со стандартным мануальным методом. </w:t>
      </w:r>
      <w:r w:rsidR="00274D3C" w:rsidRPr="00C5654B">
        <w:rPr>
          <w:rFonts w:ascii="Times New Roman" w:hAnsi="Times New Roman" w:cs="Times New Roman"/>
          <w:color w:val="000000"/>
          <w:sz w:val="28"/>
          <w:szCs w:val="28"/>
          <w:lang w:val="ru-RU"/>
        </w:rPr>
        <w:t>Нулевая гипотеза (Н</w:t>
      </w:r>
      <w:r w:rsidR="00397121" w:rsidRPr="00C5654B">
        <w:rPr>
          <w:rFonts w:ascii="Times New Roman" w:hAnsi="Times New Roman" w:cs="Times New Roman"/>
          <w:color w:val="000000"/>
          <w:sz w:val="28"/>
          <w:szCs w:val="28"/>
          <w:vertAlign w:val="subscript"/>
          <w:lang w:val="ru-RU"/>
        </w:rPr>
        <w:t>0</w:t>
      </w:r>
      <w:r w:rsidR="00274D3C" w:rsidRPr="00C5654B">
        <w:rPr>
          <w:rFonts w:ascii="Times New Roman" w:hAnsi="Times New Roman" w:cs="Times New Roman"/>
          <w:color w:val="000000"/>
          <w:sz w:val="28"/>
          <w:szCs w:val="28"/>
          <w:lang w:val="ru-RU"/>
        </w:rPr>
        <w:t>), согласно которой нет достоверных различий между методами исследований КТ-волюметрии в ходе проведения исследования отвергается. Н</w:t>
      </w:r>
      <w:r w:rsidR="00820DF0" w:rsidRPr="00C5654B">
        <w:rPr>
          <w:rFonts w:ascii="Times New Roman" w:hAnsi="Times New Roman" w:cs="Times New Roman"/>
          <w:color w:val="000000"/>
          <w:sz w:val="28"/>
          <w:szCs w:val="28"/>
          <w:lang w:val="ru-RU"/>
        </w:rPr>
        <w:t>ен</w:t>
      </w:r>
      <w:r w:rsidR="00274D3C" w:rsidRPr="00C5654B">
        <w:rPr>
          <w:rFonts w:ascii="Times New Roman" w:hAnsi="Times New Roman" w:cs="Times New Roman"/>
          <w:color w:val="000000"/>
          <w:sz w:val="28"/>
          <w:szCs w:val="28"/>
          <w:lang w:val="ru-RU"/>
        </w:rPr>
        <w:t>улевая гипотеза (Н</w:t>
      </w:r>
      <w:r w:rsidR="00820DF0" w:rsidRPr="00C5654B">
        <w:rPr>
          <w:rFonts w:ascii="Times New Roman" w:hAnsi="Times New Roman" w:cs="Times New Roman"/>
          <w:color w:val="000000"/>
          <w:sz w:val="28"/>
          <w:szCs w:val="28"/>
          <w:vertAlign w:val="subscript"/>
          <w:lang w:val="ru-RU"/>
        </w:rPr>
        <w:t>1</w:t>
      </w:r>
      <w:r w:rsidR="00274D3C" w:rsidRPr="00C5654B">
        <w:rPr>
          <w:rFonts w:ascii="Times New Roman" w:hAnsi="Times New Roman" w:cs="Times New Roman"/>
          <w:color w:val="000000"/>
          <w:sz w:val="28"/>
          <w:szCs w:val="28"/>
          <w:lang w:val="ru-RU"/>
        </w:rPr>
        <w:t>) принимается.</w:t>
      </w:r>
      <w:r w:rsidR="00274D3C" w:rsidRPr="00170B7C">
        <w:rPr>
          <w:rFonts w:ascii="Times New Roman" w:hAnsi="Times New Roman" w:cs="Times New Roman"/>
          <w:color w:val="000000"/>
          <w:sz w:val="28"/>
          <w:szCs w:val="28"/>
        </w:rPr>
        <w:t>  </w:t>
      </w:r>
    </w:p>
    <w:p w14:paraId="47616BDB" w14:textId="77777777" w:rsidR="00820DF0" w:rsidRDefault="00820DF0" w:rsidP="00170B7C">
      <w:pPr>
        <w:pStyle w:val="ab"/>
        <w:ind w:firstLine="567"/>
        <w:jc w:val="both"/>
        <w:rPr>
          <w:rStyle w:val="s9"/>
          <w:rFonts w:ascii="Times New Roman" w:hAnsi="Times New Roman" w:cs="Times New Roman"/>
          <w:b/>
          <w:bCs/>
          <w:color w:val="000000"/>
          <w:sz w:val="28"/>
          <w:szCs w:val="28"/>
          <w:lang w:val="ru-RU"/>
        </w:rPr>
      </w:pPr>
    </w:p>
    <w:p w14:paraId="7FD2528C" w14:textId="77777777" w:rsidR="00E8569A" w:rsidRDefault="00E8569A" w:rsidP="00170B7C">
      <w:pPr>
        <w:pStyle w:val="ab"/>
        <w:ind w:firstLine="567"/>
        <w:jc w:val="both"/>
        <w:rPr>
          <w:rStyle w:val="s9"/>
          <w:rFonts w:ascii="Times New Roman" w:hAnsi="Times New Roman" w:cs="Times New Roman"/>
          <w:b/>
          <w:bCs/>
          <w:color w:val="000000"/>
          <w:sz w:val="28"/>
          <w:szCs w:val="28"/>
          <w:lang w:val="ru-RU"/>
        </w:rPr>
      </w:pPr>
    </w:p>
    <w:p w14:paraId="7F73794F" w14:textId="77777777" w:rsidR="00861BF8" w:rsidRPr="00170B7C" w:rsidRDefault="00861BF8" w:rsidP="00170B7C">
      <w:pPr>
        <w:pStyle w:val="ab"/>
        <w:ind w:firstLine="567"/>
        <w:jc w:val="both"/>
        <w:rPr>
          <w:rFonts w:ascii="Times New Roman" w:hAnsi="Times New Roman" w:cs="Times New Roman"/>
          <w:b/>
          <w:bCs/>
          <w:sz w:val="28"/>
          <w:szCs w:val="28"/>
          <w:lang w:val="ru-RU"/>
        </w:rPr>
      </w:pPr>
      <w:r w:rsidRPr="00170B7C">
        <w:rPr>
          <w:rStyle w:val="s9"/>
          <w:rFonts w:ascii="Times New Roman" w:hAnsi="Times New Roman" w:cs="Times New Roman"/>
          <w:b/>
          <w:bCs/>
          <w:color w:val="000000"/>
          <w:sz w:val="28"/>
          <w:szCs w:val="28"/>
          <w:lang w:val="ru-RU"/>
        </w:rPr>
        <w:t>Выводы:</w:t>
      </w:r>
    </w:p>
    <w:p w14:paraId="0C01DA37"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Таким образом, проведенное нами исследование позволило сделать следующие выводы:  </w:t>
      </w:r>
    </w:p>
    <w:p w14:paraId="3E1D360A" w14:textId="77777777" w:rsidR="00861BF8" w:rsidRPr="00170B7C" w:rsidRDefault="00861BF8"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FF0000"/>
          <w:sz w:val="28"/>
          <w:szCs w:val="28"/>
        </w:rPr>
      </w:pPr>
      <w:r w:rsidRPr="00170B7C">
        <w:rPr>
          <w:color w:val="000000"/>
          <w:sz w:val="28"/>
          <w:szCs w:val="28"/>
        </w:rPr>
        <w:t>1. Предоперационная КТ-волюметрия печени донора при родственной трансплантации коррелирует с массой трансплантата, с высоким коэффициентом корреляция мануального метода (r=0,730</w:t>
      </w:r>
      <w:r w:rsidR="00AE0F44">
        <w:rPr>
          <w:color w:val="000000"/>
          <w:sz w:val="28"/>
          <w:szCs w:val="28"/>
        </w:rPr>
        <w:t>)</w:t>
      </w:r>
      <w:r w:rsidRPr="00170B7C">
        <w:rPr>
          <w:color w:val="000000"/>
          <w:sz w:val="28"/>
          <w:szCs w:val="28"/>
        </w:rPr>
        <w:t>, по сравнению с полуавтоматическим (r=0,685) и автоматическим методами (r=0,699),</w:t>
      </w:r>
      <w:r w:rsidRPr="00170B7C">
        <w:rPr>
          <w:color w:val="FF0000"/>
          <w:sz w:val="28"/>
          <w:szCs w:val="28"/>
        </w:rPr>
        <w:t xml:space="preserve"> </w:t>
      </w:r>
      <w:r w:rsidRPr="00170B7C">
        <w:rPr>
          <w:sz w:val="28"/>
          <w:szCs w:val="28"/>
        </w:rPr>
        <w:t>(p</w:t>
      </w:r>
      <w:r w:rsidR="005802C2">
        <w:rPr>
          <w:sz w:val="28"/>
          <w:szCs w:val="28"/>
        </w:rPr>
        <w:t xml:space="preserve"> </w:t>
      </w:r>
      <w:r w:rsidRPr="00170B7C">
        <w:rPr>
          <w:sz w:val="28"/>
          <w:szCs w:val="28"/>
        </w:rPr>
        <w:t>&lt;0,001)</w:t>
      </w:r>
      <w:r w:rsidRPr="00170B7C">
        <w:rPr>
          <w:color w:val="000000"/>
          <w:sz w:val="28"/>
          <w:szCs w:val="28"/>
        </w:rPr>
        <w:t xml:space="preserve">. </w:t>
      </w:r>
    </w:p>
    <w:p w14:paraId="01AEF11B" w14:textId="77777777" w:rsidR="00861BF8" w:rsidRPr="00170B7C" w:rsidRDefault="00861BF8"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color w:val="000000"/>
          <w:sz w:val="28"/>
          <w:szCs w:val="28"/>
        </w:rPr>
        <w:t>2. Пол (p=0,325; p=0,975; p=0,467), возраст (p=0,682; p=0,886; p=0,898), индекс массы тела (p=0,114; p=0,467; p=0,313), количество дней от проведения КТ-волюметрии до оперативного вмешательства статистически достоверно не влияют на результаты расчета мануальным, полуавтоматическим и автоматическим метод</w:t>
      </w:r>
      <w:r w:rsidR="00AE0F44">
        <w:rPr>
          <w:color w:val="000000"/>
          <w:sz w:val="28"/>
          <w:szCs w:val="28"/>
        </w:rPr>
        <w:t>ов</w:t>
      </w:r>
      <w:r w:rsidRPr="00170B7C">
        <w:rPr>
          <w:color w:val="000000"/>
          <w:sz w:val="28"/>
          <w:szCs w:val="28"/>
        </w:rPr>
        <w:t>. </w:t>
      </w:r>
    </w:p>
    <w:p w14:paraId="2F64599F" w14:textId="77777777" w:rsidR="00861BF8" w:rsidRPr="00170B7C" w:rsidRDefault="00861BF8"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rFonts w:eastAsia="Calibri"/>
          <w:color w:val="000000"/>
          <w:sz w:val="28"/>
          <w:szCs w:val="28"/>
        </w:rPr>
      </w:pPr>
      <w:r w:rsidRPr="00170B7C">
        <w:rPr>
          <w:rFonts w:eastAsia="Calibri"/>
          <w:color w:val="000000"/>
          <w:sz w:val="28"/>
          <w:szCs w:val="28"/>
        </w:rPr>
        <w:t xml:space="preserve">3. </w:t>
      </w:r>
      <w:r w:rsidRPr="00170B7C">
        <w:rPr>
          <w:sz w:val="28"/>
          <w:szCs w:val="28"/>
        </w:rPr>
        <w:t>Снижение порога плотности печени на 20 HU при мануальном методе КТ-волюметрии уменьшает несоответствия предоперационного объема печени с весом графта на 4,3% по сравнению со стандартным мануальным методом (8,4% против 12,7%), (p=0,029).</w:t>
      </w:r>
    </w:p>
    <w:p w14:paraId="37CF072D" w14:textId="77777777" w:rsidR="008C1AF8" w:rsidRPr="00170B7C" w:rsidRDefault="00861BF8" w:rsidP="00170B7C">
      <w:pPr>
        <w:pBdr>
          <w:top w:val="none" w:sz="0" w:space="0" w:color="000000"/>
          <w:left w:val="none" w:sz="0" w:space="0" w:color="000000"/>
          <w:bottom w:val="none" w:sz="0" w:space="0" w:color="000000"/>
          <w:right w:val="none" w:sz="0" w:space="0" w:color="000000"/>
          <w:between w:val="none" w:sz="0" w:space="0" w:color="000000"/>
        </w:pBdr>
        <w:ind w:firstLine="567"/>
        <w:jc w:val="both"/>
        <w:rPr>
          <w:color w:val="000000"/>
          <w:sz w:val="28"/>
          <w:szCs w:val="28"/>
        </w:rPr>
      </w:pPr>
      <w:r w:rsidRPr="00170B7C">
        <w:rPr>
          <w:color w:val="000000"/>
          <w:sz w:val="28"/>
          <w:szCs w:val="28"/>
        </w:rPr>
        <w:t xml:space="preserve">4. </w:t>
      </w:r>
      <w:r w:rsidRPr="00170B7C">
        <w:rPr>
          <w:sz w:val="28"/>
          <w:szCs w:val="28"/>
        </w:rPr>
        <w:t>Коэффициент корреляции оптимизированного метода (r=0,860) КТ-волюметрии печени донора при родственной трансплантации статистически достоверно выше</w:t>
      </w:r>
      <w:r w:rsidRPr="00170B7C">
        <w:rPr>
          <w:color w:val="FF0000"/>
          <w:sz w:val="28"/>
          <w:szCs w:val="28"/>
        </w:rPr>
        <w:t xml:space="preserve"> </w:t>
      </w:r>
      <w:r w:rsidRPr="00170B7C">
        <w:rPr>
          <w:color w:val="000000"/>
          <w:sz w:val="28"/>
          <w:szCs w:val="28"/>
        </w:rPr>
        <w:t>коэффициента корреляции стандартного мануального метода (r=0,730), (p=0,026). </w:t>
      </w:r>
    </w:p>
    <w:p w14:paraId="1C530EB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ind w:firstLine="720"/>
        <w:jc w:val="both"/>
        <w:rPr>
          <w:color w:val="000000"/>
          <w:sz w:val="28"/>
          <w:szCs w:val="28"/>
        </w:rPr>
      </w:pPr>
      <w:r w:rsidRPr="00170B7C">
        <w:rPr>
          <w:color w:val="000000"/>
          <w:sz w:val="28"/>
          <w:szCs w:val="28"/>
        </w:rPr>
        <w:t xml:space="preserve">На основании всего вышесказанного мы предлагаем следующую научно- обоснованную </w:t>
      </w:r>
      <w:r w:rsidRPr="00170B7C">
        <w:rPr>
          <w:b/>
          <w:color w:val="000000"/>
          <w:sz w:val="28"/>
          <w:szCs w:val="28"/>
        </w:rPr>
        <w:t>практическую рекомендацию</w:t>
      </w:r>
      <w:r w:rsidRPr="00170B7C">
        <w:rPr>
          <w:color w:val="000000"/>
          <w:sz w:val="28"/>
          <w:szCs w:val="28"/>
        </w:rPr>
        <w:t>:</w:t>
      </w:r>
    </w:p>
    <w:p w14:paraId="3968FD6B" w14:textId="77777777" w:rsidR="00FE678B" w:rsidRPr="00DA1F64" w:rsidRDefault="00274D3C" w:rsidP="00DA1F64">
      <w:pPr>
        <w:pBdr>
          <w:top w:val="none" w:sz="0" w:space="0" w:color="000000"/>
          <w:left w:val="none" w:sz="0" w:space="0" w:color="000000"/>
          <w:bottom w:val="none" w:sz="0" w:space="0" w:color="000000"/>
          <w:right w:val="none" w:sz="0" w:space="0" w:color="000000"/>
          <w:between w:val="none" w:sz="0" w:space="0" w:color="000000"/>
        </w:pBdr>
        <w:ind w:firstLine="567"/>
        <w:jc w:val="both"/>
        <w:rPr>
          <w:sz w:val="28"/>
          <w:szCs w:val="28"/>
        </w:rPr>
      </w:pPr>
      <w:r w:rsidRPr="00170B7C">
        <w:rPr>
          <w:color w:val="000000"/>
          <w:sz w:val="28"/>
          <w:szCs w:val="28"/>
        </w:rPr>
        <w:t xml:space="preserve">В </w:t>
      </w:r>
      <w:r w:rsidR="00FE678B" w:rsidRPr="00170B7C">
        <w:rPr>
          <w:color w:val="000000"/>
          <w:sz w:val="28"/>
          <w:szCs w:val="28"/>
        </w:rPr>
        <w:t xml:space="preserve">предоперационном периоде </w:t>
      </w:r>
      <w:r w:rsidR="00DA1F64">
        <w:rPr>
          <w:color w:val="000000"/>
          <w:sz w:val="28"/>
          <w:szCs w:val="28"/>
        </w:rPr>
        <w:t xml:space="preserve">при </w:t>
      </w:r>
      <w:r w:rsidR="00FE678B" w:rsidRPr="00170B7C">
        <w:rPr>
          <w:sz w:val="28"/>
          <w:szCs w:val="28"/>
        </w:rPr>
        <w:t>родственной трансплантации</w:t>
      </w:r>
      <w:r w:rsidR="00FE678B" w:rsidRPr="00170B7C">
        <w:rPr>
          <w:color w:val="000000"/>
          <w:sz w:val="28"/>
          <w:szCs w:val="28"/>
        </w:rPr>
        <w:t xml:space="preserve"> </w:t>
      </w:r>
      <w:r w:rsidRPr="00170B7C">
        <w:rPr>
          <w:color w:val="000000"/>
          <w:sz w:val="28"/>
          <w:szCs w:val="28"/>
        </w:rPr>
        <w:t xml:space="preserve">рекомендуется </w:t>
      </w:r>
      <w:r w:rsidR="00DA1F64">
        <w:rPr>
          <w:sz w:val="28"/>
          <w:szCs w:val="28"/>
        </w:rPr>
        <w:t xml:space="preserve">проводить мануальную КТ-волюметрию со снижением порога плотности печени на 20 </w:t>
      </w:r>
      <w:r w:rsidR="00DA1F64">
        <w:rPr>
          <w:sz w:val="28"/>
          <w:szCs w:val="28"/>
          <w:lang w:val="en-US"/>
        </w:rPr>
        <w:t>HU</w:t>
      </w:r>
      <w:r w:rsidR="00DA1F64" w:rsidRPr="00DA1F64">
        <w:rPr>
          <w:sz w:val="28"/>
          <w:szCs w:val="28"/>
        </w:rPr>
        <w:t>, п</w:t>
      </w:r>
      <w:r w:rsidR="00DA1F64">
        <w:rPr>
          <w:sz w:val="28"/>
          <w:szCs w:val="28"/>
        </w:rPr>
        <w:t xml:space="preserve">озволяющую уменьшить несоответствия объема печени донора с инраоперационным весом трансплантата. </w:t>
      </w:r>
    </w:p>
    <w:p w14:paraId="0BCEB16A"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ind w:firstLine="720"/>
        <w:jc w:val="both"/>
        <w:rPr>
          <w:color w:val="000000"/>
          <w:sz w:val="28"/>
          <w:szCs w:val="28"/>
        </w:rPr>
      </w:pPr>
    </w:p>
    <w:p w14:paraId="1378E42F" w14:textId="77777777" w:rsidR="00C700B8" w:rsidRPr="00170B7C" w:rsidRDefault="00C700B8" w:rsidP="00170B7C">
      <w:pPr>
        <w:pBdr>
          <w:top w:val="none" w:sz="0" w:space="0" w:color="000000"/>
          <w:left w:val="none" w:sz="0" w:space="0" w:color="000000"/>
          <w:bottom w:val="none" w:sz="0" w:space="0" w:color="000000"/>
          <w:right w:val="none" w:sz="0" w:space="0" w:color="000000"/>
          <w:between w:val="none" w:sz="0" w:space="0" w:color="000000"/>
        </w:pBdr>
        <w:jc w:val="center"/>
        <w:rPr>
          <w:b/>
          <w:sz w:val="28"/>
          <w:szCs w:val="28"/>
        </w:rPr>
      </w:pPr>
    </w:p>
    <w:p w14:paraId="1FD6AD27" w14:textId="77777777" w:rsidR="009D1CA9" w:rsidRPr="00170B7C" w:rsidRDefault="009D1CA9" w:rsidP="00170B7C">
      <w:pPr>
        <w:pBdr>
          <w:top w:val="none" w:sz="0" w:space="0" w:color="000000"/>
          <w:left w:val="none" w:sz="0" w:space="0" w:color="000000"/>
          <w:bottom w:val="none" w:sz="0" w:space="0" w:color="000000"/>
          <w:right w:val="none" w:sz="0" w:space="0" w:color="000000"/>
          <w:between w:val="none" w:sz="0" w:space="0" w:color="000000"/>
        </w:pBdr>
        <w:jc w:val="center"/>
        <w:rPr>
          <w:b/>
          <w:sz w:val="28"/>
          <w:szCs w:val="28"/>
        </w:rPr>
      </w:pPr>
    </w:p>
    <w:p w14:paraId="09BD6EFD" w14:textId="77777777" w:rsidR="009D1CA9" w:rsidRPr="00170B7C" w:rsidRDefault="009D1CA9" w:rsidP="00170B7C">
      <w:pPr>
        <w:pBdr>
          <w:top w:val="none" w:sz="0" w:space="0" w:color="000000"/>
          <w:left w:val="none" w:sz="0" w:space="0" w:color="000000"/>
          <w:bottom w:val="none" w:sz="0" w:space="0" w:color="000000"/>
          <w:right w:val="none" w:sz="0" w:space="0" w:color="000000"/>
          <w:between w:val="none" w:sz="0" w:space="0" w:color="000000"/>
        </w:pBdr>
        <w:jc w:val="center"/>
        <w:rPr>
          <w:b/>
          <w:sz w:val="28"/>
          <w:szCs w:val="28"/>
        </w:rPr>
      </w:pPr>
    </w:p>
    <w:p w14:paraId="43578DC4" w14:textId="77777777" w:rsidR="009D1CA9" w:rsidRPr="00170B7C" w:rsidRDefault="009D1CA9" w:rsidP="00170B7C">
      <w:pPr>
        <w:pBdr>
          <w:top w:val="none" w:sz="0" w:space="0" w:color="000000"/>
          <w:left w:val="none" w:sz="0" w:space="0" w:color="000000"/>
          <w:bottom w:val="none" w:sz="0" w:space="0" w:color="000000"/>
          <w:right w:val="none" w:sz="0" w:space="0" w:color="000000"/>
          <w:between w:val="none" w:sz="0" w:space="0" w:color="000000"/>
        </w:pBdr>
        <w:jc w:val="center"/>
        <w:rPr>
          <w:b/>
          <w:sz w:val="28"/>
          <w:szCs w:val="28"/>
        </w:rPr>
      </w:pPr>
    </w:p>
    <w:p w14:paraId="10E67857" w14:textId="77777777" w:rsidR="00861BF8" w:rsidRPr="00170B7C" w:rsidRDefault="00861BF8" w:rsidP="00170B7C">
      <w:pPr>
        <w:pBdr>
          <w:top w:val="none" w:sz="0" w:space="0" w:color="000000"/>
          <w:left w:val="none" w:sz="0" w:space="0" w:color="000000"/>
          <w:bottom w:val="none" w:sz="0" w:space="0" w:color="000000"/>
          <w:right w:val="none" w:sz="0" w:space="0" w:color="000000"/>
          <w:between w:val="none" w:sz="0" w:space="0" w:color="000000"/>
        </w:pBdr>
        <w:rPr>
          <w:b/>
          <w:sz w:val="28"/>
          <w:szCs w:val="28"/>
        </w:rPr>
      </w:pPr>
    </w:p>
    <w:p w14:paraId="74A356CD" w14:textId="77777777" w:rsidR="00FE678B" w:rsidRPr="00170B7C" w:rsidRDefault="00FE678B" w:rsidP="00170B7C">
      <w:pPr>
        <w:pBdr>
          <w:top w:val="none" w:sz="0" w:space="0" w:color="000000"/>
          <w:left w:val="none" w:sz="0" w:space="0" w:color="000000"/>
          <w:bottom w:val="none" w:sz="0" w:space="0" w:color="000000"/>
          <w:right w:val="none" w:sz="0" w:space="0" w:color="000000"/>
          <w:between w:val="none" w:sz="0" w:space="0" w:color="000000"/>
        </w:pBdr>
        <w:rPr>
          <w:b/>
          <w:sz w:val="28"/>
          <w:szCs w:val="28"/>
        </w:rPr>
      </w:pPr>
    </w:p>
    <w:p w14:paraId="010339F9" w14:textId="3DB2E5FC" w:rsidR="00940BFD" w:rsidRPr="00C50510" w:rsidRDefault="00274D3C" w:rsidP="00E8569A">
      <w:pPr>
        <w:pBdr>
          <w:top w:val="none" w:sz="0" w:space="0" w:color="000000"/>
          <w:left w:val="none" w:sz="0" w:space="0" w:color="000000"/>
          <w:bottom w:val="none" w:sz="0" w:space="0" w:color="000000"/>
          <w:right w:val="none" w:sz="0" w:space="0" w:color="000000"/>
          <w:between w:val="none" w:sz="0" w:space="0" w:color="000000"/>
        </w:pBdr>
        <w:rPr>
          <w:sz w:val="28"/>
          <w:szCs w:val="28"/>
          <w:lang w:val="en-US"/>
        </w:rPr>
      </w:pPr>
      <w:r w:rsidRPr="00D32828">
        <w:rPr>
          <w:rFonts w:eastAsia="Calibri"/>
          <w:color w:val="000000"/>
          <w:sz w:val="28"/>
          <w:szCs w:val="28"/>
          <w:lang w:val="en-US"/>
        </w:rPr>
        <w:t> </w:t>
      </w:r>
    </w:p>
    <w:p w14:paraId="73D3ACDE" w14:textId="77777777" w:rsidR="0033281B" w:rsidRPr="00C50510" w:rsidRDefault="0033281B" w:rsidP="00170B7C">
      <w:pPr>
        <w:pBdr>
          <w:top w:val="none" w:sz="0" w:space="0" w:color="000000"/>
          <w:left w:val="none" w:sz="0" w:space="0" w:color="000000"/>
          <w:bottom w:val="none" w:sz="0" w:space="0" w:color="000000"/>
          <w:right w:val="none" w:sz="0" w:space="0" w:color="000000"/>
          <w:between w:val="none" w:sz="0" w:space="0" w:color="000000"/>
        </w:pBdr>
        <w:spacing w:after="213"/>
        <w:rPr>
          <w:i/>
          <w:color w:val="4A86E8"/>
          <w:sz w:val="28"/>
          <w:szCs w:val="28"/>
          <w:lang w:val="en-US"/>
        </w:rPr>
      </w:pPr>
    </w:p>
    <w:p w14:paraId="1A9BAF52" w14:textId="77777777" w:rsidR="009A72E7" w:rsidRPr="00C50510" w:rsidRDefault="009A72E7" w:rsidP="00170B7C">
      <w:pPr>
        <w:pBdr>
          <w:top w:val="none" w:sz="0" w:space="0" w:color="000000"/>
          <w:left w:val="none" w:sz="0" w:space="0" w:color="000000"/>
          <w:bottom w:val="none" w:sz="0" w:space="0" w:color="000000"/>
          <w:right w:val="none" w:sz="0" w:space="0" w:color="000000"/>
          <w:between w:val="none" w:sz="0" w:space="0" w:color="000000"/>
        </w:pBdr>
        <w:spacing w:after="213"/>
        <w:rPr>
          <w:i/>
          <w:color w:val="4A86E8"/>
          <w:sz w:val="28"/>
          <w:szCs w:val="28"/>
          <w:lang w:val="en-US"/>
        </w:rPr>
      </w:pPr>
    </w:p>
    <w:p w14:paraId="61A1A6BE" w14:textId="77777777" w:rsidR="009A72E7" w:rsidRPr="00C50510" w:rsidRDefault="009A72E7" w:rsidP="00170B7C">
      <w:pPr>
        <w:pBdr>
          <w:top w:val="none" w:sz="0" w:space="0" w:color="000000"/>
          <w:left w:val="none" w:sz="0" w:space="0" w:color="000000"/>
          <w:bottom w:val="none" w:sz="0" w:space="0" w:color="000000"/>
          <w:right w:val="none" w:sz="0" w:space="0" w:color="000000"/>
          <w:between w:val="none" w:sz="0" w:space="0" w:color="000000"/>
        </w:pBdr>
        <w:spacing w:after="213"/>
        <w:rPr>
          <w:i/>
          <w:color w:val="4A86E8"/>
          <w:sz w:val="28"/>
          <w:szCs w:val="28"/>
          <w:lang w:val="en-US"/>
        </w:rPr>
      </w:pPr>
    </w:p>
    <w:p w14:paraId="1186AB95" w14:textId="77777777" w:rsidR="009A72E7" w:rsidRPr="00C50510" w:rsidRDefault="009A72E7" w:rsidP="00170B7C">
      <w:pPr>
        <w:pBdr>
          <w:top w:val="none" w:sz="0" w:space="0" w:color="000000"/>
          <w:left w:val="none" w:sz="0" w:space="0" w:color="000000"/>
          <w:bottom w:val="none" w:sz="0" w:space="0" w:color="000000"/>
          <w:right w:val="none" w:sz="0" w:space="0" w:color="000000"/>
          <w:between w:val="none" w:sz="0" w:space="0" w:color="000000"/>
        </w:pBdr>
        <w:spacing w:after="213"/>
        <w:rPr>
          <w:i/>
          <w:color w:val="4A86E8"/>
          <w:sz w:val="28"/>
          <w:szCs w:val="28"/>
          <w:lang w:val="en-US"/>
        </w:rPr>
      </w:pPr>
    </w:p>
    <w:p w14:paraId="76711D76" w14:textId="77777777" w:rsidR="009A72E7" w:rsidRPr="00C50510" w:rsidRDefault="009A72E7" w:rsidP="00170B7C">
      <w:pPr>
        <w:pBdr>
          <w:top w:val="none" w:sz="0" w:space="0" w:color="000000"/>
          <w:left w:val="none" w:sz="0" w:space="0" w:color="000000"/>
          <w:bottom w:val="none" w:sz="0" w:space="0" w:color="000000"/>
          <w:right w:val="none" w:sz="0" w:space="0" w:color="000000"/>
          <w:between w:val="none" w:sz="0" w:space="0" w:color="000000"/>
        </w:pBdr>
        <w:spacing w:after="213"/>
        <w:rPr>
          <w:i/>
          <w:color w:val="4A86E8"/>
          <w:sz w:val="28"/>
          <w:szCs w:val="28"/>
          <w:lang w:val="en-US"/>
        </w:rPr>
      </w:pPr>
    </w:p>
    <w:p w14:paraId="5B4BA3A8" w14:textId="77777777" w:rsidR="00E8569A" w:rsidRPr="00C50510" w:rsidRDefault="00E8569A" w:rsidP="00170B7C">
      <w:pPr>
        <w:pBdr>
          <w:top w:val="none" w:sz="0" w:space="0" w:color="000000"/>
          <w:left w:val="none" w:sz="0" w:space="0" w:color="000000"/>
          <w:bottom w:val="none" w:sz="0" w:space="0" w:color="000000"/>
          <w:right w:val="none" w:sz="0" w:space="0" w:color="000000"/>
          <w:between w:val="none" w:sz="0" w:space="0" w:color="000000"/>
        </w:pBdr>
        <w:spacing w:after="213"/>
        <w:rPr>
          <w:i/>
          <w:color w:val="4A86E8"/>
          <w:sz w:val="28"/>
          <w:szCs w:val="28"/>
          <w:lang w:val="en-US"/>
        </w:rPr>
      </w:pPr>
    </w:p>
    <w:p w14:paraId="1A2D7ABE" w14:textId="77777777" w:rsidR="00C700B8" w:rsidRPr="00DE7669" w:rsidRDefault="00274D3C" w:rsidP="00170B7C">
      <w:pPr>
        <w:pBdr>
          <w:top w:val="none" w:sz="0" w:space="0" w:color="000000"/>
          <w:left w:val="none" w:sz="0" w:space="0" w:color="000000"/>
          <w:bottom w:val="none" w:sz="0" w:space="0" w:color="000000"/>
          <w:right w:val="none" w:sz="0" w:space="0" w:color="000000"/>
          <w:between w:val="none" w:sz="0" w:space="0" w:color="000000"/>
        </w:pBdr>
        <w:spacing w:after="213"/>
        <w:jc w:val="center"/>
        <w:rPr>
          <w:rFonts w:eastAsia="Calibri"/>
          <w:color w:val="000000"/>
          <w:sz w:val="28"/>
          <w:szCs w:val="28"/>
          <w:lang w:val="en-US"/>
        </w:rPr>
      </w:pPr>
      <w:r w:rsidRPr="00170B7C">
        <w:rPr>
          <w:b/>
          <w:color w:val="000000"/>
          <w:sz w:val="28"/>
          <w:szCs w:val="28"/>
        </w:rPr>
        <w:lastRenderedPageBreak/>
        <w:t>ПРИЛОЖЕНИЕ</w:t>
      </w:r>
      <w:r w:rsidRPr="00DE7669">
        <w:rPr>
          <w:b/>
          <w:color w:val="000000"/>
          <w:sz w:val="28"/>
          <w:szCs w:val="28"/>
          <w:lang w:val="en-US"/>
        </w:rPr>
        <w:t xml:space="preserve"> </w:t>
      </w:r>
      <w:r w:rsidRPr="00170B7C">
        <w:rPr>
          <w:b/>
          <w:color w:val="000000"/>
          <w:sz w:val="28"/>
          <w:szCs w:val="28"/>
        </w:rPr>
        <w:t>А</w:t>
      </w:r>
    </w:p>
    <w:p w14:paraId="5DCA9BDF" w14:textId="77777777" w:rsidR="00C700B8" w:rsidRPr="00DE7669" w:rsidRDefault="00274D3C" w:rsidP="00170B7C">
      <w:pPr>
        <w:pBdr>
          <w:top w:val="none" w:sz="0" w:space="0" w:color="000000"/>
          <w:left w:val="none" w:sz="0" w:space="0" w:color="000000"/>
          <w:bottom w:val="none" w:sz="0" w:space="0" w:color="000000"/>
          <w:right w:val="none" w:sz="0" w:space="0" w:color="000000"/>
          <w:between w:val="none" w:sz="0" w:space="0" w:color="000000"/>
        </w:pBdr>
        <w:spacing w:after="213"/>
        <w:jc w:val="center"/>
        <w:rPr>
          <w:rFonts w:eastAsia="Calibri"/>
          <w:color w:val="000000"/>
          <w:sz w:val="28"/>
          <w:szCs w:val="28"/>
          <w:lang w:val="en-US"/>
        </w:rPr>
      </w:pPr>
      <w:r w:rsidRPr="00170B7C">
        <w:rPr>
          <w:rFonts w:eastAsia="Arial"/>
          <w:noProof/>
          <w:color w:val="000000"/>
          <w:sz w:val="28"/>
          <w:szCs w:val="28"/>
          <w:lang w:eastAsia="ru-RU"/>
        </w:rPr>
        <w:drawing>
          <wp:inline distT="0" distB="0" distL="114300" distR="114300" wp14:anchorId="41CC8045" wp14:editId="5D61BD7E">
            <wp:extent cx="5929313" cy="8621008"/>
            <wp:effectExtent l="0" t="0" r="0" b="0"/>
            <wp:docPr id="424" name="image57.png" descr="IMG_311"/>
            <wp:cNvGraphicFramePr/>
            <a:graphic xmlns:a="http://schemas.openxmlformats.org/drawingml/2006/main">
              <a:graphicData uri="http://schemas.openxmlformats.org/drawingml/2006/picture">
                <pic:pic xmlns:pic="http://schemas.openxmlformats.org/drawingml/2006/picture">
                  <pic:nvPicPr>
                    <pic:cNvPr id="0" name="image57.png" descr="IMG_311"/>
                    <pic:cNvPicPr preferRelativeResize="0"/>
                  </pic:nvPicPr>
                  <pic:blipFill>
                    <a:blip r:embed="rId72"/>
                    <a:srcRect/>
                    <a:stretch>
                      <a:fillRect/>
                    </a:stretch>
                  </pic:blipFill>
                  <pic:spPr>
                    <a:xfrm>
                      <a:off x="0" y="0"/>
                      <a:ext cx="5929313" cy="8621008"/>
                    </a:xfrm>
                    <a:prstGeom prst="rect">
                      <a:avLst/>
                    </a:prstGeom>
                    <a:ln/>
                  </pic:spPr>
                </pic:pic>
              </a:graphicData>
            </a:graphic>
          </wp:inline>
        </w:drawing>
      </w:r>
      <w:r w:rsidRPr="00DE7669">
        <w:rPr>
          <w:rFonts w:eastAsia="Calibri"/>
          <w:color w:val="000000"/>
          <w:sz w:val="28"/>
          <w:szCs w:val="28"/>
          <w:lang w:val="en-US"/>
        </w:rPr>
        <w:t> </w:t>
      </w:r>
    </w:p>
    <w:p w14:paraId="40CA937A"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spacing w:after="213"/>
        <w:jc w:val="center"/>
        <w:rPr>
          <w:rFonts w:eastAsia="Calibri"/>
          <w:color w:val="000000"/>
          <w:sz w:val="28"/>
          <w:szCs w:val="28"/>
        </w:rPr>
      </w:pPr>
      <w:r w:rsidRPr="00170B7C">
        <w:rPr>
          <w:rFonts w:eastAsia="Arial"/>
          <w:noProof/>
          <w:color w:val="000000"/>
          <w:sz w:val="28"/>
          <w:szCs w:val="28"/>
          <w:lang w:eastAsia="ru-RU"/>
        </w:rPr>
        <w:lastRenderedPageBreak/>
        <w:drawing>
          <wp:inline distT="0" distB="0" distL="114300" distR="114300" wp14:anchorId="09AF703B" wp14:editId="2A7138AA">
            <wp:extent cx="5115210" cy="8110538"/>
            <wp:effectExtent l="0" t="0" r="0" b="0"/>
            <wp:docPr id="426" name="image56.png" descr="IMG_312"/>
            <wp:cNvGraphicFramePr/>
            <a:graphic xmlns:a="http://schemas.openxmlformats.org/drawingml/2006/main">
              <a:graphicData uri="http://schemas.openxmlformats.org/drawingml/2006/picture">
                <pic:pic xmlns:pic="http://schemas.openxmlformats.org/drawingml/2006/picture">
                  <pic:nvPicPr>
                    <pic:cNvPr id="0" name="image56.png" descr="IMG_312"/>
                    <pic:cNvPicPr preferRelativeResize="0"/>
                  </pic:nvPicPr>
                  <pic:blipFill>
                    <a:blip r:embed="rId73"/>
                    <a:srcRect/>
                    <a:stretch>
                      <a:fillRect/>
                    </a:stretch>
                  </pic:blipFill>
                  <pic:spPr>
                    <a:xfrm>
                      <a:off x="0" y="0"/>
                      <a:ext cx="5115210" cy="8110538"/>
                    </a:xfrm>
                    <a:prstGeom prst="rect">
                      <a:avLst/>
                    </a:prstGeom>
                    <a:ln/>
                  </pic:spPr>
                </pic:pic>
              </a:graphicData>
            </a:graphic>
          </wp:inline>
        </w:drawing>
      </w:r>
      <w:r w:rsidRPr="00170B7C">
        <w:rPr>
          <w:rFonts w:eastAsia="Calibri"/>
          <w:color w:val="000000"/>
          <w:sz w:val="28"/>
          <w:szCs w:val="28"/>
        </w:rPr>
        <w:t> </w:t>
      </w:r>
    </w:p>
    <w:p w14:paraId="3688848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spacing w:after="213"/>
        <w:jc w:val="center"/>
        <w:rPr>
          <w:rFonts w:eastAsia="Calibri"/>
          <w:color w:val="000000"/>
          <w:sz w:val="28"/>
          <w:szCs w:val="28"/>
        </w:rPr>
      </w:pPr>
      <w:r w:rsidRPr="00170B7C">
        <w:rPr>
          <w:rFonts w:eastAsia="Arial"/>
          <w:noProof/>
          <w:color w:val="000000"/>
          <w:sz w:val="28"/>
          <w:szCs w:val="28"/>
          <w:lang w:eastAsia="ru-RU"/>
        </w:rPr>
        <w:lastRenderedPageBreak/>
        <w:drawing>
          <wp:inline distT="0" distB="0" distL="114300" distR="114300" wp14:anchorId="54979232" wp14:editId="55D06A18">
            <wp:extent cx="5672138" cy="8939352"/>
            <wp:effectExtent l="0" t="0" r="0" b="0"/>
            <wp:docPr id="428" name="image55.png" descr="IMG_313"/>
            <wp:cNvGraphicFramePr/>
            <a:graphic xmlns:a="http://schemas.openxmlformats.org/drawingml/2006/main">
              <a:graphicData uri="http://schemas.openxmlformats.org/drawingml/2006/picture">
                <pic:pic xmlns:pic="http://schemas.openxmlformats.org/drawingml/2006/picture">
                  <pic:nvPicPr>
                    <pic:cNvPr id="0" name="image55.png" descr="IMG_313"/>
                    <pic:cNvPicPr preferRelativeResize="0"/>
                  </pic:nvPicPr>
                  <pic:blipFill>
                    <a:blip r:embed="rId74"/>
                    <a:srcRect/>
                    <a:stretch>
                      <a:fillRect/>
                    </a:stretch>
                  </pic:blipFill>
                  <pic:spPr>
                    <a:xfrm>
                      <a:off x="0" y="0"/>
                      <a:ext cx="5672138" cy="8939352"/>
                    </a:xfrm>
                    <a:prstGeom prst="rect">
                      <a:avLst/>
                    </a:prstGeom>
                    <a:ln/>
                  </pic:spPr>
                </pic:pic>
              </a:graphicData>
            </a:graphic>
          </wp:inline>
        </w:drawing>
      </w:r>
      <w:r w:rsidRPr="00170B7C">
        <w:rPr>
          <w:rFonts w:eastAsia="Calibri"/>
          <w:color w:val="000000"/>
          <w:sz w:val="28"/>
          <w:szCs w:val="28"/>
        </w:rPr>
        <w:t> </w:t>
      </w:r>
    </w:p>
    <w:p w14:paraId="2E508396"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spacing w:after="213"/>
        <w:jc w:val="center"/>
        <w:rPr>
          <w:rFonts w:eastAsia="Calibri"/>
          <w:color w:val="000000"/>
          <w:sz w:val="28"/>
          <w:szCs w:val="28"/>
        </w:rPr>
      </w:pPr>
      <w:r w:rsidRPr="00170B7C">
        <w:rPr>
          <w:rFonts w:eastAsia="Arial"/>
          <w:noProof/>
          <w:color w:val="000000"/>
          <w:sz w:val="28"/>
          <w:szCs w:val="28"/>
          <w:lang w:eastAsia="ru-RU"/>
        </w:rPr>
        <w:lastRenderedPageBreak/>
        <w:drawing>
          <wp:inline distT="0" distB="0" distL="114300" distR="114300" wp14:anchorId="37830412" wp14:editId="383FE8DA">
            <wp:extent cx="5135008" cy="6719888"/>
            <wp:effectExtent l="0" t="0" r="0" b="0"/>
            <wp:docPr id="430" name="image63.png" descr="IMG_314"/>
            <wp:cNvGraphicFramePr/>
            <a:graphic xmlns:a="http://schemas.openxmlformats.org/drawingml/2006/main">
              <a:graphicData uri="http://schemas.openxmlformats.org/drawingml/2006/picture">
                <pic:pic xmlns:pic="http://schemas.openxmlformats.org/drawingml/2006/picture">
                  <pic:nvPicPr>
                    <pic:cNvPr id="0" name="image63.png" descr="IMG_314"/>
                    <pic:cNvPicPr preferRelativeResize="0"/>
                  </pic:nvPicPr>
                  <pic:blipFill>
                    <a:blip r:embed="rId75"/>
                    <a:srcRect/>
                    <a:stretch>
                      <a:fillRect/>
                    </a:stretch>
                  </pic:blipFill>
                  <pic:spPr>
                    <a:xfrm>
                      <a:off x="0" y="0"/>
                      <a:ext cx="5135008" cy="6719888"/>
                    </a:xfrm>
                    <a:prstGeom prst="rect">
                      <a:avLst/>
                    </a:prstGeom>
                    <a:ln/>
                  </pic:spPr>
                </pic:pic>
              </a:graphicData>
            </a:graphic>
          </wp:inline>
        </w:drawing>
      </w:r>
      <w:r w:rsidRPr="00170B7C">
        <w:rPr>
          <w:rFonts w:eastAsia="Calibri"/>
          <w:color w:val="000000"/>
          <w:sz w:val="28"/>
          <w:szCs w:val="28"/>
        </w:rPr>
        <w:t> </w:t>
      </w:r>
    </w:p>
    <w:p w14:paraId="61D4DDD8"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3E4F84D4"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spacing w:after="213"/>
        <w:jc w:val="center"/>
        <w:rPr>
          <w:rFonts w:eastAsia="Calibri"/>
          <w:color w:val="000000"/>
          <w:sz w:val="28"/>
          <w:szCs w:val="28"/>
        </w:rPr>
      </w:pPr>
      <w:r w:rsidRPr="00170B7C">
        <w:rPr>
          <w:rFonts w:eastAsia="Arial"/>
          <w:noProof/>
          <w:color w:val="000000"/>
          <w:sz w:val="28"/>
          <w:szCs w:val="28"/>
          <w:lang w:eastAsia="ru-RU"/>
        </w:rPr>
        <w:lastRenderedPageBreak/>
        <w:drawing>
          <wp:inline distT="0" distB="0" distL="114300" distR="114300" wp14:anchorId="06D4C386" wp14:editId="2B5D945E">
            <wp:extent cx="6172128" cy="8434388"/>
            <wp:effectExtent l="0" t="0" r="0" b="0"/>
            <wp:docPr id="409" name="image44.png" descr="IMG_315"/>
            <wp:cNvGraphicFramePr/>
            <a:graphic xmlns:a="http://schemas.openxmlformats.org/drawingml/2006/main">
              <a:graphicData uri="http://schemas.openxmlformats.org/drawingml/2006/picture">
                <pic:pic xmlns:pic="http://schemas.openxmlformats.org/drawingml/2006/picture">
                  <pic:nvPicPr>
                    <pic:cNvPr id="0" name="image44.png" descr="IMG_315"/>
                    <pic:cNvPicPr preferRelativeResize="0"/>
                  </pic:nvPicPr>
                  <pic:blipFill>
                    <a:blip r:embed="rId76"/>
                    <a:srcRect/>
                    <a:stretch>
                      <a:fillRect/>
                    </a:stretch>
                  </pic:blipFill>
                  <pic:spPr>
                    <a:xfrm>
                      <a:off x="0" y="0"/>
                      <a:ext cx="6172128" cy="8434388"/>
                    </a:xfrm>
                    <a:prstGeom prst="rect">
                      <a:avLst/>
                    </a:prstGeom>
                    <a:ln/>
                  </pic:spPr>
                </pic:pic>
              </a:graphicData>
            </a:graphic>
          </wp:inline>
        </w:drawing>
      </w:r>
      <w:r w:rsidRPr="00170B7C">
        <w:rPr>
          <w:rFonts w:eastAsia="Calibri"/>
          <w:color w:val="000000"/>
          <w:sz w:val="28"/>
          <w:szCs w:val="28"/>
        </w:rPr>
        <w:t> </w:t>
      </w:r>
    </w:p>
    <w:p w14:paraId="0BA79F4C"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spacing w:after="213"/>
        <w:jc w:val="center"/>
        <w:rPr>
          <w:rFonts w:eastAsia="Calibri"/>
          <w:color w:val="000000"/>
          <w:sz w:val="28"/>
          <w:szCs w:val="28"/>
        </w:rPr>
      </w:pPr>
      <w:r w:rsidRPr="00170B7C">
        <w:rPr>
          <w:rFonts w:eastAsia="Arial"/>
          <w:noProof/>
          <w:color w:val="000000"/>
          <w:sz w:val="28"/>
          <w:szCs w:val="28"/>
          <w:lang w:eastAsia="ru-RU"/>
        </w:rPr>
        <w:lastRenderedPageBreak/>
        <w:drawing>
          <wp:inline distT="0" distB="0" distL="114300" distR="114300" wp14:anchorId="4011A5D4" wp14:editId="00137B07">
            <wp:extent cx="5683133" cy="7929563"/>
            <wp:effectExtent l="0" t="0" r="0" b="0"/>
            <wp:docPr id="390" name="image22.png" descr="IMG_316"/>
            <wp:cNvGraphicFramePr/>
            <a:graphic xmlns:a="http://schemas.openxmlformats.org/drawingml/2006/main">
              <a:graphicData uri="http://schemas.openxmlformats.org/drawingml/2006/picture">
                <pic:pic xmlns:pic="http://schemas.openxmlformats.org/drawingml/2006/picture">
                  <pic:nvPicPr>
                    <pic:cNvPr id="0" name="image22.png" descr="IMG_316"/>
                    <pic:cNvPicPr preferRelativeResize="0"/>
                  </pic:nvPicPr>
                  <pic:blipFill>
                    <a:blip r:embed="rId77"/>
                    <a:srcRect/>
                    <a:stretch>
                      <a:fillRect/>
                    </a:stretch>
                  </pic:blipFill>
                  <pic:spPr>
                    <a:xfrm>
                      <a:off x="0" y="0"/>
                      <a:ext cx="5683133" cy="7929563"/>
                    </a:xfrm>
                    <a:prstGeom prst="rect">
                      <a:avLst/>
                    </a:prstGeom>
                    <a:ln/>
                  </pic:spPr>
                </pic:pic>
              </a:graphicData>
            </a:graphic>
          </wp:inline>
        </w:drawing>
      </w:r>
      <w:r w:rsidRPr="00170B7C">
        <w:rPr>
          <w:rFonts w:eastAsia="Calibri"/>
          <w:color w:val="000000"/>
          <w:sz w:val="28"/>
          <w:szCs w:val="28"/>
        </w:rPr>
        <w:t> </w:t>
      </w:r>
    </w:p>
    <w:p w14:paraId="3896D7C3"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0DE033AD"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rPr>
          <w:rFonts w:eastAsia="Calibri"/>
          <w:color w:val="000000"/>
          <w:sz w:val="28"/>
          <w:szCs w:val="28"/>
        </w:rPr>
      </w:pPr>
      <w:r w:rsidRPr="00170B7C">
        <w:rPr>
          <w:rFonts w:eastAsia="Calibri"/>
          <w:color w:val="000000"/>
          <w:sz w:val="28"/>
          <w:szCs w:val="28"/>
        </w:rPr>
        <w:t> </w:t>
      </w:r>
    </w:p>
    <w:p w14:paraId="6D2B3389" w14:textId="77777777" w:rsidR="00C700B8" w:rsidRPr="00170B7C" w:rsidRDefault="00C700B8" w:rsidP="00170B7C">
      <w:pPr>
        <w:rPr>
          <w:sz w:val="28"/>
          <w:szCs w:val="28"/>
        </w:rPr>
      </w:pPr>
      <w:bookmarkStart w:id="2" w:name="_heading=h.30j0zll" w:colFirst="0" w:colLast="0"/>
      <w:bookmarkEnd w:id="2"/>
    </w:p>
    <w:p w14:paraId="2D64F7BF" w14:textId="77777777" w:rsidR="00C700B8" w:rsidRPr="00170B7C" w:rsidRDefault="00C700B8" w:rsidP="00170B7C">
      <w:pPr>
        <w:rPr>
          <w:sz w:val="28"/>
          <w:szCs w:val="28"/>
        </w:rPr>
      </w:pPr>
    </w:p>
    <w:p w14:paraId="1581204C" w14:textId="77777777" w:rsidR="00C700B8" w:rsidRPr="00170B7C" w:rsidRDefault="00C700B8" w:rsidP="00170B7C">
      <w:pPr>
        <w:rPr>
          <w:sz w:val="28"/>
          <w:szCs w:val="28"/>
        </w:rPr>
      </w:pPr>
    </w:p>
    <w:p w14:paraId="15C0C925" w14:textId="77777777" w:rsidR="00C700B8" w:rsidRPr="00170B7C" w:rsidRDefault="00C700B8" w:rsidP="00170B7C">
      <w:pPr>
        <w:rPr>
          <w:sz w:val="28"/>
          <w:szCs w:val="28"/>
        </w:rPr>
      </w:pPr>
    </w:p>
    <w:p w14:paraId="1FF15980" w14:textId="77777777" w:rsidR="00C700B8" w:rsidRPr="00170B7C" w:rsidRDefault="00C700B8" w:rsidP="00170B7C">
      <w:pPr>
        <w:rPr>
          <w:sz w:val="28"/>
          <w:szCs w:val="28"/>
        </w:rPr>
      </w:pPr>
    </w:p>
    <w:p w14:paraId="09033ACD" w14:textId="77777777" w:rsidR="00C700B8" w:rsidRPr="00170B7C" w:rsidRDefault="00C700B8" w:rsidP="00170B7C">
      <w:pPr>
        <w:rPr>
          <w:sz w:val="28"/>
          <w:szCs w:val="28"/>
        </w:rPr>
      </w:pPr>
    </w:p>
    <w:p w14:paraId="5BF37FE5" w14:textId="77777777" w:rsidR="00C700B8" w:rsidRPr="00170B7C" w:rsidRDefault="00274D3C" w:rsidP="00170B7C">
      <w:pPr>
        <w:pBdr>
          <w:top w:val="none" w:sz="0" w:space="0" w:color="000000"/>
          <w:left w:val="none" w:sz="0" w:space="0" w:color="000000"/>
          <w:bottom w:val="none" w:sz="0" w:space="0" w:color="000000"/>
          <w:right w:val="none" w:sz="0" w:space="0" w:color="000000"/>
          <w:between w:val="none" w:sz="0" w:space="0" w:color="000000"/>
        </w:pBdr>
        <w:spacing w:after="213"/>
        <w:jc w:val="center"/>
        <w:rPr>
          <w:sz w:val="28"/>
          <w:szCs w:val="28"/>
        </w:rPr>
      </w:pPr>
      <w:r w:rsidRPr="00170B7C">
        <w:rPr>
          <w:b/>
          <w:color w:val="000000"/>
          <w:sz w:val="28"/>
          <w:szCs w:val="28"/>
        </w:rPr>
        <w:t>ПРИЛОЖЕНИЕ Б</w:t>
      </w:r>
      <w:r w:rsidRPr="00170B7C">
        <w:rPr>
          <w:color w:val="000000"/>
          <w:sz w:val="28"/>
          <w:szCs w:val="28"/>
        </w:rPr>
        <w:t> </w:t>
      </w:r>
    </w:p>
    <w:p w14:paraId="277E6197" w14:textId="77777777" w:rsidR="00C700B8" w:rsidRPr="00170B7C" w:rsidRDefault="00C700B8" w:rsidP="00170B7C">
      <w:pPr>
        <w:rPr>
          <w:sz w:val="28"/>
          <w:szCs w:val="28"/>
        </w:rPr>
      </w:pPr>
    </w:p>
    <w:p w14:paraId="367298D3" w14:textId="77777777" w:rsidR="00C700B8" w:rsidRPr="00170B7C" w:rsidRDefault="00274D3C" w:rsidP="00170B7C">
      <w:pPr>
        <w:rPr>
          <w:sz w:val="28"/>
          <w:szCs w:val="28"/>
        </w:rPr>
      </w:pPr>
      <w:r w:rsidRPr="00170B7C">
        <w:rPr>
          <w:noProof/>
          <w:sz w:val="28"/>
          <w:szCs w:val="28"/>
          <w:lang w:eastAsia="ru-RU"/>
        </w:rPr>
        <w:drawing>
          <wp:inline distT="0" distB="0" distL="114300" distR="114300" wp14:anchorId="06637A30" wp14:editId="31533139">
            <wp:extent cx="5251450" cy="7562850"/>
            <wp:effectExtent l="0" t="0" r="0" b="0"/>
            <wp:docPr id="391" name="image43.png" descr="Снимок экрана 2024-05-21 в 05.22.25"/>
            <wp:cNvGraphicFramePr/>
            <a:graphic xmlns:a="http://schemas.openxmlformats.org/drawingml/2006/main">
              <a:graphicData uri="http://schemas.openxmlformats.org/drawingml/2006/picture">
                <pic:pic xmlns:pic="http://schemas.openxmlformats.org/drawingml/2006/picture">
                  <pic:nvPicPr>
                    <pic:cNvPr id="0" name="image43.png" descr="Снимок экрана 2024-05-21 в 05.22.25"/>
                    <pic:cNvPicPr preferRelativeResize="0"/>
                  </pic:nvPicPr>
                  <pic:blipFill>
                    <a:blip r:embed="rId78"/>
                    <a:srcRect/>
                    <a:stretch>
                      <a:fillRect/>
                    </a:stretch>
                  </pic:blipFill>
                  <pic:spPr>
                    <a:xfrm>
                      <a:off x="0" y="0"/>
                      <a:ext cx="5251450" cy="7562850"/>
                    </a:xfrm>
                    <a:prstGeom prst="rect">
                      <a:avLst/>
                    </a:prstGeom>
                    <a:ln/>
                  </pic:spPr>
                </pic:pic>
              </a:graphicData>
            </a:graphic>
          </wp:inline>
        </w:drawing>
      </w:r>
    </w:p>
    <w:p w14:paraId="655DAE9E" w14:textId="77777777" w:rsidR="00C700B8" w:rsidRPr="00170B7C" w:rsidRDefault="00C700B8" w:rsidP="00170B7C">
      <w:pPr>
        <w:rPr>
          <w:sz w:val="28"/>
          <w:szCs w:val="28"/>
        </w:rPr>
      </w:pPr>
    </w:p>
    <w:p w14:paraId="5600C6AD" w14:textId="77777777" w:rsidR="00C700B8" w:rsidRPr="00170B7C" w:rsidRDefault="00C700B8" w:rsidP="00170B7C">
      <w:pPr>
        <w:rPr>
          <w:sz w:val="28"/>
          <w:szCs w:val="28"/>
        </w:rPr>
      </w:pPr>
    </w:p>
    <w:p w14:paraId="76D2CE89" w14:textId="77777777" w:rsidR="00C700B8" w:rsidRPr="00170B7C" w:rsidRDefault="00C700B8" w:rsidP="00170B7C">
      <w:pPr>
        <w:rPr>
          <w:sz w:val="28"/>
          <w:szCs w:val="28"/>
        </w:rPr>
      </w:pPr>
    </w:p>
    <w:p w14:paraId="104A48FF" w14:textId="77777777" w:rsidR="00C700B8" w:rsidRPr="00170B7C" w:rsidRDefault="00C700B8" w:rsidP="00170B7C">
      <w:pPr>
        <w:rPr>
          <w:sz w:val="28"/>
          <w:szCs w:val="28"/>
        </w:rPr>
      </w:pPr>
    </w:p>
    <w:p w14:paraId="0CDF0F6B" w14:textId="77777777" w:rsidR="00C700B8" w:rsidRPr="00170B7C" w:rsidRDefault="00C700B8" w:rsidP="00170B7C">
      <w:pPr>
        <w:rPr>
          <w:sz w:val="28"/>
          <w:szCs w:val="28"/>
        </w:rPr>
      </w:pPr>
    </w:p>
    <w:p w14:paraId="645F38DC" w14:textId="77777777" w:rsidR="00C700B8" w:rsidRPr="00170B7C" w:rsidRDefault="00274D3C" w:rsidP="00170B7C">
      <w:pPr>
        <w:rPr>
          <w:sz w:val="28"/>
          <w:szCs w:val="28"/>
        </w:rPr>
      </w:pPr>
      <w:r w:rsidRPr="00170B7C">
        <w:rPr>
          <w:noProof/>
          <w:sz w:val="28"/>
          <w:szCs w:val="28"/>
          <w:lang w:eastAsia="ru-RU"/>
        </w:rPr>
        <w:drawing>
          <wp:inline distT="0" distB="0" distL="114300" distR="114300" wp14:anchorId="5F94182A" wp14:editId="4F6FDD52">
            <wp:extent cx="5130800" cy="7366000"/>
            <wp:effectExtent l="0" t="0" r="0" b="0"/>
            <wp:docPr id="392" name="image18.png" descr="Снимок экрана 2024-05-21 в 05.23.03"/>
            <wp:cNvGraphicFramePr/>
            <a:graphic xmlns:a="http://schemas.openxmlformats.org/drawingml/2006/main">
              <a:graphicData uri="http://schemas.openxmlformats.org/drawingml/2006/picture">
                <pic:pic xmlns:pic="http://schemas.openxmlformats.org/drawingml/2006/picture">
                  <pic:nvPicPr>
                    <pic:cNvPr id="0" name="image18.png" descr="Снимок экрана 2024-05-21 в 05.23.03"/>
                    <pic:cNvPicPr preferRelativeResize="0"/>
                  </pic:nvPicPr>
                  <pic:blipFill>
                    <a:blip r:embed="rId79"/>
                    <a:srcRect/>
                    <a:stretch>
                      <a:fillRect/>
                    </a:stretch>
                  </pic:blipFill>
                  <pic:spPr>
                    <a:xfrm>
                      <a:off x="0" y="0"/>
                      <a:ext cx="5130800" cy="7366000"/>
                    </a:xfrm>
                    <a:prstGeom prst="rect">
                      <a:avLst/>
                    </a:prstGeom>
                    <a:ln/>
                  </pic:spPr>
                </pic:pic>
              </a:graphicData>
            </a:graphic>
          </wp:inline>
        </w:drawing>
      </w:r>
    </w:p>
    <w:sectPr w:rsidR="00C700B8" w:rsidRPr="00170B7C" w:rsidSect="00170B7C">
      <w:footerReference w:type="default" r:id="rId80"/>
      <w:pgSz w:w="11906" w:h="16838"/>
      <w:pgMar w:top="1134" w:right="567" w:bottom="1134" w:left="1701" w:header="720" w:footer="72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1BA216" w14:textId="77777777" w:rsidR="00997E20" w:rsidRDefault="00997E20">
      <w:r>
        <w:separator/>
      </w:r>
    </w:p>
  </w:endnote>
  <w:endnote w:type="continuationSeparator" w:id="0">
    <w:p w14:paraId="36B7F85D" w14:textId="77777777" w:rsidR="00997E20" w:rsidRDefault="00997E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ungsuh">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Cardo">
    <w:altName w:val="Calibri"/>
    <w:charset w:val="00"/>
    <w:family w:val="auto"/>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D5C02F" w14:textId="77777777" w:rsidR="00E8569A" w:rsidRDefault="00E8569A">
    <w:pPr>
      <w:pBdr>
        <w:top w:val="nil"/>
        <w:left w:val="nil"/>
        <w:bottom w:val="nil"/>
        <w:right w:val="nil"/>
        <w:between w:val="nil"/>
      </w:pBdr>
      <w:tabs>
        <w:tab w:val="center" w:pos="4677"/>
        <w:tab w:val="right" w:pos="9355"/>
      </w:tabs>
      <w:jc w:val="center"/>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separate"/>
    </w:r>
    <w:r w:rsidR="00737B9F">
      <w:rPr>
        <w:rFonts w:ascii="Calibri" w:eastAsia="Calibri" w:hAnsi="Calibri" w:cs="Calibri"/>
        <w:noProof/>
        <w:color w:val="000000"/>
      </w:rPr>
      <w:t>73</w:t>
    </w:r>
    <w:r>
      <w:rPr>
        <w:rFonts w:ascii="Calibri" w:eastAsia="Calibri" w:hAnsi="Calibri" w:cs="Calibri"/>
        <w:color w:val="000000"/>
      </w:rPr>
      <w:fldChar w:fldCharType="end"/>
    </w:r>
  </w:p>
  <w:p w14:paraId="123AA6CA" w14:textId="77777777" w:rsidR="00E8569A" w:rsidRDefault="00E8569A">
    <w:pPr>
      <w:pBdr>
        <w:top w:val="nil"/>
        <w:left w:val="nil"/>
        <w:bottom w:val="nil"/>
        <w:right w:val="nil"/>
        <w:between w:val="nil"/>
      </w:pBdr>
      <w:tabs>
        <w:tab w:val="center" w:pos="4677"/>
        <w:tab w:val="right" w:pos="9355"/>
      </w:tabs>
      <w:rPr>
        <w:rFonts w:ascii="Calibri" w:eastAsia="Calibri" w:hAnsi="Calibri" w:cs="Calibri"/>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68A5BB" w14:textId="77777777" w:rsidR="00997E20" w:rsidRDefault="00997E20">
      <w:r>
        <w:separator/>
      </w:r>
    </w:p>
  </w:footnote>
  <w:footnote w:type="continuationSeparator" w:id="0">
    <w:p w14:paraId="0806775C" w14:textId="77777777" w:rsidR="00997E20" w:rsidRDefault="00997E2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E5AB1"/>
    <w:multiLevelType w:val="hybridMultilevel"/>
    <w:tmpl w:val="469C5DB6"/>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A673FF0"/>
    <w:multiLevelType w:val="hybridMultilevel"/>
    <w:tmpl w:val="F0F0C136"/>
    <w:lvl w:ilvl="0" w:tplc="2A94EABC">
      <w:start w:val="3"/>
      <w:numFmt w:val="decimal"/>
      <w:lvlText w:val="%1."/>
      <w:lvlJc w:val="left"/>
      <w:pPr>
        <w:ind w:left="927" w:hanging="360"/>
      </w:pPr>
      <w:rPr>
        <w:rFonts w:hint="default"/>
        <w:color w:val="FF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1D5F0CEF"/>
    <w:multiLevelType w:val="multilevel"/>
    <w:tmpl w:val="A59A77B0"/>
    <w:lvl w:ilvl="0">
      <w:start w:val="3"/>
      <w:numFmt w:val="decimal"/>
      <w:lvlText w:val="%1"/>
      <w:lvlJc w:val="left"/>
      <w:pPr>
        <w:ind w:left="360" w:hanging="360"/>
      </w:pPr>
      <w:rPr>
        <w:rFonts w:eastAsia="Calibri" w:hint="default"/>
      </w:rPr>
    </w:lvl>
    <w:lvl w:ilvl="1">
      <w:start w:val="2"/>
      <w:numFmt w:val="decimal"/>
      <w:lvlText w:val="%1.%2"/>
      <w:lvlJc w:val="left"/>
      <w:pPr>
        <w:ind w:left="360" w:hanging="360"/>
      </w:pPr>
      <w:rPr>
        <w:rFonts w:eastAsia="Calibri" w:hint="default"/>
      </w:rPr>
    </w:lvl>
    <w:lvl w:ilvl="2">
      <w:start w:val="1"/>
      <w:numFmt w:val="decimal"/>
      <w:lvlText w:val="%1.%2.%3"/>
      <w:lvlJc w:val="left"/>
      <w:pPr>
        <w:ind w:left="720" w:hanging="720"/>
      </w:pPr>
      <w:rPr>
        <w:rFonts w:eastAsia="Calibri" w:hint="default"/>
      </w:rPr>
    </w:lvl>
    <w:lvl w:ilvl="3">
      <w:start w:val="1"/>
      <w:numFmt w:val="decimal"/>
      <w:lvlText w:val="%1.%2.%3.%4"/>
      <w:lvlJc w:val="left"/>
      <w:pPr>
        <w:ind w:left="1080" w:hanging="108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440" w:hanging="144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800" w:hanging="1800"/>
      </w:pPr>
      <w:rPr>
        <w:rFonts w:eastAsia="Calibri" w:hint="default"/>
      </w:rPr>
    </w:lvl>
    <w:lvl w:ilvl="8">
      <w:start w:val="1"/>
      <w:numFmt w:val="decimal"/>
      <w:lvlText w:val="%1.%2.%3.%4.%5.%6.%7.%8.%9"/>
      <w:lvlJc w:val="left"/>
      <w:pPr>
        <w:ind w:left="2160" w:hanging="2160"/>
      </w:pPr>
      <w:rPr>
        <w:rFonts w:eastAsia="Calibri" w:hint="default"/>
      </w:rPr>
    </w:lvl>
  </w:abstractNum>
  <w:abstractNum w:abstractNumId="3">
    <w:nsid w:val="27982292"/>
    <w:multiLevelType w:val="multilevel"/>
    <w:tmpl w:val="0776A632"/>
    <w:lvl w:ilvl="0">
      <w:start w:val="2"/>
      <w:numFmt w:val="decimal"/>
      <w:lvlText w:val="%1"/>
      <w:lvlJc w:val="left"/>
      <w:pPr>
        <w:ind w:left="360" w:hanging="360"/>
      </w:pPr>
      <w:rPr>
        <w:rFonts w:eastAsia="Calibri" w:hint="default"/>
      </w:rPr>
    </w:lvl>
    <w:lvl w:ilvl="1">
      <w:start w:val="5"/>
      <w:numFmt w:val="decimal"/>
      <w:lvlText w:val="%1.%2"/>
      <w:lvlJc w:val="left"/>
      <w:pPr>
        <w:ind w:left="360" w:hanging="360"/>
      </w:pPr>
      <w:rPr>
        <w:rFonts w:eastAsia="Calibri" w:hint="default"/>
      </w:rPr>
    </w:lvl>
    <w:lvl w:ilvl="2">
      <w:start w:val="1"/>
      <w:numFmt w:val="decimal"/>
      <w:lvlText w:val="%1.%2.%3"/>
      <w:lvlJc w:val="left"/>
      <w:pPr>
        <w:ind w:left="720" w:hanging="720"/>
      </w:pPr>
      <w:rPr>
        <w:rFonts w:eastAsia="Calibri" w:hint="default"/>
      </w:rPr>
    </w:lvl>
    <w:lvl w:ilvl="3">
      <w:start w:val="1"/>
      <w:numFmt w:val="decimal"/>
      <w:lvlText w:val="%1.%2.%3.%4"/>
      <w:lvlJc w:val="left"/>
      <w:pPr>
        <w:ind w:left="1080" w:hanging="108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440" w:hanging="144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800" w:hanging="1800"/>
      </w:pPr>
      <w:rPr>
        <w:rFonts w:eastAsia="Calibri" w:hint="default"/>
      </w:rPr>
    </w:lvl>
    <w:lvl w:ilvl="8">
      <w:start w:val="1"/>
      <w:numFmt w:val="decimal"/>
      <w:lvlText w:val="%1.%2.%3.%4.%5.%6.%7.%8.%9"/>
      <w:lvlJc w:val="left"/>
      <w:pPr>
        <w:ind w:left="2160" w:hanging="2160"/>
      </w:pPr>
      <w:rPr>
        <w:rFonts w:eastAsia="Calibri" w:hint="default"/>
      </w:rPr>
    </w:lvl>
  </w:abstractNum>
  <w:abstractNum w:abstractNumId="4">
    <w:nsid w:val="302654B4"/>
    <w:multiLevelType w:val="multilevel"/>
    <w:tmpl w:val="8FD67FEA"/>
    <w:lvl w:ilvl="0">
      <w:start w:val="1"/>
      <w:numFmt w:val="decimal"/>
      <w:lvlText w:val="%1"/>
      <w:lvlJc w:val="left"/>
      <w:pPr>
        <w:ind w:left="420" w:hanging="420"/>
      </w:pPr>
      <w:rPr>
        <w:b/>
      </w:rPr>
    </w:lvl>
    <w:lvl w:ilvl="1">
      <w:start w:val="1"/>
      <w:numFmt w:val="decimal"/>
      <w:lvlText w:val="%1.%2"/>
      <w:lvlJc w:val="left"/>
      <w:pPr>
        <w:ind w:left="987" w:hanging="420"/>
      </w:pPr>
      <w:rPr>
        <w:rFonts w:ascii="Times New Roman" w:eastAsia="Times New Roman" w:hAnsi="Times New Roman" w:cs="Times New Roman"/>
        <w:b/>
        <w:sz w:val="28"/>
        <w:szCs w:val="28"/>
      </w:rPr>
    </w:lvl>
    <w:lvl w:ilvl="2">
      <w:start w:val="1"/>
      <w:numFmt w:val="decimal"/>
      <w:lvlText w:val="%1.%2.%3"/>
      <w:lvlJc w:val="left"/>
      <w:pPr>
        <w:ind w:left="1854" w:hanging="720"/>
      </w:pPr>
      <w:rPr>
        <w:b/>
      </w:rPr>
    </w:lvl>
    <w:lvl w:ilvl="3">
      <w:start w:val="1"/>
      <w:numFmt w:val="decimal"/>
      <w:lvlText w:val="%1.%2.%3.%4"/>
      <w:lvlJc w:val="left"/>
      <w:pPr>
        <w:ind w:left="2421" w:hanging="720"/>
      </w:pPr>
      <w:rPr>
        <w:b/>
      </w:rPr>
    </w:lvl>
    <w:lvl w:ilvl="4">
      <w:start w:val="1"/>
      <w:numFmt w:val="decimal"/>
      <w:lvlText w:val="%1.%2.%3.%4.%5"/>
      <w:lvlJc w:val="left"/>
      <w:pPr>
        <w:ind w:left="3348" w:hanging="1080"/>
      </w:pPr>
      <w:rPr>
        <w:b/>
      </w:rPr>
    </w:lvl>
    <w:lvl w:ilvl="5">
      <w:start w:val="1"/>
      <w:numFmt w:val="decimal"/>
      <w:lvlText w:val="%1.%2.%3.%4.%5.%6"/>
      <w:lvlJc w:val="left"/>
      <w:pPr>
        <w:ind w:left="3915" w:hanging="1080"/>
      </w:pPr>
      <w:rPr>
        <w:b/>
      </w:rPr>
    </w:lvl>
    <w:lvl w:ilvl="6">
      <w:start w:val="1"/>
      <w:numFmt w:val="decimal"/>
      <w:lvlText w:val="%1.%2.%3.%4.%5.%6.%7"/>
      <w:lvlJc w:val="left"/>
      <w:pPr>
        <w:ind w:left="4842" w:hanging="1440"/>
      </w:pPr>
      <w:rPr>
        <w:b/>
      </w:rPr>
    </w:lvl>
    <w:lvl w:ilvl="7">
      <w:start w:val="1"/>
      <w:numFmt w:val="decimal"/>
      <w:lvlText w:val="%1.%2.%3.%4.%5.%6.%7.%8"/>
      <w:lvlJc w:val="left"/>
      <w:pPr>
        <w:ind w:left="5409" w:hanging="1440"/>
      </w:pPr>
      <w:rPr>
        <w:b/>
      </w:rPr>
    </w:lvl>
    <w:lvl w:ilvl="8">
      <w:start w:val="1"/>
      <w:numFmt w:val="decimal"/>
      <w:lvlText w:val="%1.%2.%3.%4.%5.%6.%7.%8.%9"/>
      <w:lvlJc w:val="left"/>
      <w:pPr>
        <w:ind w:left="6336" w:hanging="1800"/>
      </w:pPr>
      <w:rPr>
        <w:b/>
      </w:rPr>
    </w:lvl>
  </w:abstractNum>
  <w:abstractNum w:abstractNumId="5">
    <w:nsid w:val="46807019"/>
    <w:multiLevelType w:val="multilevel"/>
    <w:tmpl w:val="704A392A"/>
    <w:lvl w:ilvl="0">
      <w:start w:val="2"/>
      <w:numFmt w:val="decimal"/>
      <w:lvlText w:val="%1"/>
      <w:lvlJc w:val="left"/>
      <w:pPr>
        <w:ind w:left="360" w:hanging="360"/>
      </w:pPr>
      <w:rPr>
        <w:rFonts w:hint="default"/>
        <w:b/>
      </w:rPr>
    </w:lvl>
    <w:lvl w:ilvl="1">
      <w:start w:val="4"/>
      <w:numFmt w:val="decimal"/>
      <w:lvlText w:val="%1.%2"/>
      <w:lvlJc w:val="left"/>
      <w:pPr>
        <w:ind w:left="927" w:hanging="360"/>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781" w:hanging="108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4275" w:hanging="144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769" w:hanging="1800"/>
      </w:pPr>
      <w:rPr>
        <w:rFonts w:hint="default"/>
        <w:b/>
      </w:rPr>
    </w:lvl>
    <w:lvl w:ilvl="8">
      <w:start w:val="1"/>
      <w:numFmt w:val="decimal"/>
      <w:lvlText w:val="%1.%2.%3.%4.%5.%6.%7.%8.%9"/>
      <w:lvlJc w:val="left"/>
      <w:pPr>
        <w:ind w:left="6696" w:hanging="2160"/>
      </w:pPr>
      <w:rPr>
        <w:rFonts w:hint="default"/>
        <w:b/>
      </w:rPr>
    </w:lvl>
  </w:abstractNum>
  <w:abstractNum w:abstractNumId="6">
    <w:nsid w:val="4C2731C1"/>
    <w:multiLevelType w:val="multilevel"/>
    <w:tmpl w:val="FA4861B0"/>
    <w:lvl w:ilvl="0">
      <w:start w:val="1"/>
      <w:numFmt w:val="decimal"/>
      <w:lvlText w:val="%1."/>
      <w:lvlJc w:val="left"/>
      <w:pPr>
        <w:ind w:left="720" w:hanging="360"/>
      </w:pPr>
      <w:rPr>
        <w:sz w:val="28"/>
        <w:szCs w:val="28"/>
      </w:rPr>
    </w:lvl>
    <w:lvl w:ilvl="1">
      <w:start w:val="1"/>
      <w:numFmt w:val="decimal"/>
      <w:lvlText w:val="%2."/>
      <w:lvlJc w:val="left"/>
      <w:pPr>
        <w:ind w:left="1440" w:hanging="360"/>
      </w:pPr>
      <w:rPr>
        <w:sz w:val="24"/>
        <w:szCs w:val="24"/>
      </w:rPr>
    </w:lvl>
    <w:lvl w:ilvl="2">
      <w:start w:val="1"/>
      <w:numFmt w:val="decimal"/>
      <w:lvlText w:val="%3."/>
      <w:lvlJc w:val="left"/>
      <w:pPr>
        <w:ind w:left="2160" w:hanging="360"/>
      </w:pPr>
      <w:rPr>
        <w:sz w:val="24"/>
        <w:szCs w:val="24"/>
      </w:rPr>
    </w:lvl>
    <w:lvl w:ilvl="3">
      <w:start w:val="1"/>
      <w:numFmt w:val="decimal"/>
      <w:lvlText w:val="%4."/>
      <w:lvlJc w:val="left"/>
      <w:pPr>
        <w:ind w:left="2880" w:hanging="360"/>
      </w:pPr>
      <w:rPr>
        <w:sz w:val="24"/>
        <w:szCs w:val="24"/>
      </w:rPr>
    </w:lvl>
    <w:lvl w:ilvl="4">
      <w:start w:val="1"/>
      <w:numFmt w:val="decimal"/>
      <w:lvlText w:val="%5."/>
      <w:lvlJc w:val="left"/>
      <w:pPr>
        <w:ind w:left="3600" w:hanging="360"/>
      </w:pPr>
      <w:rPr>
        <w:sz w:val="24"/>
        <w:szCs w:val="24"/>
      </w:rPr>
    </w:lvl>
    <w:lvl w:ilvl="5">
      <w:start w:val="1"/>
      <w:numFmt w:val="decimal"/>
      <w:lvlText w:val="%6."/>
      <w:lvlJc w:val="left"/>
      <w:pPr>
        <w:ind w:left="4320" w:hanging="360"/>
      </w:pPr>
      <w:rPr>
        <w:sz w:val="24"/>
        <w:szCs w:val="24"/>
      </w:rPr>
    </w:lvl>
    <w:lvl w:ilvl="6">
      <w:start w:val="1"/>
      <w:numFmt w:val="decimal"/>
      <w:lvlText w:val="%7."/>
      <w:lvlJc w:val="left"/>
      <w:pPr>
        <w:ind w:left="5040" w:hanging="360"/>
      </w:pPr>
      <w:rPr>
        <w:sz w:val="24"/>
        <w:szCs w:val="24"/>
      </w:rPr>
    </w:lvl>
    <w:lvl w:ilvl="7">
      <w:start w:val="1"/>
      <w:numFmt w:val="decimal"/>
      <w:lvlText w:val="%8."/>
      <w:lvlJc w:val="left"/>
      <w:pPr>
        <w:ind w:left="5760" w:hanging="360"/>
      </w:pPr>
      <w:rPr>
        <w:sz w:val="24"/>
        <w:szCs w:val="24"/>
      </w:rPr>
    </w:lvl>
    <w:lvl w:ilvl="8">
      <w:start w:val="1"/>
      <w:numFmt w:val="decimal"/>
      <w:lvlText w:val="%9."/>
      <w:lvlJc w:val="left"/>
      <w:pPr>
        <w:ind w:left="6480" w:hanging="360"/>
      </w:pPr>
      <w:rPr>
        <w:sz w:val="24"/>
        <w:szCs w:val="24"/>
      </w:rPr>
    </w:lvl>
  </w:abstractNum>
  <w:abstractNum w:abstractNumId="7">
    <w:nsid w:val="5C5035B0"/>
    <w:multiLevelType w:val="hybridMultilevel"/>
    <w:tmpl w:val="CCCE9356"/>
    <w:lvl w:ilvl="0" w:tplc="167AB55A">
      <w:start w:val="1"/>
      <w:numFmt w:val="decimal"/>
      <w:lvlText w:val="%1."/>
      <w:lvlJc w:val="left"/>
      <w:pPr>
        <w:ind w:left="720" w:hanging="360"/>
      </w:pPr>
      <w:rPr>
        <w:rFonts w:eastAsia="Times New Roman"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DC9419E"/>
    <w:multiLevelType w:val="multilevel"/>
    <w:tmpl w:val="32206776"/>
    <w:lvl w:ilvl="0">
      <w:start w:val="1"/>
      <w:numFmt w:val="decimal"/>
      <w:lvlText w:val="%1."/>
      <w:lvlJc w:val="left"/>
      <w:pPr>
        <w:ind w:left="720" w:hanging="360"/>
      </w:pPr>
      <w:rPr>
        <w:rFonts w:ascii="Times New Roman" w:eastAsia="Times New Roman" w:hAnsi="Times New Roman" w:cs="Times New Roman"/>
        <w:sz w:val="28"/>
        <w:szCs w:val="28"/>
      </w:rPr>
    </w:lvl>
    <w:lvl w:ilvl="1">
      <w:start w:val="1"/>
      <w:numFmt w:val="decimal"/>
      <w:lvlText w:val="%2."/>
      <w:lvlJc w:val="left"/>
      <w:pPr>
        <w:ind w:left="1440" w:hanging="360"/>
      </w:pPr>
      <w:rPr>
        <w:sz w:val="24"/>
        <w:szCs w:val="24"/>
      </w:rPr>
    </w:lvl>
    <w:lvl w:ilvl="2">
      <w:start w:val="1"/>
      <w:numFmt w:val="decimal"/>
      <w:lvlText w:val="%3."/>
      <w:lvlJc w:val="left"/>
      <w:pPr>
        <w:ind w:left="2160" w:hanging="360"/>
      </w:pPr>
      <w:rPr>
        <w:sz w:val="24"/>
        <w:szCs w:val="24"/>
      </w:rPr>
    </w:lvl>
    <w:lvl w:ilvl="3">
      <w:start w:val="1"/>
      <w:numFmt w:val="decimal"/>
      <w:lvlText w:val="%4."/>
      <w:lvlJc w:val="left"/>
      <w:pPr>
        <w:ind w:left="2880" w:hanging="360"/>
      </w:pPr>
      <w:rPr>
        <w:sz w:val="24"/>
        <w:szCs w:val="24"/>
      </w:rPr>
    </w:lvl>
    <w:lvl w:ilvl="4">
      <w:start w:val="1"/>
      <w:numFmt w:val="decimal"/>
      <w:lvlText w:val="%5."/>
      <w:lvlJc w:val="left"/>
      <w:pPr>
        <w:ind w:left="3600" w:hanging="360"/>
      </w:pPr>
      <w:rPr>
        <w:sz w:val="24"/>
        <w:szCs w:val="24"/>
      </w:rPr>
    </w:lvl>
    <w:lvl w:ilvl="5">
      <w:start w:val="1"/>
      <w:numFmt w:val="decimal"/>
      <w:lvlText w:val="%6."/>
      <w:lvlJc w:val="left"/>
      <w:pPr>
        <w:ind w:left="4320" w:hanging="360"/>
      </w:pPr>
      <w:rPr>
        <w:sz w:val="24"/>
        <w:szCs w:val="24"/>
      </w:rPr>
    </w:lvl>
    <w:lvl w:ilvl="6">
      <w:start w:val="1"/>
      <w:numFmt w:val="decimal"/>
      <w:lvlText w:val="%7."/>
      <w:lvlJc w:val="left"/>
      <w:pPr>
        <w:ind w:left="5040" w:hanging="360"/>
      </w:pPr>
      <w:rPr>
        <w:sz w:val="24"/>
        <w:szCs w:val="24"/>
      </w:rPr>
    </w:lvl>
    <w:lvl w:ilvl="7">
      <w:start w:val="1"/>
      <w:numFmt w:val="decimal"/>
      <w:lvlText w:val="%8."/>
      <w:lvlJc w:val="left"/>
      <w:pPr>
        <w:ind w:left="5760" w:hanging="360"/>
      </w:pPr>
      <w:rPr>
        <w:sz w:val="24"/>
        <w:szCs w:val="24"/>
      </w:rPr>
    </w:lvl>
    <w:lvl w:ilvl="8">
      <w:start w:val="1"/>
      <w:numFmt w:val="decimal"/>
      <w:lvlText w:val="%9."/>
      <w:lvlJc w:val="left"/>
      <w:pPr>
        <w:ind w:left="6480" w:hanging="360"/>
      </w:pPr>
      <w:rPr>
        <w:sz w:val="24"/>
        <w:szCs w:val="24"/>
      </w:rPr>
    </w:lvl>
  </w:abstractNum>
  <w:abstractNum w:abstractNumId="9">
    <w:nsid w:val="65857D6E"/>
    <w:multiLevelType w:val="multilevel"/>
    <w:tmpl w:val="FA4861B0"/>
    <w:lvl w:ilvl="0">
      <w:start w:val="1"/>
      <w:numFmt w:val="decimal"/>
      <w:lvlText w:val="%1."/>
      <w:lvlJc w:val="left"/>
      <w:pPr>
        <w:ind w:left="720" w:hanging="360"/>
      </w:pPr>
      <w:rPr>
        <w:sz w:val="28"/>
        <w:szCs w:val="28"/>
      </w:rPr>
    </w:lvl>
    <w:lvl w:ilvl="1">
      <w:start w:val="1"/>
      <w:numFmt w:val="decimal"/>
      <w:lvlText w:val="%2."/>
      <w:lvlJc w:val="left"/>
      <w:pPr>
        <w:ind w:left="1440" w:hanging="360"/>
      </w:pPr>
      <w:rPr>
        <w:sz w:val="24"/>
        <w:szCs w:val="24"/>
      </w:rPr>
    </w:lvl>
    <w:lvl w:ilvl="2">
      <w:start w:val="1"/>
      <w:numFmt w:val="decimal"/>
      <w:lvlText w:val="%3."/>
      <w:lvlJc w:val="left"/>
      <w:pPr>
        <w:ind w:left="2160" w:hanging="360"/>
      </w:pPr>
      <w:rPr>
        <w:sz w:val="24"/>
        <w:szCs w:val="24"/>
      </w:rPr>
    </w:lvl>
    <w:lvl w:ilvl="3">
      <w:start w:val="1"/>
      <w:numFmt w:val="decimal"/>
      <w:lvlText w:val="%4."/>
      <w:lvlJc w:val="left"/>
      <w:pPr>
        <w:ind w:left="2880" w:hanging="360"/>
      </w:pPr>
      <w:rPr>
        <w:sz w:val="24"/>
        <w:szCs w:val="24"/>
      </w:rPr>
    </w:lvl>
    <w:lvl w:ilvl="4">
      <w:start w:val="1"/>
      <w:numFmt w:val="decimal"/>
      <w:lvlText w:val="%5."/>
      <w:lvlJc w:val="left"/>
      <w:pPr>
        <w:ind w:left="3600" w:hanging="360"/>
      </w:pPr>
      <w:rPr>
        <w:sz w:val="24"/>
        <w:szCs w:val="24"/>
      </w:rPr>
    </w:lvl>
    <w:lvl w:ilvl="5">
      <w:start w:val="1"/>
      <w:numFmt w:val="decimal"/>
      <w:lvlText w:val="%6."/>
      <w:lvlJc w:val="left"/>
      <w:pPr>
        <w:ind w:left="4320" w:hanging="360"/>
      </w:pPr>
      <w:rPr>
        <w:sz w:val="24"/>
        <w:szCs w:val="24"/>
      </w:rPr>
    </w:lvl>
    <w:lvl w:ilvl="6">
      <w:start w:val="1"/>
      <w:numFmt w:val="decimal"/>
      <w:lvlText w:val="%7."/>
      <w:lvlJc w:val="left"/>
      <w:pPr>
        <w:ind w:left="5040" w:hanging="360"/>
      </w:pPr>
      <w:rPr>
        <w:sz w:val="24"/>
        <w:szCs w:val="24"/>
      </w:rPr>
    </w:lvl>
    <w:lvl w:ilvl="7">
      <w:start w:val="1"/>
      <w:numFmt w:val="decimal"/>
      <w:lvlText w:val="%8."/>
      <w:lvlJc w:val="left"/>
      <w:pPr>
        <w:ind w:left="5760" w:hanging="360"/>
      </w:pPr>
      <w:rPr>
        <w:sz w:val="24"/>
        <w:szCs w:val="24"/>
      </w:rPr>
    </w:lvl>
    <w:lvl w:ilvl="8">
      <w:start w:val="1"/>
      <w:numFmt w:val="decimal"/>
      <w:lvlText w:val="%9."/>
      <w:lvlJc w:val="left"/>
      <w:pPr>
        <w:ind w:left="6480" w:hanging="360"/>
      </w:pPr>
      <w:rPr>
        <w:sz w:val="24"/>
        <w:szCs w:val="24"/>
      </w:rPr>
    </w:lvl>
  </w:abstractNum>
  <w:abstractNum w:abstractNumId="10">
    <w:nsid w:val="6A935F1D"/>
    <w:multiLevelType w:val="multilevel"/>
    <w:tmpl w:val="4CBAD7EA"/>
    <w:lvl w:ilvl="0">
      <w:start w:val="1"/>
      <w:numFmt w:val="decimal"/>
      <w:lvlText w:val="%1."/>
      <w:lvlJc w:val="left"/>
      <w:pPr>
        <w:ind w:left="393" w:hanging="360"/>
      </w:pPr>
      <w:rPr>
        <w:rFonts w:eastAsia="Times New Roman" w:hint="default"/>
        <w:b/>
      </w:rPr>
    </w:lvl>
    <w:lvl w:ilvl="1">
      <w:start w:val="3"/>
      <w:numFmt w:val="decimal"/>
      <w:isLgl/>
      <w:lvlText w:val="%1.%2"/>
      <w:lvlJc w:val="left"/>
      <w:pPr>
        <w:ind w:left="393" w:hanging="360"/>
      </w:pPr>
      <w:rPr>
        <w:rFonts w:eastAsia="Calibri" w:hint="default"/>
      </w:rPr>
    </w:lvl>
    <w:lvl w:ilvl="2">
      <w:start w:val="1"/>
      <w:numFmt w:val="decimal"/>
      <w:isLgl/>
      <w:lvlText w:val="%1.%2.%3"/>
      <w:lvlJc w:val="left"/>
      <w:pPr>
        <w:ind w:left="753" w:hanging="720"/>
      </w:pPr>
      <w:rPr>
        <w:rFonts w:eastAsia="Calibri" w:hint="default"/>
      </w:rPr>
    </w:lvl>
    <w:lvl w:ilvl="3">
      <w:start w:val="1"/>
      <w:numFmt w:val="decimal"/>
      <w:isLgl/>
      <w:lvlText w:val="%1.%2.%3.%4"/>
      <w:lvlJc w:val="left"/>
      <w:pPr>
        <w:ind w:left="1113" w:hanging="1080"/>
      </w:pPr>
      <w:rPr>
        <w:rFonts w:eastAsia="Calibri" w:hint="default"/>
      </w:rPr>
    </w:lvl>
    <w:lvl w:ilvl="4">
      <w:start w:val="1"/>
      <w:numFmt w:val="decimal"/>
      <w:isLgl/>
      <w:lvlText w:val="%1.%2.%3.%4.%5"/>
      <w:lvlJc w:val="left"/>
      <w:pPr>
        <w:ind w:left="1113" w:hanging="1080"/>
      </w:pPr>
      <w:rPr>
        <w:rFonts w:eastAsia="Calibri" w:hint="default"/>
      </w:rPr>
    </w:lvl>
    <w:lvl w:ilvl="5">
      <w:start w:val="1"/>
      <w:numFmt w:val="decimal"/>
      <w:isLgl/>
      <w:lvlText w:val="%1.%2.%3.%4.%5.%6"/>
      <w:lvlJc w:val="left"/>
      <w:pPr>
        <w:ind w:left="1473" w:hanging="1440"/>
      </w:pPr>
      <w:rPr>
        <w:rFonts w:eastAsia="Calibri" w:hint="default"/>
      </w:rPr>
    </w:lvl>
    <w:lvl w:ilvl="6">
      <w:start w:val="1"/>
      <w:numFmt w:val="decimal"/>
      <w:isLgl/>
      <w:lvlText w:val="%1.%2.%3.%4.%5.%6.%7"/>
      <w:lvlJc w:val="left"/>
      <w:pPr>
        <w:ind w:left="1473" w:hanging="1440"/>
      </w:pPr>
      <w:rPr>
        <w:rFonts w:eastAsia="Calibri" w:hint="default"/>
      </w:rPr>
    </w:lvl>
    <w:lvl w:ilvl="7">
      <w:start w:val="1"/>
      <w:numFmt w:val="decimal"/>
      <w:isLgl/>
      <w:lvlText w:val="%1.%2.%3.%4.%5.%6.%7.%8"/>
      <w:lvlJc w:val="left"/>
      <w:pPr>
        <w:ind w:left="1833" w:hanging="1800"/>
      </w:pPr>
      <w:rPr>
        <w:rFonts w:eastAsia="Calibri" w:hint="default"/>
      </w:rPr>
    </w:lvl>
    <w:lvl w:ilvl="8">
      <w:start w:val="1"/>
      <w:numFmt w:val="decimal"/>
      <w:isLgl/>
      <w:lvlText w:val="%1.%2.%3.%4.%5.%6.%7.%8.%9"/>
      <w:lvlJc w:val="left"/>
      <w:pPr>
        <w:ind w:left="2193" w:hanging="2160"/>
      </w:pPr>
      <w:rPr>
        <w:rFonts w:eastAsia="Calibri" w:hint="default"/>
      </w:rPr>
    </w:lvl>
  </w:abstractNum>
  <w:abstractNum w:abstractNumId="11">
    <w:nsid w:val="709B3589"/>
    <w:multiLevelType w:val="hybridMultilevel"/>
    <w:tmpl w:val="4C2818A2"/>
    <w:lvl w:ilvl="0" w:tplc="2974B482">
      <w:start w:val="1"/>
      <w:numFmt w:val="decimal"/>
      <w:lvlText w:val="%1"/>
      <w:lvlJc w:val="left"/>
      <w:pPr>
        <w:ind w:left="1100" w:hanging="360"/>
      </w:pPr>
      <w:rPr>
        <w:rFonts w:eastAsia="Times New Roman" w:hint="default"/>
      </w:rPr>
    </w:lvl>
    <w:lvl w:ilvl="1" w:tplc="04190019" w:tentative="1">
      <w:start w:val="1"/>
      <w:numFmt w:val="lowerLetter"/>
      <w:lvlText w:val="%2."/>
      <w:lvlJc w:val="left"/>
      <w:pPr>
        <w:ind w:left="1820" w:hanging="360"/>
      </w:pPr>
    </w:lvl>
    <w:lvl w:ilvl="2" w:tplc="0419001B" w:tentative="1">
      <w:start w:val="1"/>
      <w:numFmt w:val="lowerRoman"/>
      <w:lvlText w:val="%3."/>
      <w:lvlJc w:val="right"/>
      <w:pPr>
        <w:ind w:left="2540" w:hanging="180"/>
      </w:pPr>
    </w:lvl>
    <w:lvl w:ilvl="3" w:tplc="0419000F" w:tentative="1">
      <w:start w:val="1"/>
      <w:numFmt w:val="decimal"/>
      <w:lvlText w:val="%4."/>
      <w:lvlJc w:val="left"/>
      <w:pPr>
        <w:ind w:left="3260" w:hanging="360"/>
      </w:pPr>
    </w:lvl>
    <w:lvl w:ilvl="4" w:tplc="04190019" w:tentative="1">
      <w:start w:val="1"/>
      <w:numFmt w:val="lowerLetter"/>
      <w:lvlText w:val="%5."/>
      <w:lvlJc w:val="left"/>
      <w:pPr>
        <w:ind w:left="3980" w:hanging="360"/>
      </w:pPr>
    </w:lvl>
    <w:lvl w:ilvl="5" w:tplc="0419001B" w:tentative="1">
      <w:start w:val="1"/>
      <w:numFmt w:val="lowerRoman"/>
      <w:lvlText w:val="%6."/>
      <w:lvlJc w:val="right"/>
      <w:pPr>
        <w:ind w:left="4700" w:hanging="180"/>
      </w:pPr>
    </w:lvl>
    <w:lvl w:ilvl="6" w:tplc="0419000F" w:tentative="1">
      <w:start w:val="1"/>
      <w:numFmt w:val="decimal"/>
      <w:lvlText w:val="%7."/>
      <w:lvlJc w:val="left"/>
      <w:pPr>
        <w:ind w:left="5420" w:hanging="360"/>
      </w:pPr>
    </w:lvl>
    <w:lvl w:ilvl="7" w:tplc="04190019" w:tentative="1">
      <w:start w:val="1"/>
      <w:numFmt w:val="lowerLetter"/>
      <w:lvlText w:val="%8."/>
      <w:lvlJc w:val="left"/>
      <w:pPr>
        <w:ind w:left="6140" w:hanging="360"/>
      </w:pPr>
    </w:lvl>
    <w:lvl w:ilvl="8" w:tplc="0419001B" w:tentative="1">
      <w:start w:val="1"/>
      <w:numFmt w:val="lowerRoman"/>
      <w:lvlText w:val="%9."/>
      <w:lvlJc w:val="right"/>
      <w:pPr>
        <w:ind w:left="6860" w:hanging="180"/>
      </w:pPr>
    </w:lvl>
  </w:abstractNum>
  <w:abstractNum w:abstractNumId="12">
    <w:nsid w:val="710F2F8E"/>
    <w:multiLevelType w:val="hybridMultilevel"/>
    <w:tmpl w:val="80188C96"/>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2A907F4"/>
    <w:multiLevelType w:val="hybridMultilevel"/>
    <w:tmpl w:val="A1444970"/>
    <w:lvl w:ilvl="0" w:tplc="567682E2">
      <w:start w:val="1"/>
      <w:numFmt w:val="decimal"/>
      <w:lvlText w:val="%1."/>
      <w:lvlJc w:val="left"/>
      <w:pPr>
        <w:ind w:left="753" w:hanging="360"/>
      </w:pPr>
      <w:rPr>
        <w:rFonts w:hint="default"/>
      </w:rPr>
    </w:lvl>
    <w:lvl w:ilvl="1" w:tplc="04190019" w:tentative="1">
      <w:start w:val="1"/>
      <w:numFmt w:val="lowerLetter"/>
      <w:lvlText w:val="%2."/>
      <w:lvlJc w:val="left"/>
      <w:pPr>
        <w:ind w:left="1473" w:hanging="360"/>
      </w:pPr>
    </w:lvl>
    <w:lvl w:ilvl="2" w:tplc="0419001B" w:tentative="1">
      <w:start w:val="1"/>
      <w:numFmt w:val="lowerRoman"/>
      <w:lvlText w:val="%3."/>
      <w:lvlJc w:val="right"/>
      <w:pPr>
        <w:ind w:left="2193" w:hanging="180"/>
      </w:pPr>
    </w:lvl>
    <w:lvl w:ilvl="3" w:tplc="0419000F" w:tentative="1">
      <w:start w:val="1"/>
      <w:numFmt w:val="decimal"/>
      <w:lvlText w:val="%4."/>
      <w:lvlJc w:val="left"/>
      <w:pPr>
        <w:ind w:left="2913" w:hanging="360"/>
      </w:pPr>
    </w:lvl>
    <w:lvl w:ilvl="4" w:tplc="04190019" w:tentative="1">
      <w:start w:val="1"/>
      <w:numFmt w:val="lowerLetter"/>
      <w:lvlText w:val="%5."/>
      <w:lvlJc w:val="left"/>
      <w:pPr>
        <w:ind w:left="3633" w:hanging="360"/>
      </w:pPr>
    </w:lvl>
    <w:lvl w:ilvl="5" w:tplc="0419001B" w:tentative="1">
      <w:start w:val="1"/>
      <w:numFmt w:val="lowerRoman"/>
      <w:lvlText w:val="%6."/>
      <w:lvlJc w:val="right"/>
      <w:pPr>
        <w:ind w:left="4353" w:hanging="180"/>
      </w:pPr>
    </w:lvl>
    <w:lvl w:ilvl="6" w:tplc="0419000F" w:tentative="1">
      <w:start w:val="1"/>
      <w:numFmt w:val="decimal"/>
      <w:lvlText w:val="%7."/>
      <w:lvlJc w:val="left"/>
      <w:pPr>
        <w:ind w:left="5073" w:hanging="360"/>
      </w:pPr>
    </w:lvl>
    <w:lvl w:ilvl="7" w:tplc="04190019" w:tentative="1">
      <w:start w:val="1"/>
      <w:numFmt w:val="lowerLetter"/>
      <w:lvlText w:val="%8."/>
      <w:lvlJc w:val="left"/>
      <w:pPr>
        <w:ind w:left="5793" w:hanging="360"/>
      </w:pPr>
    </w:lvl>
    <w:lvl w:ilvl="8" w:tplc="0419001B" w:tentative="1">
      <w:start w:val="1"/>
      <w:numFmt w:val="lowerRoman"/>
      <w:lvlText w:val="%9."/>
      <w:lvlJc w:val="right"/>
      <w:pPr>
        <w:ind w:left="6513" w:hanging="180"/>
      </w:pPr>
    </w:lvl>
  </w:abstractNum>
  <w:abstractNum w:abstractNumId="14">
    <w:nsid w:val="79BC060F"/>
    <w:multiLevelType w:val="multilevel"/>
    <w:tmpl w:val="4DE6F06A"/>
    <w:lvl w:ilvl="0">
      <w:start w:val="1"/>
      <w:numFmt w:val="decimal"/>
      <w:lvlText w:val="%1."/>
      <w:lvlJc w:val="left"/>
      <w:pPr>
        <w:ind w:left="0" w:firstLine="0"/>
      </w:pPr>
      <w:rPr>
        <w:rFonts w:ascii="Times New Roman" w:eastAsia="Times New Roman" w:hAnsi="Times New Roman" w:cs="Times New Roman"/>
        <w:color w:val="000000"/>
        <w:sz w:val="28"/>
        <w:szCs w:val="28"/>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5">
    <w:nsid w:val="7A9A4119"/>
    <w:multiLevelType w:val="multilevel"/>
    <w:tmpl w:val="6E646734"/>
    <w:lvl w:ilvl="0">
      <w:start w:val="1"/>
      <w:numFmt w:val="decimal"/>
      <w:lvlText w:val="%1."/>
      <w:lvlJc w:val="left"/>
      <w:pPr>
        <w:ind w:left="0" w:firstLine="0"/>
      </w:pPr>
      <w:rPr>
        <w:rFonts w:ascii="Times New Roman" w:eastAsia="Times New Roman" w:hAnsi="Times New Roman" w:cs="Times New Roman"/>
        <w:color w:val="000000" w:themeColor="text1"/>
        <w:sz w:val="28"/>
        <w:szCs w:val="28"/>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abstractNumId w:val="4"/>
  </w:num>
  <w:num w:numId="2">
    <w:abstractNumId w:val="8"/>
  </w:num>
  <w:num w:numId="3">
    <w:abstractNumId w:val="6"/>
  </w:num>
  <w:num w:numId="4">
    <w:abstractNumId w:val="15"/>
  </w:num>
  <w:num w:numId="5">
    <w:abstractNumId w:val="1"/>
  </w:num>
  <w:num w:numId="6">
    <w:abstractNumId w:val="0"/>
  </w:num>
  <w:num w:numId="7">
    <w:abstractNumId w:val="14"/>
  </w:num>
  <w:num w:numId="8">
    <w:abstractNumId w:val="9"/>
  </w:num>
  <w:num w:numId="9">
    <w:abstractNumId w:val="12"/>
  </w:num>
  <w:num w:numId="10">
    <w:abstractNumId w:val="5"/>
  </w:num>
  <w:num w:numId="11">
    <w:abstractNumId w:val="11"/>
  </w:num>
  <w:num w:numId="12">
    <w:abstractNumId w:val="7"/>
  </w:num>
  <w:num w:numId="13">
    <w:abstractNumId w:val="10"/>
  </w:num>
  <w:num w:numId="14">
    <w:abstractNumId w:val="3"/>
  </w:num>
  <w:num w:numId="15">
    <w:abstractNumId w:val="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00B8"/>
    <w:rsid w:val="00000E18"/>
    <w:rsid w:val="0000506D"/>
    <w:rsid w:val="0000554F"/>
    <w:rsid w:val="000058F1"/>
    <w:rsid w:val="00006FAC"/>
    <w:rsid w:val="00011F25"/>
    <w:rsid w:val="00013921"/>
    <w:rsid w:val="00013D1D"/>
    <w:rsid w:val="0001699E"/>
    <w:rsid w:val="00020E5A"/>
    <w:rsid w:val="00025E95"/>
    <w:rsid w:val="00026280"/>
    <w:rsid w:val="00035FB7"/>
    <w:rsid w:val="00037B0D"/>
    <w:rsid w:val="00043FC9"/>
    <w:rsid w:val="000440FD"/>
    <w:rsid w:val="00050C03"/>
    <w:rsid w:val="0005459E"/>
    <w:rsid w:val="00057150"/>
    <w:rsid w:val="00060903"/>
    <w:rsid w:val="0006661B"/>
    <w:rsid w:val="00094036"/>
    <w:rsid w:val="000949AD"/>
    <w:rsid w:val="00095FB7"/>
    <w:rsid w:val="00097216"/>
    <w:rsid w:val="000A19AB"/>
    <w:rsid w:val="000A5242"/>
    <w:rsid w:val="000A63FE"/>
    <w:rsid w:val="000A6CA0"/>
    <w:rsid w:val="000A6D7D"/>
    <w:rsid w:val="000B595C"/>
    <w:rsid w:val="000B5D82"/>
    <w:rsid w:val="000B720D"/>
    <w:rsid w:val="000C6932"/>
    <w:rsid w:val="000D2392"/>
    <w:rsid w:val="000D2C65"/>
    <w:rsid w:val="000E7322"/>
    <w:rsid w:val="000F258B"/>
    <w:rsid w:val="00114742"/>
    <w:rsid w:val="001151F5"/>
    <w:rsid w:val="001213A0"/>
    <w:rsid w:val="0012487E"/>
    <w:rsid w:val="00130DBE"/>
    <w:rsid w:val="00135057"/>
    <w:rsid w:val="0014185E"/>
    <w:rsid w:val="00145B2E"/>
    <w:rsid w:val="00152C49"/>
    <w:rsid w:val="0015384E"/>
    <w:rsid w:val="00157C36"/>
    <w:rsid w:val="0016208C"/>
    <w:rsid w:val="0016256E"/>
    <w:rsid w:val="00164467"/>
    <w:rsid w:val="00170181"/>
    <w:rsid w:val="00170B7C"/>
    <w:rsid w:val="00172533"/>
    <w:rsid w:val="0017495C"/>
    <w:rsid w:val="00174D17"/>
    <w:rsid w:val="00177626"/>
    <w:rsid w:val="0018387D"/>
    <w:rsid w:val="00186006"/>
    <w:rsid w:val="00192034"/>
    <w:rsid w:val="00192FBA"/>
    <w:rsid w:val="0019471D"/>
    <w:rsid w:val="00195044"/>
    <w:rsid w:val="001961F5"/>
    <w:rsid w:val="001A4127"/>
    <w:rsid w:val="001A44F5"/>
    <w:rsid w:val="001A46F0"/>
    <w:rsid w:val="001A5139"/>
    <w:rsid w:val="001A7EFF"/>
    <w:rsid w:val="001B183B"/>
    <w:rsid w:val="001C26D7"/>
    <w:rsid w:val="001C516B"/>
    <w:rsid w:val="001D05BC"/>
    <w:rsid w:val="001D0821"/>
    <w:rsid w:val="001D0D81"/>
    <w:rsid w:val="001D356F"/>
    <w:rsid w:val="001D3B01"/>
    <w:rsid w:val="001D56DA"/>
    <w:rsid w:val="001D7F9F"/>
    <w:rsid w:val="001E1C93"/>
    <w:rsid w:val="001E2073"/>
    <w:rsid w:val="001E740B"/>
    <w:rsid w:val="001F6846"/>
    <w:rsid w:val="002031BB"/>
    <w:rsid w:val="0020366C"/>
    <w:rsid w:val="00204F5E"/>
    <w:rsid w:val="002201D6"/>
    <w:rsid w:val="00221231"/>
    <w:rsid w:val="002215C5"/>
    <w:rsid w:val="00223745"/>
    <w:rsid w:val="002332EC"/>
    <w:rsid w:val="0023451E"/>
    <w:rsid w:val="002358CF"/>
    <w:rsid w:val="002401C7"/>
    <w:rsid w:val="00243209"/>
    <w:rsid w:val="0025097B"/>
    <w:rsid w:val="002579BE"/>
    <w:rsid w:val="002616F8"/>
    <w:rsid w:val="00262944"/>
    <w:rsid w:val="00262D12"/>
    <w:rsid w:val="0026424E"/>
    <w:rsid w:val="00265871"/>
    <w:rsid w:val="00265AC0"/>
    <w:rsid w:val="002724A5"/>
    <w:rsid w:val="00274D3C"/>
    <w:rsid w:val="00275F0E"/>
    <w:rsid w:val="002773F0"/>
    <w:rsid w:val="002829DC"/>
    <w:rsid w:val="00286055"/>
    <w:rsid w:val="002937C0"/>
    <w:rsid w:val="00297E01"/>
    <w:rsid w:val="002A58CE"/>
    <w:rsid w:val="002B0EBF"/>
    <w:rsid w:val="002B6043"/>
    <w:rsid w:val="002C6AD9"/>
    <w:rsid w:val="002D2B3D"/>
    <w:rsid w:val="002D36E8"/>
    <w:rsid w:val="002E2445"/>
    <w:rsid w:val="002E5DED"/>
    <w:rsid w:val="002F06C6"/>
    <w:rsid w:val="002F19F1"/>
    <w:rsid w:val="002F22AE"/>
    <w:rsid w:val="002F3146"/>
    <w:rsid w:val="002F47D2"/>
    <w:rsid w:val="002F4873"/>
    <w:rsid w:val="002F50D6"/>
    <w:rsid w:val="002F7C19"/>
    <w:rsid w:val="00300044"/>
    <w:rsid w:val="0030041C"/>
    <w:rsid w:val="0030188E"/>
    <w:rsid w:val="0031220F"/>
    <w:rsid w:val="003259D9"/>
    <w:rsid w:val="00325B6A"/>
    <w:rsid w:val="00326704"/>
    <w:rsid w:val="003272B3"/>
    <w:rsid w:val="00330900"/>
    <w:rsid w:val="00330D21"/>
    <w:rsid w:val="0033281B"/>
    <w:rsid w:val="00333B8A"/>
    <w:rsid w:val="00346A06"/>
    <w:rsid w:val="003476E4"/>
    <w:rsid w:val="003552D0"/>
    <w:rsid w:val="00356292"/>
    <w:rsid w:val="00356FC7"/>
    <w:rsid w:val="0036176A"/>
    <w:rsid w:val="003618A5"/>
    <w:rsid w:val="00362400"/>
    <w:rsid w:val="00362F2D"/>
    <w:rsid w:val="0036744F"/>
    <w:rsid w:val="00370265"/>
    <w:rsid w:val="003738AB"/>
    <w:rsid w:val="00377157"/>
    <w:rsid w:val="003823A3"/>
    <w:rsid w:val="00391CCD"/>
    <w:rsid w:val="003920A5"/>
    <w:rsid w:val="00392ED7"/>
    <w:rsid w:val="003942B7"/>
    <w:rsid w:val="00397121"/>
    <w:rsid w:val="003A5E78"/>
    <w:rsid w:val="003B0972"/>
    <w:rsid w:val="003B42CD"/>
    <w:rsid w:val="003B5D6A"/>
    <w:rsid w:val="003B655A"/>
    <w:rsid w:val="003B6A3E"/>
    <w:rsid w:val="003B7A42"/>
    <w:rsid w:val="003C101E"/>
    <w:rsid w:val="003C4198"/>
    <w:rsid w:val="003D15A9"/>
    <w:rsid w:val="003D21CE"/>
    <w:rsid w:val="003D4383"/>
    <w:rsid w:val="003E1020"/>
    <w:rsid w:val="003E14D8"/>
    <w:rsid w:val="003F3482"/>
    <w:rsid w:val="00402245"/>
    <w:rsid w:val="00402A91"/>
    <w:rsid w:val="00405A94"/>
    <w:rsid w:val="004146E2"/>
    <w:rsid w:val="00415769"/>
    <w:rsid w:val="00430B5A"/>
    <w:rsid w:val="00434C7A"/>
    <w:rsid w:val="00435770"/>
    <w:rsid w:val="00436093"/>
    <w:rsid w:val="004377C0"/>
    <w:rsid w:val="00441ECE"/>
    <w:rsid w:val="00452587"/>
    <w:rsid w:val="00456F07"/>
    <w:rsid w:val="00465965"/>
    <w:rsid w:val="0047411A"/>
    <w:rsid w:val="0047469A"/>
    <w:rsid w:val="00485C62"/>
    <w:rsid w:val="00485DC9"/>
    <w:rsid w:val="00486036"/>
    <w:rsid w:val="00491444"/>
    <w:rsid w:val="00491B36"/>
    <w:rsid w:val="00496251"/>
    <w:rsid w:val="004969F4"/>
    <w:rsid w:val="004A2EAF"/>
    <w:rsid w:val="004B1229"/>
    <w:rsid w:val="004C5438"/>
    <w:rsid w:val="004C63BC"/>
    <w:rsid w:val="004D1D92"/>
    <w:rsid w:val="004F1C86"/>
    <w:rsid w:val="004F7BF5"/>
    <w:rsid w:val="004F7E54"/>
    <w:rsid w:val="00501188"/>
    <w:rsid w:val="00502C41"/>
    <w:rsid w:val="00502E5F"/>
    <w:rsid w:val="005061C1"/>
    <w:rsid w:val="005064BB"/>
    <w:rsid w:val="00520806"/>
    <w:rsid w:val="00525EA8"/>
    <w:rsid w:val="00526B4F"/>
    <w:rsid w:val="005276F1"/>
    <w:rsid w:val="005300E1"/>
    <w:rsid w:val="00532EFC"/>
    <w:rsid w:val="0054065F"/>
    <w:rsid w:val="00546AB5"/>
    <w:rsid w:val="00551F8E"/>
    <w:rsid w:val="0055354F"/>
    <w:rsid w:val="00553CA8"/>
    <w:rsid w:val="0055712F"/>
    <w:rsid w:val="005604C3"/>
    <w:rsid w:val="005618D1"/>
    <w:rsid w:val="00564799"/>
    <w:rsid w:val="00572D09"/>
    <w:rsid w:val="00573C1C"/>
    <w:rsid w:val="005802C2"/>
    <w:rsid w:val="00587E76"/>
    <w:rsid w:val="0059491B"/>
    <w:rsid w:val="005A046C"/>
    <w:rsid w:val="005A2FAF"/>
    <w:rsid w:val="005A3A1C"/>
    <w:rsid w:val="005C3E2B"/>
    <w:rsid w:val="005C4561"/>
    <w:rsid w:val="005C5BF2"/>
    <w:rsid w:val="005C6E1B"/>
    <w:rsid w:val="005D180F"/>
    <w:rsid w:val="005D4D56"/>
    <w:rsid w:val="005E1661"/>
    <w:rsid w:val="005E1F35"/>
    <w:rsid w:val="005E4D06"/>
    <w:rsid w:val="005E7FEE"/>
    <w:rsid w:val="005F2DF2"/>
    <w:rsid w:val="006007D1"/>
    <w:rsid w:val="00600B9E"/>
    <w:rsid w:val="006076A2"/>
    <w:rsid w:val="00607CB9"/>
    <w:rsid w:val="0061254F"/>
    <w:rsid w:val="0061424D"/>
    <w:rsid w:val="006313E3"/>
    <w:rsid w:val="006359FB"/>
    <w:rsid w:val="00635FA0"/>
    <w:rsid w:val="00646511"/>
    <w:rsid w:val="00651B76"/>
    <w:rsid w:val="00652741"/>
    <w:rsid w:val="006544D8"/>
    <w:rsid w:val="00654CE6"/>
    <w:rsid w:val="00661766"/>
    <w:rsid w:val="006623D9"/>
    <w:rsid w:val="00662447"/>
    <w:rsid w:val="0066289B"/>
    <w:rsid w:val="00672A7D"/>
    <w:rsid w:val="00684BB8"/>
    <w:rsid w:val="00685B3B"/>
    <w:rsid w:val="00691312"/>
    <w:rsid w:val="00691B04"/>
    <w:rsid w:val="00697165"/>
    <w:rsid w:val="006B74B6"/>
    <w:rsid w:val="006C2883"/>
    <w:rsid w:val="006C28F5"/>
    <w:rsid w:val="006D28B4"/>
    <w:rsid w:val="006D69FC"/>
    <w:rsid w:val="006D6DDC"/>
    <w:rsid w:val="006E3830"/>
    <w:rsid w:val="006E3FDD"/>
    <w:rsid w:val="006E62A7"/>
    <w:rsid w:val="006E6AE6"/>
    <w:rsid w:val="006E6B9E"/>
    <w:rsid w:val="006F118E"/>
    <w:rsid w:val="006F2448"/>
    <w:rsid w:val="006F2A36"/>
    <w:rsid w:val="006F3B3E"/>
    <w:rsid w:val="006F5427"/>
    <w:rsid w:val="006F5F67"/>
    <w:rsid w:val="007034D5"/>
    <w:rsid w:val="0070396F"/>
    <w:rsid w:val="007048AA"/>
    <w:rsid w:val="007053E9"/>
    <w:rsid w:val="007225DA"/>
    <w:rsid w:val="0073070D"/>
    <w:rsid w:val="007322DC"/>
    <w:rsid w:val="00733D80"/>
    <w:rsid w:val="0073629B"/>
    <w:rsid w:val="00737B9F"/>
    <w:rsid w:val="00743035"/>
    <w:rsid w:val="0074499F"/>
    <w:rsid w:val="00746A80"/>
    <w:rsid w:val="00755487"/>
    <w:rsid w:val="00755C82"/>
    <w:rsid w:val="007621C1"/>
    <w:rsid w:val="0077006A"/>
    <w:rsid w:val="007767BD"/>
    <w:rsid w:val="0078713E"/>
    <w:rsid w:val="007878D1"/>
    <w:rsid w:val="00790B2C"/>
    <w:rsid w:val="00792CA6"/>
    <w:rsid w:val="0079656E"/>
    <w:rsid w:val="007A5CD3"/>
    <w:rsid w:val="007B05F6"/>
    <w:rsid w:val="007B2F82"/>
    <w:rsid w:val="007B5806"/>
    <w:rsid w:val="007C318C"/>
    <w:rsid w:val="007C432A"/>
    <w:rsid w:val="007C664D"/>
    <w:rsid w:val="007C7ED5"/>
    <w:rsid w:val="007D037A"/>
    <w:rsid w:val="007D3264"/>
    <w:rsid w:val="007D672E"/>
    <w:rsid w:val="007E0C72"/>
    <w:rsid w:val="007E1A76"/>
    <w:rsid w:val="007F41DB"/>
    <w:rsid w:val="008006F0"/>
    <w:rsid w:val="00805A25"/>
    <w:rsid w:val="00807250"/>
    <w:rsid w:val="00813C62"/>
    <w:rsid w:val="008149A8"/>
    <w:rsid w:val="00815F38"/>
    <w:rsid w:val="00816116"/>
    <w:rsid w:val="00820DF0"/>
    <w:rsid w:val="00821029"/>
    <w:rsid w:val="00821122"/>
    <w:rsid w:val="008232B9"/>
    <w:rsid w:val="00824AD3"/>
    <w:rsid w:val="00825136"/>
    <w:rsid w:val="0082749A"/>
    <w:rsid w:val="008276E6"/>
    <w:rsid w:val="008377E8"/>
    <w:rsid w:val="00851126"/>
    <w:rsid w:val="0085435F"/>
    <w:rsid w:val="00855A4A"/>
    <w:rsid w:val="0085740A"/>
    <w:rsid w:val="00861BF8"/>
    <w:rsid w:val="008674E9"/>
    <w:rsid w:val="00893F24"/>
    <w:rsid w:val="00894E8B"/>
    <w:rsid w:val="00897CB5"/>
    <w:rsid w:val="008C1AF8"/>
    <w:rsid w:val="008C2557"/>
    <w:rsid w:val="008D10E8"/>
    <w:rsid w:val="008D1D44"/>
    <w:rsid w:val="008D680F"/>
    <w:rsid w:val="00901A97"/>
    <w:rsid w:val="0090350F"/>
    <w:rsid w:val="009042C6"/>
    <w:rsid w:val="0090762E"/>
    <w:rsid w:val="009161AA"/>
    <w:rsid w:val="00916D7C"/>
    <w:rsid w:val="00916FA6"/>
    <w:rsid w:val="009241F9"/>
    <w:rsid w:val="0092600E"/>
    <w:rsid w:val="00927DF1"/>
    <w:rsid w:val="00932026"/>
    <w:rsid w:val="009327C3"/>
    <w:rsid w:val="00940BFD"/>
    <w:rsid w:val="009471B9"/>
    <w:rsid w:val="009630CF"/>
    <w:rsid w:val="0096386C"/>
    <w:rsid w:val="00965F37"/>
    <w:rsid w:val="00967B90"/>
    <w:rsid w:val="00975E9C"/>
    <w:rsid w:val="00977918"/>
    <w:rsid w:val="009807D3"/>
    <w:rsid w:val="00981147"/>
    <w:rsid w:val="009830AF"/>
    <w:rsid w:val="00984194"/>
    <w:rsid w:val="00987215"/>
    <w:rsid w:val="00991695"/>
    <w:rsid w:val="00996B93"/>
    <w:rsid w:val="0099794E"/>
    <w:rsid w:val="00997E20"/>
    <w:rsid w:val="009A20F7"/>
    <w:rsid w:val="009A3885"/>
    <w:rsid w:val="009A72E7"/>
    <w:rsid w:val="009B7331"/>
    <w:rsid w:val="009C437C"/>
    <w:rsid w:val="009C439E"/>
    <w:rsid w:val="009D1579"/>
    <w:rsid w:val="009D1A44"/>
    <w:rsid w:val="009D1CA9"/>
    <w:rsid w:val="009F1794"/>
    <w:rsid w:val="009F3B62"/>
    <w:rsid w:val="009F4756"/>
    <w:rsid w:val="00A07513"/>
    <w:rsid w:val="00A12FE2"/>
    <w:rsid w:val="00A201F4"/>
    <w:rsid w:val="00A267C3"/>
    <w:rsid w:val="00A304E7"/>
    <w:rsid w:val="00A3064E"/>
    <w:rsid w:val="00A35EBE"/>
    <w:rsid w:val="00A418E6"/>
    <w:rsid w:val="00A52884"/>
    <w:rsid w:val="00A6280E"/>
    <w:rsid w:val="00A66619"/>
    <w:rsid w:val="00A67A8C"/>
    <w:rsid w:val="00A67B72"/>
    <w:rsid w:val="00A71AD7"/>
    <w:rsid w:val="00A738F3"/>
    <w:rsid w:val="00A770E4"/>
    <w:rsid w:val="00A77C7D"/>
    <w:rsid w:val="00A77EBF"/>
    <w:rsid w:val="00A80342"/>
    <w:rsid w:val="00A848B1"/>
    <w:rsid w:val="00A94A84"/>
    <w:rsid w:val="00A95B76"/>
    <w:rsid w:val="00AA262E"/>
    <w:rsid w:val="00AB1F5A"/>
    <w:rsid w:val="00AB5BAD"/>
    <w:rsid w:val="00AC35C0"/>
    <w:rsid w:val="00AD192B"/>
    <w:rsid w:val="00AD3049"/>
    <w:rsid w:val="00AD4978"/>
    <w:rsid w:val="00AD65C1"/>
    <w:rsid w:val="00AD66F2"/>
    <w:rsid w:val="00AE0F44"/>
    <w:rsid w:val="00AE66C6"/>
    <w:rsid w:val="00AF024A"/>
    <w:rsid w:val="00B05669"/>
    <w:rsid w:val="00B1288C"/>
    <w:rsid w:val="00B1360D"/>
    <w:rsid w:val="00B2075F"/>
    <w:rsid w:val="00B21912"/>
    <w:rsid w:val="00B2743A"/>
    <w:rsid w:val="00B318AD"/>
    <w:rsid w:val="00B32034"/>
    <w:rsid w:val="00B34E48"/>
    <w:rsid w:val="00B40748"/>
    <w:rsid w:val="00B41AA3"/>
    <w:rsid w:val="00B43769"/>
    <w:rsid w:val="00B4425A"/>
    <w:rsid w:val="00B4520B"/>
    <w:rsid w:val="00B50FD9"/>
    <w:rsid w:val="00B564B2"/>
    <w:rsid w:val="00B60540"/>
    <w:rsid w:val="00B609C3"/>
    <w:rsid w:val="00B64AF2"/>
    <w:rsid w:val="00B668CE"/>
    <w:rsid w:val="00B8158A"/>
    <w:rsid w:val="00B81B2A"/>
    <w:rsid w:val="00B82430"/>
    <w:rsid w:val="00B84E10"/>
    <w:rsid w:val="00B909A5"/>
    <w:rsid w:val="00B95E90"/>
    <w:rsid w:val="00BA1134"/>
    <w:rsid w:val="00BB3D2F"/>
    <w:rsid w:val="00BC421F"/>
    <w:rsid w:val="00BD56D2"/>
    <w:rsid w:val="00BE05A3"/>
    <w:rsid w:val="00BE299B"/>
    <w:rsid w:val="00BE6E5F"/>
    <w:rsid w:val="00BE7E3D"/>
    <w:rsid w:val="00BF03B4"/>
    <w:rsid w:val="00BF2645"/>
    <w:rsid w:val="00BF3236"/>
    <w:rsid w:val="00C15F57"/>
    <w:rsid w:val="00C23747"/>
    <w:rsid w:val="00C23E60"/>
    <w:rsid w:val="00C305C3"/>
    <w:rsid w:val="00C32362"/>
    <w:rsid w:val="00C36745"/>
    <w:rsid w:val="00C36D12"/>
    <w:rsid w:val="00C371D6"/>
    <w:rsid w:val="00C427B4"/>
    <w:rsid w:val="00C428DC"/>
    <w:rsid w:val="00C43238"/>
    <w:rsid w:val="00C448E1"/>
    <w:rsid w:val="00C50510"/>
    <w:rsid w:val="00C5090F"/>
    <w:rsid w:val="00C52C08"/>
    <w:rsid w:val="00C559B7"/>
    <w:rsid w:val="00C5654B"/>
    <w:rsid w:val="00C60723"/>
    <w:rsid w:val="00C700B8"/>
    <w:rsid w:val="00C83DBB"/>
    <w:rsid w:val="00C873B2"/>
    <w:rsid w:val="00C9466F"/>
    <w:rsid w:val="00C95EF4"/>
    <w:rsid w:val="00CA2AE5"/>
    <w:rsid w:val="00CA43C6"/>
    <w:rsid w:val="00CA6F46"/>
    <w:rsid w:val="00CB0DA3"/>
    <w:rsid w:val="00CB46C8"/>
    <w:rsid w:val="00CB5EE5"/>
    <w:rsid w:val="00CC45B5"/>
    <w:rsid w:val="00CC5DB1"/>
    <w:rsid w:val="00CC64D0"/>
    <w:rsid w:val="00CC7BF1"/>
    <w:rsid w:val="00CD01D8"/>
    <w:rsid w:val="00CD39C6"/>
    <w:rsid w:val="00CD795F"/>
    <w:rsid w:val="00CE0253"/>
    <w:rsid w:val="00CE394B"/>
    <w:rsid w:val="00CF03A2"/>
    <w:rsid w:val="00CF13A1"/>
    <w:rsid w:val="00CF7853"/>
    <w:rsid w:val="00D014F7"/>
    <w:rsid w:val="00D02182"/>
    <w:rsid w:val="00D04370"/>
    <w:rsid w:val="00D1029C"/>
    <w:rsid w:val="00D13DA8"/>
    <w:rsid w:val="00D1431D"/>
    <w:rsid w:val="00D21BA1"/>
    <w:rsid w:val="00D23178"/>
    <w:rsid w:val="00D32828"/>
    <w:rsid w:val="00D33908"/>
    <w:rsid w:val="00D34C92"/>
    <w:rsid w:val="00D354D5"/>
    <w:rsid w:val="00D407BA"/>
    <w:rsid w:val="00D51710"/>
    <w:rsid w:val="00D52456"/>
    <w:rsid w:val="00D638FE"/>
    <w:rsid w:val="00D6409C"/>
    <w:rsid w:val="00D737A7"/>
    <w:rsid w:val="00D756EF"/>
    <w:rsid w:val="00D75ABC"/>
    <w:rsid w:val="00D77A7D"/>
    <w:rsid w:val="00D86302"/>
    <w:rsid w:val="00D91942"/>
    <w:rsid w:val="00D92882"/>
    <w:rsid w:val="00D92D8D"/>
    <w:rsid w:val="00DA1F64"/>
    <w:rsid w:val="00DA21B7"/>
    <w:rsid w:val="00DA2C76"/>
    <w:rsid w:val="00DA3934"/>
    <w:rsid w:val="00DA3D7C"/>
    <w:rsid w:val="00DB0CAD"/>
    <w:rsid w:val="00DB0F41"/>
    <w:rsid w:val="00DB4044"/>
    <w:rsid w:val="00DD2268"/>
    <w:rsid w:val="00DE2FBC"/>
    <w:rsid w:val="00DE4CAF"/>
    <w:rsid w:val="00DE7669"/>
    <w:rsid w:val="00DF3A4C"/>
    <w:rsid w:val="00E072DC"/>
    <w:rsid w:val="00E16901"/>
    <w:rsid w:val="00E33865"/>
    <w:rsid w:val="00E35F86"/>
    <w:rsid w:val="00E37110"/>
    <w:rsid w:val="00E42FEC"/>
    <w:rsid w:val="00E45AFA"/>
    <w:rsid w:val="00E46CDD"/>
    <w:rsid w:val="00E5612E"/>
    <w:rsid w:val="00E562CB"/>
    <w:rsid w:val="00E64453"/>
    <w:rsid w:val="00E73B44"/>
    <w:rsid w:val="00E7500F"/>
    <w:rsid w:val="00E7699A"/>
    <w:rsid w:val="00E8569A"/>
    <w:rsid w:val="00E940EC"/>
    <w:rsid w:val="00E95808"/>
    <w:rsid w:val="00E95E9C"/>
    <w:rsid w:val="00E975C7"/>
    <w:rsid w:val="00EA36A5"/>
    <w:rsid w:val="00EA7307"/>
    <w:rsid w:val="00EA7CD3"/>
    <w:rsid w:val="00EB19C4"/>
    <w:rsid w:val="00EB3863"/>
    <w:rsid w:val="00EB5ACA"/>
    <w:rsid w:val="00EC299B"/>
    <w:rsid w:val="00EC4A95"/>
    <w:rsid w:val="00EC6667"/>
    <w:rsid w:val="00EC796A"/>
    <w:rsid w:val="00EC7D1B"/>
    <w:rsid w:val="00ED2275"/>
    <w:rsid w:val="00ED66BD"/>
    <w:rsid w:val="00EE02E7"/>
    <w:rsid w:val="00EE06CA"/>
    <w:rsid w:val="00EE096F"/>
    <w:rsid w:val="00EE2183"/>
    <w:rsid w:val="00F0116E"/>
    <w:rsid w:val="00F10609"/>
    <w:rsid w:val="00F13465"/>
    <w:rsid w:val="00F16214"/>
    <w:rsid w:val="00F16E3A"/>
    <w:rsid w:val="00F20AA4"/>
    <w:rsid w:val="00F240A0"/>
    <w:rsid w:val="00F304D2"/>
    <w:rsid w:val="00F32C3A"/>
    <w:rsid w:val="00F33A1D"/>
    <w:rsid w:val="00F400FF"/>
    <w:rsid w:val="00F473B7"/>
    <w:rsid w:val="00F51BAA"/>
    <w:rsid w:val="00F53278"/>
    <w:rsid w:val="00F55418"/>
    <w:rsid w:val="00F5662E"/>
    <w:rsid w:val="00F618EA"/>
    <w:rsid w:val="00F63032"/>
    <w:rsid w:val="00F65E87"/>
    <w:rsid w:val="00F675BA"/>
    <w:rsid w:val="00F740A9"/>
    <w:rsid w:val="00F7788B"/>
    <w:rsid w:val="00F8377A"/>
    <w:rsid w:val="00F86B72"/>
    <w:rsid w:val="00F91410"/>
    <w:rsid w:val="00F91F31"/>
    <w:rsid w:val="00F953CC"/>
    <w:rsid w:val="00F95D68"/>
    <w:rsid w:val="00FA316E"/>
    <w:rsid w:val="00FA7D91"/>
    <w:rsid w:val="00FB1C3C"/>
    <w:rsid w:val="00FB2912"/>
    <w:rsid w:val="00FC428B"/>
    <w:rsid w:val="00FC495E"/>
    <w:rsid w:val="00FC4978"/>
    <w:rsid w:val="00FC4A01"/>
    <w:rsid w:val="00FC7E37"/>
    <w:rsid w:val="00FD0198"/>
    <w:rsid w:val="00FD03EF"/>
    <w:rsid w:val="00FD46CD"/>
    <w:rsid w:val="00FD65BB"/>
    <w:rsid w:val="00FE0207"/>
    <w:rsid w:val="00FE592C"/>
    <w:rsid w:val="00FE6510"/>
    <w:rsid w:val="00FE678B"/>
    <w:rsid w:val="00FF0781"/>
    <w:rsid w:val="00FF2DF9"/>
  </w:rsids>
  <m:mathPr>
    <m:mathFont m:val="Cambria Math"/>
    <m:brkBin m:val="before"/>
    <m:brkBinSub m:val="--"/>
    <m:smallFrac/>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89DFB4"/>
  <w15:docId w15:val="{364AEB07-2C9E-0542-A395-B2A305B4D1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lang w:val="ru-RU"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21029"/>
    <w:rPr>
      <w:rFonts w:ascii="Times New Roman" w:eastAsia="Times New Roman" w:hAnsi="Times New Roman" w:cs="Times New Roman"/>
      <w:sz w:val="24"/>
      <w:szCs w:val="24"/>
    </w:rPr>
  </w:style>
  <w:style w:type="paragraph" w:styleId="1">
    <w:name w:val="heading 1"/>
    <w:basedOn w:val="a"/>
    <w:next w:val="a"/>
    <w:link w:val="10"/>
    <w:uiPriority w:val="9"/>
    <w:qFormat/>
    <w:rsid w:val="00770AA7"/>
    <w:pPr>
      <w:keepNext/>
      <w:keepLines/>
      <w:spacing w:before="480" w:after="120"/>
      <w:outlineLvl w:val="0"/>
    </w:pPr>
    <w:rPr>
      <w:b/>
      <w:sz w:val="48"/>
      <w:szCs w:val="48"/>
    </w:rPr>
  </w:style>
  <w:style w:type="paragraph" w:styleId="2">
    <w:name w:val="heading 2"/>
    <w:basedOn w:val="a"/>
    <w:next w:val="a"/>
    <w:uiPriority w:val="9"/>
    <w:semiHidden/>
    <w:unhideWhenUsed/>
    <w:qFormat/>
    <w:rsid w:val="00770AA7"/>
    <w:pPr>
      <w:keepNext/>
      <w:keepLines/>
      <w:spacing w:before="360" w:after="80"/>
      <w:outlineLvl w:val="1"/>
    </w:pPr>
    <w:rPr>
      <w:b/>
      <w:sz w:val="36"/>
      <w:szCs w:val="36"/>
    </w:rPr>
  </w:style>
  <w:style w:type="paragraph" w:styleId="3">
    <w:name w:val="heading 3"/>
    <w:basedOn w:val="a"/>
    <w:next w:val="a"/>
    <w:uiPriority w:val="9"/>
    <w:semiHidden/>
    <w:unhideWhenUsed/>
    <w:qFormat/>
    <w:rsid w:val="00770AA7"/>
    <w:pPr>
      <w:keepNext/>
      <w:keepLines/>
      <w:spacing w:before="280" w:after="80"/>
      <w:outlineLvl w:val="2"/>
    </w:pPr>
    <w:rPr>
      <w:b/>
      <w:sz w:val="28"/>
      <w:szCs w:val="28"/>
    </w:rPr>
  </w:style>
  <w:style w:type="paragraph" w:styleId="4">
    <w:name w:val="heading 4"/>
    <w:basedOn w:val="a"/>
    <w:next w:val="a"/>
    <w:uiPriority w:val="9"/>
    <w:semiHidden/>
    <w:unhideWhenUsed/>
    <w:qFormat/>
    <w:rsid w:val="00770AA7"/>
    <w:pPr>
      <w:keepNext/>
      <w:keepLines/>
      <w:spacing w:before="240" w:after="40"/>
      <w:outlineLvl w:val="3"/>
    </w:pPr>
    <w:rPr>
      <w:b/>
    </w:rPr>
  </w:style>
  <w:style w:type="paragraph" w:styleId="5">
    <w:name w:val="heading 5"/>
    <w:basedOn w:val="a"/>
    <w:next w:val="a"/>
    <w:uiPriority w:val="9"/>
    <w:semiHidden/>
    <w:unhideWhenUsed/>
    <w:qFormat/>
    <w:rsid w:val="00770AA7"/>
    <w:pPr>
      <w:keepNext/>
      <w:keepLines/>
      <w:spacing w:before="220" w:after="40"/>
      <w:outlineLvl w:val="4"/>
    </w:pPr>
    <w:rPr>
      <w:b/>
      <w:sz w:val="22"/>
      <w:szCs w:val="22"/>
    </w:rPr>
  </w:style>
  <w:style w:type="paragraph" w:styleId="6">
    <w:name w:val="heading 6"/>
    <w:basedOn w:val="a"/>
    <w:next w:val="a"/>
    <w:uiPriority w:val="9"/>
    <w:semiHidden/>
    <w:unhideWhenUsed/>
    <w:qFormat/>
    <w:rsid w:val="00770AA7"/>
    <w:pPr>
      <w:keepNext/>
      <w:keepLines/>
      <w:spacing w:before="200" w:after="40"/>
      <w:outlineLvl w:val="5"/>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BD56D2"/>
    <w:tblPr>
      <w:tblCellMar>
        <w:top w:w="0" w:type="dxa"/>
        <w:left w:w="0" w:type="dxa"/>
        <w:bottom w:w="0" w:type="dxa"/>
        <w:right w:w="0" w:type="dxa"/>
      </w:tblCellMar>
    </w:tblPr>
  </w:style>
  <w:style w:type="paragraph" w:styleId="a3">
    <w:name w:val="Title"/>
    <w:basedOn w:val="a"/>
    <w:next w:val="a"/>
    <w:uiPriority w:val="10"/>
    <w:qFormat/>
    <w:rsid w:val="00770AA7"/>
    <w:pPr>
      <w:keepNext/>
      <w:keepLines/>
      <w:spacing w:before="480" w:after="120"/>
    </w:pPr>
    <w:rPr>
      <w:b/>
      <w:sz w:val="72"/>
      <w:szCs w:val="72"/>
    </w:rPr>
  </w:style>
  <w:style w:type="paragraph" w:customStyle="1" w:styleId="11">
    <w:name w:val="Обычный1"/>
    <w:rsid w:val="00770AA7"/>
  </w:style>
  <w:style w:type="table" w:customStyle="1" w:styleId="TableNormal0">
    <w:name w:val="Table Normal"/>
    <w:rsid w:val="00770AA7"/>
    <w:tblPr>
      <w:tblCellMar>
        <w:top w:w="0" w:type="dxa"/>
        <w:left w:w="0" w:type="dxa"/>
        <w:bottom w:w="0" w:type="dxa"/>
        <w:right w:w="0" w:type="dxa"/>
      </w:tblCellMar>
    </w:tblPr>
  </w:style>
  <w:style w:type="paragraph" w:styleId="a4">
    <w:name w:val="footer"/>
    <w:basedOn w:val="a"/>
    <w:link w:val="a5"/>
    <w:uiPriority w:val="99"/>
    <w:unhideWhenUsed/>
    <w:rsid w:val="00770AA7"/>
    <w:pPr>
      <w:tabs>
        <w:tab w:val="center" w:pos="4677"/>
        <w:tab w:val="right" w:pos="9355"/>
      </w:tabs>
    </w:pPr>
  </w:style>
  <w:style w:type="paragraph" w:styleId="a6">
    <w:name w:val="header"/>
    <w:basedOn w:val="a"/>
    <w:link w:val="a7"/>
    <w:uiPriority w:val="99"/>
    <w:unhideWhenUsed/>
    <w:rsid w:val="00770AA7"/>
    <w:pPr>
      <w:tabs>
        <w:tab w:val="center" w:pos="4677"/>
        <w:tab w:val="right" w:pos="9355"/>
      </w:tabs>
    </w:pPr>
  </w:style>
  <w:style w:type="character" w:styleId="a8">
    <w:name w:val="Hyperlink"/>
    <w:basedOn w:val="a0"/>
    <w:uiPriority w:val="99"/>
    <w:rsid w:val="00770AA7"/>
    <w:rPr>
      <w:color w:val="0000FF"/>
      <w:u w:val="single"/>
    </w:rPr>
  </w:style>
  <w:style w:type="paragraph" w:styleId="a9">
    <w:name w:val="Normal (Web)"/>
    <w:uiPriority w:val="99"/>
    <w:rsid w:val="00770AA7"/>
    <w:pPr>
      <w:spacing w:beforeAutospacing="1" w:afterAutospacing="1"/>
    </w:pPr>
    <w:rPr>
      <w:rFonts w:cs="Times New Roman"/>
      <w:sz w:val="24"/>
      <w:szCs w:val="24"/>
      <w:lang w:val="en-US"/>
    </w:rPr>
  </w:style>
  <w:style w:type="paragraph" w:styleId="aa">
    <w:name w:val="Subtitle"/>
    <w:basedOn w:val="a"/>
    <w:next w:val="a"/>
    <w:uiPriority w:val="11"/>
    <w:qFormat/>
    <w:rsid w:val="00BD56D2"/>
    <w:pPr>
      <w:keepNext/>
      <w:keepLines/>
      <w:pBdr>
        <w:top w:val="nil"/>
        <w:left w:val="nil"/>
        <w:bottom w:val="nil"/>
        <w:right w:val="nil"/>
        <w:between w:val="nil"/>
      </w:pBdr>
      <w:spacing w:before="360" w:after="80"/>
    </w:pPr>
    <w:rPr>
      <w:rFonts w:ascii="Georgia" w:eastAsia="Georgia" w:hAnsi="Georgia" w:cs="Georgia"/>
      <w:i/>
      <w:color w:val="666666"/>
      <w:sz w:val="48"/>
      <w:szCs w:val="48"/>
    </w:rPr>
  </w:style>
  <w:style w:type="table" w:customStyle="1" w:styleId="TableNormal1">
    <w:name w:val="Table Normal1"/>
    <w:rsid w:val="00770AA7"/>
    <w:tblPr>
      <w:tblCellMar>
        <w:top w:w="0" w:type="dxa"/>
        <w:left w:w="0" w:type="dxa"/>
        <w:bottom w:w="0" w:type="dxa"/>
        <w:right w:w="0" w:type="dxa"/>
      </w:tblCellMar>
    </w:tblPr>
  </w:style>
  <w:style w:type="table" w:customStyle="1" w:styleId="Style14">
    <w:name w:val="_Style 14"/>
    <w:basedOn w:val="TableNormal1"/>
    <w:rsid w:val="00770AA7"/>
    <w:tblPr>
      <w:tblCellMar>
        <w:top w:w="0" w:type="dxa"/>
        <w:left w:w="0" w:type="dxa"/>
        <w:bottom w:w="0" w:type="dxa"/>
        <w:right w:w="0" w:type="dxa"/>
      </w:tblCellMar>
    </w:tblPr>
  </w:style>
  <w:style w:type="table" w:customStyle="1" w:styleId="Style15">
    <w:name w:val="_Style 15"/>
    <w:basedOn w:val="TableNormal1"/>
    <w:rsid w:val="00770AA7"/>
    <w:tblPr>
      <w:tblCellMar>
        <w:top w:w="0" w:type="dxa"/>
        <w:left w:w="0" w:type="dxa"/>
        <w:bottom w:w="0" w:type="dxa"/>
        <w:right w:w="0" w:type="dxa"/>
      </w:tblCellMar>
    </w:tblPr>
  </w:style>
  <w:style w:type="table" w:customStyle="1" w:styleId="Style16">
    <w:name w:val="_Style 16"/>
    <w:basedOn w:val="TableNormal1"/>
    <w:rsid w:val="00770AA7"/>
    <w:tblPr>
      <w:tblCellMar>
        <w:top w:w="0" w:type="dxa"/>
        <w:left w:w="0" w:type="dxa"/>
        <w:bottom w:w="0" w:type="dxa"/>
        <w:right w:w="0" w:type="dxa"/>
      </w:tblCellMar>
    </w:tblPr>
  </w:style>
  <w:style w:type="table" w:customStyle="1" w:styleId="Style17">
    <w:name w:val="_Style 17"/>
    <w:basedOn w:val="TableNormal1"/>
    <w:rsid w:val="00770AA7"/>
    <w:tblPr>
      <w:tblCellMar>
        <w:top w:w="0" w:type="dxa"/>
        <w:left w:w="0" w:type="dxa"/>
        <w:bottom w:w="0" w:type="dxa"/>
        <w:right w:w="0" w:type="dxa"/>
      </w:tblCellMar>
    </w:tblPr>
  </w:style>
  <w:style w:type="table" w:customStyle="1" w:styleId="Style18">
    <w:name w:val="_Style 18"/>
    <w:basedOn w:val="TableNormal1"/>
    <w:rsid w:val="00770AA7"/>
    <w:tblPr>
      <w:tblCellMar>
        <w:top w:w="0" w:type="dxa"/>
        <w:left w:w="0" w:type="dxa"/>
        <w:bottom w:w="0" w:type="dxa"/>
        <w:right w:w="0" w:type="dxa"/>
      </w:tblCellMar>
    </w:tblPr>
  </w:style>
  <w:style w:type="table" w:customStyle="1" w:styleId="Style19">
    <w:name w:val="_Style 19"/>
    <w:basedOn w:val="TableNormal1"/>
    <w:rsid w:val="00770AA7"/>
    <w:tblPr>
      <w:tblCellMar>
        <w:top w:w="0" w:type="dxa"/>
        <w:left w:w="0" w:type="dxa"/>
        <w:bottom w:w="0" w:type="dxa"/>
        <w:right w:w="0" w:type="dxa"/>
      </w:tblCellMar>
    </w:tblPr>
  </w:style>
  <w:style w:type="table" w:customStyle="1" w:styleId="Style20">
    <w:name w:val="_Style 20"/>
    <w:basedOn w:val="TableNormal1"/>
    <w:rsid w:val="00770AA7"/>
    <w:tblPr>
      <w:tblCellMar>
        <w:top w:w="0" w:type="dxa"/>
        <w:left w:w="0" w:type="dxa"/>
        <w:bottom w:w="0" w:type="dxa"/>
        <w:right w:w="0" w:type="dxa"/>
      </w:tblCellMar>
    </w:tblPr>
  </w:style>
  <w:style w:type="table" w:customStyle="1" w:styleId="Style21">
    <w:name w:val="_Style 21"/>
    <w:basedOn w:val="TableNormal1"/>
    <w:rsid w:val="00770AA7"/>
    <w:tblPr>
      <w:tblCellMar>
        <w:top w:w="0" w:type="dxa"/>
        <w:left w:w="0" w:type="dxa"/>
        <w:bottom w:w="0" w:type="dxa"/>
        <w:right w:w="0" w:type="dxa"/>
      </w:tblCellMar>
    </w:tblPr>
  </w:style>
  <w:style w:type="table" w:customStyle="1" w:styleId="Style22">
    <w:name w:val="_Style 22"/>
    <w:basedOn w:val="TableNormal1"/>
    <w:rsid w:val="00770AA7"/>
    <w:tblPr>
      <w:tblCellMar>
        <w:top w:w="0" w:type="dxa"/>
        <w:left w:w="0" w:type="dxa"/>
        <w:bottom w:w="0" w:type="dxa"/>
        <w:right w:w="0" w:type="dxa"/>
      </w:tblCellMar>
    </w:tblPr>
  </w:style>
  <w:style w:type="paragraph" w:styleId="ab">
    <w:name w:val="No Spacing"/>
    <w:uiPriority w:val="1"/>
    <w:qFormat/>
    <w:rsid w:val="00770AA7"/>
    <w:rPr>
      <w:rFonts w:asciiTheme="minorHAnsi" w:eastAsiaTheme="minorEastAsia" w:hAnsiTheme="minorHAnsi" w:cstheme="minorBidi"/>
      <w:lang w:val="en-US"/>
    </w:rPr>
  </w:style>
  <w:style w:type="paragraph" w:styleId="ac">
    <w:name w:val="List Paragraph"/>
    <w:basedOn w:val="a"/>
    <w:uiPriority w:val="34"/>
    <w:qFormat/>
    <w:rsid w:val="00770AA7"/>
    <w:pPr>
      <w:ind w:left="720"/>
      <w:contextualSpacing/>
    </w:pPr>
  </w:style>
  <w:style w:type="character" w:customStyle="1" w:styleId="a7">
    <w:name w:val="Верхний колонтитул Знак"/>
    <w:basedOn w:val="a0"/>
    <w:link w:val="a6"/>
    <w:uiPriority w:val="99"/>
    <w:rsid w:val="00770AA7"/>
    <w:rPr>
      <w:rFonts w:asciiTheme="minorHAnsi" w:eastAsiaTheme="minorEastAsia" w:hAnsiTheme="minorHAnsi" w:cstheme="minorBidi"/>
      <w:lang w:eastAsia="zh-CN"/>
    </w:rPr>
  </w:style>
  <w:style w:type="character" w:customStyle="1" w:styleId="a5">
    <w:name w:val="Нижний колонтитул Знак"/>
    <w:basedOn w:val="a0"/>
    <w:link w:val="a4"/>
    <w:uiPriority w:val="99"/>
    <w:rsid w:val="00770AA7"/>
    <w:rPr>
      <w:rFonts w:asciiTheme="minorHAnsi" w:eastAsiaTheme="minorEastAsia" w:hAnsiTheme="minorHAnsi" w:cstheme="minorBidi"/>
      <w:lang w:eastAsia="zh-CN"/>
    </w:rPr>
  </w:style>
  <w:style w:type="table" w:customStyle="1" w:styleId="ad">
    <w:basedOn w:val="TableNormal0"/>
    <w:rsid w:val="00770AA7"/>
    <w:tblPr>
      <w:tblStyleRowBandSize w:val="1"/>
      <w:tblStyleColBandSize w:val="1"/>
      <w:tblCellMar>
        <w:top w:w="0" w:type="dxa"/>
        <w:left w:w="0" w:type="dxa"/>
        <w:bottom w:w="0" w:type="dxa"/>
        <w:right w:w="0" w:type="dxa"/>
      </w:tblCellMar>
    </w:tblPr>
  </w:style>
  <w:style w:type="table" w:customStyle="1" w:styleId="ae">
    <w:basedOn w:val="TableNormal0"/>
    <w:rsid w:val="00770AA7"/>
    <w:tblPr>
      <w:tblStyleRowBandSize w:val="1"/>
      <w:tblStyleColBandSize w:val="1"/>
      <w:tblCellMar>
        <w:top w:w="0" w:type="dxa"/>
        <w:left w:w="0" w:type="dxa"/>
        <w:bottom w:w="0" w:type="dxa"/>
        <w:right w:w="0" w:type="dxa"/>
      </w:tblCellMar>
    </w:tblPr>
  </w:style>
  <w:style w:type="table" w:customStyle="1" w:styleId="af">
    <w:basedOn w:val="TableNormal0"/>
    <w:rsid w:val="00770AA7"/>
    <w:tblPr>
      <w:tblStyleRowBandSize w:val="1"/>
      <w:tblStyleColBandSize w:val="1"/>
      <w:tblCellMar>
        <w:top w:w="0" w:type="dxa"/>
        <w:left w:w="0" w:type="dxa"/>
        <w:bottom w:w="0" w:type="dxa"/>
        <w:right w:w="0" w:type="dxa"/>
      </w:tblCellMar>
    </w:tblPr>
  </w:style>
  <w:style w:type="table" w:customStyle="1" w:styleId="af0">
    <w:basedOn w:val="TableNormal0"/>
    <w:rsid w:val="00770AA7"/>
    <w:tblPr>
      <w:tblStyleRowBandSize w:val="1"/>
      <w:tblStyleColBandSize w:val="1"/>
      <w:tblCellMar>
        <w:top w:w="0" w:type="dxa"/>
        <w:left w:w="0" w:type="dxa"/>
        <w:bottom w:w="0" w:type="dxa"/>
        <w:right w:w="0" w:type="dxa"/>
      </w:tblCellMar>
    </w:tblPr>
  </w:style>
  <w:style w:type="table" w:customStyle="1" w:styleId="af1">
    <w:basedOn w:val="TableNormal0"/>
    <w:rsid w:val="00770AA7"/>
    <w:tblPr>
      <w:tblStyleRowBandSize w:val="1"/>
      <w:tblStyleColBandSize w:val="1"/>
      <w:tblCellMar>
        <w:top w:w="0" w:type="dxa"/>
        <w:left w:w="0" w:type="dxa"/>
        <w:bottom w:w="0" w:type="dxa"/>
        <w:right w:w="0" w:type="dxa"/>
      </w:tblCellMar>
    </w:tblPr>
  </w:style>
  <w:style w:type="table" w:customStyle="1" w:styleId="af2">
    <w:basedOn w:val="TableNormal0"/>
    <w:rsid w:val="00770AA7"/>
    <w:tblPr>
      <w:tblStyleRowBandSize w:val="1"/>
      <w:tblStyleColBandSize w:val="1"/>
      <w:tblCellMar>
        <w:top w:w="0" w:type="dxa"/>
        <w:left w:w="0" w:type="dxa"/>
        <w:bottom w:w="0" w:type="dxa"/>
        <w:right w:w="0" w:type="dxa"/>
      </w:tblCellMar>
    </w:tblPr>
  </w:style>
  <w:style w:type="table" w:customStyle="1" w:styleId="af3">
    <w:basedOn w:val="TableNormal0"/>
    <w:rsid w:val="00770AA7"/>
    <w:tblPr>
      <w:tblStyleRowBandSize w:val="1"/>
      <w:tblStyleColBandSize w:val="1"/>
      <w:tblCellMar>
        <w:top w:w="0" w:type="dxa"/>
        <w:left w:w="0" w:type="dxa"/>
        <w:bottom w:w="0" w:type="dxa"/>
        <w:right w:w="0" w:type="dxa"/>
      </w:tblCellMar>
    </w:tblPr>
  </w:style>
  <w:style w:type="table" w:customStyle="1" w:styleId="af4">
    <w:basedOn w:val="TableNormal0"/>
    <w:rsid w:val="00770AA7"/>
    <w:tblPr>
      <w:tblStyleRowBandSize w:val="1"/>
      <w:tblStyleColBandSize w:val="1"/>
      <w:tblCellMar>
        <w:top w:w="0" w:type="dxa"/>
        <w:left w:w="0" w:type="dxa"/>
        <w:bottom w:w="0" w:type="dxa"/>
        <w:right w:w="0" w:type="dxa"/>
      </w:tblCellMar>
    </w:tblPr>
  </w:style>
  <w:style w:type="table" w:customStyle="1" w:styleId="af5">
    <w:basedOn w:val="TableNormal0"/>
    <w:rsid w:val="00770AA7"/>
    <w:tblPr>
      <w:tblStyleRowBandSize w:val="1"/>
      <w:tblStyleColBandSize w:val="1"/>
      <w:tblCellMar>
        <w:top w:w="0" w:type="dxa"/>
        <w:left w:w="0" w:type="dxa"/>
        <w:bottom w:w="0" w:type="dxa"/>
        <w:right w:w="0" w:type="dxa"/>
      </w:tblCellMar>
    </w:tblPr>
  </w:style>
  <w:style w:type="paragraph" w:styleId="af6">
    <w:name w:val="Balloon Text"/>
    <w:basedOn w:val="a"/>
    <w:link w:val="af7"/>
    <w:uiPriority w:val="99"/>
    <w:semiHidden/>
    <w:unhideWhenUsed/>
    <w:rsid w:val="00C25B1F"/>
    <w:rPr>
      <w:rFonts w:ascii="Tahoma" w:hAnsi="Tahoma" w:cs="Tahoma"/>
      <w:sz w:val="16"/>
      <w:szCs w:val="16"/>
    </w:rPr>
  </w:style>
  <w:style w:type="character" w:customStyle="1" w:styleId="af7">
    <w:name w:val="Текст выноски Знак"/>
    <w:basedOn w:val="a0"/>
    <w:link w:val="af6"/>
    <w:uiPriority w:val="99"/>
    <w:semiHidden/>
    <w:rsid w:val="00C25B1F"/>
    <w:rPr>
      <w:rFonts w:ascii="Tahoma" w:eastAsiaTheme="minorEastAsia" w:hAnsi="Tahoma" w:cs="Tahoma"/>
      <w:sz w:val="16"/>
      <w:szCs w:val="16"/>
      <w:lang w:val="en-US" w:eastAsia="zh-CN"/>
    </w:rPr>
  </w:style>
  <w:style w:type="table" w:customStyle="1" w:styleId="af8">
    <w:basedOn w:val="TableNormal0"/>
    <w:rsid w:val="00BD56D2"/>
    <w:tblPr>
      <w:tblStyleRowBandSize w:val="1"/>
      <w:tblStyleColBandSize w:val="1"/>
      <w:tblCellMar>
        <w:top w:w="0" w:type="dxa"/>
        <w:left w:w="0" w:type="dxa"/>
        <w:bottom w:w="0" w:type="dxa"/>
        <w:right w:w="0" w:type="dxa"/>
      </w:tblCellMar>
    </w:tblPr>
  </w:style>
  <w:style w:type="table" w:customStyle="1" w:styleId="af9">
    <w:basedOn w:val="TableNormal0"/>
    <w:rsid w:val="00BD56D2"/>
    <w:tblPr>
      <w:tblStyleRowBandSize w:val="1"/>
      <w:tblStyleColBandSize w:val="1"/>
      <w:tblCellMar>
        <w:top w:w="0" w:type="dxa"/>
        <w:left w:w="0" w:type="dxa"/>
        <w:bottom w:w="0" w:type="dxa"/>
        <w:right w:w="0" w:type="dxa"/>
      </w:tblCellMar>
    </w:tblPr>
  </w:style>
  <w:style w:type="table" w:customStyle="1" w:styleId="afa">
    <w:basedOn w:val="TableNormal0"/>
    <w:rsid w:val="00BD56D2"/>
    <w:tblPr>
      <w:tblStyleRowBandSize w:val="1"/>
      <w:tblStyleColBandSize w:val="1"/>
      <w:tblCellMar>
        <w:top w:w="0" w:type="dxa"/>
        <w:left w:w="0" w:type="dxa"/>
        <w:bottom w:w="0" w:type="dxa"/>
        <w:right w:w="0" w:type="dxa"/>
      </w:tblCellMar>
    </w:tblPr>
  </w:style>
  <w:style w:type="table" w:customStyle="1" w:styleId="afb">
    <w:basedOn w:val="TableNormal0"/>
    <w:rsid w:val="00BD56D2"/>
    <w:tblPr>
      <w:tblStyleRowBandSize w:val="1"/>
      <w:tblStyleColBandSize w:val="1"/>
      <w:tblCellMar>
        <w:top w:w="0" w:type="dxa"/>
        <w:left w:w="0" w:type="dxa"/>
        <w:bottom w:w="0" w:type="dxa"/>
        <w:right w:w="0" w:type="dxa"/>
      </w:tblCellMar>
    </w:tblPr>
  </w:style>
  <w:style w:type="table" w:customStyle="1" w:styleId="afc">
    <w:basedOn w:val="TableNormal0"/>
    <w:rsid w:val="00BD56D2"/>
    <w:tblPr>
      <w:tblStyleRowBandSize w:val="1"/>
      <w:tblStyleColBandSize w:val="1"/>
      <w:tblCellMar>
        <w:top w:w="0" w:type="dxa"/>
        <w:left w:w="0" w:type="dxa"/>
        <w:bottom w:w="0" w:type="dxa"/>
        <w:right w:w="0" w:type="dxa"/>
      </w:tblCellMar>
    </w:tblPr>
  </w:style>
  <w:style w:type="table" w:customStyle="1" w:styleId="afd">
    <w:basedOn w:val="TableNormal0"/>
    <w:rsid w:val="00BD56D2"/>
    <w:tblPr>
      <w:tblStyleRowBandSize w:val="1"/>
      <w:tblStyleColBandSize w:val="1"/>
      <w:tblCellMar>
        <w:top w:w="0" w:type="dxa"/>
        <w:left w:w="0" w:type="dxa"/>
        <w:bottom w:w="0" w:type="dxa"/>
        <w:right w:w="0" w:type="dxa"/>
      </w:tblCellMar>
    </w:tblPr>
  </w:style>
  <w:style w:type="table" w:customStyle="1" w:styleId="afe">
    <w:basedOn w:val="TableNormal0"/>
    <w:rsid w:val="00BD56D2"/>
    <w:tblPr>
      <w:tblStyleRowBandSize w:val="1"/>
      <w:tblStyleColBandSize w:val="1"/>
      <w:tblCellMar>
        <w:top w:w="0" w:type="dxa"/>
        <w:left w:w="0" w:type="dxa"/>
        <w:bottom w:w="0" w:type="dxa"/>
        <w:right w:w="0" w:type="dxa"/>
      </w:tblCellMar>
    </w:tblPr>
  </w:style>
  <w:style w:type="table" w:customStyle="1" w:styleId="aff">
    <w:basedOn w:val="TableNormal0"/>
    <w:rsid w:val="00BD56D2"/>
    <w:tblPr>
      <w:tblStyleRowBandSize w:val="1"/>
      <w:tblStyleColBandSize w:val="1"/>
      <w:tblCellMar>
        <w:top w:w="0" w:type="dxa"/>
        <w:left w:w="0" w:type="dxa"/>
        <w:bottom w:w="0" w:type="dxa"/>
        <w:right w:w="0" w:type="dxa"/>
      </w:tblCellMar>
    </w:tblPr>
  </w:style>
  <w:style w:type="table" w:customStyle="1" w:styleId="aff0">
    <w:basedOn w:val="TableNormal0"/>
    <w:rsid w:val="00BD56D2"/>
    <w:tblPr>
      <w:tblStyleRowBandSize w:val="1"/>
      <w:tblStyleColBandSize w:val="1"/>
      <w:tblCellMar>
        <w:top w:w="0" w:type="dxa"/>
        <w:left w:w="0" w:type="dxa"/>
        <w:bottom w:w="0" w:type="dxa"/>
        <w:right w:w="0" w:type="dxa"/>
      </w:tblCellMar>
    </w:tblPr>
  </w:style>
  <w:style w:type="character" w:customStyle="1" w:styleId="12">
    <w:name w:val="Неразрешенное упоминание1"/>
    <w:basedOn w:val="a0"/>
    <w:uiPriority w:val="99"/>
    <w:semiHidden/>
    <w:unhideWhenUsed/>
    <w:rsid w:val="00B84E10"/>
    <w:rPr>
      <w:color w:val="605E5C"/>
      <w:shd w:val="clear" w:color="auto" w:fill="E1DFDD"/>
    </w:rPr>
  </w:style>
  <w:style w:type="character" w:customStyle="1" w:styleId="10">
    <w:name w:val="Заголовок 1 Знак"/>
    <w:basedOn w:val="a0"/>
    <w:link w:val="1"/>
    <w:uiPriority w:val="9"/>
    <w:rsid w:val="00821029"/>
    <w:rPr>
      <w:rFonts w:ascii="Times New Roman" w:eastAsia="Times New Roman" w:hAnsi="Times New Roman" w:cs="Times New Roman"/>
      <w:b/>
      <w:sz w:val="48"/>
      <w:szCs w:val="48"/>
    </w:rPr>
  </w:style>
  <w:style w:type="paragraph" w:customStyle="1" w:styleId="s32">
    <w:name w:val="s32"/>
    <w:basedOn w:val="a"/>
    <w:rsid w:val="0073070D"/>
    <w:pPr>
      <w:spacing w:before="100" w:beforeAutospacing="1" w:after="100" w:afterAutospacing="1"/>
    </w:pPr>
  </w:style>
  <w:style w:type="character" w:customStyle="1" w:styleId="s9">
    <w:name w:val="s9"/>
    <w:basedOn w:val="a0"/>
    <w:rsid w:val="0073070D"/>
  </w:style>
  <w:style w:type="character" w:customStyle="1" w:styleId="apple-converted-space">
    <w:name w:val="apple-converted-space"/>
    <w:basedOn w:val="a0"/>
    <w:rsid w:val="0073070D"/>
  </w:style>
  <w:style w:type="character" w:customStyle="1" w:styleId="s52">
    <w:name w:val="s52"/>
    <w:basedOn w:val="a0"/>
    <w:rsid w:val="0073070D"/>
  </w:style>
  <w:style w:type="character" w:customStyle="1" w:styleId="given-name">
    <w:name w:val="given-name"/>
    <w:basedOn w:val="a0"/>
    <w:rsid w:val="001213A0"/>
  </w:style>
  <w:style w:type="character" w:customStyle="1" w:styleId="text">
    <w:name w:val="text"/>
    <w:basedOn w:val="a0"/>
    <w:rsid w:val="001213A0"/>
  </w:style>
  <w:style w:type="character" w:styleId="aff1">
    <w:name w:val="Strong"/>
    <w:basedOn w:val="a0"/>
    <w:uiPriority w:val="22"/>
    <w:qFormat/>
    <w:rsid w:val="00EA7307"/>
    <w:rPr>
      <w:b/>
      <w:bCs/>
    </w:rPr>
  </w:style>
  <w:style w:type="character" w:styleId="aff2">
    <w:name w:val="Placeholder Text"/>
    <w:basedOn w:val="a0"/>
    <w:uiPriority w:val="99"/>
    <w:semiHidden/>
    <w:rsid w:val="009F1794"/>
    <w:rPr>
      <w:color w:val="666666"/>
    </w:rPr>
  </w:style>
  <w:style w:type="character" w:styleId="aff3">
    <w:name w:val="Emphasis"/>
    <w:basedOn w:val="a0"/>
    <w:uiPriority w:val="20"/>
    <w:qFormat/>
    <w:rsid w:val="0033281B"/>
    <w:rPr>
      <w:i/>
      <w:iCs/>
    </w:rPr>
  </w:style>
  <w:style w:type="character" w:customStyle="1" w:styleId="20">
    <w:name w:val="Неразрешенное упоминание2"/>
    <w:basedOn w:val="a0"/>
    <w:uiPriority w:val="99"/>
    <w:semiHidden/>
    <w:unhideWhenUsed/>
    <w:rsid w:val="006D69FC"/>
    <w:rPr>
      <w:color w:val="605E5C"/>
      <w:shd w:val="clear" w:color="auto" w:fill="E1DFDD"/>
    </w:rPr>
  </w:style>
  <w:style w:type="character" w:styleId="aff4">
    <w:name w:val="FollowedHyperlink"/>
    <w:basedOn w:val="a0"/>
    <w:uiPriority w:val="99"/>
    <w:semiHidden/>
    <w:unhideWhenUsed/>
    <w:rsid w:val="006D69FC"/>
    <w:rPr>
      <w:color w:val="954F72" w:themeColor="followedHyperlink"/>
      <w:u w:val="single"/>
    </w:rPr>
  </w:style>
  <w:style w:type="paragraph" w:customStyle="1" w:styleId="s12">
    <w:name w:val="s12"/>
    <w:basedOn w:val="a"/>
    <w:rsid w:val="00DE7669"/>
    <w:pPr>
      <w:spacing w:before="100" w:beforeAutospacing="1" w:after="100" w:afterAutospacing="1"/>
    </w:pPr>
  </w:style>
  <w:style w:type="character" w:customStyle="1" w:styleId="s2">
    <w:name w:val="s2"/>
    <w:basedOn w:val="a0"/>
    <w:rsid w:val="00DE7669"/>
  </w:style>
  <w:style w:type="character" w:customStyle="1" w:styleId="s13">
    <w:name w:val="s13"/>
    <w:basedOn w:val="a0"/>
    <w:rsid w:val="00DE7669"/>
  </w:style>
  <w:style w:type="table" w:styleId="aff5">
    <w:name w:val="Table Grid"/>
    <w:basedOn w:val="a1"/>
    <w:uiPriority w:val="39"/>
    <w:rsid w:val="00EC299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818598">
      <w:bodyDiv w:val="1"/>
      <w:marLeft w:val="0"/>
      <w:marRight w:val="0"/>
      <w:marTop w:val="0"/>
      <w:marBottom w:val="0"/>
      <w:divBdr>
        <w:top w:val="none" w:sz="0" w:space="0" w:color="auto"/>
        <w:left w:val="none" w:sz="0" w:space="0" w:color="auto"/>
        <w:bottom w:val="none" w:sz="0" w:space="0" w:color="auto"/>
        <w:right w:val="none" w:sz="0" w:space="0" w:color="auto"/>
      </w:divBdr>
    </w:div>
    <w:div w:id="68582624">
      <w:bodyDiv w:val="1"/>
      <w:marLeft w:val="0"/>
      <w:marRight w:val="0"/>
      <w:marTop w:val="0"/>
      <w:marBottom w:val="0"/>
      <w:divBdr>
        <w:top w:val="none" w:sz="0" w:space="0" w:color="auto"/>
        <w:left w:val="none" w:sz="0" w:space="0" w:color="auto"/>
        <w:bottom w:val="none" w:sz="0" w:space="0" w:color="auto"/>
        <w:right w:val="none" w:sz="0" w:space="0" w:color="auto"/>
      </w:divBdr>
    </w:div>
    <w:div w:id="74131686">
      <w:bodyDiv w:val="1"/>
      <w:marLeft w:val="0"/>
      <w:marRight w:val="0"/>
      <w:marTop w:val="0"/>
      <w:marBottom w:val="0"/>
      <w:divBdr>
        <w:top w:val="none" w:sz="0" w:space="0" w:color="auto"/>
        <w:left w:val="none" w:sz="0" w:space="0" w:color="auto"/>
        <w:bottom w:val="none" w:sz="0" w:space="0" w:color="auto"/>
        <w:right w:val="none" w:sz="0" w:space="0" w:color="auto"/>
      </w:divBdr>
    </w:div>
    <w:div w:id="84767217">
      <w:bodyDiv w:val="1"/>
      <w:marLeft w:val="0"/>
      <w:marRight w:val="0"/>
      <w:marTop w:val="0"/>
      <w:marBottom w:val="0"/>
      <w:divBdr>
        <w:top w:val="none" w:sz="0" w:space="0" w:color="auto"/>
        <w:left w:val="none" w:sz="0" w:space="0" w:color="auto"/>
        <w:bottom w:val="none" w:sz="0" w:space="0" w:color="auto"/>
        <w:right w:val="none" w:sz="0" w:space="0" w:color="auto"/>
      </w:divBdr>
    </w:div>
    <w:div w:id="85199224">
      <w:bodyDiv w:val="1"/>
      <w:marLeft w:val="0"/>
      <w:marRight w:val="0"/>
      <w:marTop w:val="0"/>
      <w:marBottom w:val="0"/>
      <w:divBdr>
        <w:top w:val="none" w:sz="0" w:space="0" w:color="auto"/>
        <w:left w:val="none" w:sz="0" w:space="0" w:color="auto"/>
        <w:bottom w:val="none" w:sz="0" w:space="0" w:color="auto"/>
        <w:right w:val="none" w:sz="0" w:space="0" w:color="auto"/>
      </w:divBdr>
    </w:div>
    <w:div w:id="89856357">
      <w:bodyDiv w:val="1"/>
      <w:marLeft w:val="0"/>
      <w:marRight w:val="0"/>
      <w:marTop w:val="0"/>
      <w:marBottom w:val="0"/>
      <w:divBdr>
        <w:top w:val="none" w:sz="0" w:space="0" w:color="auto"/>
        <w:left w:val="none" w:sz="0" w:space="0" w:color="auto"/>
        <w:bottom w:val="none" w:sz="0" w:space="0" w:color="auto"/>
        <w:right w:val="none" w:sz="0" w:space="0" w:color="auto"/>
      </w:divBdr>
    </w:div>
    <w:div w:id="119996679">
      <w:bodyDiv w:val="1"/>
      <w:marLeft w:val="0"/>
      <w:marRight w:val="0"/>
      <w:marTop w:val="0"/>
      <w:marBottom w:val="0"/>
      <w:divBdr>
        <w:top w:val="none" w:sz="0" w:space="0" w:color="auto"/>
        <w:left w:val="none" w:sz="0" w:space="0" w:color="auto"/>
        <w:bottom w:val="none" w:sz="0" w:space="0" w:color="auto"/>
        <w:right w:val="none" w:sz="0" w:space="0" w:color="auto"/>
      </w:divBdr>
    </w:div>
    <w:div w:id="122356066">
      <w:bodyDiv w:val="1"/>
      <w:marLeft w:val="0"/>
      <w:marRight w:val="0"/>
      <w:marTop w:val="0"/>
      <w:marBottom w:val="0"/>
      <w:divBdr>
        <w:top w:val="none" w:sz="0" w:space="0" w:color="auto"/>
        <w:left w:val="none" w:sz="0" w:space="0" w:color="auto"/>
        <w:bottom w:val="none" w:sz="0" w:space="0" w:color="auto"/>
        <w:right w:val="none" w:sz="0" w:space="0" w:color="auto"/>
      </w:divBdr>
    </w:div>
    <w:div w:id="128980779">
      <w:bodyDiv w:val="1"/>
      <w:marLeft w:val="0"/>
      <w:marRight w:val="0"/>
      <w:marTop w:val="0"/>
      <w:marBottom w:val="0"/>
      <w:divBdr>
        <w:top w:val="none" w:sz="0" w:space="0" w:color="auto"/>
        <w:left w:val="none" w:sz="0" w:space="0" w:color="auto"/>
        <w:bottom w:val="none" w:sz="0" w:space="0" w:color="auto"/>
        <w:right w:val="none" w:sz="0" w:space="0" w:color="auto"/>
      </w:divBdr>
    </w:div>
    <w:div w:id="133986225">
      <w:bodyDiv w:val="1"/>
      <w:marLeft w:val="0"/>
      <w:marRight w:val="0"/>
      <w:marTop w:val="0"/>
      <w:marBottom w:val="0"/>
      <w:divBdr>
        <w:top w:val="none" w:sz="0" w:space="0" w:color="auto"/>
        <w:left w:val="none" w:sz="0" w:space="0" w:color="auto"/>
        <w:bottom w:val="none" w:sz="0" w:space="0" w:color="auto"/>
        <w:right w:val="none" w:sz="0" w:space="0" w:color="auto"/>
      </w:divBdr>
    </w:div>
    <w:div w:id="135613878">
      <w:bodyDiv w:val="1"/>
      <w:marLeft w:val="0"/>
      <w:marRight w:val="0"/>
      <w:marTop w:val="0"/>
      <w:marBottom w:val="0"/>
      <w:divBdr>
        <w:top w:val="none" w:sz="0" w:space="0" w:color="auto"/>
        <w:left w:val="none" w:sz="0" w:space="0" w:color="auto"/>
        <w:bottom w:val="none" w:sz="0" w:space="0" w:color="auto"/>
        <w:right w:val="none" w:sz="0" w:space="0" w:color="auto"/>
      </w:divBdr>
    </w:div>
    <w:div w:id="138040516">
      <w:bodyDiv w:val="1"/>
      <w:marLeft w:val="0"/>
      <w:marRight w:val="0"/>
      <w:marTop w:val="0"/>
      <w:marBottom w:val="0"/>
      <w:divBdr>
        <w:top w:val="none" w:sz="0" w:space="0" w:color="auto"/>
        <w:left w:val="none" w:sz="0" w:space="0" w:color="auto"/>
        <w:bottom w:val="none" w:sz="0" w:space="0" w:color="auto"/>
        <w:right w:val="none" w:sz="0" w:space="0" w:color="auto"/>
      </w:divBdr>
    </w:div>
    <w:div w:id="205990678">
      <w:bodyDiv w:val="1"/>
      <w:marLeft w:val="0"/>
      <w:marRight w:val="0"/>
      <w:marTop w:val="0"/>
      <w:marBottom w:val="0"/>
      <w:divBdr>
        <w:top w:val="none" w:sz="0" w:space="0" w:color="auto"/>
        <w:left w:val="none" w:sz="0" w:space="0" w:color="auto"/>
        <w:bottom w:val="none" w:sz="0" w:space="0" w:color="auto"/>
        <w:right w:val="none" w:sz="0" w:space="0" w:color="auto"/>
      </w:divBdr>
    </w:div>
    <w:div w:id="213204785">
      <w:bodyDiv w:val="1"/>
      <w:marLeft w:val="0"/>
      <w:marRight w:val="0"/>
      <w:marTop w:val="0"/>
      <w:marBottom w:val="0"/>
      <w:divBdr>
        <w:top w:val="none" w:sz="0" w:space="0" w:color="auto"/>
        <w:left w:val="none" w:sz="0" w:space="0" w:color="auto"/>
        <w:bottom w:val="none" w:sz="0" w:space="0" w:color="auto"/>
        <w:right w:val="none" w:sz="0" w:space="0" w:color="auto"/>
      </w:divBdr>
    </w:div>
    <w:div w:id="223567665">
      <w:bodyDiv w:val="1"/>
      <w:marLeft w:val="0"/>
      <w:marRight w:val="0"/>
      <w:marTop w:val="0"/>
      <w:marBottom w:val="0"/>
      <w:divBdr>
        <w:top w:val="none" w:sz="0" w:space="0" w:color="auto"/>
        <w:left w:val="none" w:sz="0" w:space="0" w:color="auto"/>
        <w:bottom w:val="none" w:sz="0" w:space="0" w:color="auto"/>
        <w:right w:val="none" w:sz="0" w:space="0" w:color="auto"/>
      </w:divBdr>
    </w:div>
    <w:div w:id="257566655">
      <w:bodyDiv w:val="1"/>
      <w:marLeft w:val="0"/>
      <w:marRight w:val="0"/>
      <w:marTop w:val="0"/>
      <w:marBottom w:val="0"/>
      <w:divBdr>
        <w:top w:val="none" w:sz="0" w:space="0" w:color="auto"/>
        <w:left w:val="none" w:sz="0" w:space="0" w:color="auto"/>
        <w:bottom w:val="none" w:sz="0" w:space="0" w:color="auto"/>
        <w:right w:val="none" w:sz="0" w:space="0" w:color="auto"/>
      </w:divBdr>
    </w:div>
    <w:div w:id="264731109">
      <w:bodyDiv w:val="1"/>
      <w:marLeft w:val="0"/>
      <w:marRight w:val="0"/>
      <w:marTop w:val="0"/>
      <w:marBottom w:val="0"/>
      <w:divBdr>
        <w:top w:val="none" w:sz="0" w:space="0" w:color="auto"/>
        <w:left w:val="none" w:sz="0" w:space="0" w:color="auto"/>
        <w:bottom w:val="none" w:sz="0" w:space="0" w:color="auto"/>
        <w:right w:val="none" w:sz="0" w:space="0" w:color="auto"/>
      </w:divBdr>
    </w:div>
    <w:div w:id="317274900">
      <w:bodyDiv w:val="1"/>
      <w:marLeft w:val="0"/>
      <w:marRight w:val="0"/>
      <w:marTop w:val="0"/>
      <w:marBottom w:val="0"/>
      <w:divBdr>
        <w:top w:val="none" w:sz="0" w:space="0" w:color="auto"/>
        <w:left w:val="none" w:sz="0" w:space="0" w:color="auto"/>
        <w:bottom w:val="none" w:sz="0" w:space="0" w:color="auto"/>
        <w:right w:val="none" w:sz="0" w:space="0" w:color="auto"/>
      </w:divBdr>
    </w:div>
    <w:div w:id="335116568">
      <w:bodyDiv w:val="1"/>
      <w:marLeft w:val="0"/>
      <w:marRight w:val="0"/>
      <w:marTop w:val="0"/>
      <w:marBottom w:val="0"/>
      <w:divBdr>
        <w:top w:val="none" w:sz="0" w:space="0" w:color="auto"/>
        <w:left w:val="none" w:sz="0" w:space="0" w:color="auto"/>
        <w:bottom w:val="none" w:sz="0" w:space="0" w:color="auto"/>
        <w:right w:val="none" w:sz="0" w:space="0" w:color="auto"/>
      </w:divBdr>
    </w:div>
    <w:div w:id="345447885">
      <w:bodyDiv w:val="1"/>
      <w:marLeft w:val="0"/>
      <w:marRight w:val="0"/>
      <w:marTop w:val="0"/>
      <w:marBottom w:val="0"/>
      <w:divBdr>
        <w:top w:val="none" w:sz="0" w:space="0" w:color="auto"/>
        <w:left w:val="none" w:sz="0" w:space="0" w:color="auto"/>
        <w:bottom w:val="none" w:sz="0" w:space="0" w:color="auto"/>
        <w:right w:val="none" w:sz="0" w:space="0" w:color="auto"/>
      </w:divBdr>
    </w:div>
    <w:div w:id="361248295">
      <w:bodyDiv w:val="1"/>
      <w:marLeft w:val="0"/>
      <w:marRight w:val="0"/>
      <w:marTop w:val="0"/>
      <w:marBottom w:val="0"/>
      <w:divBdr>
        <w:top w:val="none" w:sz="0" w:space="0" w:color="auto"/>
        <w:left w:val="none" w:sz="0" w:space="0" w:color="auto"/>
        <w:bottom w:val="none" w:sz="0" w:space="0" w:color="auto"/>
        <w:right w:val="none" w:sz="0" w:space="0" w:color="auto"/>
      </w:divBdr>
    </w:div>
    <w:div w:id="371852086">
      <w:bodyDiv w:val="1"/>
      <w:marLeft w:val="0"/>
      <w:marRight w:val="0"/>
      <w:marTop w:val="0"/>
      <w:marBottom w:val="0"/>
      <w:divBdr>
        <w:top w:val="none" w:sz="0" w:space="0" w:color="auto"/>
        <w:left w:val="none" w:sz="0" w:space="0" w:color="auto"/>
        <w:bottom w:val="none" w:sz="0" w:space="0" w:color="auto"/>
        <w:right w:val="none" w:sz="0" w:space="0" w:color="auto"/>
      </w:divBdr>
    </w:div>
    <w:div w:id="412363426">
      <w:bodyDiv w:val="1"/>
      <w:marLeft w:val="0"/>
      <w:marRight w:val="0"/>
      <w:marTop w:val="0"/>
      <w:marBottom w:val="0"/>
      <w:divBdr>
        <w:top w:val="none" w:sz="0" w:space="0" w:color="auto"/>
        <w:left w:val="none" w:sz="0" w:space="0" w:color="auto"/>
        <w:bottom w:val="none" w:sz="0" w:space="0" w:color="auto"/>
        <w:right w:val="none" w:sz="0" w:space="0" w:color="auto"/>
      </w:divBdr>
    </w:div>
    <w:div w:id="417216706">
      <w:bodyDiv w:val="1"/>
      <w:marLeft w:val="0"/>
      <w:marRight w:val="0"/>
      <w:marTop w:val="0"/>
      <w:marBottom w:val="0"/>
      <w:divBdr>
        <w:top w:val="none" w:sz="0" w:space="0" w:color="auto"/>
        <w:left w:val="none" w:sz="0" w:space="0" w:color="auto"/>
        <w:bottom w:val="none" w:sz="0" w:space="0" w:color="auto"/>
        <w:right w:val="none" w:sz="0" w:space="0" w:color="auto"/>
      </w:divBdr>
    </w:div>
    <w:div w:id="421679317">
      <w:bodyDiv w:val="1"/>
      <w:marLeft w:val="0"/>
      <w:marRight w:val="0"/>
      <w:marTop w:val="0"/>
      <w:marBottom w:val="0"/>
      <w:divBdr>
        <w:top w:val="none" w:sz="0" w:space="0" w:color="auto"/>
        <w:left w:val="none" w:sz="0" w:space="0" w:color="auto"/>
        <w:bottom w:val="none" w:sz="0" w:space="0" w:color="auto"/>
        <w:right w:val="none" w:sz="0" w:space="0" w:color="auto"/>
      </w:divBdr>
    </w:div>
    <w:div w:id="422262613">
      <w:bodyDiv w:val="1"/>
      <w:marLeft w:val="0"/>
      <w:marRight w:val="0"/>
      <w:marTop w:val="0"/>
      <w:marBottom w:val="0"/>
      <w:divBdr>
        <w:top w:val="none" w:sz="0" w:space="0" w:color="auto"/>
        <w:left w:val="none" w:sz="0" w:space="0" w:color="auto"/>
        <w:bottom w:val="none" w:sz="0" w:space="0" w:color="auto"/>
        <w:right w:val="none" w:sz="0" w:space="0" w:color="auto"/>
      </w:divBdr>
    </w:div>
    <w:div w:id="437914061">
      <w:bodyDiv w:val="1"/>
      <w:marLeft w:val="0"/>
      <w:marRight w:val="0"/>
      <w:marTop w:val="0"/>
      <w:marBottom w:val="0"/>
      <w:divBdr>
        <w:top w:val="none" w:sz="0" w:space="0" w:color="auto"/>
        <w:left w:val="none" w:sz="0" w:space="0" w:color="auto"/>
        <w:bottom w:val="none" w:sz="0" w:space="0" w:color="auto"/>
        <w:right w:val="none" w:sz="0" w:space="0" w:color="auto"/>
      </w:divBdr>
    </w:div>
    <w:div w:id="453525876">
      <w:bodyDiv w:val="1"/>
      <w:marLeft w:val="0"/>
      <w:marRight w:val="0"/>
      <w:marTop w:val="0"/>
      <w:marBottom w:val="0"/>
      <w:divBdr>
        <w:top w:val="none" w:sz="0" w:space="0" w:color="auto"/>
        <w:left w:val="none" w:sz="0" w:space="0" w:color="auto"/>
        <w:bottom w:val="none" w:sz="0" w:space="0" w:color="auto"/>
        <w:right w:val="none" w:sz="0" w:space="0" w:color="auto"/>
      </w:divBdr>
    </w:div>
    <w:div w:id="466625563">
      <w:bodyDiv w:val="1"/>
      <w:marLeft w:val="0"/>
      <w:marRight w:val="0"/>
      <w:marTop w:val="0"/>
      <w:marBottom w:val="0"/>
      <w:divBdr>
        <w:top w:val="none" w:sz="0" w:space="0" w:color="auto"/>
        <w:left w:val="none" w:sz="0" w:space="0" w:color="auto"/>
        <w:bottom w:val="none" w:sz="0" w:space="0" w:color="auto"/>
        <w:right w:val="none" w:sz="0" w:space="0" w:color="auto"/>
      </w:divBdr>
    </w:div>
    <w:div w:id="512644961">
      <w:bodyDiv w:val="1"/>
      <w:marLeft w:val="0"/>
      <w:marRight w:val="0"/>
      <w:marTop w:val="0"/>
      <w:marBottom w:val="0"/>
      <w:divBdr>
        <w:top w:val="none" w:sz="0" w:space="0" w:color="auto"/>
        <w:left w:val="none" w:sz="0" w:space="0" w:color="auto"/>
        <w:bottom w:val="none" w:sz="0" w:space="0" w:color="auto"/>
        <w:right w:val="none" w:sz="0" w:space="0" w:color="auto"/>
      </w:divBdr>
      <w:divsChild>
        <w:div w:id="1559895506">
          <w:marLeft w:val="640"/>
          <w:marRight w:val="0"/>
          <w:marTop w:val="0"/>
          <w:marBottom w:val="0"/>
          <w:divBdr>
            <w:top w:val="none" w:sz="0" w:space="0" w:color="auto"/>
            <w:left w:val="none" w:sz="0" w:space="0" w:color="auto"/>
            <w:bottom w:val="none" w:sz="0" w:space="0" w:color="auto"/>
            <w:right w:val="none" w:sz="0" w:space="0" w:color="auto"/>
          </w:divBdr>
        </w:div>
        <w:div w:id="8528568">
          <w:marLeft w:val="640"/>
          <w:marRight w:val="0"/>
          <w:marTop w:val="0"/>
          <w:marBottom w:val="0"/>
          <w:divBdr>
            <w:top w:val="none" w:sz="0" w:space="0" w:color="auto"/>
            <w:left w:val="none" w:sz="0" w:space="0" w:color="auto"/>
            <w:bottom w:val="none" w:sz="0" w:space="0" w:color="auto"/>
            <w:right w:val="none" w:sz="0" w:space="0" w:color="auto"/>
          </w:divBdr>
        </w:div>
        <w:div w:id="306015923">
          <w:marLeft w:val="640"/>
          <w:marRight w:val="0"/>
          <w:marTop w:val="0"/>
          <w:marBottom w:val="0"/>
          <w:divBdr>
            <w:top w:val="none" w:sz="0" w:space="0" w:color="auto"/>
            <w:left w:val="none" w:sz="0" w:space="0" w:color="auto"/>
            <w:bottom w:val="none" w:sz="0" w:space="0" w:color="auto"/>
            <w:right w:val="none" w:sz="0" w:space="0" w:color="auto"/>
          </w:divBdr>
        </w:div>
        <w:div w:id="37121859">
          <w:marLeft w:val="640"/>
          <w:marRight w:val="0"/>
          <w:marTop w:val="0"/>
          <w:marBottom w:val="0"/>
          <w:divBdr>
            <w:top w:val="none" w:sz="0" w:space="0" w:color="auto"/>
            <w:left w:val="none" w:sz="0" w:space="0" w:color="auto"/>
            <w:bottom w:val="none" w:sz="0" w:space="0" w:color="auto"/>
            <w:right w:val="none" w:sz="0" w:space="0" w:color="auto"/>
          </w:divBdr>
        </w:div>
        <w:div w:id="21135018">
          <w:marLeft w:val="640"/>
          <w:marRight w:val="0"/>
          <w:marTop w:val="0"/>
          <w:marBottom w:val="0"/>
          <w:divBdr>
            <w:top w:val="none" w:sz="0" w:space="0" w:color="auto"/>
            <w:left w:val="none" w:sz="0" w:space="0" w:color="auto"/>
            <w:bottom w:val="none" w:sz="0" w:space="0" w:color="auto"/>
            <w:right w:val="none" w:sz="0" w:space="0" w:color="auto"/>
          </w:divBdr>
        </w:div>
        <w:div w:id="1851870561">
          <w:marLeft w:val="640"/>
          <w:marRight w:val="0"/>
          <w:marTop w:val="0"/>
          <w:marBottom w:val="0"/>
          <w:divBdr>
            <w:top w:val="none" w:sz="0" w:space="0" w:color="auto"/>
            <w:left w:val="none" w:sz="0" w:space="0" w:color="auto"/>
            <w:bottom w:val="none" w:sz="0" w:space="0" w:color="auto"/>
            <w:right w:val="none" w:sz="0" w:space="0" w:color="auto"/>
          </w:divBdr>
        </w:div>
        <w:div w:id="329136449">
          <w:marLeft w:val="640"/>
          <w:marRight w:val="0"/>
          <w:marTop w:val="0"/>
          <w:marBottom w:val="0"/>
          <w:divBdr>
            <w:top w:val="none" w:sz="0" w:space="0" w:color="auto"/>
            <w:left w:val="none" w:sz="0" w:space="0" w:color="auto"/>
            <w:bottom w:val="none" w:sz="0" w:space="0" w:color="auto"/>
            <w:right w:val="none" w:sz="0" w:space="0" w:color="auto"/>
          </w:divBdr>
        </w:div>
        <w:div w:id="59447198">
          <w:marLeft w:val="640"/>
          <w:marRight w:val="0"/>
          <w:marTop w:val="0"/>
          <w:marBottom w:val="0"/>
          <w:divBdr>
            <w:top w:val="none" w:sz="0" w:space="0" w:color="auto"/>
            <w:left w:val="none" w:sz="0" w:space="0" w:color="auto"/>
            <w:bottom w:val="none" w:sz="0" w:space="0" w:color="auto"/>
            <w:right w:val="none" w:sz="0" w:space="0" w:color="auto"/>
          </w:divBdr>
        </w:div>
        <w:div w:id="368652969">
          <w:marLeft w:val="640"/>
          <w:marRight w:val="0"/>
          <w:marTop w:val="0"/>
          <w:marBottom w:val="0"/>
          <w:divBdr>
            <w:top w:val="none" w:sz="0" w:space="0" w:color="auto"/>
            <w:left w:val="none" w:sz="0" w:space="0" w:color="auto"/>
            <w:bottom w:val="none" w:sz="0" w:space="0" w:color="auto"/>
            <w:right w:val="none" w:sz="0" w:space="0" w:color="auto"/>
          </w:divBdr>
        </w:div>
        <w:div w:id="461731630">
          <w:marLeft w:val="640"/>
          <w:marRight w:val="0"/>
          <w:marTop w:val="0"/>
          <w:marBottom w:val="0"/>
          <w:divBdr>
            <w:top w:val="none" w:sz="0" w:space="0" w:color="auto"/>
            <w:left w:val="none" w:sz="0" w:space="0" w:color="auto"/>
            <w:bottom w:val="none" w:sz="0" w:space="0" w:color="auto"/>
            <w:right w:val="none" w:sz="0" w:space="0" w:color="auto"/>
          </w:divBdr>
        </w:div>
        <w:div w:id="1061976558">
          <w:marLeft w:val="640"/>
          <w:marRight w:val="0"/>
          <w:marTop w:val="0"/>
          <w:marBottom w:val="0"/>
          <w:divBdr>
            <w:top w:val="none" w:sz="0" w:space="0" w:color="auto"/>
            <w:left w:val="none" w:sz="0" w:space="0" w:color="auto"/>
            <w:bottom w:val="none" w:sz="0" w:space="0" w:color="auto"/>
            <w:right w:val="none" w:sz="0" w:space="0" w:color="auto"/>
          </w:divBdr>
        </w:div>
        <w:div w:id="1393892691">
          <w:marLeft w:val="640"/>
          <w:marRight w:val="0"/>
          <w:marTop w:val="0"/>
          <w:marBottom w:val="0"/>
          <w:divBdr>
            <w:top w:val="none" w:sz="0" w:space="0" w:color="auto"/>
            <w:left w:val="none" w:sz="0" w:space="0" w:color="auto"/>
            <w:bottom w:val="none" w:sz="0" w:space="0" w:color="auto"/>
            <w:right w:val="none" w:sz="0" w:space="0" w:color="auto"/>
          </w:divBdr>
        </w:div>
        <w:div w:id="219486691">
          <w:marLeft w:val="640"/>
          <w:marRight w:val="0"/>
          <w:marTop w:val="0"/>
          <w:marBottom w:val="0"/>
          <w:divBdr>
            <w:top w:val="none" w:sz="0" w:space="0" w:color="auto"/>
            <w:left w:val="none" w:sz="0" w:space="0" w:color="auto"/>
            <w:bottom w:val="none" w:sz="0" w:space="0" w:color="auto"/>
            <w:right w:val="none" w:sz="0" w:space="0" w:color="auto"/>
          </w:divBdr>
        </w:div>
        <w:div w:id="416635964">
          <w:marLeft w:val="640"/>
          <w:marRight w:val="0"/>
          <w:marTop w:val="0"/>
          <w:marBottom w:val="0"/>
          <w:divBdr>
            <w:top w:val="none" w:sz="0" w:space="0" w:color="auto"/>
            <w:left w:val="none" w:sz="0" w:space="0" w:color="auto"/>
            <w:bottom w:val="none" w:sz="0" w:space="0" w:color="auto"/>
            <w:right w:val="none" w:sz="0" w:space="0" w:color="auto"/>
          </w:divBdr>
        </w:div>
        <w:div w:id="2084445672">
          <w:marLeft w:val="640"/>
          <w:marRight w:val="0"/>
          <w:marTop w:val="0"/>
          <w:marBottom w:val="0"/>
          <w:divBdr>
            <w:top w:val="none" w:sz="0" w:space="0" w:color="auto"/>
            <w:left w:val="none" w:sz="0" w:space="0" w:color="auto"/>
            <w:bottom w:val="none" w:sz="0" w:space="0" w:color="auto"/>
            <w:right w:val="none" w:sz="0" w:space="0" w:color="auto"/>
          </w:divBdr>
        </w:div>
        <w:div w:id="1821771101">
          <w:marLeft w:val="640"/>
          <w:marRight w:val="0"/>
          <w:marTop w:val="0"/>
          <w:marBottom w:val="0"/>
          <w:divBdr>
            <w:top w:val="none" w:sz="0" w:space="0" w:color="auto"/>
            <w:left w:val="none" w:sz="0" w:space="0" w:color="auto"/>
            <w:bottom w:val="none" w:sz="0" w:space="0" w:color="auto"/>
            <w:right w:val="none" w:sz="0" w:space="0" w:color="auto"/>
          </w:divBdr>
        </w:div>
        <w:div w:id="1169099091">
          <w:marLeft w:val="640"/>
          <w:marRight w:val="0"/>
          <w:marTop w:val="0"/>
          <w:marBottom w:val="0"/>
          <w:divBdr>
            <w:top w:val="none" w:sz="0" w:space="0" w:color="auto"/>
            <w:left w:val="none" w:sz="0" w:space="0" w:color="auto"/>
            <w:bottom w:val="none" w:sz="0" w:space="0" w:color="auto"/>
            <w:right w:val="none" w:sz="0" w:space="0" w:color="auto"/>
          </w:divBdr>
        </w:div>
        <w:div w:id="1104964088">
          <w:marLeft w:val="640"/>
          <w:marRight w:val="0"/>
          <w:marTop w:val="0"/>
          <w:marBottom w:val="0"/>
          <w:divBdr>
            <w:top w:val="none" w:sz="0" w:space="0" w:color="auto"/>
            <w:left w:val="none" w:sz="0" w:space="0" w:color="auto"/>
            <w:bottom w:val="none" w:sz="0" w:space="0" w:color="auto"/>
            <w:right w:val="none" w:sz="0" w:space="0" w:color="auto"/>
          </w:divBdr>
        </w:div>
        <w:div w:id="1850485818">
          <w:marLeft w:val="640"/>
          <w:marRight w:val="0"/>
          <w:marTop w:val="0"/>
          <w:marBottom w:val="0"/>
          <w:divBdr>
            <w:top w:val="none" w:sz="0" w:space="0" w:color="auto"/>
            <w:left w:val="none" w:sz="0" w:space="0" w:color="auto"/>
            <w:bottom w:val="none" w:sz="0" w:space="0" w:color="auto"/>
            <w:right w:val="none" w:sz="0" w:space="0" w:color="auto"/>
          </w:divBdr>
        </w:div>
        <w:div w:id="810905410">
          <w:marLeft w:val="640"/>
          <w:marRight w:val="0"/>
          <w:marTop w:val="0"/>
          <w:marBottom w:val="0"/>
          <w:divBdr>
            <w:top w:val="none" w:sz="0" w:space="0" w:color="auto"/>
            <w:left w:val="none" w:sz="0" w:space="0" w:color="auto"/>
            <w:bottom w:val="none" w:sz="0" w:space="0" w:color="auto"/>
            <w:right w:val="none" w:sz="0" w:space="0" w:color="auto"/>
          </w:divBdr>
        </w:div>
        <w:div w:id="1797600988">
          <w:marLeft w:val="640"/>
          <w:marRight w:val="0"/>
          <w:marTop w:val="0"/>
          <w:marBottom w:val="0"/>
          <w:divBdr>
            <w:top w:val="none" w:sz="0" w:space="0" w:color="auto"/>
            <w:left w:val="none" w:sz="0" w:space="0" w:color="auto"/>
            <w:bottom w:val="none" w:sz="0" w:space="0" w:color="auto"/>
            <w:right w:val="none" w:sz="0" w:space="0" w:color="auto"/>
          </w:divBdr>
        </w:div>
        <w:div w:id="494809199">
          <w:marLeft w:val="640"/>
          <w:marRight w:val="0"/>
          <w:marTop w:val="0"/>
          <w:marBottom w:val="0"/>
          <w:divBdr>
            <w:top w:val="none" w:sz="0" w:space="0" w:color="auto"/>
            <w:left w:val="none" w:sz="0" w:space="0" w:color="auto"/>
            <w:bottom w:val="none" w:sz="0" w:space="0" w:color="auto"/>
            <w:right w:val="none" w:sz="0" w:space="0" w:color="auto"/>
          </w:divBdr>
        </w:div>
        <w:div w:id="429542517">
          <w:marLeft w:val="640"/>
          <w:marRight w:val="0"/>
          <w:marTop w:val="0"/>
          <w:marBottom w:val="0"/>
          <w:divBdr>
            <w:top w:val="none" w:sz="0" w:space="0" w:color="auto"/>
            <w:left w:val="none" w:sz="0" w:space="0" w:color="auto"/>
            <w:bottom w:val="none" w:sz="0" w:space="0" w:color="auto"/>
            <w:right w:val="none" w:sz="0" w:space="0" w:color="auto"/>
          </w:divBdr>
        </w:div>
        <w:div w:id="1208107936">
          <w:marLeft w:val="640"/>
          <w:marRight w:val="0"/>
          <w:marTop w:val="0"/>
          <w:marBottom w:val="0"/>
          <w:divBdr>
            <w:top w:val="none" w:sz="0" w:space="0" w:color="auto"/>
            <w:left w:val="none" w:sz="0" w:space="0" w:color="auto"/>
            <w:bottom w:val="none" w:sz="0" w:space="0" w:color="auto"/>
            <w:right w:val="none" w:sz="0" w:space="0" w:color="auto"/>
          </w:divBdr>
        </w:div>
        <w:div w:id="1799638274">
          <w:marLeft w:val="640"/>
          <w:marRight w:val="0"/>
          <w:marTop w:val="0"/>
          <w:marBottom w:val="0"/>
          <w:divBdr>
            <w:top w:val="none" w:sz="0" w:space="0" w:color="auto"/>
            <w:left w:val="none" w:sz="0" w:space="0" w:color="auto"/>
            <w:bottom w:val="none" w:sz="0" w:space="0" w:color="auto"/>
            <w:right w:val="none" w:sz="0" w:space="0" w:color="auto"/>
          </w:divBdr>
        </w:div>
        <w:div w:id="1449006026">
          <w:marLeft w:val="640"/>
          <w:marRight w:val="0"/>
          <w:marTop w:val="0"/>
          <w:marBottom w:val="0"/>
          <w:divBdr>
            <w:top w:val="none" w:sz="0" w:space="0" w:color="auto"/>
            <w:left w:val="none" w:sz="0" w:space="0" w:color="auto"/>
            <w:bottom w:val="none" w:sz="0" w:space="0" w:color="auto"/>
            <w:right w:val="none" w:sz="0" w:space="0" w:color="auto"/>
          </w:divBdr>
        </w:div>
        <w:div w:id="1033773722">
          <w:marLeft w:val="640"/>
          <w:marRight w:val="0"/>
          <w:marTop w:val="0"/>
          <w:marBottom w:val="0"/>
          <w:divBdr>
            <w:top w:val="none" w:sz="0" w:space="0" w:color="auto"/>
            <w:left w:val="none" w:sz="0" w:space="0" w:color="auto"/>
            <w:bottom w:val="none" w:sz="0" w:space="0" w:color="auto"/>
            <w:right w:val="none" w:sz="0" w:space="0" w:color="auto"/>
          </w:divBdr>
        </w:div>
        <w:div w:id="2026592516">
          <w:marLeft w:val="640"/>
          <w:marRight w:val="0"/>
          <w:marTop w:val="0"/>
          <w:marBottom w:val="0"/>
          <w:divBdr>
            <w:top w:val="none" w:sz="0" w:space="0" w:color="auto"/>
            <w:left w:val="none" w:sz="0" w:space="0" w:color="auto"/>
            <w:bottom w:val="none" w:sz="0" w:space="0" w:color="auto"/>
            <w:right w:val="none" w:sz="0" w:space="0" w:color="auto"/>
          </w:divBdr>
        </w:div>
        <w:div w:id="109324673">
          <w:marLeft w:val="640"/>
          <w:marRight w:val="0"/>
          <w:marTop w:val="0"/>
          <w:marBottom w:val="0"/>
          <w:divBdr>
            <w:top w:val="none" w:sz="0" w:space="0" w:color="auto"/>
            <w:left w:val="none" w:sz="0" w:space="0" w:color="auto"/>
            <w:bottom w:val="none" w:sz="0" w:space="0" w:color="auto"/>
            <w:right w:val="none" w:sz="0" w:space="0" w:color="auto"/>
          </w:divBdr>
        </w:div>
        <w:div w:id="1358310847">
          <w:marLeft w:val="640"/>
          <w:marRight w:val="0"/>
          <w:marTop w:val="0"/>
          <w:marBottom w:val="0"/>
          <w:divBdr>
            <w:top w:val="none" w:sz="0" w:space="0" w:color="auto"/>
            <w:left w:val="none" w:sz="0" w:space="0" w:color="auto"/>
            <w:bottom w:val="none" w:sz="0" w:space="0" w:color="auto"/>
            <w:right w:val="none" w:sz="0" w:space="0" w:color="auto"/>
          </w:divBdr>
        </w:div>
        <w:div w:id="2081440678">
          <w:marLeft w:val="640"/>
          <w:marRight w:val="0"/>
          <w:marTop w:val="0"/>
          <w:marBottom w:val="0"/>
          <w:divBdr>
            <w:top w:val="none" w:sz="0" w:space="0" w:color="auto"/>
            <w:left w:val="none" w:sz="0" w:space="0" w:color="auto"/>
            <w:bottom w:val="none" w:sz="0" w:space="0" w:color="auto"/>
            <w:right w:val="none" w:sz="0" w:space="0" w:color="auto"/>
          </w:divBdr>
        </w:div>
        <w:div w:id="1384282395">
          <w:marLeft w:val="640"/>
          <w:marRight w:val="0"/>
          <w:marTop w:val="0"/>
          <w:marBottom w:val="0"/>
          <w:divBdr>
            <w:top w:val="none" w:sz="0" w:space="0" w:color="auto"/>
            <w:left w:val="none" w:sz="0" w:space="0" w:color="auto"/>
            <w:bottom w:val="none" w:sz="0" w:space="0" w:color="auto"/>
            <w:right w:val="none" w:sz="0" w:space="0" w:color="auto"/>
          </w:divBdr>
        </w:div>
        <w:div w:id="584532030">
          <w:marLeft w:val="640"/>
          <w:marRight w:val="0"/>
          <w:marTop w:val="0"/>
          <w:marBottom w:val="0"/>
          <w:divBdr>
            <w:top w:val="none" w:sz="0" w:space="0" w:color="auto"/>
            <w:left w:val="none" w:sz="0" w:space="0" w:color="auto"/>
            <w:bottom w:val="none" w:sz="0" w:space="0" w:color="auto"/>
            <w:right w:val="none" w:sz="0" w:space="0" w:color="auto"/>
          </w:divBdr>
        </w:div>
        <w:div w:id="727454314">
          <w:marLeft w:val="640"/>
          <w:marRight w:val="0"/>
          <w:marTop w:val="0"/>
          <w:marBottom w:val="0"/>
          <w:divBdr>
            <w:top w:val="none" w:sz="0" w:space="0" w:color="auto"/>
            <w:left w:val="none" w:sz="0" w:space="0" w:color="auto"/>
            <w:bottom w:val="none" w:sz="0" w:space="0" w:color="auto"/>
            <w:right w:val="none" w:sz="0" w:space="0" w:color="auto"/>
          </w:divBdr>
        </w:div>
        <w:div w:id="2027514722">
          <w:marLeft w:val="640"/>
          <w:marRight w:val="0"/>
          <w:marTop w:val="0"/>
          <w:marBottom w:val="0"/>
          <w:divBdr>
            <w:top w:val="none" w:sz="0" w:space="0" w:color="auto"/>
            <w:left w:val="none" w:sz="0" w:space="0" w:color="auto"/>
            <w:bottom w:val="none" w:sz="0" w:space="0" w:color="auto"/>
            <w:right w:val="none" w:sz="0" w:space="0" w:color="auto"/>
          </w:divBdr>
        </w:div>
        <w:div w:id="711152129">
          <w:marLeft w:val="640"/>
          <w:marRight w:val="0"/>
          <w:marTop w:val="0"/>
          <w:marBottom w:val="0"/>
          <w:divBdr>
            <w:top w:val="none" w:sz="0" w:space="0" w:color="auto"/>
            <w:left w:val="none" w:sz="0" w:space="0" w:color="auto"/>
            <w:bottom w:val="none" w:sz="0" w:space="0" w:color="auto"/>
            <w:right w:val="none" w:sz="0" w:space="0" w:color="auto"/>
          </w:divBdr>
        </w:div>
        <w:div w:id="179786421">
          <w:marLeft w:val="640"/>
          <w:marRight w:val="0"/>
          <w:marTop w:val="0"/>
          <w:marBottom w:val="0"/>
          <w:divBdr>
            <w:top w:val="none" w:sz="0" w:space="0" w:color="auto"/>
            <w:left w:val="none" w:sz="0" w:space="0" w:color="auto"/>
            <w:bottom w:val="none" w:sz="0" w:space="0" w:color="auto"/>
            <w:right w:val="none" w:sz="0" w:space="0" w:color="auto"/>
          </w:divBdr>
        </w:div>
        <w:div w:id="137572588">
          <w:marLeft w:val="640"/>
          <w:marRight w:val="0"/>
          <w:marTop w:val="0"/>
          <w:marBottom w:val="0"/>
          <w:divBdr>
            <w:top w:val="none" w:sz="0" w:space="0" w:color="auto"/>
            <w:left w:val="none" w:sz="0" w:space="0" w:color="auto"/>
            <w:bottom w:val="none" w:sz="0" w:space="0" w:color="auto"/>
            <w:right w:val="none" w:sz="0" w:space="0" w:color="auto"/>
          </w:divBdr>
        </w:div>
        <w:div w:id="1389573228">
          <w:marLeft w:val="640"/>
          <w:marRight w:val="0"/>
          <w:marTop w:val="0"/>
          <w:marBottom w:val="0"/>
          <w:divBdr>
            <w:top w:val="none" w:sz="0" w:space="0" w:color="auto"/>
            <w:left w:val="none" w:sz="0" w:space="0" w:color="auto"/>
            <w:bottom w:val="none" w:sz="0" w:space="0" w:color="auto"/>
            <w:right w:val="none" w:sz="0" w:space="0" w:color="auto"/>
          </w:divBdr>
        </w:div>
        <w:div w:id="674579744">
          <w:marLeft w:val="640"/>
          <w:marRight w:val="0"/>
          <w:marTop w:val="0"/>
          <w:marBottom w:val="0"/>
          <w:divBdr>
            <w:top w:val="none" w:sz="0" w:space="0" w:color="auto"/>
            <w:left w:val="none" w:sz="0" w:space="0" w:color="auto"/>
            <w:bottom w:val="none" w:sz="0" w:space="0" w:color="auto"/>
            <w:right w:val="none" w:sz="0" w:space="0" w:color="auto"/>
          </w:divBdr>
        </w:div>
        <w:div w:id="1808355095">
          <w:marLeft w:val="640"/>
          <w:marRight w:val="0"/>
          <w:marTop w:val="0"/>
          <w:marBottom w:val="0"/>
          <w:divBdr>
            <w:top w:val="none" w:sz="0" w:space="0" w:color="auto"/>
            <w:left w:val="none" w:sz="0" w:space="0" w:color="auto"/>
            <w:bottom w:val="none" w:sz="0" w:space="0" w:color="auto"/>
            <w:right w:val="none" w:sz="0" w:space="0" w:color="auto"/>
          </w:divBdr>
        </w:div>
        <w:div w:id="1394044237">
          <w:marLeft w:val="640"/>
          <w:marRight w:val="0"/>
          <w:marTop w:val="0"/>
          <w:marBottom w:val="0"/>
          <w:divBdr>
            <w:top w:val="none" w:sz="0" w:space="0" w:color="auto"/>
            <w:left w:val="none" w:sz="0" w:space="0" w:color="auto"/>
            <w:bottom w:val="none" w:sz="0" w:space="0" w:color="auto"/>
            <w:right w:val="none" w:sz="0" w:space="0" w:color="auto"/>
          </w:divBdr>
        </w:div>
        <w:div w:id="1437942810">
          <w:marLeft w:val="640"/>
          <w:marRight w:val="0"/>
          <w:marTop w:val="0"/>
          <w:marBottom w:val="0"/>
          <w:divBdr>
            <w:top w:val="none" w:sz="0" w:space="0" w:color="auto"/>
            <w:left w:val="none" w:sz="0" w:space="0" w:color="auto"/>
            <w:bottom w:val="none" w:sz="0" w:space="0" w:color="auto"/>
            <w:right w:val="none" w:sz="0" w:space="0" w:color="auto"/>
          </w:divBdr>
        </w:div>
        <w:div w:id="778139607">
          <w:marLeft w:val="640"/>
          <w:marRight w:val="0"/>
          <w:marTop w:val="0"/>
          <w:marBottom w:val="0"/>
          <w:divBdr>
            <w:top w:val="none" w:sz="0" w:space="0" w:color="auto"/>
            <w:left w:val="none" w:sz="0" w:space="0" w:color="auto"/>
            <w:bottom w:val="none" w:sz="0" w:space="0" w:color="auto"/>
            <w:right w:val="none" w:sz="0" w:space="0" w:color="auto"/>
          </w:divBdr>
        </w:div>
        <w:div w:id="280647620">
          <w:marLeft w:val="640"/>
          <w:marRight w:val="0"/>
          <w:marTop w:val="0"/>
          <w:marBottom w:val="0"/>
          <w:divBdr>
            <w:top w:val="none" w:sz="0" w:space="0" w:color="auto"/>
            <w:left w:val="none" w:sz="0" w:space="0" w:color="auto"/>
            <w:bottom w:val="none" w:sz="0" w:space="0" w:color="auto"/>
            <w:right w:val="none" w:sz="0" w:space="0" w:color="auto"/>
          </w:divBdr>
        </w:div>
        <w:div w:id="319382647">
          <w:marLeft w:val="640"/>
          <w:marRight w:val="0"/>
          <w:marTop w:val="0"/>
          <w:marBottom w:val="0"/>
          <w:divBdr>
            <w:top w:val="none" w:sz="0" w:space="0" w:color="auto"/>
            <w:left w:val="none" w:sz="0" w:space="0" w:color="auto"/>
            <w:bottom w:val="none" w:sz="0" w:space="0" w:color="auto"/>
            <w:right w:val="none" w:sz="0" w:space="0" w:color="auto"/>
          </w:divBdr>
        </w:div>
        <w:div w:id="1590695770">
          <w:marLeft w:val="640"/>
          <w:marRight w:val="0"/>
          <w:marTop w:val="0"/>
          <w:marBottom w:val="0"/>
          <w:divBdr>
            <w:top w:val="none" w:sz="0" w:space="0" w:color="auto"/>
            <w:left w:val="none" w:sz="0" w:space="0" w:color="auto"/>
            <w:bottom w:val="none" w:sz="0" w:space="0" w:color="auto"/>
            <w:right w:val="none" w:sz="0" w:space="0" w:color="auto"/>
          </w:divBdr>
        </w:div>
        <w:div w:id="1670789584">
          <w:marLeft w:val="640"/>
          <w:marRight w:val="0"/>
          <w:marTop w:val="0"/>
          <w:marBottom w:val="0"/>
          <w:divBdr>
            <w:top w:val="none" w:sz="0" w:space="0" w:color="auto"/>
            <w:left w:val="none" w:sz="0" w:space="0" w:color="auto"/>
            <w:bottom w:val="none" w:sz="0" w:space="0" w:color="auto"/>
            <w:right w:val="none" w:sz="0" w:space="0" w:color="auto"/>
          </w:divBdr>
        </w:div>
        <w:div w:id="1938052809">
          <w:marLeft w:val="640"/>
          <w:marRight w:val="0"/>
          <w:marTop w:val="0"/>
          <w:marBottom w:val="0"/>
          <w:divBdr>
            <w:top w:val="none" w:sz="0" w:space="0" w:color="auto"/>
            <w:left w:val="none" w:sz="0" w:space="0" w:color="auto"/>
            <w:bottom w:val="none" w:sz="0" w:space="0" w:color="auto"/>
            <w:right w:val="none" w:sz="0" w:space="0" w:color="auto"/>
          </w:divBdr>
        </w:div>
        <w:div w:id="1989552148">
          <w:marLeft w:val="640"/>
          <w:marRight w:val="0"/>
          <w:marTop w:val="0"/>
          <w:marBottom w:val="0"/>
          <w:divBdr>
            <w:top w:val="none" w:sz="0" w:space="0" w:color="auto"/>
            <w:left w:val="none" w:sz="0" w:space="0" w:color="auto"/>
            <w:bottom w:val="none" w:sz="0" w:space="0" w:color="auto"/>
            <w:right w:val="none" w:sz="0" w:space="0" w:color="auto"/>
          </w:divBdr>
        </w:div>
        <w:div w:id="657734509">
          <w:marLeft w:val="640"/>
          <w:marRight w:val="0"/>
          <w:marTop w:val="0"/>
          <w:marBottom w:val="0"/>
          <w:divBdr>
            <w:top w:val="none" w:sz="0" w:space="0" w:color="auto"/>
            <w:left w:val="none" w:sz="0" w:space="0" w:color="auto"/>
            <w:bottom w:val="none" w:sz="0" w:space="0" w:color="auto"/>
            <w:right w:val="none" w:sz="0" w:space="0" w:color="auto"/>
          </w:divBdr>
        </w:div>
        <w:div w:id="1592658926">
          <w:marLeft w:val="640"/>
          <w:marRight w:val="0"/>
          <w:marTop w:val="0"/>
          <w:marBottom w:val="0"/>
          <w:divBdr>
            <w:top w:val="none" w:sz="0" w:space="0" w:color="auto"/>
            <w:left w:val="none" w:sz="0" w:space="0" w:color="auto"/>
            <w:bottom w:val="none" w:sz="0" w:space="0" w:color="auto"/>
            <w:right w:val="none" w:sz="0" w:space="0" w:color="auto"/>
          </w:divBdr>
        </w:div>
        <w:div w:id="1141314599">
          <w:marLeft w:val="640"/>
          <w:marRight w:val="0"/>
          <w:marTop w:val="0"/>
          <w:marBottom w:val="0"/>
          <w:divBdr>
            <w:top w:val="none" w:sz="0" w:space="0" w:color="auto"/>
            <w:left w:val="none" w:sz="0" w:space="0" w:color="auto"/>
            <w:bottom w:val="none" w:sz="0" w:space="0" w:color="auto"/>
            <w:right w:val="none" w:sz="0" w:space="0" w:color="auto"/>
          </w:divBdr>
        </w:div>
        <w:div w:id="985360497">
          <w:marLeft w:val="640"/>
          <w:marRight w:val="0"/>
          <w:marTop w:val="0"/>
          <w:marBottom w:val="0"/>
          <w:divBdr>
            <w:top w:val="none" w:sz="0" w:space="0" w:color="auto"/>
            <w:left w:val="none" w:sz="0" w:space="0" w:color="auto"/>
            <w:bottom w:val="none" w:sz="0" w:space="0" w:color="auto"/>
            <w:right w:val="none" w:sz="0" w:space="0" w:color="auto"/>
          </w:divBdr>
        </w:div>
        <w:div w:id="1562713921">
          <w:marLeft w:val="640"/>
          <w:marRight w:val="0"/>
          <w:marTop w:val="0"/>
          <w:marBottom w:val="0"/>
          <w:divBdr>
            <w:top w:val="none" w:sz="0" w:space="0" w:color="auto"/>
            <w:left w:val="none" w:sz="0" w:space="0" w:color="auto"/>
            <w:bottom w:val="none" w:sz="0" w:space="0" w:color="auto"/>
            <w:right w:val="none" w:sz="0" w:space="0" w:color="auto"/>
          </w:divBdr>
        </w:div>
        <w:div w:id="190804586">
          <w:marLeft w:val="640"/>
          <w:marRight w:val="0"/>
          <w:marTop w:val="0"/>
          <w:marBottom w:val="0"/>
          <w:divBdr>
            <w:top w:val="none" w:sz="0" w:space="0" w:color="auto"/>
            <w:left w:val="none" w:sz="0" w:space="0" w:color="auto"/>
            <w:bottom w:val="none" w:sz="0" w:space="0" w:color="auto"/>
            <w:right w:val="none" w:sz="0" w:space="0" w:color="auto"/>
          </w:divBdr>
        </w:div>
        <w:div w:id="63726992">
          <w:marLeft w:val="640"/>
          <w:marRight w:val="0"/>
          <w:marTop w:val="0"/>
          <w:marBottom w:val="0"/>
          <w:divBdr>
            <w:top w:val="none" w:sz="0" w:space="0" w:color="auto"/>
            <w:left w:val="none" w:sz="0" w:space="0" w:color="auto"/>
            <w:bottom w:val="none" w:sz="0" w:space="0" w:color="auto"/>
            <w:right w:val="none" w:sz="0" w:space="0" w:color="auto"/>
          </w:divBdr>
        </w:div>
        <w:div w:id="1546021722">
          <w:marLeft w:val="640"/>
          <w:marRight w:val="0"/>
          <w:marTop w:val="0"/>
          <w:marBottom w:val="0"/>
          <w:divBdr>
            <w:top w:val="none" w:sz="0" w:space="0" w:color="auto"/>
            <w:left w:val="none" w:sz="0" w:space="0" w:color="auto"/>
            <w:bottom w:val="none" w:sz="0" w:space="0" w:color="auto"/>
            <w:right w:val="none" w:sz="0" w:space="0" w:color="auto"/>
          </w:divBdr>
        </w:div>
        <w:div w:id="369185580">
          <w:marLeft w:val="640"/>
          <w:marRight w:val="0"/>
          <w:marTop w:val="0"/>
          <w:marBottom w:val="0"/>
          <w:divBdr>
            <w:top w:val="none" w:sz="0" w:space="0" w:color="auto"/>
            <w:left w:val="none" w:sz="0" w:space="0" w:color="auto"/>
            <w:bottom w:val="none" w:sz="0" w:space="0" w:color="auto"/>
            <w:right w:val="none" w:sz="0" w:space="0" w:color="auto"/>
          </w:divBdr>
        </w:div>
        <w:div w:id="1629164106">
          <w:marLeft w:val="640"/>
          <w:marRight w:val="0"/>
          <w:marTop w:val="0"/>
          <w:marBottom w:val="0"/>
          <w:divBdr>
            <w:top w:val="none" w:sz="0" w:space="0" w:color="auto"/>
            <w:left w:val="none" w:sz="0" w:space="0" w:color="auto"/>
            <w:bottom w:val="none" w:sz="0" w:space="0" w:color="auto"/>
            <w:right w:val="none" w:sz="0" w:space="0" w:color="auto"/>
          </w:divBdr>
        </w:div>
        <w:div w:id="1068188950">
          <w:marLeft w:val="640"/>
          <w:marRight w:val="0"/>
          <w:marTop w:val="0"/>
          <w:marBottom w:val="0"/>
          <w:divBdr>
            <w:top w:val="none" w:sz="0" w:space="0" w:color="auto"/>
            <w:left w:val="none" w:sz="0" w:space="0" w:color="auto"/>
            <w:bottom w:val="none" w:sz="0" w:space="0" w:color="auto"/>
            <w:right w:val="none" w:sz="0" w:space="0" w:color="auto"/>
          </w:divBdr>
        </w:div>
        <w:div w:id="2133357398">
          <w:marLeft w:val="640"/>
          <w:marRight w:val="0"/>
          <w:marTop w:val="0"/>
          <w:marBottom w:val="0"/>
          <w:divBdr>
            <w:top w:val="none" w:sz="0" w:space="0" w:color="auto"/>
            <w:left w:val="none" w:sz="0" w:space="0" w:color="auto"/>
            <w:bottom w:val="none" w:sz="0" w:space="0" w:color="auto"/>
            <w:right w:val="none" w:sz="0" w:space="0" w:color="auto"/>
          </w:divBdr>
        </w:div>
        <w:div w:id="1314989946">
          <w:marLeft w:val="640"/>
          <w:marRight w:val="0"/>
          <w:marTop w:val="0"/>
          <w:marBottom w:val="0"/>
          <w:divBdr>
            <w:top w:val="none" w:sz="0" w:space="0" w:color="auto"/>
            <w:left w:val="none" w:sz="0" w:space="0" w:color="auto"/>
            <w:bottom w:val="none" w:sz="0" w:space="0" w:color="auto"/>
            <w:right w:val="none" w:sz="0" w:space="0" w:color="auto"/>
          </w:divBdr>
        </w:div>
        <w:div w:id="25563547">
          <w:marLeft w:val="640"/>
          <w:marRight w:val="0"/>
          <w:marTop w:val="0"/>
          <w:marBottom w:val="0"/>
          <w:divBdr>
            <w:top w:val="none" w:sz="0" w:space="0" w:color="auto"/>
            <w:left w:val="none" w:sz="0" w:space="0" w:color="auto"/>
            <w:bottom w:val="none" w:sz="0" w:space="0" w:color="auto"/>
            <w:right w:val="none" w:sz="0" w:space="0" w:color="auto"/>
          </w:divBdr>
        </w:div>
        <w:div w:id="82800979">
          <w:marLeft w:val="640"/>
          <w:marRight w:val="0"/>
          <w:marTop w:val="0"/>
          <w:marBottom w:val="0"/>
          <w:divBdr>
            <w:top w:val="none" w:sz="0" w:space="0" w:color="auto"/>
            <w:left w:val="none" w:sz="0" w:space="0" w:color="auto"/>
            <w:bottom w:val="none" w:sz="0" w:space="0" w:color="auto"/>
            <w:right w:val="none" w:sz="0" w:space="0" w:color="auto"/>
          </w:divBdr>
        </w:div>
        <w:div w:id="449052910">
          <w:marLeft w:val="640"/>
          <w:marRight w:val="0"/>
          <w:marTop w:val="0"/>
          <w:marBottom w:val="0"/>
          <w:divBdr>
            <w:top w:val="none" w:sz="0" w:space="0" w:color="auto"/>
            <w:left w:val="none" w:sz="0" w:space="0" w:color="auto"/>
            <w:bottom w:val="none" w:sz="0" w:space="0" w:color="auto"/>
            <w:right w:val="none" w:sz="0" w:space="0" w:color="auto"/>
          </w:divBdr>
        </w:div>
        <w:div w:id="1080831170">
          <w:marLeft w:val="640"/>
          <w:marRight w:val="0"/>
          <w:marTop w:val="0"/>
          <w:marBottom w:val="0"/>
          <w:divBdr>
            <w:top w:val="none" w:sz="0" w:space="0" w:color="auto"/>
            <w:left w:val="none" w:sz="0" w:space="0" w:color="auto"/>
            <w:bottom w:val="none" w:sz="0" w:space="0" w:color="auto"/>
            <w:right w:val="none" w:sz="0" w:space="0" w:color="auto"/>
          </w:divBdr>
        </w:div>
        <w:div w:id="316299922">
          <w:marLeft w:val="640"/>
          <w:marRight w:val="0"/>
          <w:marTop w:val="0"/>
          <w:marBottom w:val="0"/>
          <w:divBdr>
            <w:top w:val="none" w:sz="0" w:space="0" w:color="auto"/>
            <w:left w:val="none" w:sz="0" w:space="0" w:color="auto"/>
            <w:bottom w:val="none" w:sz="0" w:space="0" w:color="auto"/>
            <w:right w:val="none" w:sz="0" w:space="0" w:color="auto"/>
          </w:divBdr>
        </w:div>
        <w:div w:id="1127898096">
          <w:marLeft w:val="640"/>
          <w:marRight w:val="0"/>
          <w:marTop w:val="0"/>
          <w:marBottom w:val="0"/>
          <w:divBdr>
            <w:top w:val="none" w:sz="0" w:space="0" w:color="auto"/>
            <w:left w:val="none" w:sz="0" w:space="0" w:color="auto"/>
            <w:bottom w:val="none" w:sz="0" w:space="0" w:color="auto"/>
            <w:right w:val="none" w:sz="0" w:space="0" w:color="auto"/>
          </w:divBdr>
        </w:div>
        <w:div w:id="844631210">
          <w:marLeft w:val="640"/>
          <w:marRight w:val="0"/>
          <w:marTop w:val="0"/>
          <w:marBottom w:val="0"/>
          <w:divBdr>
            <w:top w:val="none" w:sz="0" w:space="0" w:color="auto"/>
            <w:left w:val="none" w:sz="0" w:space="0" w:color="auto"/>
            <w:bottom w:val="none" w:sz="0" w:space="0" w:color="auto"/>
            <w:right w:val="none" w:sz="0" w:space="0" w:color="auto"/>
          </w:divBdr>
        </w:div>
        <w:div w:id="1838228924">
          <w:marLeft w:val="640"/>
          <w:marRight w:val="0"/>
          <w:marTop w:val="0"/>
          <w:marBottom w:val="0"/>
          <w:divBdr>
            <w:top w:val="none" w:sz="0" w:space="0" w:color="auto"/>
            <w:left w:val="none" w:sz="0" w:space="0" w:color="auto"/>
            <w:bottom w:val="none" w:sz="0" w:space="0" w:color="auto"/>
            <w:right w:val="none" w:sz="0" w:space="0" w:color="auto"/>
          </w:divBdr>
        </w:div>
        <w:div w:id="922225848">
          <w:marLeft w:val="640"/>
          <w:marRight w:val="0"/>
          <w:marTop w:val="0"/>
          <w:marBottom w:val="0"/>
          <w:divBdr>
            <w:top w:val="none" w:sz="0" w:space="0" w:color="auto"/>
            <w:left w:val="none" w:sz="0" w:space="0" w:color="auto"/>
            <w:bottom w:val="none" w:sz="0" w:space="0" w:color="auto"/>
            <w:right w:val="none" w:sz="0" w:space="0" w:color="auto"/>
          </w:divBdr>
        </w:div>
        <w:div w:id="178083037">
          <w:marLeft w:val="640"/>
          <w:marRight w:val="0"/>
          <w:marTop w:val="0"/>
          <w:marBottom w:val="0"/>
          <w:divBdr>
            <w:top w:val="none" w:sz="0" w:space="0" w:color="auto"/>
            <w:left w:val="none" w:sz="0" w:space="0" w:color="auto"/>
            <w:bottom w:val="none" w:sz="0" w:space="0" w:color="auto"/>
            <w:right w:val="none" w:sz="0" w:space="0" w:color="auto"/>
          </w:divBdr>
        </w:div>
        <w:div w:id="1045059182">
          <w:marLeft w:val="640"/>
          <w:marRight w:val="0"/>
          <w:marTop w:val="0"/>
          <w:marBottom w:val="0"/>
          <w:divBdr>
            <w:top w:val="none" w:sz="0" w:space="0" w:color="auto"/>
            <w:left w:val="none" w:sz="0" w:space="0" w:color="auto"/>
            <w:bottom w:val="none" w:sz="0" w:space="0" w:color="auto"/>
            <w:right w:val="none" w:sz="0" w:space="0" w:color="auto"/>
          </w:divBdr>
        </w:div>
        <w:div w:id="1811046138">
          <w:marLeft w:val="640"/>
          <w:marRight w:val="0"/>
          <w:marTop w:val="0"/>
          <w:marBottom w:val="0"/>
          <w:divBdr>
            <w:top w:val="none" w:sz="0" w:space="0" w:color="auto"/>
            <w:left w:val="none" w:sz="0" w:space="0" w:color="auto"/>
            <w:bottom w:val="none" w:sz="0" w:space="0" w:color="auto"/>
            <w:right w:val="none" w:sz="0" w:space="0" w:color="auto"/>
          </w:divBdr>
        </w:div>
        <w:div w:id="975376923">
          <w:marLeft w:val="640"/>
          <w:marRight w:val="0"/>
          <w:marTop w:val="0"/>
          <w:marBottom w:val="0"/>
          <w:divBdr>
            <w:top w:val="none" w:sz="0" w:space="0" w:color="auto"/>
            <w:left w:val="none" w:sz="0" w:space="0" w:color="auto"/>
            <w:bottom w:val="none" w:sz="0" w:space="0" w:color="auto"/>
            <w:right w:val="none" w:sz="0" w:space="0" w:color="auto"/>
          </w:divBdr>
        </w:div>
        <w:div w:id="697854614">
          <w:marLeft w:val="640"/>
          <w:marRight w:val="0"/>
          <w:marTop w:val="0"/>
          <w:marBottom w:val="0"/>
          <w:divBdr>
            <w:top w:val="none" w:sz="0" w:space="0" w:color="auto"/>
            <w:left w:val="none" w:sz="0" w:space="0" w:color="auto"/>
            <w:bottom w:val="none" w:sz="0" w:space="0" w:color="auto"/>
            <w:right w:val="none" w:sz="0" w:space="0" w:color="auto"/>
          </w:divBdr>
        </w:div>
        <w:div w:id="475537210">
          <w:marLeft w:val="640"/>
          <w:marRight w:val="0"/>
          <w:marTop w:val="0"/>
          <w:marBottom w:val="0"/>
          <w:divBdr>
            <w:top w:val="none" w:sz="0" w:space="0" w:color="auto"/>
            <w:left w:val="none" w:sz="0" w:space="0" w:color="auto"/>
            <w:bottom w:val="none" w:sz="0" w:space="0" w:color="auto"/>
            <w:right w:val="none" w:sz="0" w:space="0" w:color="auto"/>
          </w:divBdr>
        </w:div>
        <w:div w:id="289483508">
          <w:marLeft w:val="640"/>
          <w:marRight w:val="0"/>
          <w:marTop w:val="0"/>
          <w:marBottom w:val="0"/>
          <w:divBdr>
            <w:top w:val="none" w:sz="0" w:space="0" w:color="auto"/>
            <w:left w:val="none" w:sz="0" w:space="0" w:color="auto"/>
            <w:bottom w:val="none" w:sz="0" w:space="0" w:color="auto"/>
            <w:right w:val="none" w:sz="0" w:space="0" w:color="auto"/>
          </w:divBdr>
        </w:div>
        <w:div w:id="1706252407">
          <w:marLeft w:val="640"/>
          <w:marRight w:val="0"/>
          <w:marTop w:val="0"/>
          <w:marBottom w:val="0"/>
          <w:divBdr>
            <w:top w:val="none" w:sz="0" w:space="0" w:color="auto"/>
            <w:left w:val="none" w:sz="0" w:space="0" w:color="auto"/>
            <w:bottom w:val="none" w:sz="0" w:space="0" w:color="auto"/>
            <w:right w:val="none" w:sz="0" w:space="0" w:color="auto"/>
          </w:divBdr>
        </w:div>
        <w:div w:id="2018078013">
          <w:marLeft w:val="640"/>
          <w:marRight w:val="0"/>
          <w:marTop w:val="0"/>
          <w:marBottom w:val="0"/>
          <w:divBdr>
            <w:top w:val="none" w:sz="0" w:space="0" w:color="auto"/>
            <w:left w:val="none" w:sz="0" w:space="0" w:color="auto"/>
            <w:bottom w:val="none" w:sz="0" w:space="0" w:color="auto"/>
            <w:right w:val="none" w:sz="0" w:space="0" w:color="auto"/>
          </w:divBdr>
        </w:div>
        <w:div w:id="1895386740">
          <w:marLeft w:val="640"/>
          <w:marRight w:val="0"/>
          <w:marTop w:val="0"/>
          <w:marBottom w:val="0"/>
          <w:divBdr>
            <w:top w:val="none" w:sz="0" w:space="0" w:color="auto"/>
            <w:left w:val="none" w:sz="0" w:space="0" w:color="auto"/>
            <w:bottom w:val="none" w:sz="0" w:space="0" w:color="auto"/>
            <w:right w:val="none" w:sz="0" w:space="0" w:color="auto"/>
          </w:divBdr>
        </w:div>
        <w:div w:id="1226330416">
          <w:marLeft w:val="640"/>
          <w:marRight w:val="0"/>
          <w:marTop w:val="0"/>
          <w:marBottom w:val="0"/>
          <w:divBdr>
            <w:top w:val="none" w:sz="0" w:space="0" w:color="auto"/>
            <w:left w:val="none" w:sz="0" w:space="0" w:color="auto"/>
            <w:bottom w:val="none" w:sz="0" w:space="0" w:color="auto"/>
            <w:right w:val="none" w:sz="0" w:space="0" w:color="auto"/>
          </w:divBdr>
        </w:div>
        <w:div w:id="779226696">
          <w:marLeft w:val="640"/>
          <w:marRight w:val="0"/>
          <w:marTop w:val="0"/>
          <w:marBottom w:val="0"/>
          <w:divBdr>
            <w:top w:val="none" w:sz="0" w:space="0" w:color="auto"/>
            <w:left w:val="none" w:sz="0" w:space="0" w:color="auto"/>
            <w:bottom w:val="none" w:sz="0" w:space="0" w:color="auto"/>
            <w:right w:val="none" w:sz="0" w:space="0" w:color="auto"/>
          </w:divBdr>
        </w:div>
        <w:div w:id="1719667534">
          <w:marLeft w:val="640"/>
          <w:marRight w:val="0"/>
          <w:marTop w:val="0"/>
          <w:marBottom w:val="0"/>
          <w:divBdr>
            <w:top w:val="none" w:sz="0" w:space="0" w:color="auto"/>
            <w:left w:val="none" w:sz="0" w:space="0" w:color="auto"/>
            <w:bottom w:val="none" w:sz="0" w:space="0" w:color="auto"/>
            <w:right w:val="none" w:sz="0" w:space="0" w:color="auto"/>
          </w:divBdr>
        </w:div>
        <w:div w:id="1110006865">
          <w:marLeft w:val="640"/>
          <w:marRight w:val="0"/>
          <w:marTop w:val="0"/>
          <w:marBottom w:val="0"/>
          <w:divBdr>
            <w:top w:val="none" w:sz="0" w:space="0" w:color="auto"/>
            <w:left w:val="none" w:sz="0" w:space="0" w:color="auto"/>
            <w:bottom w:val="none" w:sz="0" w:space="0" w:color="auto"/>
            <w:right w:val="none" w:sz="0" w:space="0" w:color="auto"/>
          </w:divBdr>
        </w:div>
        <w:div w:id="559899278">
          <w:marLeft w:val="640"/>
          <w:marRight w:val="0"/>
          <w:marTop w:val="0"/>
          <w:marBottom w:val="0"/>
          <w:divBdr>
            <w:top w:val="none" w:sz="0" w:space="0" w:color="auto"/>
            <w:left w:val="none" w:sz="0" w:space="0" w:color="auto"/>
            <w:bottom w:val="none" w:sz="0" w:space="0" w:color="auto"/>
            <w:right w:val="none" w:sz="0" w:space="0" w:color="auto"/>
          </w:divBdr>
        </w:div>
        <w:div w:id="1948390650">
          <w:marLeft w:val="640"/>
          <w:marRight w:val="0"/>
          <w:marTop w:val="0"/>
          <w:marBottom w:val="0"/>
          <w:divBdr>
            <w:top w:val="none" w:sz="0" w:space="0" w:color="auto"/>
            <w:left w:val="none" w:sz="0" w:space="0" w:color="auto"/>
            <w:bottom w:val="none" w:sz="0" w:space="0" w:color="auto"/>
            <w:right w:val="none" w:sz="0" w:space="0" w:color="auto"/>
          </w:divBdr>
        </w:div>
        <w:div w:id="1173185431">
          <w:marLeft w:val="640"/>
          <w:marRight w:val="0"/>
          <w:marTop w:val="0"/>
          <w:marBottom w:val="0"/>
          <w:divBdr>
            <w:top w:val="none" w:sz="0" w:space="0" w:color="auto"/>
            <w:left w:val="none" w:sz="0" w:space="0" w:color="auto"/>
            <w:bottom w:val="none" w:sz="0" w:space="0" w:color="auto"/>
            <w:right w:val="none" w:sz="0" w:space="0" w:color="auto"/>
          </w:divBdr>
        </w:div>
        <w:div w:id="732659172">
          <w:marLeft w:val="640"/>
          <w:marRight w:val="0"/>
          <w:marTop w:val="0"/>
          <w:marBottom w:val="0"/>
          <w:divBdr>
            <w:top w:val="none" w:sz="0" w:space="0" w:color="auto"/>
            <w:left w:val="none" w:sz="0" w:space="0" w:color="auto"/>
            <w:bottom w:val="none" w:sz="0" w:space="0" w:color="auto"/>
            <w:right w:val="none" w:sz="0" w:space="0" w:color="auto"/>
          </w:divBdr>
        </w:div>
        <w:div w:id="802692486">
          <w:marLeft w:val="640"/>
          <w:marRight w:val="0"/>
          <w:marTop w:val="0"/>
          <w:marBottom w:val="0"/>
          <w:divBdr>
            <w:top w:val="none" w:sz="0" w:space="0" w:color="auto"/>
            <w:left w:val="none" w:sz="0" w:space="0" w:color="auto"/>
            <w:bottom w:val="none" w:sz="0" w:space="0" w:color="auto"/>
            <w:right w:val="none" w:sz="0" w:space="0" w:color="auto"/>
          </w:divBdr>
        </w:div>
        <w:div w:id="969289258">
          <w:marLeft w:val="640"/>
          <w:marRight w:val="0"/>
          <w:marTop w:val="0"/>
          <w:marBottom w:val="0"/>
          <w:divBdr>
            <w:top w:val="none" w:sz="0" w:space="0" w:color="auto"/>
            <w:left w:val="none" w:sz="0" w:space="0" w:color="auto"/>
            <w:bottom w:val="none" w:sz="0" w:space="0" w:color="auto"/>
            <w:right w:val="none" w:sz="0" w:space="0" w:color="auto"/>
          </w:divBdr>
        </w:div>
        <w:div w:id="564537528">
          <w:marLeft w:val="640"/>
          <w:marRight w:val="0"/>
          <w:marTop w:val="0"/>
          <w:marBottom w:val="0"/>
          <w:divBdr>
            <w:top w:val="none" w:sz="0" w:space="0" w:color="auto"/>
            <w:left w:val="none" w:sz="0" w:space="0" w:color="auto"/>
            <w:bottom w:val="none" w:sz="0" w:space="0" w:color="auto"/>
            <w:right w:val="none" w:sz="0" w:space="0" w:color="auto"/>
          </w:divBdr>
        </w:div>
        <w:div w:id="502861082">
          <w:marLeft w:val="640"/>
          <w:marRight w:val="0"/>
          <w:marTop w:val="0"/>
          <w:marBottom w:val="0"/>
          <w:divBdr>
            <w:top w:val="none" w:sz="0" w:space="0" w:color="auto"/>
            <w:left w:val="none" w:sz="0" w:space="0" w:color="auto"/>
            <w:bottom w:val="none" w:sz="0" w:space="0" w:color="auto"/>
            <w:right w:val="none" w:sz="0" w:space="0" w:color="auto"/>
          </w:divBdr>
        </w:div>
        <w:div w:id="724373753">
          <w:marLeft w:val="640"/>
          <w:marRight w:val="0"/>
          <w:marTop w:val="0"/>
          <w:marBottom w:val="0"/>
          <w:divBdr>
            <w:top w:val="none" w:sz="0" w:space="0" w:color="auto"/>
            <w:left w:val="none" w:sz="0" w:space="0" w:color="auto"/>
            <w:bottom w:val="none" w:sz="0" w:space="0" w:color="auto"/>
            <w:right w:val="none" w:sz="0" w:space="0" w:color="auto"/>
          </w:divBdr>
        </w:div>
        <w:div w:id="921834311">
          <w:marLeft w:val="640"/>
          <w:marRight w:val="0"/>
          <w:marTop w:val="0"/>
          <w:marBottom w:val="0"/>
          <w:divBdr>
            <w:top w:val="none" w:sz="0" w:space="0" w:color="auto"/>
            <w:left w:val="none" w:sz="0" w:space="0" w:color="auto"/>
            <w:bottom w:val="none" w:sz="0" w:space="0" w:color="auto"/>
            <w:right w:val="none" w:sz="0" w:space="0" w:color="auto"/>
          </w:divBdr>
        </w:div>
        <w:div w:id="117845346">
          <w:marLeft w:val="640"/>
          <w:marRight w:val="0"/>
          <w:marTop w:val="0"/>
          <w:marBottom w:val="0"/>
          <w:divBdr>
            <w:top w:val="none" w:sz="0" w:space="0" w:color="auto"/>
            <w:left w:val="none" w:sz="0" w:space="0" w:color="auto"/>
            <w:bottom w:val="none" w:sz="0" w:space="0" w:color="auto"/>
            <w:right w:val="none" w:sz="0" w:space="0" w:color="auto"/>
          </w:divBdr>
        </w:div>
        <w:div w:id="340351587">
          <w:marLeft w:val="640"/>
          <w:marRight w:val="0"/>
          <w:marTop w:val="0"/>
          <w:marBottom w:val="0"/>
          <w:divBdr>
            <w:top w:val="none" w:sz="0" w:space="0" w:color="auto"/>
            <w:left w:val="none" w:sz="0" w:space="0" w:color="auto"/>
            <w:bottom w:val="none" w:sz="0" w:space="0" w:color="auto"/>
            <w:right w:val="none" w:sz="0" w:space="0" w:color="auto"/>
          </w:divBdr>
        </w:div>
        <w:div w:id="791290117">
          <w:marLeft w:val="640"/>
          <w:marRight w:val="0"/>
          <w:marTop w:val="0"/>
          <w:marBottom w:val="0"/>
          <w:divBdr>
            <w:top w:val="none" w:sz="0" w:space="0" w:color="auto"/>
            <w:left w:val="none" w:sz="0" w:space="0" w:color="auto"/>
            <w:bottom w:val="none" w:sz="0" w:space="0" w:color="auto"/>
            <w:right w:val="none" w:sz="0" w:space="0" w:color="auto"/>
          </w:divBdr>
        </w:div>
        <w:div w:id="1381324641">
          <w:marLeft w:val="640"/>
          <w:marRight w:val="0"/>
          <w:marTop w:val="0"/>
          <w:marBottom w:val="0"/>
          <w:divBdr>
            <w:top w:val="none" w:sz="0" w:space="0" w:color="auto"/>
            <w:left w:val="none" w:sz="0" w:space="0" w:color="auto"/>
            <w:bottom w:val="none" w:sz="0" w:space="0" w:color="auto"/>
            <w:right w:val="none" w:sz="0" w:space="0" w:color="auto"/>
          </w:divBdr>
        </w:div>
        <w:div w:id="1427581779">
          <w:marLeft w:val="640"/>
          <w:marRight w:val="0"/>
          <w:marTop w:val="0"/>
          <w:marBottom w:val="0"/>
          <w:divBdr>
            <w:top w:val="none" w:sz="0" w:space="0" w:color="auto"/>
            <w:left w:val="none" w:sz="0" w:space="0" w:color="auto"/>
            <w:bottom w:val="none" w:sz="0" w:space="0" w:color="auto"/>
            <w:right w:val="none" w:sz="0" w:space="0" w:color="auto"/>
          </w:divBdr>
        </w:div>
        <w:div w:id="365184718">
          <w:marLeft w:val="640"/>
          <w:marRight w:val="0"/>
          <w:marTop w:val="0"/>
          <w:marBottom w:val="0"/>
          <w:divBdr>
            <w:top w:val="none" w:sz="0" w:space="0" w:color="auto"/>
            <w:left w:val="none" w:sz="0" w:space="0" w:color="auto"/>
            <w:bottom w:val="none" w:sz="0" w:space="0" w:color="auto"/>
            <w:right w:val="none" w:sz="0" w:space="0" w:color="auto"/>
          </w:divBdr>
        </w:div>
        <w:div w:id="1862548988">
          <w:marLeft w:val="640"/>
          <w:marRight w:val="0"/>
          <w:marTop w:val="0"/>
          <w:marBottom w:val="0"/>
          <w:divBdr>
            <w:top w:val="none" w:sz="0" w:space="0" w:color="auto"/>
            <w:left w:val="none" w:sz="0" w:space="0" w:color="auto"/>
            <w:bottom w:val="none" w:sz="0" w:space="0" w:color="auto"/>
            <w:right w:val="none" w:sz="0" w:space="0" w:color="auto"/>
          </w:divBdr>
        </w:div>
        <w:div w:id="188766043">
          <w:marLeft w:val="640"/>
          <w:marRight w:val="0"/>
          <w:marTop w:val="0"/>
          <w:marBottom w:val="0"/>
          <w:divBdr>
            <w:top w:val="none" w:sz="0" w:space="0" w:color="auto"/>
            <w:left w:val="none" w:sz="0" w:space="0" w:color="auto"/>
            <w:bottom w:val="none" w:sz="0" w:space="0" w:color="auto"/>
            <w:right w:val="none" w:sz="0" w:space="0" w:color="auto"/>
          </w:divBdr>
        </w:div>
        <w:div w:id="1877960630">
          <w:marLeft w:val="640"/>
          <w:marRight w:val="0"/>
          <w:marTop w:val="0"/>
          <w:marBottom w:val="0"/>
          <w:divBdr>
            <w:top w:val="none" w:sz="0" w:space="0" w:color="auto"/>
            <w:left w:val="none" w:sz="0" w:space="0" w:color="auto"/>
            <w:bottom w:val="none" w:sz="0" w:space="0" w:color="auto"/>
            <w:right w:val="none" w:sz="0" w:space="0" w:color="auto"/>
          </w:divBdr>
        </w:div>
        <w:div w:id="1300377791">
          <w:marLeft w:val="640"/>
          <w:marRight w:val="0"/>
          <w:marTop w:val="0"/>
          <w:marBottom w:val="0"/>
          <w:divBdr>
            <w:top w:val="none" w:sz="0" w:space="0" w:color="auto"/>
            <w:left w:val="none" w:sz="0" w:space="0" w:color="auto"/>
            <w:bottom w:val="none" w:sz="0" w:space="0" w:color="auto"/>
            <w:right w:val="none" w:sz="0" w:space="0" w:color="auto"/>
          </w:divBdr>
        </w:div>
        <w:div w:id="770318839">
          <w:marLeft w:val="640"/>
          <w:marRight w:val="0"/>
          <w:marTop w:val="0"/>
          <w:marBottom w:val="0"/>
          <w:divBdr>
            <w:top w:val="none" w:sz="0" w:space="0" w:color="auto"/>
            <w:left w:val="none" w:sz="0" w:space="0" w:color="auto"/>
            <w:bottom w:val="none" w:sz="0" w:space="0" w:color="auto"/>
            <w:right w:val="none" w:sz="0" w:space="0" w:color="auto"/>
          </w:divBdr>
        </w:div>
        <w:div w:id="418794794">
          <w:marLeft w:val="640"/>
          <w:marRight w:val="0"/>
          <w:marTop w:val="0"/>
          <w:marBottom w:val="0"/>
          <w:divBdr>
            <w:top w:val="none" w:sz="0" w:space="0" w:color="auto"/>
            <w:left w:val="none" w:sz="0" w:space="0" w:color="auto"/>
            <w:bottom w:val="none" w:sz="0" w:space="0" w:color="auto"/>
            <w:right w:val="none" w:sz="0" w:space="0" w:color="auto"/>
          </w:divBdr>
        </w:div>
        <w:div w:id="1591351475">
          <w:marLeft w:val="640"/>
          <w:marRight w:val="0"/>
          <w:marTop w:val="0"/>
          <w:marBottom w:val="0"/>
          <w:divBdr>
            <w:top w:val="none" w:sz="0" w:space="0" w:color="auto"/>
            <w:left w:val="none" w:sz="0" w:space="0" w:color="auto"/>
            <w:bottom w:val="none" w:sz="0" w:space="0" w:color="auto"/>
            <w:right w:val="none" w:sz="0" w:space="0" w:color="auto"/>
          </w:divBdr>
        </w:div>
        <w:div w:id="512886889">
          <w:marLeft w:val="640"/>
          <w:marRight w:val="0"/>
          <w:marTop w:val="0"/>
          <w:marBottom w:val="0"/>
          <w:divBdr>
            <w:top w:val="none" w:sz="0" w:space="0" w:color="auto"/>
            <w:left w:val="none" w:sz="0" w:space="0" w:color="auto"/>
            <w:bottom w:val="none" w:sz="0" w:space="0" w:color="auto"/>
            <w:right w:val="none" w:sz="0" w:space="0" w:color="auto"/>
          </w:divBdr>
        </w:div>
        <w:div w:id="578752754">
          <w:marLeft w:val="640"/>
          <w:marRight w:val="0"/>
          <w:marTop w:val="0"/>
          <w:marBottom w:val="0"/>
          <w:divBdr>
            <w:top w:val="none" w:sz="0" w:space="0" w:color="auto"/>
            <w:left w:val="none" w:sz="0" w:space="0" w:color="auto"/>
            <w:bottom w:val="none" w:sz="0" w:space="0" w:color="auto"/>
            <w:right w:val="none" w:sz="0" w:space="0" w:color="auto"/>
          </w:divBdr>
        </w:div>
        <w:div w:id="377053587">
          <w:marLeft w:val="640"/>
          <w:marRight w:val="0"/>
          <w:marTop w:val="0"/>
          <w:marBottom w:val="0"/>
          <w:divBdr>
            <w:top w:val="none" w:sz="0" w:space="0" w:color="auto"/>
            <w:left w:val="none" w:sz="0" w:space="0" w:color="auto"/>
            <w:bottom w:val="none" w:sz="0" w:space="0" w:color="auto"/>
            <w:right w:val="none" w:sz="0" w:space="0" w:color="auto"/>
          </w:divBdr>
        </w:div>
        <w:div w:id="1838421408">
          <w:marLeft w:val="640"/>
          <w:marRight w:val="0"/>
          <w:marTop w:val="0"/>
          <w:marBottom w:val="0"/>
          <w:divBdr>
            <w:top w:val="none" w:sz="0" w:space="0" w:color="auto"/>
            <w:left w:val="none" w:sz="0" w:space="0" w:color="auto"/>
            <w:bottom w:val="none" w:sz="0" w:space="0" w:color="auto"/>
            <w:right w:val="none" w:sz="0" w:space="0" w:color="auto"/>
          </w:divBdr>
        </w:div>
        <w:div w:id="479616722">
          <w:marLeft w:val="640"/>
          <w:marRight w:val="0"/>
          <w:marTop w:val="0"/>
          <w:marBottom w:val="0"/>
          <w:divBdr>
            <w:top w:val="none" w:sz="0" w:space="0" w:color="auto"/>
            <w:left w:val="none" w:sz="0" w:space="0" w:color="auto"/>
            <w:bottom w:val="none" w:sz="0" w:space="0" w:color="auto"/>
            <w:right w:val="none" w:sz="0" w:space="0" w:color="auto"/>
          </w:divBdr>
        </w:div>
        <w:div w:id="1149177070">
          <w:marLeft w:val="640"/>
          <w:marRight w:val="0"/>
          <w:marTop w:val="0"/>
          <w:marBottom w:val="0"/>
          <w:divBdr>
            <w:top w:val="none" w:sz="0" w:space="0" w:color="auto"/>
            <w:left w:val="none" w:sz="0" w:space="0" w:color="auto"/>
            <w:bottom w:val="none" w:sz="0" w:space="0" w:color="auto"/>
            <w:right w:val="none" w:sz="0" w:space="0" w:color="auto"/>
          </w:divBdr>
        </w:div>
        <w:div w:id="241989484">
          <w:marLeft w:val="640"/>
          <w:marRight w:val="0"/>
          <w:marTop w:val="0"/>
          <w:marBottom w:val="0"/>
          <w:divBdr>
            <w:top w:val="none" w:sz="0" w:space="0" w:color="auto"/>
            <w:left w:val="none" w:sz="0" w:space="0" w:color="auto"/>
            <w:bottom w:val="none" w:sz="0" w:space="0" w:color="auto"/>
            <w:right w:val="none" w:sz="0" w:space="0" w:color="auto"/>
          </w:divBdr>
        </w:div>
        <w:div w:id="95757488">
          <w:marLeft w:val="640"/>
          <w:marRight w:val="0"/>
          <w:marTop w:val="0"/>
          <w:marBottom w:val="0"/>
          <w:divBdr>
            <w:top w:val="none" w:sz="0" w:space="0" w:color="auto"/>
            <w:left w:val="none" w:sz="0" w:space="0" w:color="auto"/>
            <w:bottom w:val="none" w:sz="0" w:space="0" w:color="auto"/>
            <w:right w:val="none" w:sz="0" w:space="0" w:color="auto"/>
          </w:divBdr>
        </w:div>
        <w:div w:id="1971737589">
          <w:marLeft w:val="640"/>
          <w:marRight w:val="0"/>
          <w:marTop w:val="0"/>
          <w:marBottom w:val="0"/>
          <w:divBdr>
            <w:top w:val="none" w:sz="0" w:space="0" w:color="auto"/>
            <w:left w:val="none" w:sz="0" w:space="0" w:color="auto"/>
            <w:bottom w:val="none" w:sz="0" w:space="0" w:color="auto"/>
            <w:right w:val="none" w:sz="0" w:space="0" w:color="auto"/>
          </w:divBdr>
        </w:div>
        <w:div w:id="2137990511">
          <w:marLeft w:val="640"/>
          <w:marRight w:val="0"/>
          <w:marTop w:val="0"/>
          <w:marBottom w:val="0"/>
          <w:divBdr>
            <w:top w:val="none" w:sz="0" w:space="0" w:color="auto"/>
            <w:left w:val="none" w:sz="0" w:space="0" w:color="auto"/>
            <w:bottom w:val="none" w:sz="0" w:space="0" w:color="auto"/>
            <w:right w:val="none" w:sz="0" w:space="0" w:color="auto"/>
          </w:divBdr>
        </w:div>
        <w:div w:id="749422645">
          <w:marLeft w:val="640"/>
          <w:marRight w:val="0"/>
          <w:marTop w:val="0"/>
          <w:marBottom w:val="0"/>
          <w:divBdr>
            <w:top w:val="none" w:sz="0" w:space="0" w:color="auto"/>
            <w:left w:val="none" w:sz="0" w:space="0" w:color="auto"/>
            <w:bottom w:val="none" w:sz="0" w:space="0" w:color="auto"/>
            <w:right w:val="none" w:sz="0" w:space="0" w:color="auto"/>
          </w:divBdr>
        </w:div>
        <w:div w:id="624233163">
          <w:marLeft w:val="640"/>
          <w:marRight w:val="0"/>
          <w:marTop w:val="0"/>
          <w:marBottom w:val="0"/>
          <w:divBdr>
            <w:top w:val="none" w:sz="0" w:space="0" w:color="auto"/>
            <w:left w:val="none" w:sz="0" w:space="0" w:color="auto"/>
            <w:bottom w:val="none" w:sz="0" w:space="0" w:color="auto"/>
            <w:right w:val="none" w:sz="0" w:space="0" w:color="auto"/>
          </w:divBdr>
        </w:div>
        <w:div w:id="187573128">
          <w:marLeft w:val="640"/>
          <w:marRight w:val="0"/>
          <w:marTop w:val="0"/>
          <w:marBottom w:val="0"/>
          <w:divBdr>
            <w:top w:val="none" w:sz="0" w:space="0" w:color="auto"/>
            <w:left w:val="none" w:sz="0" w:space="0" w:color="auto"/>
            <w:bottom w:val="none" w:sz="0" w:space="0" w:color="auto"/>
            <w:right w:val="none" w:sz="0" w:space="0" w:color="auto"/>
          </w:divBdr>
        </w:div>
      </w:divsChild>
    </w:div>
    <w:div w:id="513571947">
      <w:bodyDiv w:val="1"/>
      <w:marLeft w:val="0"/>
      <w:marRight w:val="0"/>
      <w:marTop w:val="0"/>
      <w:marBottom w:val="0"/>
      <w:divBdr>
        <w:top w:val="none" w:sz="0" w:space="0" w:color="auto"/>
        <w:left w:val="none" w:sz="0" w:space="0" w:color="auto"/>
        <w:bottom w:val="none" w:sz="0" w:space="0" w:color="auto"/>
        <w:right w:val="none" w:sz="0" w:space="0" w:color="auto"/>
      </w:divBdr>
    </w:div>
    <w:div w:id="514465551">
      <w:bodyDiv w:val="1"/>
      <w:marLeft w:val="0"/>
      <w:marRight w:val="0"/>
      <w:marTop w:val="0"/>
      <w:marBottom w:val="0"/>
      <w:divBdr>
        <w:top w:val="none" w:sz="0" w:space="0" w:color="auto"/>
        <w:left w:val="none" w:sz="0" w:space="0" w:color="auto"/>
        <w:bottom w:val="none" w:sz="0" w:space="0" w:color="auto"/>
        <w:right w:val="none" w:sz="0" w:space="0" w:color="auto"/>
      </w:divBdr>
    </w:div>
    <w:div w:id="544678833">
      <w:bodyDiv w:val="1"/>
      <w:marLeft w:val="0"/>
      <w:marRight w:val="0"/>
      <w:marTop w:val="0"/>
      <w:marBottom w:val="0"/>
      <w:divBdr>
        <w:top w:val="none" w:sz="0" w:space="0" w:color="auto"/>
        <w:left w:val="none" w:sz="0" w:space="0" w:color="auto"/>
        <w:bottom w:val="none" w:sz="0" w:space="0" w:color="auto"/>
        <w:right w:val="none" w:sz="0" w:space="0" w:color="auto"/>
      </w:divBdr>
    </w:div>
    <w:div w:id="592516407">
      <w:bodyDiv w:val="1"/>
      <w:marLeft w:val="0"/>
      <w:marRight w:val="0"/>
      <w:marTop w:val="0"/>
      <w:marBottom w:val="0"/>
      <w:divBdr>
        <w:top w:val="none" w:sz="0" w:space="0" w:color="auto"/>
        <w:left w:val="none" w:sz="0" w:space="0" w:color="auto"/>
        <w:bottom w:val="none" w:sz="0" w:space="0" w:color="auto"/>
        <w:right w:val="none" w:sz="0" w:space="0" w:color="auto"/>
      </w:divBdr>
      <w:divsChild>
        <w:div w:id="1680233929">
          <w:marLeft w:val="640"/>
          <w:marRight w:val="0"/>
          <w:marTop w:val="0"/>
          <w:marBottom w:val="0"/>
          <w:divBdr>
            <w:top w:val="none" w:sz="0" w:space="0" w:color="auto"/>
            <w:left w:val="none" w:sz="0" w:space="0" w:color="auto"/>
            <w:bottom w:val="none" w:sz="0" w:space="0" w:color="auto"/>
            <w:right w:val="none" w:sz="0" w:space="0" w:color="auto"/>
          </w:divBdr>
        </w:div>
        <w:div w:id="668294805">
          <w:marLeft w:val="640"/>
          <w:marRight w:val="0"/>
          <w:marTop w:val="0"/>
          <w:marBottom w:val="0"/>
          <w:divBdr>
            <w:top w:val="none" w:sz="0" w:space="0" w:color="auto"/>
            <w:left w:val="none" w:sz="0" w:space="0" w:color="auto"/>
            <w:bottom w:val="none" w:sz="0" w:space="0" w:color="auto"/>
            <w:right w:val="none" w:sz="0" w:space="0" w:color="auto"/>
          </w:divBdr>
        </w:div>
        <w:div w:id="519274295">
          <w:marLeft w:val="640"/>
          <w:marRight w:val="0"/>
          <w:marTop w:val="0"/>
          <w:marBottom w:val="0"/>
          <w:divBdr>
            <w:top w:val="none" w:sz="0" w:space="0" w:color="auto"/>
            <w:left w:val="none" w:sz="0" w:space="0" w:color="auto"/>
            <w:bottom w:val="none" w:sz="0" w:space="0" w:color="auto"/>
            <w:right w:val="none" w:sz="0" w:space="0" w:color="auto"/>
          </w:divBdr>
        </w:div>
        <w:div w:id="96760296">
          <w:marLeft w:val="640"/>
          <w:marRight w:val="0"/>
          <w:marTop w:val="0"/>
          <w:marBottom w:val="0"/>
          <w:divBdr>
            <w:top w:val="none" w:sz="0" w:space="0" w:color="auto"/>
            <w:left w:val="none" w:sz="0" w:space="0" w:color="auto"/>
            <w:bottom w:val="none" w:sz="0" w:space="0" w:color="auto"/>
            <w:right w:val="none" w:sz="0" w:space="0" w:color="auto"/>
          </w:divBdr>
        </w:div>
        <w:div w:id="116528212">
          <w:marLeft w:val="640"/>
          <w:marRight w:val="0"/>
          <w:marTop w:val="0"/>
          <w:marBottom w:val="0"/>
          <w:divBdr>
            <w:top w:val="none" w:sz="0" w:space="0" w:color="auto"/>
            <w:left w:val="none" w:sz="0" w:space="0" w:color="auto"/>
            <w:bottom w:val="none" w:sz="0" w:space="0" w:color="auto"/>
            <w:right w:val="none" w:sz="0" w:space="0" w:color="auto"/>
          </w:divBdr>
        </w:div>
        <w:div w:id="1458260377">
          <w:marLeft w:val="640"/>
          <w:marRight w:val="0"/>
          <w:marTop w:val="0"/>
          <w:marBottom w:val="0"/>
          <w:divBdr>
            <w:top w:val="none" w:sz="0" w:space="0" w:color="auto"/>
            <w:left w:val="none" w:sz="0" w:space="0" w:color="auto"/>
            <w:bottom w:val="none" w:sz="0" w:space="0" w:color="auto"/>
            <w:right w:val="none" w:sz="0" w:space="0" w:color="auto"/>
          </w:divBdr>
        </w:div>
        <w:div w:id="115949088">
          <w:marLeft w:val="640"/>
          <w:marRight w:val="0"/>
          <w:marTop w:val="0"/>
          <w:marBottom w:val="0"/>
          <w:divBdr>
            <w:top w:val="none" w:sz="0" w:space="0" w:color="auto"/>
            <w:left w:val="none" w:sz="0" w:space="0" w:color="auto"/>
            <w:bottom w:val="none" w:sz="0" w:space="0" w:color="auto"/>
            <w:right w:val="none" w:sz="0" w:space="0" w:color="auto"/>
          </w:divBdr>
        </w:div>
        <w:div w:id="1795253430">
          <w:marLeft w:val="640"/>
          <w:marRight w:val="0"/>
          <w:marTop w:val="0"/>
          <w:marBottom w:val="0"/>
          <w:divBdr>
            <w:top w:val="none" w:sz="0" w:space="0" w:color="auto"/>
            <w:left w:val="none" w:sz="0" w:space="0" w:color="auto"/>
            <w:bottom w:val="none" w:sz="0" w:space="0" w:color="auto"/>
            <w:right w:val="none" w:sz="0" w:space="0" w:color="auto"/>
          </w:divBdr>
        </w:div>
        <w:div w:id="1143693994">
          <w:marLeft w:val="640"/>
          <w:marRight w:val="0"/>
          <w:marTop w:val="0"/>
          <w:marBottom w:val="0"/>
          <w:divBdr>
            <w:top w:val="none" w:sz="0" w:space="0" w:color="auto"/>
            <w:left w:val="none" w:sz="0" w:space="0" w:color="auto"/>
            <w:bottom w:val="none" w:sz="0" w:space="0" w:color="auto"/>
            <w:right w:val="none" w:sz="0" w:space="0" w:color="auto"/>
          </w:divBdr>
        </w:div>
        <w:div w:id="792679164">
          <w:marLeft w:val="640"/>
          <w:marRight w:val="0"/>
          <w:marTop w:val="0"/>
          <w:marBottom w:val="0"/>
          <w:divBdr>
            <w:top w:val="none" w:sz="0" w:space="0" w:color="auto"/>
            <w:left w:val="none" w:sz="0" w:space="0" w:color="auto"/>
            <w:bottom w:val="none" w:sz="0" w:space="0" w:color="auto"/>
            <w:right w:val="none" w:sz="0" w:space="0" w:color="auto"/>
          </w:divBdr>
        </w:div>
        <w:div w:id="976953989">
          <w:marLeft w:val="640"/>
          <w:marRight w:val="0"/>
          <w:marTop w:val="0"/>
          <w:marBottom w:val="0"/>
          <w:divBdr>
            <w:top w:val="none" w:sz="0" w:space="0" w:color="auto"/>
            <w:left w:val="none" w:sz="0" w:space="0" w:color="auto"/>
            <w:bottom w:val="none" w:sz="0" w:space="0" w:color="auto"/>
            <w:right w:val="none" w:sz="0" w:space="0" w:color="auto"/>
          </w:divBdr>
        </w:div>
        <w:div w:id="1260798345">
          <w:marLeft w:val="640"/>
          <w:marRight w:val="0"/>
          <w:marTop w:val="0"/>
          <w:marBottom w:val="0"/>
          <w:divBdr>
            <w:top w:val="none" w:sz="0" w:space="0" w:color="auto"/>
            <w:left w:val="none" w:sz="0" w:space="0" w:color="auto"/>
            <w:bottom w:val="none" w:sz="0" w:space="0" w:color="auto"/>
            <w:right w:val="none" w:sz="0" w:space="0" w:color="auto"/>
          </w:divBdr>
        </w:div>
        <w:div w:id="1307973320">
          <w:marLeft w:val="640"/>
          <w:marRight w:val="0"/>
          <w:marTop w:val="0"/>
          <w:marBottom w:val="0"/>
          <w:divBdr>
            <w:top w:val="none" w:sz="0" w:space="0" w:color="auto"/>
            <w:left w:val="none" w:sz="0" w:space="0" w:color="auto"/>
            <w:bottom w:val="none" w:sz="0" w:space="0" w:color="auto"/>
            <w:right w:val="none" w:sz="0" w:space="0" w:color="auto"/>
          </w:divBdr>
        </w:div>
        <w:div w:id="26029855">
          <w:marLeft w:val="640"/>
          <w:marRight w:val="0"/>
          <w:marTop w:val="0"/>
          <w:marBottom w:val="0"/>
          <w:divBdr>
            <w:top w:val="none" w:sz="0" w:space="0" w:color="auto"/>
            <w:left w:val="none" w:sz="0" w:space="0" w:color="auto"/>
            <w:bottom w:val="none" w:sz="0" w:space="0" w:color="auto"/>
            <w:right w:val="none" w:sz="0" w:space="0" w:color="auto"/>
          </w:divBdr>
        </w:div>
        <w:div w:id="1298955583">
          <w:marLeft w:val="640"/>
          <w:marRight w:val="0"/>
          <w:marTop w:val="0"/>
          <w:marBottom w:val="0"/>
          <w:divBdr>
            <w:top w:val="none" w:sz="0" w:space="0" w:color="auto"/>
            <w:left w:val="none" w:sz="0" w:space="0" w:color="auto"/>
            <w:bottom w:val="none" w:sz="0" w:space="0" w:color="auto"/>
            <w:right w:val="none" w:sz="0" w:space="0" w:color="auto"/>
          </w:divBdr>
        </w:div>
        <w:div w:id="2026859111">
          <w:marLeft w:val="640"/>
          <w:marRight w:val="0"/>
          <w:marTop w:val="0"/>
          <w:marBottom w:val="0"/>
          <w:divBdr>
            <w:top w:val="none" w:sz="0" w:space="0" w:color="auto"/>
            <w:left w:val="none" w:sz="0" w:space="0" w:color="auto"/>
            <w:bottom w:val="none" w:sz="0" w:space="0" w:color="auto"/>
            <w:right w:val="none" w:sz="0" w:space="0" w:color="auto"/>
          </w:divBdr>
        </w:div>
        <w:div w:id="544223300">
          <w:marLeft w:val="640"/>
          <w:marRight w:val="0"/>
          <w:marTop w:val="0"/>
          <w:marBottom w:val="0"/>
          <w:divBdr>
            <w:top w:val="none" w:sz="0" w:space="0" w:color="auto"/>
            <w:left w:val="none" w:sz="0" w:space="0" w:color="auto"/>
            <w:bottom w:val="none" w:sz="0" w:space="0" w:color="auto"/>
            <w:right w:val="none" w:sz="0" w:space="0" w:color="auto"/>
          </w:divBdr>
        </w:div>
        <w:div w:id="1209340273">
          <w:marLeft w:val="640"/>
          <w:marRight w:val="0"/>
          <w:marTop w:val="0"/>
          <w:marBottom w:val="0"/>
          <w:divBdr>
            <w:top w:val="none" w:sz="0" w:space="0" w:color="auto"/>
            <w:left w:val="none" w:sz="0" w:space="0" w:color="auto"/>
            <w:bottom w:val="none" w:sz="0" w:space="0" w:color="auto"/>
            <w:right w:val="none" w:sz="0" w:space="0" w:color="auto"/>
          </w:divBdr>
        </w:div>
        <w:div w:id="466121778">
          <w:marLeft w:val="640"/>
          <w:marRight w:val="0"/>
          <w:marTop w:val="0"/>
          <w:marBottom w:val="0"/>
          <w:divBdr>
            <w:top w:val="none" w:sz="0" w:space="0" w:color="auto"/>
            <w:left w:val="none" w:sz="0" w:space="0" w:color="auto"/>
            <w:bottom w:val="none" w:sz="0" w:space="0" w:color="auto"/>
            <w:right w:val="none" w:sz="0" w:space="0" w:color="auto"/>
          </w:divBdr>
        </w:div>
        <w:div w:id="986662893">
          <w:marLeft w:val="640"/>
          <w:marRight w:val="0"/>
          <w:marTop w:val="0"/>
          <w:marBottom w:val="0"/>
          <w:divBdr>
            <w:top w:val="none" w:sz="0" w:space="0" w:color="auto"/>
            <w:left w:val="none" w:sz="0" w:space="0" w:color="auto"/>
            <w:bottom w:val="none" w:sz="0" w:space="0" w:color="auto"/>
            <w:right w:val="none" w:sz="0" w:space="0" w:color="auto"/>
          </w:divBdr>
        </w:div>
        <w:div w:id="1845825485">
          <w:marLeft w:val="640"/>
          <w:marRight w:val="0"/>
          <w:marTop w:val="0"/>
          <w:marBottom w:val="0"/>
          <w:divBdr>
            <w:top w:val="none" w:sz="0" w:space="0" w:color="auto"/>
            <w:left w:val="none" w:sz="0" w:space="0" w:color="auto"/>
            <w:bottom w:val="none" w:sz="0" w:space="0" w:color="auto"/>
            <w:right w:val="none" w:sz="0" w:space="0" w:color="auto"/>
          </w:divBdr>
        </w:div>
        <w:div w:id="986937090">
          <w:marLeft w:val="640"/>
          <w:marRight w:val="0"/>
          <w:marTop w:val="0"/>
          <w:marBottom w:val="0"/>
          <w:divBdr>
            <w:top w:val="none" w:sz="0" w:space="0" w:color="auto"/>
            <w:left w:val="none" w:sz="0" w:space="0" w:color="auto"/>
            <w:bottom w:val="none" w:sz="0" w:space="0" w:color="auto"/>
            <w:right w:val="none" w:sz="0" w:space="0" w:color="auto"/>
          </w:divBdr>
        </w:div>
        <w:div w:id="596641218">
          <w:marLeft w:val="640"/>
          <w:marRight w:val="0"/>
          <w:marTop w:val="0"/>
          <w:marBottom w:val="0"/>
          <w:divBdr>
            <w:top w:val="none" w:sz="0" w:space="0" w:color="auto"/>
            <w:left w:val="none" w:sz="0" w:space="0" w:color="auto"/>
            <w:bottom w:val="none" w:sz="0" w:space="0" w:color="auto"/>
            <w:right w:val="none" w:sz="0" w:space="0" w:color="auto"/>
          </w:divBdr>
        </w:div>
        <w:div w:id="2139185003">
          <w:marLeft w:val="640"/>
          <w:marRight w:val="0"/>
          <w:marTop w:val="0"/>
          <w:marBottom w:val="0"/>
          <w:divBdr>
            <w:top w:val="none" w:sz="0" w:space="0" w:color="auto"/>
            <w:left w:val="none" w:sz="0" w:space="0" w:color="auto"/>
            <w:bottom w:val="none" w:sz="0" w:space="0" w:color="auto"/>
            <w:right w:val="none" w:sz="0" w:space="0" w:color="auto"/>
          </w:divBdr>
        </w:div>
        <w:div w:id="1005015112">
          <w:marLeft w:val="640"/>
          <w:marRight w:val="0"/>
          <w:marTop w:val="0"/>
          <w:marBottom w:val="0"/>
          <w:divBdr>
            <w:top w:val="none" w:sz="0" w:space="0" w:color="auto"/>
            <w:left w:val="none" w:sz="0" w:space="0" w:color="auto"/>
            <w:bottom w:val="none" w:sz="0" w:space="0" w:color="auto"/>
            <w:right w:val="none" w:sz="0" w:space="0" w:color="auto"/>
          </w:divBdr>
        </w:div>
        <w:div w:id="1952396607">
          <w:marLeft w:val="640"/>
          <w:marRight w:val="0"/>
          <w:marTop w:val="0"/>
          <w:marBottom w:val="0"/>
          <w:divBdr>
            <w:top w:val="none" w:sz="0" w:space="0" w:color="auto"/>
            <w:left w:val="none" w:sz="0" w:space="0" w:color="auto"/>
            <w:bottom w:val="none" w:sz="0" w:space="0" w:color="auto"/>
            <w:right w:val="none" w:sz="0" w:space="0" w:color="auto"/>
          </w:divBdr>
        </w:div>
        <w:div w:id="1053045795">
          <w:marLeft w:val="640"/>
          <w:marRight w:val="0"/>
          <w:marTop w:val="0"/>
          <w:marBottom w:val="0"/>
          <w:divBdr>
            <w:top w:val="none" w:sz="0" w:space="0" w:color="auto"/>
            <w:left w:val="none" w:sz="0" w:space="0" w:color="auto"/>
            <w:bottom w:val="none" w:sz="0" w:space="0" w:color="auto"/>
            <w:right w:val="none" w:sz="0" w:space="0" w:color="auto"/>
          </w:divBdr>
        </w:div>
        <w:div w:id="1158231276">
          <w:marLeft w:val="640"/>
          <w:marRight w:val="0"/>
          <w:marTop w:val="0"/>
          <w:marBottom w:val="0"/>
          <w:divBdr>
            <w:top w:val="none" w:sz="0" w:space="0" w:color="auto"/>
            <w:left w:val="none" w:sz="0" w:space="0" w:color="auto"/>
            <w:bottom w:val="none" w:sz="0" w:space="0" w:color="auto"/>
            <w:right w:val="none" w:sz="0" w:space="0" w:color="auto"/>
          </w:divBdr>
        </w:div>
        <w:div w:id="1649214096">
          <w:marLeft w:val="640"/>
          <w:marRight w:val="0"/>
          <w:marTop w:val="0"/>
          <w:marBottom w:val="0"/>
          <w:divBdr>
            <w:top w:val="none" w:sz="0" w:space="0" w:color="auto"/>
            <w:left w:val="none" w:sz="0" w:space="0" w:color="auto"/>
            <w:bottom w:val="none" w:sz="0" w:space="0" w:color="auto"/>
            <w:right w:val="none" w:sz="0" w:space="0" w:color="auto"/>
          </w:divBdr>
        </w:div>
        <w:div w:id="1747607918">
          <w:marLeft w:val="640"/>
          <w:marRight w:val="0"/>
          <w:marTop w:val="0"/>
          <w:marBottom w:val="0"/>
          <w:divBdr>
            <w:top w:val="none" w:sz="0" w:space="0" w:color="auto"/>
            <w:left w:val="none" w:sz="0" w:space="0" w:color="auto"/>
            <w:bottom w:val="none" w:sz="0" w:space="0" w:color="auto"/>
            <w:right w:val="none" w:sz="0" w:space="0" w:color="auto"/>
          </w:divBdr>
        </w:div>
        <w:div w:id="1694770988">
          <w:marLeft w:val="640"/>
          <w:marRight w:val="0"/>
          <w:marTop w:val="0"/>
          <w:marBottom w:val="0"/>
          <w:divBdr>
            <w:top w:val="none" w:sz="0" w:space="0" w:color="auto"/>
            <w:left w:val="none" w:sz="0" w:space="0" w:color="auto"/>
            <w:bottom w:val="none" w:sz="0" w:space="0" w:color="auto"/>
            <w:right w:val="none" w:sz="0" w:space="0" w:color="auto"/>
          </w:divBdr>
        </w:div>
        <w:div w:id="1594170285">
          <w:marLeft w:val="640"/>
          <w:marRight w:val="0"/>
          <w:marTop w:val="0"/>
          <w:marBottom w:val="0"/>
          <w:divBdr>
            <w:top w:val="none" w:sz="0" w:space="0" w:color="auto"/>
            <w:left w:val="none" w:sz="0" w:space="0" w:color="auto"/>
            <w:bottom w:val="none" w:sz="0" w:space="0" w:color="auto"/>
            <w:right w:val="none" w:sz="0" w:space="0" w:color="auto"/>
          </w:divBdr>
        </w:div>
        <w:div w:id="979265665">
          <w:marLeft w:val="640"/>
          <w:marRight w:val="0"/>
          <w:marTop w:val="0"/>
          <w:marBottom w:val="0"/>
          <w:divBdr>
            <w:top w:val="none" w:sz="0" w:space="0" w:color="auto"/>
            <w:left w:val="none" w:sz="0" w:space="0" w:color="auto"/>
            <w:bottom w:val="none" w:sz="0" w:space="0" w:color="auto"/>
            <w:right w:val="none" w:sz="0" w:space="0" w:color="auto"/>
          </w:divBdr>
        </w:div>
        <w:div w:id="1407341544">
          <w:marLeft w:val="640"/>
          <w:marRight w:val="0"/>
          <w:marTop w:val="0"/>
          <w:marBottom w:val="0"/>
          <w:divBdr>
            <w:top w:val="none" w:sz="0" w:space="0" w:color="auto"/>
            <w:left w:val="none" w:sz="0" w:space="0" w:color="auto"/>
            <w:bottom w:val="none" w:sz="0" w:space="0" w:color="auto"/>
            <w:right w:val="none" w:sz="0" w:space="0" w:color="auto"/>
          </w:divBdr>
        </w:div>
        <w:div w:id="127405479">
          <w:marLeft w:val="640"/>
          <w:marRight w:val="0"/>
          <w:marTop w:val="0"/>
          <w:marBottom w:val="0"/>
          <w:divBdr>
            <w:top w:val="none" w:sz="0" w:space="0" w:color="auto"/>
            <w:left w:val="none" w:sz="0" w:space="0" w:color="auto"/>
            <w:bottom w:val="none" w:sz="0" w:space="0" w:color="auto"/>
            <w:right w:val="none" w:sz="0" w:space="0" w:color="auto"/>
          </w:divBdr>
        </w:div>
        <w:div w:id="1061519150">
          <w:marLeft w:val="640"/>
          <w:marRight w:val="0"/>
          <w:marTop w:val="0"/>
          <w:marBottom w:val="0"/>
          <w:divBdr>
            <w:top w:val="none" w:sz="0" w:space="0" w:color="auto"/>
            <w:left w:val="none" w:sz="0" w:space="0" w:color="auto"/>
            <w:bottom w:val="none" w:sz="0" w:space="0" w:color="auto"/>
            <w:right w:val="none" w:sz="0" w:space="0" w:color="auto"/>
          </w:divBdr>
        </w:div>
        <w:div w:id="1010765698">
          <w:marLeft w:val="640"/>
          <w:marRight w:val="0"/>
          <w:marTop w:val="0"/>
          <w:marBottom w:val="0"/>
          <w:divBdr>
            <w:top w:val="none" w:sz="0" w:space="0" w:color="auto"/>
            <w:left w:val="none" w:sz="0" w:space="0" w:color="auto"/>
            <w:bottom w:val="none" w:sz="0" w:space="0" w:color="auto"/>
            <w:right w:val="none" w:sz="0" w:space="0" w:color="auto"/>
          </w:divBdr>
        </w:div>
        <w:div w:id="55788448">
          <w:marLeft w:val="640"/>
          <w:marRight w:val="0"/>
          <w:marTop w:val="0"/>
          <w:marBottom w:val="0"/>
          <w:divBdr>
            <w:top w:val="none" w:sz="0" w:space="0" w:color="auto"/>
            <w:left w:val="none" w:sz="0" w:space="0" w:color="auto"/>
            <w:bottom w:val="none" w:sz="0" w:space="0" w:color="auto"/>
            <w:right w:val="none" w:sz="0" w:space="0" w:color="auto"/>
          </w:divBdr>
        </w:div>
        <w:div w:id="1912038604">
          <w:marLeft w:val="640"/>
          <w:marRight w:val="0"/>
          <w:marTop w:val="0"/>
          <w:marBottom w:val="0"/>
          <w:divBdr>
            <w:top w:val="none" w:sz="0" w:space="0" w:color="auto"/>
            <w:left w:val="none" w:sz="0" w:space="0" w:color="auto"/>
            <w:bottom w:val="none" w:sz="0" w:space="0" w:color="auto"/>
            <w:right w:val="none" w:sz="0" w:space="0" w:color="auto"/>
          </w:divBdr>
        </w:div>
        <w:div w:id="397485679">
          <w:marLeft w:val="640"/>
          <w:marRight w:val="0"/>
          <w:marTop w:val="0"/>
          <w:marBottom w:val="0"/>
          <w:divBdr>
            <w:top w:val="none" w:sz="0" w:space="0" w:color="auto"/>
            <w:left w:val="none" w:sz="0" w:space="0" w:color="auto"/>
            <w:bottom w:val="none" w:sz="0" w:space="0" w:color="auto"/>
            <w:right w:val="none" w:sz="0" w:space="0" w:color="auto"/>
          </w:divBdr>
        </w:div>
        <w:div w:id="305745347">
          <w:marLeft w:val="640"/>
          <w:marRight w:val="0"/>
          <w:marTop w:val="0"/>
          <w:marBottom w:val="0"/>
          <w:divBdr>
            <w:top w:val="none" w:sz="0" w:space="0" w:color="auto"/>
            <w:left w:val="none" w:sz="0" w:space="0" w:color="auto"/>
            <w:bottom w:val="none" w:sz="0" w:space="0" w:color="auto"/>
            <w:right w:val="none" w:sz="0" w:space="0" w:color="auto"/>
          </w:divBdr>
        </w:div>
        <w:div w:id="1510827806">
          <w:marLeft w:val="640"/>
          <w:marRight w:val="0"/>
          <w:marTop w:val="0"/>
          <w:marBottom w:val="0"/>
          <w:divBdr>
            <w:top w:val="none" w:sz="0" w:space="0" w:color="auto"/>
            <w:left w:val="none" w:sz="0" w:space="0" w:color="auto"/>
            <w:bottom w:val="none" w:sz="0" w:space="0" w:color="auto"/>
            <w:right w:val="none" w:sz="0" w:space="0" w:color="auto"/>
          </w:divBdr>
        </w:div>
        <w:div w:id="381948812">
          <w:marLeft w:val="640"/>
          <w:marRight w:val="0"/>
          <w:marTop w:val="0"/>
          <w:marBottom w:val="0"/>
          <w:divBdr>
            <w:top w:val="none" w:sz="0" w:space="0" w:color="auto"/>
            <w:left w:val="none" w:sz="0" w:space="0" w:color="auto"/>
            <w:bottom w:val="none" w:sz="0" w:space="0" w:color="auto"/>
            <w:right w:val="none" w:sz="0" w:space="0" w:color="auto"/>
          </w:divBdr>
        </w:div>
        <w:div w:id="1690370884">
          <w:marLeft w:val="640"/>
          <w:marRight w:val="0"/>
          <w:marTop w:val="0"/>
          <w:marBottom w:val="0"/>
          <w:divBdr>
            <w:top w:val="none" w:sz="0" w:space="0" w:color="auto"/>
            <w:left w:val="none" w:sz="0" w:space="0" w:color="auto"/>
            <w:bottom w:val="none" w:sz="0" w:space="0" w:color="auto"/>
            <w:right w:val="none" w:sz="0" w:space="0" w:color="auto"/>
          </w:divBdr>
        </w:div>
        <w:div w:id="1247305130">
          <w:marLeft w:val="640"/>
          <w:marRight w:val="0"/>
          <w:marTop w:val="0"/>
          <w:marBottom w:val="0"/>
          <w:divBdr>
            <w:top w:val="none" w:sz="0" w:space="0" w:color="auto"/>
            <w:left w:val="none" w:sz="0" w:space="0" w:color="auto"/>
            <w:bottom w:val="none" w:sz="0" w:space="0" w:color="auto"/>
            <w:right w:val="none" w:sz="0" w:space="0" w:color="auto"/>
          </w:divBdr>
        </w:div>
        <w:div w:id="1521702323">
          <w:marLeft w:val="640"/>
          <w:marRight w:val="0"/>
          <w:marTop w:val="0"/>
          <w:marBottom w:val="0"/>
          <w:divBdr>
            <w:top w:val="none" w:sz="0" w:space="0" w:color="auto"/>
            <w:left w:val="none" w:sz="0" w:space="0" w:color="auto"/>
            <w:bottom w:val="none" w:sz="0" w:space="0" w:color="auto"/>
            <w:right w:val="none" w:sz="0" w:space="0" w:color="auto"/>
          </w:divBdr>
        </w:div>
        <w:div w:id="1466771559">
          <w:marLeft w:val="640"/>
          <w:marRight w:val="0"/>
          <w:marTop w:val="0"/>
          <w:marBottom w:val="0"/>
          <w:divBdr>
            <w:top w:val="none" w:sz="0" w:space="0" w:color="auto"/>
            <w:left w:val="none" w:sz="0" w:space="0" w:color="auto"/>
            <w:bottom w:val="none" w:sz="0" w:space="0" w:color="auto"/>
            <w:right w:val="none" w:sz="0" w:space="0" w:color="auto"/>
          </w:divBdr>
        </w:div>
        <w:div w:id="143939435">
          <w:marLeft w:val="640"/>
          <w:marRight w:val="0"/>
          <w:marTop w:val="0"/>
          <w:marBottom w:val="0"/>
          <w:divBdr>
            <w:top w:val="none" w:sz="0" w:space="0" w:color="auto"/>
            <w:left w:val="none" w:sz="0" w:space="0" w:color="auto"/>
            <w:bottom w:val="none" w:sz="0" w:space="0" w:color="auto"/>
            <w:right w:val="none" w:sz="0" w:space="0" w:color="auto"/>
          </w:divBdr>
        </w:div>
        <w:div w:id="876309477">
          <w:marLeft w:val="640"/>
          <w:marRight w:val="0"/>
          <w:marTop w:val="0"/>
          <w:marBottom w:val="0"/>
          <w:divBdr>
            <w:top w:val="none" w:sz="0" w:space="0" w:color="auto"/>
            <w:left w:val="none" w:sz="0" w:space="0" w:color="auto"/>
            <w:bottom w:val="none" w:sz="0" w:space="0" w:color="auto"/>
            <w:right w:val="none" w:sz="0" w:space="0" w:color="auto"/>
          </w:divBdr>
        </w:div>
        <w:div w:id="1309819515">
          <w:marLeft w:val="640"/>
          <w:marRight w:val="0"/>
          <w:marTop w:val="0"/>
          <w:marBottom w:val="0"/>
          <w:divBdr>
            <w:top w:val="none" w:sz="0" w:space="0" w:color="auto"/>
            <w:left w:val="none" w:sz="0" w:space="0" w:color="auto"/>
            <w:bottom w:val="none" w:sz="0" w:space="0" w:color="auto"/>
            <w:right w:val="none" w:sz="0" w:space="0" w:color="auto"/>
          </w:divBdr>
        </w:div>
        <w:div w:id="2035039483">
          <w:marLeft w:val="640"/>
          <w:marRight w:val="0"/>
          <w:marTop w:val="0"/>
          <w:marBottom w:val="0"/>
          <w:divBdr>
            <w:top w:val="none" w:sz="0" w:space="0" w:color="auto"/>
            <w:left w:val="none" w:sz="0" w:space="0" w:color="auto"/>
            <w:bottom w:val="none" w:sz="0" w:space="0" w:color="auto"/>
            <w:right w:val="none" w:sz="0" w:space="0" w:color="auto"/>
          </w:divBdr>
        </w:div>
        <w:div w:id="2088845350">
          <w:marLeft w:val="640"/>
          <w:marRight w:val="0"/>
          <w:marTop w:val="0"/>
          <w:marBottom w:val="0"/>
          <w:divBdr>
            <w:top w:val="none" w:sz="0" w:space="0" w:color="auto"/>
            <w:left w:val="none" w:sz="0" w:space="0" w:color="auto"/>
            <w:bottom w:val="none" w:sz="0" w:space="0" w:color="auto"/>
            <w:right w:val="none" w:sz="0" w:space="0" w:color="auto"/>
          </w:divBdr>
        </w:div>
        <w:div w:id="2065565264">
          <w:marLeft w:val="640"/>
          <w:marRight w:val="0"/>
          <w:marTop w:val="0"/>
          <w:marBottom w:val="0"/>
          <w:divBdr>
            <w:top w:val="none" w:sz="0" w:space="0" w:color="auto"/>
            <w:left w:val="none" w:sz="0" w:space="0" w:color="auto"/>
            <w:bottom w:val="none" w:sz="0" w:space="0" w:color="auto"/>
            <w:right w:val="none" w:sz="0" w:space="0" w:color="auto"/>
          </w:divBdr>
        </w:div>
        <w:div w:id="916792284">
          <w:marLeft w:val="640"/>
          <w:marRight w:val="0"/>
          <w:marTop w:val="0"/>
          <w:marBottom w:val="0"/>
          <w:divBdr>
            <w:top w:val="none" w:sz="0" w:space="0" w:color="auto"/>
            <w:left w:val="none" w:sz="0" w:space="0" w:color="auto"/>
            <w:bottom w:val="none" w:sz="0" w:space="0" w:color="auto"/>
            <w:right w:val="none" w:sz="0" w:space="0" w:color="auto"/>
          </w:divBdr>
        </w:div>
        <w:div w:id="1148204510">
          <w:marLeft w:val="640"/>
          <w:marRight w:val="0"/>
          <w:marTop w:val="0"/>
          <w:marBottom w:val="0"/>
          <w:divBdr>
            <w:top w:val="none" w:sz="0" w:space="0" w:color="auto"/>
            <w:left w:val="none" w:sz="0" w:space="0" w:color="auto"/>
            <w:bottom w:val="none" w:sz="0" w:space="0" w:color="auto"/>
            <w:right w:val="none" w:sz="0" w:space="0" w:color="auto"/>
          </w:divBdr>
        </w:div>
        <w:div w:id="704789427">
          <w:marLeft w:val="640"/>
          <w:marRight w:val="0"/>
          <w:marTop w:val="0"/>
          <w:marBottom w:val="0"/>
          <w:divBdr>
            <w:top w:val="none" w:sz="0" w:space="0" w:color="auto"/>
            <w:left w:val="none" w:sz="0" w:space="0" w:color="auto"/>
            <w:bottom w:val="none" w:sz="0" w:space="0" w:color="auto"/>
            <w:right w:val="none" w:sz="0" w:space="0" w:color="auto"/>
          </w:divBdr>
        </w:div>
        <w:div w:id="1406949408">
          <w:marLeft w:val="640"/>
          <w:marRight w:val="0"/>
          <w:marTop w:val="0"/>
          <w:marBottom w:val="0"/>
          <w:divBdr>
            <w:top w:val="none" w:sz="0" w:space="0" w:color="auto"/>
            <w:left w:val="none" w:sz="0" w:space="0" w:color="auto"/>
            <w:bottom w:val="none" w:sz="0" w:space="0" w:color="auto"/>
            <w:right w:val="none" w:sz="0" w:space="0" w:color="auto"/>
          </w:divBdr>
        </w:div>
        <w:div w:id="1816948997">
          <w:marLeft w:val="640"/>
          <w:marRight w:val="0"/>
          <w:marTop w:val="0"/>
          <w:marBottom w:val="0"/>
          <w:divBdr>
            <w:top w:val="none" w:sz="0" w:space="0" w:color="auto"/>
            <w:left w:val="none" w:sz="0" w:space="0" w:color="auto"/>
            <w:bottom w:val="none" w:sz="0" w:space="0" w:color="auto"/>
            <w:right w:val="none" w:sz="0" w:space="0" w:color="auto"/>
          </w:divBdr>
        </w:div>
        <w:div w:id="1820731460">
          <w:marLeft w:val="640"/>
          <w:marRight w:val="0"/>
          <w:marTop w:val="0"/>
          <w:marBottom w:val="0"/>
          <w:divBdr>
            <w:top w:val="none" w:sz="0" w:space="0" w:color="auto"/>
            <w:left w:val="none" w:sz="0" w:space="0" w:color="auto"/>
            <w:bottom w:val="none" w:sz="0" w:space="0" w:color="auto"/>
            <w:right w:val="none" w:sz="0" w:space="0" w:color="auto"/>
          </w:divBdr>
        </w:div>
        <w:div w:id="1085421199">
          <w:marLeft w:val="640"/>
          <w:marRight w:val="0"/>
          <w:marTop w:val="0"/>
          <w:marBottom w:val="0"/>
          <w:divBdr>
            <w:top w:val="none" w:sz="0" w:space="0" w:color="auto"/>
            <w:left w:val="none" w:sz="0" w:space="0" w:color="auto"/>
            <w:bottom w:val="none" w:sz="0" w:space="0" w:color="auto"/>
            <w:right w:val="none" w:sz="0" w:space="0" w:color="auto"/>
          </w:divBdr>
        </w:div>
        <w:div w:id="420373790">
          <w:marLeft w:val="640"/>
          <w:marRight w:val="0"/>
          <w:marTop w:val="0"/>
          <w:marBottom w:val="0"/>
          <w:divBdr>
            <w:top w:val="none" w:sz="0" w:space="0" w:color="auto"/>
            <w:left w:val="none" w:sz="0" w:space="0" w:color="auto"/>
            <w:bottom w:val="none" w:sz="0" w:space="0" w:color="auto"/>
            <w:right w:val="none" w:sz="0" w:space="0" w:color="auto"/>
          </w:divBdr>
        </w:div>
        <w:div w:id="1197736637">
          <w:marLeft w:val="640"/>
          <w:marRight w:val="0"/>
          <w:marTop w:val="0"/>
          <w:marBottom w:val="0"/>
          <w:divBdr>
            <w:top w:val="none" w:sz="0" w:space="0" w:color="auto"/>
            <w:left w:val="none" w:sz="0" w:space="0" w:color="auto"/>
            <w:bottom w:val="none" w:sz="0" w:space="0" w:color="auto"/>
            <w:right w:val="none" w:sz="0" w:space="0" w:color="auto"/>
          </w:divBdr>
        </w:div>
        <w:div w:id="47650510">
          <w:marLeft w:val="640"/>
          <w:marRight w:val="0"/>
          <w:marTop w:val="0"/>
          <w:marBottom w:val="0"/>
          <w:divBdr>
            <w:top w:val="none" w:sz="0" w:space="0" w:color="auto"/>
            <w:left w:val="none" w:sz="0" w:space="0" w:color="auto"/>
            <w:bottom w:val="none" w:sz="0" w:space="0" w:color="auto"/>
            <w:right w:val="none" w:sz="0" w:space="0" w:color="auto"/>
          </w:divBdr>
        </w:div>
        <w:div w:id="2074767824">
          <w:marLeft w:val="640"/>
          <w:marRight w:val="0"/>
          <w:marTop w:val="0"/>
          <w:marBottom w:val="0"/>
          <w:divBdr>
            <w:top w:val="none" w:sz="0" w:space="0" w:color="auto"/>
            <w:left w:val="none" w:sz="0" w:space="0" w:color="auto"/>
            <w:bottom w:val="none" w:sz="0" w:space="0" w:color="auto"/>
            <w:right w:val="none" w:sz="0" w:space="0" w:color="auto"/>
          </w:divBdr>
        </w:div>
        <w:div w:id="1371221851">
          <w:marLeft w:val="640"/>
          <w:marRight w:val="0"/>
          <w:marTop w:val="0"/>
          <w:marBottom w:val="0"/>
          <w:divBdr>
            <w:top w:val="none" w:sz="0" w:space="0" w:color="auto"/>
            <w:left w:val="none" w:sz="0" w:space="0" w:color="auto"/>
            <w:bottom w:val="none" w:sz="0" w:space="0" w:color="auto"/>
            <w:right w:val="none" w:sz="0" w:space="0" w:color="auto"/>
          </w:divBdr>
        </w:div>
        <w:div w:id="1387485490">
          <w:marLeft w:val="640"/>
          <w:marRight w:val="0"/>
          <w:marTop w:val="0"/>
          <w:marBottom w:val="0"/>
          <w:divBdr>
            <w:top w:val="none" w:sz="0" w:space="0" w:color="auto"/>
            <w:left w:val="none" w:sz="0" w:space="0" w:color="auto"/>
            <w:bottom w:val="none" w:sz="0" w:space="0" w:color="auto"/>
            <w:right w:val="none" w:sz="0" w:space="0" w:color="auto"/>
          </w:divBdr>
        </w:div>
        <w:div w:id="1699622223">
          <w:marLeft w:val="640"/>
          <w:marRight w:val="0"/>
          <w:marTop w:val="0"/>
          <w:marBottom w:val="0"/>
          <w:divBdr>
            <w:top w:val="none" w:sz="0" w:space="0" w:color="auto"/>
            <w:left w:val="none" w:sz="0" w:space="0" w:color="auto"/>
            <w:bottom w:val="none" w:sz="0" w:space="0" w:color="auto"/>
            <w:right w:val="none" w:sz="0" w:space="0" w:color="auto"/>
          </w:divBdr>
        </w:div>
        <w:div w:id="1435662916">
          <w:marLeft w:val="640"/>
          <w:marRight w:val="0"/>
          <w:marTop w:val="0"/>
          <w:marBottom w:val="0"/>
          <w:divBdr>
            <w:top w:val="none" w:sz="0" w:space="0" w:color="auto"/>
            <w:left w:val="none" w:sz="0" w:space="0" w:color="auto"/>
            <w:bottom w:val="none" w:sz="0" w:space="0" w:color="auto"/>
            <w:right w:val="none" w:sz="0" w:space="0" w:color="auto"/>
          </w:divBdr>
        </w:div>
        <w:div w:id="1090009026">
          <w:marLeft w:val="640"/>
          <w:marRight w:val="0"/>
          <w:marTop w:val="0"/>
          <w:marBottom w:val="0"/>
          <w:divBdr>
            <w:top w:val="none" w:sz="0" w:space="0" w:color="auto"/>
            <w:left w:val="none" w:sz="0" w:space="0" w:color="auto"/>
            <w:bottom w:val="none" w:sz="0" w:space="0" w:color="auto"/>
            <w:right w:val="none" w:sz="0" w:space="0" w:color="auto"/>
          </w:divBdr>
        </w:div>
        <w:div w:id="591741238">
          <w:marLeft w:val="640"/>
          <w:marRight w:val="0"/>
          <w:marTop w:val="0"/>
          <w:marBottom w:val="0"/>
          <w:divBdr>
            <w:top w:val="none" w:sz="0" w:space="0" w:color="auto"/>
            <w:left w:val="none" w:sz="0" w:space="0" w:color="auto"/>
            <w:bottom w:val="none" w:sz="0" w:space="0" w:color="auto"/>
            <w:right w:val="none" w:sz="0" w:space="0" w:color="auto"/>
          </w:divBdr>
        </w:div>
        <w:div w:id="1235896218">
          <w:marLeft w:val="640"/>
          <w:marRight w:val="0"/>
          <w:marTop w:val="0"/>
          <w:marBottom w:val="0"/>
          <w:divBdr>
            <w:top w:val="none" w:sz="0" w:space="0" w:color="auto"/>
            <w:left w:val="none" w:sz="0" w:space="0" w:color="auto"/>
            <w:bottom w:val="none" w:sz="0" w:space="0" w:color="auto"/>
            <w:right w:val="none" w:sz="0" w:space="0" w:color="auto"/>
          </w:divBdr>
        </w:div>
        <w:div w:id="81026790">
          <w:marLeft w:val="640"/>
          <w:marRight w:val="0"/>
          <w:marTop w:val="0"/>
          <w:marBottom w:val="0"/>
          <w:divBdr>
            <w:top w:val="none" w:sz="0" w:space="0" w:color="auto"/>
            <w:left w:val="none" w:sz="0" w:space="0" w:color="auto"/>
            <w:bottom w:val="none" w:sz="0" w:space="0" w:color="auto"/>
            <w:right w:val="none" w:sz="0" w:space="0" w:color="auto"/>
          </w:divBdr>
        </w:div>
        <w:div w:id="1313561704">
          <w:marLeft w:val="640"/>
          <w:marRight w:val="0"/>
          <w:marTop w:val="0"/>
          <w:marBottom w:val="0"/>
          <w:divBdr>
            <w:top w:val="none" w:sz="0" w:space="0" w:color="auto"/>
            <w:left w:val="none" w:sz="0" w:space="0" w:color="auto"/>
            <w:bottom w:val="none" w:sz="0" w:space="0" w:color="auto"/>
            <w:right w:val="none" w:sz="0" w:space="0" w:color="auto"/>
          </w:divBdr>
        </w:div>
        <w:div w:id="604271684">
          <w:marLeft w:val="640"/>
          <w:marRight w:val="0"/>
          <w:marTop w:val="0"/>
          <w:marBottom w:val="0"/>
          <w:divBdr>
            <w:top w:val="none" w:sz="0" w:space="0" w:color="auto"/>
            <w:left w:val="none" w:sz="0" w:space="0" w:color="auto"/>
            <w:bottom w:val="none" w:sz="0" w:space="0" w:color="auto"/>
            <w:right w:val="none" w:sz="0" w:space="0" w:color="auto"/>
          </w:divBdr>
        </w:div>
        <w:div w:id="154493017">
          <w:marLeft w:val="640"/>
          <w:marRight w:val="0"/>
          <w:marTop w:val="0"/>
          <w:marBottom w:val="0"/>
          <w:divBdr>
            <w:top w:val="none" w:sz="0" w:space="0" w:color="auto"/>
            <w:left w:val="none" w:sz="0" w:space="0" w:color="auto"/>
            <w:bottom w:val="none" w:sz="0" w:space="0" w:color="auto"/>
            <w:right w:val="none" w:sz="0" w:space="0" w:color="auto"/>
          </w:divBdr>
        </w:div>
        <w:div w:id="1510487620">
          <w:marLeft w:val="640"/>
          <w:marRight w:val="0"/>
          <w:marTop w:val="0"/>
          <w:marBottom w:val="0"/>
          <w:divBdr>
            <w:top w:val="none" w:sz="0" w:space="0" w:color="auto"/>
            <w:left w:val="none" w:sz="0" w:space="0" w:color="auto"/>
            <w:bottom w:val="none" w:sz="0" w:space="0" w:color="auto"/>
            <w:right w:val="none" w:sz="0" w:space="0" w:color="auto"/>
          </w:divBdr>
        </w:div>
        <w:div w:id="1414426278">
          <w:marLeft w:val="640"/>
          <w:marRight w:val="0"/>
          <w:marTop w:val="0"/>
          <w:marBottom w:val="0"/>
          <w:divBdr>
            <w:top w:val="none" w:sz="0" w:space="0" w:color="auto"/>
            <w:left w:val="none" w:sz="0" w:space="0" w:color="auto"/>
            <w:bottom w:val="none" w:sz="0" w:space="0" w:color="auto"/>
            <w:right w:val="none" w:sz="0" w:space="0" w:color="auto"/>
          </w:divBdr>
        </w:div>
        <w:div w:id="1915696126">
          <w:marLeft w:val="640"/>
          <w:marRight w:val="0"/>
          <w:marTop w:val="0"/>
          <w:marBottom w:val="0"/>
          <w:divBdr>
            <w:top w:val="none" w:sz="0" w:space="0" w:color="auto"/>
            <w:left w:val="none" w:sz="0" w:space="0" w:color="auto"/>
            <w:bottom w:val="none" w:sz="0" w:space="0" w:color="auto"/>
            <w:right w:val="none" w:sz="0" w:space="0" w:color="auto"/>
          </w:divBdr>
        </w:div>
        <w:div w:id="981813168">
          <w:marLeft w:val="640"/>
          <w:marRight w:val="0"/>
          <w:marTop w:val="0"/>
          <w:marBottom w:val="0"/>
          <w:divBdr>
            <w:top w:val="none" w:sz="0" w:space="0" w:color="auto"/>
            <w:left w:val="none" w:sz="0" w:space="0" w:color="auto"/>
            <w:bottom w:val="none" w:sz="0" w:space="0" w:color="auto"/>
            <w:right w:val="none" w:sz="0" w:space="0" w:color="auto"/>
          </w:divBdr>
        </w:div>
        <w:div w:id="1161770251">
          <w:marLeft w:val="640"/>
          <w:marRight w:val="0"/>
          <w:marTop w:val="0"/>
          <w:marBottom w:val="0"/>
          <w:divBdr>
            <w:top w:val="none" w:sz="0" w:space="0" w:color="auto"/>
            <w:left w:val="none" w:sz="0" w:space="0" w:color="auto"/>
            <w:bottom w:val="none" w:sz="0" w:space="0" w:color="auto"/>
            <w:right w:val="none" w:sz="0" w:space="0" w:color="auto"/>
          </w:divBdr>
        </w:div>
        <w:div w:id="1999923259">
          <w:marLeft w:val="640"/>
          <w:marRight w:val="0"/>
          <w:marTop w:val="0"/>
          <w:marBottom w:val="0"/>
          <w:divBdr>
            <w:top w:val="none" w:sz="0" w:space="0" w:color="auto"/>
            <w:left w:val="none" w:sz="0" w:space="0" w:color="auto"/>
            <w:bottom w:val="none" w:sz="0" w:space="0" w:color="auto"/>
            <w:right w:val="none" w:sz="0" w:space="0" w:color="auto"/>
          </w:divBdr>
        </w:div>
        <w:div w:id="1475683971">
          <w:marLeft w:val="640"/>
          <w:marRight w:val="0"/>
          <w:marTop w:val="0"/>
          <w:marBottom w:val="0"/>
          <w:divBdr>
            <w:top w:val="none" w:sz="0" w:space="0" w:color="auto"/>
            <w:left w:val="none" w:sz="0" w:space="0" w:color="auto"/>
            <w:bottom w:val="none" w:sz="0" w:space="0" w:color="auto"/>
            <w:right w:val="none" w:sz="0" w:space="0" w:color="auto"/>
          </w:divBdr>
        </w:div>
        <w:div w:id="109782889">
          <w:marLeft w:val="640"/>
          <w:marRight w:val="0"/>
          <w:marTop w:val="0"/>
          <w:marBottom w:val="0"/>
          <w:divBdr>
            <w:top w:val="none" w:sz="0" w:space="0" w:color="auto"/>
            <w:left w:val="none" w:sz="0" w:space="0" w:color="auto"/>
            <w:bottom w:val="none" w:sz="0" w:space="0" w:color="auto"/>
            <w:right w:val="none" w:sz="0" w:space="0" w:color="auto"/>
          </w:divBdr>
        </w:div>
        <w:div w:id="29261637">
          <w:marLeft w:val="640"/>
          <w:marRight w:val="0"/>
          <w:marTop w:val="0"/>
          <w:marBottom w:val="0"/>
          <w:divBdr>
            <w:top w:val="none" w:sz="0" w:space="0" w:color="auto"/>
            <w:left w:val="none" w:sz="0" w:space="0" w:color="auto"/>
            <w:bottom w:val="none" w:sz="0" w:space="0" w:color="auto"/>
            <w:right w:val="none" w:sz="0" w:space="0" w:color="auto"/>
          </w:divBdr>
        </w:div>
        <w:div w:id="476339217">
          <w:marLeft w:val="640"/>
          <w:marRight w:val="0"/>
          <w:marTop w:val="0"/>
          <w:marBottom w:val="0"/>
          <w:divBdr>
            <w:top w:val="none" w:sz="0" w:space="0" w:color="auto"/>
            <w:left w:val="none" w:sz="0" w:space="0" w:color="auto"/>
            <w:bottom w:val="none" w:sz="0" w:space="0" w:color="auto"/>
            <w:right w:val="none" w:sz="0" w:space="0" w:color="auto"/>
          </w:divBdr>
        </w:div>
        <w:div w:id="669286386">
          <w:marLeft w:val="640"/>
          <w:marRight w:val="0"/>
          <w:marTop w:val="0"/>
          <w:marBottom w:val="0"/>
          <w:divBdr>
            <w:top w:val="none" w:sz="0" w:space="0" w:color="auto"/>
            <w:left w:val="none" w:sz="0" w:space="0" w:color="auto"/>
            <w:bottom w:val="none" w:sz="0" w:space="0" w:color="auto"/>
            <w:right w:val="none" w:sz="0" w:space="0" w:color="auto"/>
          </w:divBdr>
        </w:div>
        <w:div w:id="61829194">
          <w:marLeft w:val="640"/>
          <w:marRight w:val="0"/>
          <w:marTop w:val="0"/>
          <w:marBottom w:val="0"/>
          <w:divBdr>
            <w:top w:val="none" w:sz="0" w:space="0" w:color="auto"/>
            <w:left w:val="none" w:sz="0" w:space="0" w:color="auto"/>
            <w:bottom w:val="none" w:sz="0" w:space="0" w:color="auto"/>
            <w:right w:val="none" w:sz="0" w:space="0" w:color="auto"/>
          </w:divBdr>
        </w:div>
        <w:div w:id="1861820992">
          <w:marLeft w:val="640"/>
          <w:marRight w:val="0"/>
          <w:marTop w:val="0"/>
          <w:marBottom w:val="0"/>
          <w:divBdr>
            <w:top w:val="none" w:sz="0" w:space="0" w:color="auto"/>
            <w:left w:val="none" w:sz="0" w:space="0" w:color="auto"/>
            <w:bottom w:val="none" w:sz="0" w:space="0" w:color="auto"/>
            <w:right w:val="none" w:sz="0" w:space="0" w:color="auto"/>
          </w:divBdr>
        </w:div>
        <w:div w:id="2001932157">
          <w:marLeft w:val="640"/>
          <w:marRight w:val="0"/>
          <w:marTop w:val="0"/>
          <w:marBottom w:val="0"/>
          <w:divBdr>
            <w:top w:val="none" w:sz="0" w:space="0" w:color="auto"/>
            <w:left w:val="none" w:sz="0" w:space="0" w:color="auto"/>
            <w:bottom w:val="none" w:sz="0" w:space="0" w:color="auto"/>
            <w:right w:val="none" w:sz="0" w:space="0" w:color="auto"/>
          </w:divBdr>
        </w:div>
        <w:div w:id="853114358">
          <w:marLeft w:val="640"/>
          <w:marRight w:val="0"/>
          <w:marTop w:val="0"/>
          <w:marBottom w:val="0"/>
          <w:divBdr>
            <w:top w:val="none" w:sz="0" w:space="0" w:color="auto"/>
            <w:left w:val="none" w:sz="0" w:space="0" w:color="auto"/>
            <w:bottom w:val="none" w:sz="0" w:space="0" w:color="auto"/>
            <w:right w:val="none" w:sz="0" w:space="0" w:color="auto"/>
          </w:divBdr>
        </w:div>
        <w:div w:id="1670864846">
          <w:marLeft w:val="640"/>
          <w:marRight w:val="0"/>
          <w:marTop w:val="0"/>
          <w:marBottom w:val="0"/>
          <w:divBdr>
            <w:top w:val="none" w:sz="0" w:space="0" w:color="auto"/>
            <w:left w:val="none" w:sz="0" w:space="0" w:color="auto"/>
            <w:bottom w:val="none" w:sz="0" w:space="0" w:color="auto"/>
            <w:right w:val="none" w:sz="0" w:space="0" w:color="auto"/>
          </w:divBdr>
        </w:div>
        <w:div w:id="391588142">
          <w:marLeft w:val="640"/>
          <w:marRight w:val="0"/>
          <w:marTop w:val="0"/>
          <w:marBottom w:val="0"/>
          <w:divBdr>
            <w:top w:val="none" w:sz="0" w:space="0" w:color="auto"/>
            <w:left w:val="none" w:sz="0" w:space="0" w:color="auto"/>
            <w:bottom w:val="none" w:sz="0" w:space="0" w:color="auto"/>
            <w:right w:val="none" w:sz="0" w:space="0" w:color="auto"/>
          </w:divBdr>
        </w:div>
        <w:div w:id="1805923061">
          <w:marLeft w:val="640"/>
          <w:marRight w:val="0"/>
          <w:marTop w:val="0"/>
          <w:marBottom w:val="0"/>
          <w:divBdr>
            <w:top w:val="none" w:sz="0" w:space="0" w:color="auto"/>
            <w:left w:val="none" w:sz="0" w:space="0" w:color="auto"/>
            <w:bottom w:val="none" w:sz="0" w:space="0" w:color="auto"/>
            <w:right w:val="none" w:sz="0" w:space="0" w:color="auto"/>
          </w:divBdr>
        </w:div>
        <w:div w:id="2133133148">
          <w:marLeft w:val="640"/>
          <w:marRight w:val="0"/>
          <w:marTop w:val="0"/>
          <w:marBottom w:val="0"/>
          <w:divBdr>
            <w:top w:val="none" w:sz="0" w:space="0" w:color="auto"/>
            <w:left w:val="none" w:sz="0" w:space="0" w:color="auto"/>
            <w:bottom w:val="none" w:sz="0" w:space="0" w:color="auto"/>
            <w:right w:val="none" w:sz="0" w:space="0" w:color="auto"/>
          </w:divBdr>
        </w:div>
        <w:div w:id="1752464982">
          <w:marLeft w:val="640"/>
          <w:marRight w:val="0"/>
          <w:marTop w:val="0"/>
          <w:marBottom w:val="0"/>
          <w:divBdr>
            <w:top w:val="none" w:sz="0" w:space="0" w:color="auto"/>
            <w:left w:val="none" w:sz="0" w:space="0" w:color="auto"/>
            <w:bottom w:val="none" w:sz="0" w:space="0" w:color="auto"/>
            <w:right w:val="none" w:sz="0" w:space="0" w:color="auto"/>
          </w:divBdr>
        </w:div>
        <w:div w:id="1567496799">
          <w:marLeft w:val="640"/>
          <w:marRight w:val="0"/>
          <w:marTop w:val="0"/>
          <w:marBottom w:val="0"/>
          <w:divBdr>
            <w:top w:val="none" w:sz="0" w:space="0" w:color="auto"/>
            <w:left w:val="none" w:sz="0" w:space="0" w:color="auto"/>
            <w:bottom w:val="none" w:sz="0" w:space="0" w:color="auto"/>
            <w:right w:val="none" w:sz="0" w:space="0" w:color="auto"/>
          </w:divBdr>
        </w:div>
        <w:div w:id="1206940402">
          <w:marLeft w:val="640"/>
          <w:marRight w:val="0"/>
          <w:marTop w:val="0"/>
          <w:marBottom w:val="0"/>
          <w:divBdr>
            <w:top w:val="none" w:sz="0" w:space="0" w:color="auto"/>
            <w:left w:val="none" w:sz="0" w:space="0" w:color="auto"/>
            <w:bottom w:val="none" w:sz="0" w:space="0" w:color="auto"/>
            <w:right w:val="none" w:sz="0" w:space="0" w:color="auto"/>
          </w:divBdr>
        </w:div>
        <w:div w:id="1562135047">
          <w:marLeft w:val="640"/>
          <w:marRight w:val="0"/>
          <w:marTop w:val="0"/>
          <w:marBottom w:val="0"/>
          <w:divBdr>
            <w:top w:val="none" w:sz="0" w:space="0" w:color="auto"/>
            <w:left w:val="none" w:sz="0" w:space="0" w:color="auto"/>
            <w:bottom w:val="none" w:sz="0" w:space="0" w:color="auto"/>
            <w:right w:val="none" w:sz="0" w:space="0" w:color="auto"/>
          </w:divBdr>
        </w:div>
        <w:div w:id="128675438">
          <w:marLeft w:val="640"/>
          <w:marRight w:val="0"/>
          <w:marTop w:val="0"/>
          <w:marBottom w:val="0"/>
          <w:divBdr>
            <w:top w:val="none" w:sz="0" w:space="0" w:color="auto"/>
            <w:left w:val="none" w:sz="0" w:space="0" w:color="auto"/>
            <w:bottom w:val="none" w:sz="0" w:space="0" w:color="auto"/>
            <w:right w:val="none" w:sz="0" w:space="0" w:color="auto"/>
          </w:divBdr>
        </w:div>
        <w:div w:id="760301928">
          <w:marLeft w:val="640"/>
          <w:marRight w:val="0"/>
          <w:marTop w:val="0"/>
          <w:marBottom w:val="0"/>
          <w:divBdr>
            <w:top w:val="none" w:sz="0" w:space="0" w:color="auto"/>
            <w:left w:val="none" w:sz="0" w:space="0" w:color="auto"/>
            <w:bottom w:val="none" w:sz="0" w:space="0" w:color="auto"/>
            <w:right w:val="none" w:sz="0" w:space="0" w:color="auto"/>
          </w:divBdr>
        </w:div>
        <w:div w:id="1070546041">
          <w:marLeft w:val="640"/>
          <w:marRight w:val="0"/>
          <w:marTop w:val="0"/>
          <w:marBottom w:val="0"/>
          <w:divBdr>
            <w:top w:val="none" w:sz="0" w:space="0" w:color="auto"/>
            <w:left w:val="none" w:sz="0" w:space="0" w:color="auto"/>
            <w:bottom w:val="none" w:sz="0" w:space="0" w:color="auto"/>
            <w:right w:val="none" w:sz="0" w:space="0" w:color="auto"/>
          </w:divBdr>
        </w:div>
        <w:div w:id="454444820">
          <w:marLeft w:val="640"/>
          <w:marRight w:val="0"/>
          <w:marTop w:val="0"/>
          <w:marBottom w:val="0"/>
          <w:divBdr>
            <w:top w:val="none" w:sz="0" w:space="0" w:color="auto"/>
            <w:left w:val="none" w:sz="0" w:space="0" w:color="auto"/>
            <w:bottom w:val="none" w:sz="0" w:space="0" w:color="auto"/>
            <w:right w:val="none" w:sz="0" w:space="0" w:color="auto"/>
          </w:divBdr>
        </w:div>
        <w:div w:id="1902521033">
          <w:marLeft w:val="640"/>
          <w:marRight w:val="0"/>
          <w:marTop w:val="0"/>
          <w:marBottom w:val="0"/>
          <w:divBdr>
            <w:top w:val="none" w:sz="0" w:space="0" w:color="auto"/>
            <w:left w:val="none" w:sz="0" w:space="0" w:color="auto"/>
            <w:bottom w:val="none" w:sz="0" w:space="0" w:color="auto"/>
            <w:right w:val="none" w:sz="0" w:space="0" w:color="auto"/>
          </w:divBdr>
        </w:div>
        <w:div w:id="1849368494">
          <w:marLeft w:val="640"/>
          <w:marRight w:val="0"/>
          <w:marTop w:val="0"/>
          <w:marBottom w:val="0"/>
          <w:divBdr>
            <w:top w:val="none" w:sz="0" w:space="0" w:color="auto"/>
            <w:left w:val="none" w:sz="0" w:space="0" w:color="auto"/>
            <w:bottom w:val="none" w:sz="0" w:space="0" w:color="auto"/>
            <w:right w:val="none" w:sz="0" w:space="0" w:color="auto"/>
          </w:divBdr>
        </w:div>
        <w:div w:id="1952278962">
          <w:marLeft w:val="640"/>
          <w:marRight w:val="0"/>
          <w:marTop w:val="0"/>
          <w:marBottom w:val="0"/>
          <w:divBdr>
            <w:top w:val="none" w:sz="0" w:space="0" w:color="auto"/>
            <w:left w:val="none" w:sz="0" w:space="0" w:color="auto"/>
            <w:bottom w:val="none" w:sz="0" w:space="0" w:color="auto"/>
            <w:right w:val="none" w:sz="0" w:space="0" w:color="auto"/>
          </w:divBdr>
        </w:div>
        <w:div w:id="1839614469">
          <w:marLeft w:val="640"/>
          <w:marRight w:val="0"/>
          <w:marTop w:val="0"/>
          <w:marBottom w:val="0"/>
          <w:divBdr>
            <w:top w:val="none" w:sz="0" w:space="0" w:color="auto"/>
            <w:left w:val="none" w:sz="0" w:space="0" w:color="auto"/>
            <w:bottom w:val="none" w:sz="0" w:space="0" w:color="auto"/>
            <w:right w:val="none" w:sz="0" w:space="0" w:color="auto"/>
          </w:divBdr>
        </w:div>
        <w:div w:id="818811508">
          <w:marLeft w:val="640"/>
          <w:marRight w:val="0"/>
          <w:marTop w:val="0"/>
          <w:marBottom w:val="0"/>
          <w:divBdr>
            <w:top w:val="none" w:sz="0" w:space="0" w:color="auto"/>
            <w:left w:val="none" w:sz="0" w:space="0" w:color="auto"/>
            <w:bottom w:val="none" w:sz="0" w:space="0" w:color="auto"/>
            <w:right w:val="none" w:sz="0" w:space="0" w:color="auto"/>
          </w:divBdr>
        </w:div>
        <w:div w:id="1728340387">
          <w:marLeft w:val="640"/>
          <w:marRight w:val="0"/>
          <w:marTop w:val="0"/>
          <w:marBottom w:val="0"/>
          <w:divBdr>
            <w:top w:val="none" w:sz="0" w:space="0" w:color="auto"/>
            <w:left w:val="none" w:sz="0" w:space="0" w:color="auto"/>
            <w:bottom w:val="none" w:sz="0" w:space="0" w:color="auto"/>
            <w:right w:val="none" w:sz="0" w:space="0" w:color="auto"/>
          </w:divBdr>
        </w:div>
        <w:div w:id="1104761250">
          <w:marLeft w:val="640"/>
          <w:marRight w:val="0"/>
          <w:marTop w:val="0"/>
          <w:marBottom w:val="0"/>
          <w:divBdr>
            <w:top w:val="none" w:sz="0" w:space="0" w:color="auto"/>
            <w:left w:val="none" w:sz="0" w:space="0" w:color="auto"/>
            <w:bottom w:val="none" w:sz="0" w:space="0" w:color="auto"/>
            <w:right w:val="none" w:sz="0" w:space="0" w:color="auto"/>
          </w:divBdr>
        </w:div>
        <w:div w:id="1275595702">
          <w:marLeft w:val="640"/>
          <w:marRight w:val="0"/>
          <w:marTop w:val="0"/>
          <w:marBottom w:val="0"/>
          <w:divBdr>
            <w:top w:val="none" w:sz="0" w:space="0" w:color="auto"/>
            <w:left w:val="none" w:sz="0" w:space="0" w:color="auto"/>
            <w:bottom w:val="none" w:sz="0" w:space="0" w:color="auto"/>
            <w:right w:val="none" w:sz="0" w:space="0" w:color="auto"/>
          </w:divBdr>
        </w:div>
        <w:div w:id="1260017382">
          <w:marLeft w:val="640"/>
          <w:marRight w:val="0"/>
          <w:marTop w:val="0"/>
          <w:marBottom w:val="0"/>
          <w:divBdr>
            <w:top w:val="none" w:sz="0" w:space="0" w:color="auto"/>
            <w:left w:val="none" w:sz="0" w:space="0" w:color="auto"/>
            <w:bottom w:val="none" w:sz="0" w:space="0" w:color="auto"/>
            <w:right w:val="none" w:sz="0" w:space="0" w:color="auto"/>
          </w:divBdr>
        </w:div>
        <w:div w:id="1579250667">
          <w:marLeft w:val="640"/>
          <w:marRight w:val="0"/>
          <w:marTop w:val="0"/>
          <w:marBottom w:val="0"/>
          <w:divBdr>
            <w:top w:val="none" w:sz="0" w:space="0" w:color="auto"/>
            <w:left w:val="none" w:sz="0" w:space="0" w:color="auto"/>
            <w:bottom w:val="none" w:sz="0" w:space="0" w:color="auto"/>
            <w:right w:val="none" w:sz="0" w:space="0" w:color="auto"/>
          </w:divBdr>
        </w:div>
        <w:div w:id="779254041">
          <w:marLeft w:val="640"/>
          <w:marRight w:val="0"/>
          <w:marTop w:val="0"/>
          <w:marBottom w:val="0"/>
          <w:divBdr>
            <w:top w:val="none" w:sz="0" w:space="0" w:color="auto"/>
            <w:left w:val="none" w:sz="0" w:space="0" w:color="auto"/>
            <w:bottom w:val="none" w:sz="0" w:space="0" w:color="auto"/>
            <w:right w:val="none" w:sz="0" w:space="0" w:color="auto"/>
          </w:divBdr>
        </w:div>
        <w:div w:id="1628778455">
          <w:marLeft w:val="640"/>
          <w:marRight w:val="0"/>
          <w:marTop w:val="0"/>
          <w:marBottom w:val="0"/>
          <w:divBdr>
            <w:top w:val="none" w:sz="0" w:space="0" w:color="auto"/>
            <w:left w:val="none" w:sz="0" w:space="0" w:color="auto"/>
            <w:bottom w:val="none" w:sz="0" w:space="0" w:color="auto"/>
            <w:right w:val="none" w:sz="0" w:space="0" w:color="auto"/>
          </w:divBdr>
        </w:div>
        <w:div w:id="1413503310">
          <w:marLeft w:val="640"/>
          <w:marRight w:val="0"/>
          <w:marTop w:val="0"/>
          <w:marBottom w:val="0"/>
          <w:divBdr>
            <w:top w:val="none" w:sz="0" w:space="0" w:color="auto"/>
            <w:left w:val="none" w:sz="0" w:space="0" w:color="auto"/>
            <w:bottom w:val="none" w:sz="0" w:space="0" w:color="auto"/>
            <w:right w:val="none" w:sz="0" w:space="0" w:color="auto"/>
          </w:divBdr>
        </w:div>
        <w:div w:id="945886417">
          <w:marLeft w:val="640"/>
          <w:marRight w:val="0"/>
          <w:marTop w:val="0"/>
          <w:marBottom w:val="0"/>
          <w:divBdr>
            <w:top w:val="none" w:sz="0" w:space="0" w:color="auto"/>
            <w:left w:val="none" w:sz="0" w:space="0" w:color="auto"/>
            <w:bottom w:val="none" w:sz="0" w:space="0" w:color="auto"/>
            <w:right w:val="none" w:sz="0" w:space="0" w:color="auto"/>
          </w:divBdr>
        </w:div>
        <w:div w:id="706566143">
          <w:marLeft w:val="640"/>
          <w:marRight w:val="0"/>
          <w:marTop w:val="0"/>
          <w:marBottom w:val="0"/>
          <w:divBdr>
            <w:top w:val="none" w:sz="0" w:space="0" w:color="auto"/>
            <w:left w:val="none" w:sz="0" w:space="0" w:color="auto"/>
            <w:bottom w:val="none" w:sz="0" w:space="0" w:color="auto"/>
            <w:right w:val="none" w:sz="0" w:space="0" w:color="auto"/>
          </w:divBdr>
        </w:div>
        <w:div w:id="1671249565">
          <w:marLeft w:val="640"/>
          <w:marRight w:val="0"/>
          <w:marTop w:val="0"/>
          <w:marBottom w:val="0"/>
          <w:divBdr>
            <w:top w:val="none" w:sz="0" w:space="0" w:color="auto"/>
            <w:left w:val="none" w:sz="0" w:space="0" w:color="auto"/>
            <w:bottom w:val="none" w:sz="0" w:space="0" w:color="auto"/>
            <w:right w:val="none" w:sz="0" w:space="0" w:color="auto"/>
          </w:divBdr>
        </w:div>
        <w:div w:id="856961992">
          <w:marLeft w:val="640"/>
          <w:marRight w:val="0"/>
          <w:marTop w:val="0"/>
          <w:marBottom w:val="0"/>
          <w:divBdr>
            <w:top w:val="none" w:sz="0" w:space="0" w:color="auto"/>
            <w:left w:val="none" w:sz="0" w:space="0" w:color="auto"/>
            <w:bottom w:val="none" w:sz="0" w:space="0" w:color="auto"/>
            <w:right w:val="none" w:sz="0" w:space="0" w:color="auto"/>
          </w:divBdr>
        </w:div>
        <w:div w:id="98183998">
          <w:marLeft w:val="640"/>
          <w:marRight w:val="0"/>
          <w:marTop w:val="0"/>
          <w:marBottom w:val="0"/>
          <w:divBdr>
            <w:top w:val="none" w:sz="0" w:space="0" w:color="auto"/>
            <w:left w:val="none" w:sz="0" w:space="0" w:color="auto"/>
            <w:bottom w:val="none" w:sz="0" w:space="0" w:color="auto"/>
            <w:right w:val="none" w:sz="0" w:space="0" w:color="auto"/>
          </w:divBdr>
        </w:div>
        <w:div w:id="190801747">
          <w:marLeft w:val="640"/>
          <w:marRight w:val="0"/>
          <w:marTop w:val="0"/>
          <w:marBottom w:val="0"/>
          <w:divBdr>
            <w:top w:val="none" w:sz="0" w:space="0" w:color="auto"/>
            <w:left w:val="none" w:sz="0" w:space="0" w:color="auto"/>
            <w:bottom w:val="none" w:sz="0" w:space="0" w:color="auto"/>
            <w:right w:val="none" w:sz="0" w:space="0" w:color="auto"/>
          </w:divBdr>
        </w:div>
        <w:div w:id="319501389">
          <w:marLeft w:val="640"/>
          <w:marRight w:val="0"/>
          <w:marTop w:val="0"/>
          <w:marBottom w:val="0"/>
          <w:divBdr>
            <w:top w:val="none" w:sz="0" w:space="0" w:color="auto"/>
            <w:left w:val="none" w:sz="0" w:space="0" w:color="auto"/>
            <w:bottom w:val="none" w:sz="0" w:space="0" w:color="auto"/>
            <w:right w:val="none" w:sz="0" w:space="0" w:color="auto"/>
          </w:divBdr>
        </w:div>
        <w:div w:id="95518323">
          <w:marLeft w:val="640"/>
          <w:marRight w:val="0"/>
          <w:marTop w:val="0"/>
          <w:marBottom w:val="0"/>
          <w:divBdr>
            <w:top w:val="none" w:sz="0" w:space="0" w:color="auto"/>
            <w:left w:val="none" w:sz="0" w:space="0" w:color="auto"/>
            <w:bottom w:val="none" w:sz="0" w:space="0" w:color="auto"/>
            <w:right w:val="none" w:sz="0" w:space="0" w:color="auto"/>
          </w:divBdr>
        </w:div>
        <w:div w:id="1106272399">
          <w:marLeft w:val="640"/>
          <w:marRight w:val="0"/>
          <w:marTop w:val="0"/>
          <w:marBottom w:val="0"/>
          <w:divBdr>
            <w:top w:val="none" w:sz="0" w:space="0" w:color="auto"/>
            <w:left w:val="none" w:sz="0" w:space="0" w:color="auto"/>
            <w:bottom w:val="none" w:sz="0" w:space="0" w:color="auto"/>
            <w:right w:val="none" w:sz="0" w:space="0" w:color="auto"/>
          </w:divBdr>
        </w:div>
        <w:div w:id="1641494326">
          <w:marLeft w:val="640"/>
          <w:marRight w:val="0"/>
          <w:marTop w:val="0"/>
          <w:marBottom w:val="0"/>
          <w:divBdr>
            <w:top w:val="none" w:sz="0" w:space="0" w:color="auto"/>
            <w:left w:val="none" w:sz="0" w:space="0" w:color="auto"/>
            <w:bottom w:val="none" w:sz="0" w:space="0" w:color="auto"/>
            <w:right w:val="none" w:sz="0" w:space="0" w:color="auto"/>
          </w:divBdr>
        </w:div>
      </w:divsChild>
    </w:div>
    <w:div w:id="613439646">
      <w:bodyDiv w:val="1"/>
      <w:marLeft w:val="0"/>
      <w:marRight w:val="0"/>
      <w:marTop w:val="0"/>
      <w:marBottom w:val="0"/>
      <w:divBdr>
        <w:top w:val="none" w:sz="0" w:space="0" w:color="auto"/>
        <w:left w:val="none" w:sz="0" w:space="0" w:color="auto"/>
        <w:bottom w:val="none" w:sz="0" w:space="0" w:color="auto"/>
        <w:right w:val="none" w:sz="0" w:space="0" w:color="auto"/>
      </w:divBdr>
    </w:div>
    <w:div w:id="615479207">
      <w:bodyDiv w:val="1"/>
      <w:marLeft w:val="0"/>
      <w:marRight w:val="0"/>
      <w:marTop w:val="0"/>
      <w:marBottom w:val="0"/>
      <w:divBdr>
        <w:top w:val="none" w:sz="0" w:space="0" w:color="auto"/>
        <w:left w:val="none" w:sz="0" w:space="0" w:color="auto"/>
        <w:bottom w:val="none" w:sz="0" w:space="0" w:color="auto"/>
        <w:right w:val="none" w:sz="0" w:space="0" w:color="auto"/>
      </w:divBdr>
    </w:div>
    <w:div w:id="643588293">
      <w:bodyDiv w:val="1"/>
      <w:marLeft w:val="0"/>
      <w:marRight w:val="0"/>
      <w:marTop w:val="0"/>
      <w:marBottom w:val="0"/>
      <w:divBdr>
        <w:top w:val="none" w:sz="0" w:space="0" w:color="auto"/>
        <w:left w:val="none" w:sz="0" w:space="0" w:color="auto"/>
        <w:bottom w:val="none" w:sz="0" w:space="0" w:color="auto"/>
        <w:right w:val="none" w:sz="0" w:space="0" w:color="auto"/>
      </w:divBdr>
    </w:div>
    <w:div w:id="647781312">
      <w:bodyDiv w:val="1"/>
      <w:marLeft w:val="0"/>
      <w:marRight w:val="0"/>
      <w:marTop w:val="0"/>
      <w:marBottom w:val="0"/>
      <w:divBdr>
        <w:top w:val="none" w:sz="0" w:space="0" w:color="auto"/>
        <w:left w:val="none" w:sz="0" w:space="0" w:color="auto"/>
        <w:bottom w:val="none" w:sz="0" w:space="0" w:color="auto"/>
        <w:right w:val="none" w:sz="0" w:space="0" w:color="auto"/>
      </w:divBdr>
    </w:div>
    <w:div w:id="661009738">
      <w:bodyDiv w:val="1"/>
      <w:marLeft w:val="0"/>
      <w:marRight w:val="0"/>
      <w:marTop w:val="0"/>
      <w:marBottom w:val="0"/>
      <w:divBdr>
        <w:top w:val="none" w:sz="0" w:space="0" w:color="auto"/>
        <w:left w:val="none" w:sz="0" w:space="0" w:color="auto"/>
        <w:bottom w:val="none" w:sz="0" w:space="0" w:color="auto"/>
        <w:right w:val="none" w:sz="0" w:space="0" w:color="auto"/>
      </w:divBdr>
    </w:div>
    <w:div w:id="688483540">
      <w:bodyDiv w:val="1"/>
      <w:marLeft w:val="0"/>
      <w:marRight w:val="0"/>
      <w:marTop w:val="0"/>
      <w:marBottom w:val="0"/>
      <w:divBdr>
        <w:top w:val="none" w:sz="0" w:space="0" w:color="auto"/>
        <w:left w:val="none" w:sz="0" w:space="0" w:color="auto"/>
        <w:bottom w:val="none" w:sz="0" w:space="0" w:color="auto"/>
        <w:right w:val="none" w:sz="0" w:space="0" w:color="auto"/>
      </w:divBdr>
      <w:divsChild>
        <w:div w:id="1667594009">
          <w:marLeft w:val="640"/>
          <w:marRight w:val="0"/>
          <w:marTop w:val="0"/>
          <w:marBottom w:val="0"/>
          <w:divBdr>
            <w:top w:val="none" w:sz="0" w:space="0" w:color="auto"/>
            <w:left w:val="none" w:sz="0" w:space="0" w:color="auto"/>
            <w:bottom w:val="none" w:sz="0" w:space="0" w:color="auto"/>
            <w:right w:val="none" w:sz="0" w:space="0" w:color="auto"/>
          </w:divBdr>
        </w:div>
        <w:div w:id="919947872">
          <w:marLeft w:val="640"/>
          <w:marRight w:val="0"/>
          <w:marTop w:val="0"/>
          <w:marBottom w:val="0"/>
          <w:divBdr>
            <w:top w:val="none" w:sz="0" w:space="0" w:color="auto"/>
            <w:left w:val="none" w:sz="0" w:space="0" w:color="auto"/>
            <w:bottom w:val="none" w:sz="0" w:space="0" w:color="auto"/>
            <w:right w:val="none" w:sz="0" w:space="0" w:color="auto"/>
          </w:divBdr>
        </w:div>
        <w:div w:id="1766606115">
          <w:marLeft w:val="640"/>
          <w:marRight w:val="0"/>
          <w:marTop w:val="0"/>
          <w:marBottom w:val="0"/>
          <w:divBdr>
            <w:top w:val="none" w:sz="0" w:space="0" w:color="auto"/>
            <w:left w:val="none" w:sz="0" w:space="0" w:color="auto"/>
            <w:bottom w:val="none" w:sz="0" w:space="0" w:color="auto"/>
            <w:right w:val="none" w:sz="0" w:space="0" w:color="auto"/>
          </w:divBdr>
        </w:div>
        <w:div w:id="1835532799">
          <w:marLeft w:val="640"/>
          <w:marRight w:val="0"/>
          <w:marTop w:val="0"/>
          <w:marBottom w:val="0"/>
          <w:divBdr>
            <w:top w:val="none" w:sz="0" w:space="0" w:color="auto"/>
            <w:left w:val="none" w:sz="0" w:space="0" w:color="auto"/>
            <w:bottom w:val="none" w:sz="0" w:space="0" w:color="auto"/>
            <w:right w:val="none" w:sz="0" w:space="0" w:color="auto"/>
          </w:divBdr>
        </w:div>
        <w:div w:id="582639557">
          <w:marLeft w:val="640"/>
          <w:marRight w:val="0"/>
          <w:marTop w:val="0"/>
          <w:marBottom w:val="0"/>
          <w:divBdr>
            <w:top w:val="none" w:sz="0" w:space="0" w:color="auto"/>
            <w:left w:val="none" w:sz="0" w:space="0" w:color="auto"/>
            <w:bottom w:val="none" w:sz="0" w:space="0" w:color="auto"/>
            <w:right w:val="none" w:sz="0" w:space="0" w:color="auto"/>
          </w:divBdr>
        </w:div>
        <w:div w:id="667639265">
          <w:marLeft w:val="640"/>
          <w:marRight w:val="0"/>
          <w:marTop w:val="0"/>
          <w:marBottom w:val="0"/>
          <w:divBdr>
            <w:top w:val="none" w:sz="0" w:space="0" w:color="auto"/>
            <w:left w:val="none" w:sz="0" w:space="0" w:color="auto"/>
            <w:bottom w:val="none" w:sz="0" w:space="0" w:color="auto"/>
            <w:right w:val="none" w:sz="0" w:space="0" w:color="auto"/>
          </w:divBdr>
        </w:div>
        <w:div w:id="411894700">
          <w:marLeft w:val="640"/>
          <w:marRight w:val="0"/>
          <w:marTop w:val="0"/>
          <w:marBottom w:val="0"/>
          <w:divBdr>
            <w:top w:val="none" w:sz="0" w:space="0" w:color="auto"/>
            <w:left w:val="none" w:sz="0" w:space="0" w:color="auto"/>
            <w:bottom w:val="none" w:sz="0" w:space="0" w:color="auto"/>
            <w:right w:val="none" w:sz="0" w:space="0" w:color="auto"/>
          </w:divBdr>
        </w:div>
        <w:div w:id="1954745737">
          <w:marLeft w:val="640"/>
          <w:marRight w:val="0"/>
          <w:marTop w:val="0"/>
          <w:marBottom w:val="0"/>
          <w:divBdr>
            <w:top w:val="none" w:sz="0" w:space="0" w:color="auto"/>
            <w:left w:val="none" w:sz="0" w:space="0" w:color="auto"/>
            <w:bottom w:val="none" w:sz="0" w:space="0" w:color="auto"/>
            <w:right w:val="none" w:sz="0" w:space="0" w:color="auto"/>
          </w:divBdr>
        </w:div>
        <w:div w:id="1053429480">
          <w:marLeft w:val="640"/>
          <w:marRight w:val="0"/>
          <w:marTop w:val="0"/>
          <w:marBottom w:val="0"/>
          <w:divBdr>
            <w:top w:val="none" w:sz="0" w:space="0" w:color="auto"/>
            <w:left w:val="none" w:sz="0" w:space="0" w:color="auto"/>
            <w:bottom w:val="none" w:sz="0" w:space="0" w:color="auto"/>
            <w:right w:val="none" w:sz="0" w:space="0" w:color="auto"/>
          </w:divBdr>
        </w:div>
        <w:div w:id="1897154950">
          <w:marLeft w:val="640"/>
          <w:marRight w:val="0"/>
          <w:marTop w:val="0"/>
          <w:marBottom w:val="0"/>
          <w:divBdr>
            <w:top w:val="none" w:sz="0" w:space="0" w:color="auto"/>
            <w:left w:val="none" w:sz="0" w:space="0" w:color="auto"/>
            <w:bottom w:val="none" w:sz="0" w:space="0" w:color="auto"/>
            <w:right w:val="none" w:sz="0" w:space="0" w:color="auto"/>
          </w:divBdr>
        </w:div>
        <w:div w:id="841359266">
          <w:marLeft w:val="640"/>
          <w:marRight w:val="0"/>
          <w:marTop w:val="0"/>
          <w:marBottom w:val="0"/>
          <w:divBdr>
            <w:top w:val="none" w:sz="0" w:space="0" w:color="auto"/>
            <w:left w:val="none" w:sz="0" w:space="0" w:color="auto"/>
            <w:bottom w:val="none" w:sz="0" w:space="0" w:color="auto"/>
            <w:right w:val="none" w:sz="0" w:space="0" w:color="auto"/>
          </w:divBdr>
        </w:div>
        <w:div w:id="401031263">
          <w:marLeft w:val="640"/>
          <w:marRight w:val="0"/>
          <w:marTop w:val="0"/>
          <w:marBottom w:val="0"/>
          <w:divBdr>
            <w:top w:val="none" w:sz="0" w:space="0" w:color="auto"/>
            <w:left w:val="none" w:sz="0" w:space="0" w:color="auto"/>
            <w:bottom w:val="none" w:sz="0" w:space="0" w:color="auto"/>
            <w:right w:val="none" w:sz="0" w:space="0" w:color="auto"/>
          </w:divBdr>
        </w:div>
        <w:div w:id="702633348">
          <w:marLeft w:val="640"/>
          <w:marRight w:val="0"/>
          <w:marTop w:val="0"/>
          <w:marBottom w:val="0"/>
          <w:divBdr>
            <w:top w:val="none" w:sz="0" w:space="0" w:color="auto"/>
            <w:left w:val="none" w:sz="0" w:space="0" w:color="auto"/>
            <w:bottom w:val="none" w:sz="0" w:space="0" w:color="auto"/>
            <w:right w:val="none" w:sz="0" w:space="0" w:color="auto"/>
          </w:divBdr>
        </w:div>
        <w:div w:id="1516337426">
          <w:marLeft w:val="640"/>
          <w:marRight w:val="0"/>
          <w:marTop w:val="0"/>
          <w:marBottom w:val="0"/>
          <w:divBdr>
            <w:top w:val="none" w:sz="0" w:space="0" w:color="auto"/>
            <w:left w:val="none" w:sz="0" w:space="0" w:color="auto"/>
            <w:bottom w:val="none" w:sz="0" w:space="0" w:color="auto"/>
            <w:right w:val="none" w:sz="0" w:space="0" w:color="auto"/>
          </w:divBdr>
        </w:div>
        <w:div w:id="1629966552">
          <w:marLeft w:val="640"/>
          <w:marRight w:val="0"/>
          <w:marTop w:val="0"/>
          <w:marBottom w:val="0"/>
          <w:divBdr>
            <w:top w:val="none" w:sz="0" w:space="0" w:color="auto"/>
            <w:left w:val="none" w:sz="0" w:space="0" w:color="auto"/>
            <w:bottom w:val="none" w:sz="0" w:space="0" w:color="auto"/>
            <w:right w:val="none" w:sz="0" w:space="0" w:color="auto"/>
          </w:divBdr>
        </w:div>
        <w:div w:id="132645922">
          <w:marLeft w:val="640"/>
          <w:marRight w:val="0"/>
          <w:marTop w:val="0"/>
          <w:marBottom w:val="0"/>
          <w:divBdr>
            <w:top w:val="none" w:sz="0" w:space="0" w:color="auto"/>
            <w:left w:val="none" w:sz="0" w:space="0" w:color="auto"/>
            <w:bottom w:val="none" w:sz="0" w:space="0" w:color="auto"/>
            <w:right w:val="none" w:sz="0" w:space="0" w:color="auto"/>
          </w:divBdr>
        </w:div>
        <w:div w:id="283389909">
          <w:marLeft w:val="640"/>
          <w:marRight w:val="0"/>
          <w:marTop w:val="0"/>
          <w:marBottom w:val="0"/>
          <w:divBdr>
            <w:top w:val="none" w:sz="0" w:space="0" w:color="auto"/>
            <w:left w:val="none" w:sz="0" w:space="0" w:color="auto"/>
            <w:bottom w:val="none" w:sz="0" w:space="0" w:color="auto"/>
            <w:right w:val="none" w:sz="0" w:space="0" w:color="auto"/>
          </w:divBdr>
        </w:div>
        <w:div w:id="575435661">
          <w:marLeft w:val="640"/>
          <w:marRight w:val="0"/>
          <w:marTop w:val="0"/>
          <w:marBottom w:val="0"/>
          <w:divBdr>
            <w:top w:val="none" w:sz="0" w:space="0" w:color="auto"/>
            <w:left w:val="none" w:sz="0" w:space="0" w:color="auto"/>
            <w:bottom w:val="none" w:sz="0" w:space="0" w:color="auto"/>
            <w:right w:val="none" w:sz="0" w:space="0" w:color="auto"/>
          </w:divBdr>
        </w:div>
        <w:div w:id="66925099">
          <w:marLeft w:val="640"/>
          <w:marRight w:val="0"/>
          <w:marTop w:val="0"/>
          <w:marBottom w:val="0"/>
          <w:divBdr>
            <w:top w:val="none" w:sz="0" w:space="0" w:color="auto"/>
            <w:left w:val="none" w:sz="0" w:space="0" w:color="auto"/>
            <w:bottom w:val="none" w:sz="0" w:space="0" w:color="auto"/>
            <w:right w:val="none" w:sz="0" w:space="0" w:color="auto"/>
          </w:divBdr>
        </w:div>
        <w:div w:id="1001927681">
          <w:marLeft w:val="640"/>
          <w:marRight w:val="0"/>
          <w:marTop w:val="0"/>
          <w:marBottom w:val="0"/>
          <w:divBdr>
            <w:top w:val="none" w:sz="0" w:space="0" w:color="auto"/>
            <w:left w:val="none" w:sz="0" w:space="0" w:color="auto"/>
            <w:bottom w:val="none" w:sz="0" w:space="0" w:color="auto"/>
            <w:right w:val="none" w:sz="0" w:space="0" w:color="auto"/>
          </w:divBdr>
        </w:div>
        <w:div w:id="442531370">
          <w:marLeft w:val="640"/>
          <w:marRight w:val="0"/>
          <w:marTop w:val="0"/>
          <w:marBottom w:val="0"/>
          <w:divBdr>
            <w:top w:val="none" w:sz="0" w:space="0" w:color="auto"/>
            <w:left w:val="none" w:sz="0" w:space="0" w:color="auto"/>
            <w:bottom w:val="none" w:sz="0" w:space="0" w:color="auto"/>
            <w:right w:val="none" w:sz="0" w:space="0" w:color="auto"/>
          </w:divBdr>
        </w:div>
        <w:div w:id="1071545207">
          <w:marLeft w:val="640"/>
          <w:marRight w:val="0"/>
          <w:marTop w:val="0"/>
          <w:marBottom w:val="0"/>
          <w:divBdr>
            <w:top w:val="none" w:sz="0" w:space="0" w:color="auto"/>
            <w:left w:val="none" w:sz="0" w:space="0" w:color="auto"/>
            <w:bottom w:val="none" w:sz="0" w:space="0" w:color="auto"/>
            <w:right w:val="none" w:sz="0" w:space="0" w:color="auto"/>
          </w:divBdr>
        </w:div>
        <w:div w:id="927616578">
          <w:marLeft w:val="640"/>
          <w:marRight w:val="0"/>
          <w:marTop w:val="0"/>
          <w:marBottom w:val="0"/>
          <w:divBdr>
            <w:top w:val="none" w:sz="0" w:space="0" w:color="auto"/>
            <w:left w:val="none" w:sz="0" w:space="0" w:color="auto"/>
            <w:bottom w:val="none" w:sz="0" w:space="0" w:color="auto"/>
            <w:right w:val="none" w:sz="0" w:space="0" w:color="auto"/>
          </w:divBdr>
        </w:div>
        <w:div w:id="1601454220">
          <w:marLeft w:val="640"/>
          <w:marRight w:val="0"/>
          <w:marTop w:val="0"/>
          <w:marBottom w:val="0"/>
          <w:divBdr>
            <w:top w:val="none" w:sz="0" w:space="0" w:color="auto"/>
            <w:left w:val="none" w:sz="0" w:space="0" w:color="auto"/>
            <w:bottom w:val="none" w:sz="0" w:space="0" w:color="auto"/>
            <w:right w:val="none" w:sz="0" w:space="0" w:color="auto"/>
          </w:divBdr>
        </w:div>
        <w:div w:id="1223101965">
          <w:marLeft w:val="640"/>
          <w:marRight w:val="0"/>
          <w:marTop w:val="0"/>
          <w:marBottom w:val="0"/>
          <w:divBdr>
            <w:top w:val="none" w:sz="0" w:space="0" w:color="auto"/>
            <w:left w:val="none" w:sz="0" w:space="0" w:color="auto"/>
            <w:bottom w:val="none" w:sz="0" w:space="0" w:color="auto"/>
            <w:right w:val="none" w:sz="0" w:space="0" w:color="auto"/>
          </w:divBdr>
        </w:div>
        <w:div w:id="293869705">
          <w:marLeft w:val="640"/>
          <w:marRight w:val="0"/>
          <w:marTop w:val="0"/>
          <w:marBottom w:val="0"/>
          <w:divBdr>
            <w:top w:val="none" w:sz="0" w:space="0" w:color="auto"/>
            <w:left w:val="none" w:sz="0" w:space="0" w:color="auto"/>
            <w:bottom w:val="none" w:sz="0" w:space="0" w:color="auto"/>
            <w:right w:val="none" w:sz="0" w:space="0" w:color="auto"/>
          </w:divBdr>
        </w:div>
        <w:div w:id="1302419044">
          <w:marLeft w:val="640"/>
          <w:marRight w:val="0"/>
          <w:marTop w:val="0"/>
          <w:marBottom w:val="0"/>
          <w:divBdr>
            <w:top w:val="none" w:sz="0" w:space="0" w:color="auto"/>
            <w:left w:val="none" w:sz="0" w:space="0" w:color="auto"/>
            <w:bottom w:val="none" w:sz="0" w:space="0" w:color="auto"/>
            <w:right w:val="none" w:sz="0" w:space="0" w:color="auto"/>
          </w:divBdr>
        </w:div>
        <w:div w:id="1851330120">
          <w:marLeft w:val="640"/>
          <w:marRight w:val="0"/>
          <w:marTop w:val="0"/>
          <w:marBottom w:val="0"/>
          <w:divBdr>
            <w:top w:val="none" w:sz="0" w:space="0" w:color="auto"/>
            <w:left w:val="none" w:sz="0" w:space="0" w:color="auto"/>
            <w:bottom w:val="none" w:sz="0" w:space="0" w:color="auto"/>
            <w:right w:val="none" w:sz="0" w:space="0" w:color="auto"/>
          </w:divBdr>
        </w:div>
        <w:div w:id="2019261855">
          <w:marLeft w:val="640"/>
          <w:marRight w:val="0"/>
          <w:marTop w:val="0"/>
          <w:marBottom w:val="0"/>
          <w:divBdr>
            <w:top w:val="none" w:sz="0" w:space="0" w:color="auto"/>
            <w:left w:val="none" w:sz="0" w:space="0" w:color="auto"/>
            <w:bottom w:val="none" w:sz="0" w:space="0" w:color="auto"/>
            <w:right w:val="none" w:sz="0" w:space="0" w:color="auto"/>
          </w:divBdr>
        </w:div>
        <w:div w:id="1512986053">
          <w:marLeft w:val="640"/>
          <w:marRight w:val="0"/>
          <w:marTop w:val="0"/>
          <w:marBottom w:val="0"/>
          <w:divBdr>
            <w:top w:val="none" w:sz="0" w:space="0" w:color="auto"/>
            <w:left w:val="none" w:sz="0" w:space="0" w:color="auto"/>
            <w:bottom w:val="none" w:sz="0" w:space="0" w:color="auto"/>
            <w:right w:val="none" w:sz="0" w:space="0" w:color="auto"/>
          </w:divBdr>
        </w:div>
        <w:div w:id="52822855">
          <w:marLeft w:val="640"/>
          <w:marRight w:val="0"/>
          <w:marTop w:val="0"/>
          <w:marBottom w:val="0"/>
          <w:divBdr>
            <w:top w:val="none" w:sz="0" w:space="0" w:color="auto"/>
            <w:left w:val="none" w:sz="0" w:space="0" w:color="auto"/>
            <w:bottom w:val="none" w:sz="0" w:space="0" w:color="auto"/>
            <w:right w:val="none" w:sz="0" w:space="0" w:color="auto"/>
          </w:divBdr>
        </w:div>
        <w:div w:id="1269005714">
          <w:marLeft w:val="640"/>
          <w:marRight w:val="0"/>
          <w:marTop w:val="0"/>
          <w:marBottom w:val="0"/>
          <w:divBdr>
            <w:top w:val="none" w:sz="0" w:space="0" w:color="auto"/>
            <w:left w:val="none" w:sz="0" w:space="0" w:color="auto"/>
            <w:bottom w:val="none" w:sz="0" w:space="0" w:color="auto"/>
            <w:right w:val="none" w:sz="0" w:space="0" w:color="auto"/>
          </w:divBdr>
        </w:div>
        <w:div w:id="1799101954">
          <w:marLeft w:val="640"/>
          <w:marRight w:val="0"/>
          <w:marTop w:val="0"/>
          <w:marBottom w:val="0"/>
          <w:divBdr>
            <w:top w:val="none" w:sz="0" w:space="0" w:color="auto"/>
            <w:left w:val="none" w:sz="0" w:space="0" w:color="auto"/>
            <w:bottom w:val="none" w:sz="0" w:space="0" w:color="auto"/>
            <w:right w:val="none" w:sz="0" w:space="0" w:color="auto"/>
          </w:divBdr>
        </w:div>
        <w:div w:id="922379575">
          <w:marLeft w:val="640"/>
          <w:marRight w:val="0"/>
          <w:marTop w:val="0"/>
          <w:marBottom w:val="0"/>
          <w:divBdr>
            <w:top w:val="none" w:sz="0" w:space="0" w:color="auto"/>
            <w:left w:val="none" w:sz="0" w:space="0" w:color="auto"/>
            <w:bottom w:val="none" w:sz="0" w:space="0" w:color="auto"/>
            <w:right w:val="none" w:sz="0" w:space="0" w:color="auto"/>
          </w:divBdr>
        </w:div>
        <w:div w:id="391930820">
          <w:marLeft w:val="640"/>
          <w:marRight w:val="0"/>
          <w:marTop w:val="0"/>
          <w:marBottom w:val="0"/>
          <w:divBdr>
            <w:top w:val="none" w:sz="0" w:space="0" w:color="auto"/>
            <w:left w:val="none" w:sz="0" w:space="0" w:color="auto"/>
            <w:bottom w:val="none" w:sz="0" w:space="0" w:color="auto"/>
            <w:right w:val="none" w:sz="0" w:space="0" w:color="auto"/>
          </w:divBdr>
        </w:div>
        <w:div w:id="1986272525">
          <w:marLeft w:val="640"/>
          <w:marRight w:val="0"/>
          <w:marTop w:val="0"/>
          <w:marBottom w:val="0"/>
          <w:divBdr>
            <w:top w:val="none" w:sz="0" w:space="0" w:color="auto"/>
            <w:left w:val="none" w:sz="0" w:space="0" w:color="auto"/>
            <w:bottom w:val="none" w:sz="0" w:space="0" w:color="auto"/>
            <w:right w:val="none" w:sz="0" w:space="0" w:color="auto"/>
          </w:divBdr>
        </w:div>
        <w:div w:id="474836734">
          <w:marLeft w:val="640"/>
          <w:marRight w:val="0"/>
          <w:marTop w:val="0"/>
          <w:marBottom w:val="0"/>
          <w:divBdr>
            <w:top w:val="none" w:sz="0" w:space="0" w:color="auto"/>
            <w:left w:val="none" w:sz="0" w:space="0" w:color="auto"/>
            <w:bottom w:val="none" w:sz="0" w:space="0" w:color="auto"/>
            <w:right w:val="none" w:sz="0" w:space="0" w:color="auto"/>
          </w:divBdr>
        </w:div>
        <w:div w:id="868687219">
          <w:marLeft w:val="640"/>
          <w:marRight w:val="0"/>
          <w:marTop w:val="0"/>
          <w:marBottom w:val="0"/>
          <w:divBdr>
            <w:top w:val="none" w:sz="0" w:space="0" w:color="auto"/>
            <w:left w:val="none" w:sz="0" w:space="0" w:color="auto"/>
            <w:bottom w:val="none" w:sz="0" w:space="0" w:color="auto"/>
            <w:right w:val="none" w:sz="0" w:space="0" w:color="auto"/>
          </w:divBdr>
        </w:div>
        <w:div w:id="1229263638">
          <w:marLeft w:val="640"/>
          <w:marRight w:val="0"/>
          <w:marTop w:val="0"/>
          <w:marBottom w:val="0"/>
          <w:divBdr>
            <w:top w:val="none" w:sz="0" w:space="0" w:color="auto"/>
            <w:left w:val="none" w:sz="0" w:space="0" w:color="auto"/>
            <w:bottom w:val="none" w:sz="0" w:space="0" w:color="auto"/>
            <w:right w:val="none" w:sz="0" w:space="0" w:color="auto"/>
          </w:divBdr>
        </w:div>
        <w:div w:id="892621129">
          <w:marLeft w:val="640"/>
          <w:marRight w:val="0"/>
          <w:marTop w:val="0"/>
          <w:marBottom w:val="0"/>
          <w:divBdr>
            <w:top w:val="none" w:sz="0" w:space="0" w:color="auto"/>
            <w:left w:val="none" w:sz="0" w:space="0" w:color="auto"/>
            <w:bottom w:val="none" w:sz="0" w:space="0" w:color="auto"/>
            <w:right w:val="none" w:sz="0" w:space="0" w:color="auto"/>
          </w:divBdr>
        </w:div>
        <w:div w:id="156576048">
          <w:marLeft w:val="640"/>
          <w:marRight w:val="0"/>
          <w:marTop w:val="0"/>
          <w:marBottom w:val="0"/>
          <w:divBdr>
            <w:top w:val="none" w:sz="0" w:space="0" w:color="auto"/>
            <w:left w:val="none" w:sz="0" w:space="0" w:color="auto"/>
            <w:bottom w:val="none" w:sz="0" w:space="0" w:color="auto"/>
            <w:right w:val="none" w:sz="0" w:space="0" w:color="auto"/>
          </w:divBdr>
        </w:div>
        <w:div w:id="631060593">
          <w:marLeft w:val="640"/>
          <w:marRight w:val="0"/>
          <w:marTop w:val="0"/>
          <w:marBottom w:val="0"/>
          <w:divBdr>
            <w:top w:val="none" w:sz="0" w:space="0" w:color="auto"/>
            <w:left w:val="none" w:sz="0" w:space="0" w:color="auto"/>
            <w:bottom w:val="none" w:sz="0" w:space="0" w:color="auto"/>
            <w:right w:val="none" w:sz="0" w:space="0" w:color="auto"/>
          </w:divBdr>
        </w:div>
        <w:div w:id="1377468363">
          <w:marLeft w:val="640"/>
          <w:marRight w:val="0"/>
          <w:marTop w:val="0"/>
          <w:marBottom w:val="0"/>
          <w:divBdr>
            <w:top w:val="none" w:sz="0" w:space="0" w:color="auto"/>
            <w:left w:val="none" w:sz="0" w:space="0" w:color="auto"/>
            <w:bottom w:val="none" w:sz="0" w:space="0" w:color="auto"/>
            <w:right w:val="none" w:sz="0" w:space="0" w:color="auto"/>
          </w:divBdr>
        </w:div>
        <w:div w:id="872888465">
          <w:marLeft w:val="640"/>
          <w:marRight w:val="0"/>
          <w:marTop w:val="0"/>
          <w:marBottom w:val="0"/>
          <w:divBdr>
            <w:top w:val="none" w:sz="0" w:space="0" w:color="auto"/>
            <w:left w:val="none" w:sz="0" w:space="0" w:color="auto"/>
            <w:bottom w:val="none" w:sz="0" w:space="0" w:color="auto"/>
            <w:right w:val="none" w:sz="0" w:space="0" w:color="auto"/>
          </w:divBdr>
        </w:div>
        <w:div w:id="981690294">
          <w:marLeft w:val="640"/>
          <w:marRight w:val="0"/>
          <w:marTop w:val="0"/>
          <w:marBottom w:val="0"/>
          <w:divBdr>
            <w:top w:val="none" w:sz="0" w:space="0" w:color="auto"/>
            <w:left w:val="none" w:sz="0" w:space="0" w:color="auto"/>
            <w:bottom w:val="none" w:sz="0" w:space="0" w:color="auto"/>
            <w:right w:val="none" w:sz="0" w:space="0" w:color="auto"/>
          </w:divBdr>
        </w:div>
        <w:div w:id="1231039289">
          <w:marLeft w:val="640"/>
          <w:marRight w:val="0"/>
          <w:marTop w:val="0"/>
          <w:marBottom w:val="0"/>
          <w:divBdr>
            <w:top w:val="none" w:sz="0" w:space="0" w:color="auto"/>
            <w:left w:val="none" w:sz="0" w:space="0" w:color="auto"/>
            <w:bottom w:val="none" w:sz="0" w:space="0" w:color="auto"/>
            <w:right w:val="none" w:sz="0" w:space="0" w:color="auto"/>
          </w:divBdr>
        </w:div>
        <w:div w:id="1321812405">
          <w:marLeft w:val="640"/>
          <w:marRight w:val="0"/>
          <w:marTop w:val="0"/>
          <w:marBottom w:val="0"/>
          <w:divBdr>
            <w:top w:val="none" w:sz="0" w:space="0" w:color="auto"/>
            <w:left w:val="none" w:sz="0" w:space="0" w:color="auto"/>
            <w:bottom w:val="none" w:sz="0" w:space="0" w:color="auto"/>
            <w:right w:val="none" w:sz="0" w:space="0" w:color="auto"/>
          </w:divBdr>
        </w:div>
        <w:div w:id="1392458893">
          <w:marLeft w:val="640"/>
          <w:marRight w:val="0"/>
          <w:marTop w:val="0"/>
          <w:marBottom w:val="0"/>
          <w:divBdr>
            <w:top w:val="none" w:sz="0" w:space="0" w:color="auto"/>
            <w:left w:val="none" w:sz="0" w:space="0" w:color="auto"/>
            <w:bottom w:val="none" w:sz="0" w:space="0" w:color="auto"/>
            <w:right w:val="none" w:sz="0" w:space="0" w:color="auto"/>
          </w:divBdr>
        </w:div>
        <w:div w:id="2099325057">
          <w:marLeft w:val="640"/>
          <w:marRight w:val="0"/>
          <w:marTop w:val="0"/>
          <w:marBottom w:val="0"/>
          <w:divBdr>
            <w:top w:val="none" w:sz="0" w:space="0" w:color="auto"/>
            <w:left w:val="none" w:sz="0" w:space="0" w:color="auto"/>
            <w:bottom w:val="none" w:sz="0" w:space="0" w:color="auto"/>
            <w:right w:val="none" w:sz="0" w:space="0" w:color="auto"/>
          </w:divBdr>
        </w:div>
        <w:div w:id="13657708">
          <w:marLeft w:val="640"/>
          <w:marRight w:val="0"/>
          <w:marTop w:val="0"/>
          <w:marBottom w:val="0"/>
          <w:divBdr>
            <w:top w:val="none" w:sz="0" w:space="0" w:color="auto"/>
            <w:left w:val="none" w:sz="0" w:space="0" w:color="auto"/>
            <w:bottom w:val="none" w:sz="0" w:space="0" w:color="auto"/>
            <w:right w:val="none" w:sz="0" w:space="0" w:color="auto"/>
          </w:divBdr>
        </w:div>
        <w:div w:id="1876505112">
          <w:marLeft w:val="640"/>
          <w:marRight w:val="0"/>
          <w:marTop w:val="0"/>
          <w:marBottom w:val="0"/>
          <w:divBdr>
            <w:top w:val="none" w:sz="0" w:space="0" w:color="auto"/>
            <w:left w:val="none" w:sz="0" w:space="0" w:color="auto"/>
            <w:bottom w:val="none" w:sz="0" w:space="0" w:color="auto"/>
            <w:right w:val="none" w:sz="0" w:space="0" w:color="auto"/>
          </w:divBdr>
        </w:div>
        <w:div w:id="1322193473">
          <w:marLeft w:val="640"/>
          <w:marRight w:val="0"/>
          <w:marTop w:val="0"/>
          <w:marBottom w:val="0"/>
          <w:divBdr>
            <w:top w:val="none" w:sz="0" w:space="0" w:color="auto"/>
            <w:left w:val="none" w:sz="0" w:space="0" w:color="auto"/>
            <w:bottom w:val="none" w:sz="0" w:space="0" w:color="auto"/>
            <w:right w:val="none" w:sz="0" w:space="0" w:color="auto"/>
          </w:divBdr>
        </w:div>
        <w:div w:id="1600530751">
          <w:marLeft w:val="640"/>
          <w:marRight w:val="0"/>
          <w:marTop w:val="0"/>
          <w:marBottom w:val="0"/>
          <w:divBdr>
            <w:top w:val="none" w:sz="0" w:space="0" w:color="auto"/>
            <w:left w:val="none" w:sz="0" w:space="0" w:color="auto"/>
            <w:bottom w:val="none" w:sz="0" w:space="0" w:color="auto"/>
            <w:right w:val="none" w:sz="0" w:space="0" w:color="auto"/>
          </w:divBdr>
        </w:div>
        <w:div w:id="2100103856">
          <w:marLeft w:val="640"/>
          <w:marRight w:val="0"/>
          <w:marTop w:val="0"/>
          <w:marBottom w:val="0"/>
          <w:divBdr>
            <w:top w:val="none" w:sz="0" w:space="0" w:color="auto"/>
            <w:left w:val="none" w:sz="0" w:space="0" w:color="auto"/>
            <w:bottom w:val="none" w:sz="0" w:space="0" w:color="auto"/>
            <w:right w:val="none" w:sz="0" w:space="0" w:color="auto"/>
          </w:divBdr>
        </w:div>
        <w:div w:id="46956543">
          <w:marLeft w:val="640"/>
          <w:marRight w:val="0"/>
          <w:marTop w:val="0"/>
          <w:marBottom w:val="0"/>
          <w:divBdr>
            <w:top w:val="none" w:sz="0" w:space="0" w:color="auto"/>
            <w:left w:val="none" w:sz="0" w:space="0" w:color="auto"/>
            <w:bottom w:val="none" w:sz="0" w:space="0" w:color="auto"/>
            <w:right w:val="none" w:sz="0" w:space="0" w:color="auto"/>
          </w:divBdr>
        </w:div>
        <w:div w:id="2146853497">
          <w:marLeft w:val="640"/>
          <w:marRight w:val="0"/>
          <w:marTop w:val="0"/>
          <w:marBottom w:val="0"/>
          <w:divBdr>
            <w:top w:val="none" w:sz="0" w:space="0" w:color="auto"/>
            <w:left w:val="none" w:sz="0" w:space="0" w:color="auto"/>
            <w:bottom w:val="none" w:sz="0" w:space="0" w:color="auto"/>
            <w:right w:val="none" w:sz="0" w:space="0" w:color="auto"/>
          </w:divBdr>
        </w:div>
        <w:div w:id="1481262288">
          <w:marLeft w:val="640"/>
          <w:marRight w:val="0"/>
          <w:marTop w:val="0"/>
          <w:marBottom w:val="0"/>
          <w:divBdr>
            <w:top w:val="none" w:sz="0" w:space="0" w:color="auto"/>
            <w:left w:val="none" w:sz="0" w:space="0" w:color="auto"/>
            <w:bottom w:val="none" w:sz="0" w:space="0" w:color="auto"/>
            <w:right w:val="none" w:sz="0" w:space="0" w:color="auto"/>
          </w:divBdr>
        </w:div>
        <w:div w:id="1913618410">
          <w:marLeft w:val="640"/>
          <w:marRight w:val="0"/>
          <w:marTop w:val="0"/>
          <w:marBottom w:val="0"/>
          <w:divBdr>
            <w:top w:val="none" w:sz="0" w:space="0" w:color="auto"/>
            <w:left w:val="none" w:sz="0" w:space="0" w:color="auto"/>
            <w:bottom w:val="none" w:sz="0" w:space="0" w:color="auto"/>
            <w:right w:val="none" w:sz="0" w:space="0" w:color="auto"/>
          </w:divBdr>
        </w:div>
        <w:div w:id="1403287521">
          <w:marLeft w:val="640"/>
          <w:marRight w:val="0"/>
          <w:marTop w:val="0"/>
          <w:marBottom w:val="0"/>
          <w:divBdr>
            <w:top w:val="none" w:sz="0" w:space="0" w:color="auto"/>
            <w:left w:val="none" w:sz="0" w:space="0" w:color="auto"/>
            <w:bottom w:val="none" w:sz="0" w:space="0" w:color="auto"/>
            <w:right w:val="none" w:sz="0" w:space="0" w:color="auto"/>
          </w:divBdr>
        </w:div>
        <w:div w:id="540019090">
          <w:marLeft w:val="640"/>
          <w:marRight w:val="0"/>
          <w:marTop w:val="0"/>
          <w:marBottom w:val="0"/>
          <w:divBdr>
            <w:top w:val="none" w:sz="0" w:space="0" w:color="auto"/>
            <w:left w:val="none" w:sz="0" w:space="0" w:color="auto"/>
            <w:bottom w:val="none" w:sz="0" w:space="0" w:color="auto"/>
            <w:right w:val="none" w:sz="0" w:space="0" w:color="auto"/>
          </w:divBdr>
        </w:div>
        <w:div w:id="1086918850">
          <w:marLeft w:val="640"/>
          <w:marRight w:val="0"/>
          <w:marTop w:val="0"/>
          <w:marBottom w:val="0"/>
          <w:divBdr>
            <w:top w:val="none" w:sz="0" w:space="0" w:color="auto"/>
            <w:left w:val="none" w:sz="0" w:space="0" w:color="auto"/>
            <w:bottom w:val="none" w:sz="0" w:space="0" w:color="auto"/>
            <w:right w:val="none" w:sz="0" w:space="0" w:color="auto"/>
          </w:divBdr>
        </w:div>
        <w:div w:id="2006081374">
          <w:marLeft w:val="640"/>
          <w:marRight w:val="0"/>
          <w:marTop w:val="0"/>
          <w:marBottom w:val="0"/>
          <w:divBdr>
            <w:top w:val="none" w:sz="0" w:space="0" w:color="auto"/>
            <w:left w:val="none" w:sz="0" w:space="0" w:color="auto"/>
            <w:bottom w:val="none" w:sz="0" w:space="0" w:color="auto"/>
            <w:right w:val="none" w:sz="0" w:space="0" w:color="auto"/>
          </w:divBdr>
        </w:div>
        <w:div w:id="1080755097">
          <w:marLeft w:val="640"/>
          <w:marRight w:val="0"/>
          <w:marTop w:val="0"/>
          <w:marBottom w:val="0"/>
          <w:divBdr>
            <w:top w:val="none" w:sz="0" w:space="0" w:color="auto"/>
            <w:left w:val="none" w:sz="0" w:space="0" w:color="auto"/>
            <w:bottom w:val="none" w:sz="0" w:space="0" w:color="auto"/>
            <w:right w:val="none" w:sz="0" w:space="0" w:color="auto"/>
          </w:divBdr>
        </w:div>
        <w:div w:id="63797667">
          <w:marLeft w:val="640"/>
          <w:marRight w:val="0"/>
          <w:marTop w:val="0"/>
          <w:marBottom w:val="0"/>
          <w:divBdr>
            <w:top w:val="none" w:sz="0" w:space="0" w:color="auto"/>
            <w:left w:val="none" w:sz="0" w:space="0" w:color="auto"/>
            <w:bottom w:val="none" w:sz="0" w:space="0" w:color="auto"/>
            <w:right w:val="none" w:sz="0" w:space="0" w:color="auto"/>
          </w:divBdr>
        </w:div>
        <w:div w:id="211232797">
          <w:marLeft w:val="640"/>
          <w:marRight w:val="0"/>
          <w:marTop w:val="0"/>
          <w:marBottom w:val="0"/>
          <w:divBdr>
            <w:top w:val="none" w:sz="0" w:space="0" w:color="auto"/>
            <w:left w:val="none" w:sz="0" w:space="0" w:color="auto"/>
            <w:bottom w:val="none" w:sz="0" w:space="0" w:color="auto"/>
            <w:right w:val="none" w:sz="0" w:space="0" w:color="auto"/>
          </w:divBdr>
        </w:div>
        <w:div w:id="121777618">
          <w:marLeft w:val="640"/>
          <w:marRight w:val="0"/>
          <w:marTop w:val="0"/>
          <w:marBottom w:val="0"/>
          <w:divBdr>
            <w:top w:val="none" w:sz="0" w:space="0" w:color="auto"/>
            <w:left w:val="none" w:sz="0" w:space="0" w:color="auto"/>
            <w:bottom w:val="none" w:sz="0" w:space="0" w:color="auto"/>
            <w:right w:val="none" w:sz="0" w:space="0" w:color="auto"/>
          </w:divBdr>
        </w:div>
        <w:div w:id="2045057323">
          <w:marLeft w:val="640"/>
          <w:marRight w:val="0"/>
          <w:marTop w:val="0"/>
          <w:marBottom w:val="0"/>
          <w:divBdr>
            <w:top w:val="none" w:sz="0" w:space="0" w:color="auto"/>
            <w:left w:val="none" w:sz="0" w:space="0" w:color="auto"/>
            <w:bottom w:val="none" w:sz="0" w:space="0" w:color="auto"/>
            <w:right w:val="none" w:sz="0" w:space="0" w:color="auto"/>
          </w:divBdr>
        </w:div>
        <w:div w:id="93863638">
          <w:marLeft w:val="640"/>
          <w:marRight w:val="0"/>
          <w:marTop w:val="0"/>
          <w:marBottom w:val="0"/>
          <w:divBdr>
            <w:top w:val="none" w:sz="0" w:space="0" w:color="auto"/>
            <w:left w:val="none" w:sz="0" w:space="0" w:color="auto"/>
            <w:bottom w:val="none" w:sz="0" w:space="0" w:color="auto"/>
            <w:right w:val="none" w:sz="0" w:space="0" w:color="auto"/>
          </w:divBdr>
        </w:div>
        <w:div w:id="560554377">
          <w:marLeft w:val="640"/>
          <w:marRight w:val="0"/>
          <w:marTop w:val="0"/>
          <w:marBottom w:val="0"/>
          <w:divBdr>
            <w:top w:val="none" w:sz="0" w:space="0" w:color="auto"/>
            <w:left w:val="none" w:sz="0" w:space="0" w:color="auto"/>
            <w:bottom w:val="none" w:sz="0" w:space="0" w:color="auto"/>
            <w:right w:val="none" w:sz="0" w:space="0" w:color="auto"/>
          </w:divBdr>
        </w:div>
        <w:div w:id="1891913408">
          <w:marLeft w:val="640"/>
          <w:marRight w:val="0"/>
          <w:marTop w:val="0"/>
          <w:marBottom w:val="0"/>
          <w:divBdr>
            <w:top w:val="none" w:sz="0" w:space="0" w:color="auto"/>
            <w:left w:val="none" w:sz="0" w:space="0" w:color="auto"/>
            <w:bottom w:val="none" w:sz="0" w:space="0" w:color="auto"/>
            <w:right w:val="none" w:sz="0" w:space="0" w:color="auto"/>
          </w:divBdr>
        </w:div>
        <w:div w:id="985814531">
          <w:marLeft w:val="640"/>
          <w:marRight w:val="0"/>
          <w:marTop w:val="0"/>
          <w:marBottom w:val="0"/>
          <w:divBdr>
            <w:top w:val="none" w:sz="0" w:space="0" w:color="auto"/>
            <w:left w:val="none" w:sz="0" w:space="0" w:color="auto"/>
            <w:bottom w:val="none" w:sz="0" w:space="0" w:color="auto"/>
            <w:right w:val="none" w:sz="0" w:space="0" w:color="auto"/>
          </w:divBdr>
        </w:div>
        <w:div w:id="1385522202">
          <w:marLeft w:val="640"/>
          <w:marRight w:val="0"/>
          <w:marTop w:val="0"/>
          <w:marBottom w:val="0"/>
          <w:divBdr>
            <w:top w:val="none" w:sz="0" w:space="0" w:color="auto"/>
            <w:left w:val="none" w:sz="0" w:space="0" w:color="auto"/>
            <w:bottom w:val="none" w:sz="0" w:space="0" w:color="auto"/>
            <w:right w:val="none" w:sz="0" w:space="0" w:color="auto"/>
          </w:divBdr>
        </w:div>
        <w:div w:id="1588420482">
          <w:marLeft w:val="640"/>
          <w:marRight w:val="0"/>
          <w:marTop w:val="0"/>
          <w:marBottom w:val="0"/>
          <w:divBdr>
            <w:top w:val="none" w:sz="0" w:space="0" w:color="auto"/>
            <w:left w:val="none" w:sz="0" w:space="0" w:color="auto"/>
            <w:bottom w:val="none" w:sz="0" w:space="0" w:color="auto"/>
            <w:right w:val="none" w:sz="0" w:space="0" w:color="auto"/>
          </w:divBdr>
        </w:div>
        <w:div w:id="383603306">
          <w:marLeft w:val="640"/>
          <w:marRight w:val="0"/>
          <w:marTop w:val="0"/>
          <w:marBottom w:val="0"/>
          <w:divBdr>
            <w:top w:val="none" w:sz="0" w:space="0" w:color="auto"/>
            <w:left w:val="none" w:sz="0" w:space="0" w:color="auto"/>
            <w:bottom w:val="none" w:sz="0" w:space="0" w:color="auto"/>
            <w:right w:val="none" w:sz="0" w:space="0" w:color="auto"/>
          </w:divBdr>
        </w:div>
        <w:div w:id="1399789649">
          <w:marLeft w:val="640"/>
          <w:marRight w:val="0"/>
          <w:marTop w:val="0"/>
          <w:marBottom w:val="0"/>
          <w:divBdr>
            <w:top w:val="none" w:sz="0" w:space="0" w:color="auto"/>
            <w:left w:val="none" w:sz="0" w:space="0" w:color="auto"/>
            <w:bottom w:val="none" w:sz="0" w:space="0" w:color="auto"/>
            <w:right w:val="none" w:sz="0" w:space="0" w:color="auto"/>
          </w:divBdr>
        </w:div>
        <w:div w:id="1505165779">
          <w:marLeft w:val="640"/>
          <w:marRight w:val="0"/>
          <w:marTop w:val="0"/>
          <w:marBottom w:val="0"/>
          <w:divBdr>
            <w:top w:val="none" w:sz="0" w:space="0" w:color="auto"/>
            <w:left w:val="none" w:sz="0" w:space="0" w:color="auto"/>
            <w:bottom w:val="none" w:sz="0" w:space="0" w:color="auto"/>
            <w:right w:val="none" w:sz="0" w:space="0" w:color="auto"/>
          </w:divBdr>
        </w:div>
        <w:div w:id="2006126527">
          <w:marLeft w:val="640"/>
          <w:marRight w:val="0"/>
          <w:marTop w:val="0"/>
          <w:marBottom w:val="0"/>
          <w:divBdr>
            <w:top w:val="none" w:sz="0" w:space="0" w:color="auto"/>
            <w:left w:val="none" w:sz="0" w:space="0" w:color="auto"/>
            <w:bottom w:val="none" w:sz="0" w:space="0" w:color="auto"/>
            <w:right w:val="none" w:sz="0" w:space="0" w:color="auto"/>
          </w:divBdr>
        </w:div>
        <w:div w:id="316230118">
          <w:marLeft w:val="640"/>
          <w:marRight w:val="0"/>
          <w:marTop w:val="0"/>
          <w:marBottom w:val="0"/>
          <w:divBdr>
            <w:top w:val="none" w:sz="0" w:space="0" w:color="auto"/>
            <w:left w:val="none" w:sz="0" w:space="0" w:color="auto"/>
            <w:bottom w:val="none" w:sz="0" w:space="0" w:color="auto"/>
            <w:right w:val="none" w:sz="0" w:space="0" w:color="auto"/>
          </w:divBdr>
        </w:div>
        <w:div w:id="249697244">
          <w:marLeft w:val="640"/>
          <w:marRight w:val="0"/>
          <w:marTop w:val="0"/>
          <w:marBottom w:val="0"/>
          <w:divBdr>
            <w:top w:val="none" w:sz="0" w:space="0" w:color="auto"/>
            <w:left w:val="none" w:sz="0" w:space="0" w:color="auto"/>
            <w:bottom w:val="none" w:sz="0" w:space="0" w:color="auto"/>
            <w:right w:val="none" w:sz="0" w:space="0" w:color="auto"/>
          </w:divBdr>
        </w:div>
        <w:div w:id="2077588382">
          <w:marLeft w:val="640"/>
          <w:marRight w:val="0"/>
          <w:marTop w:val="0"/>
          <w:marBottom w:val="0"/>
          <w:divBdr>
            <w:top w:val="none" w:sz="0" w:space="0" w:color="auto"/>
            <w:left w:val="none" w:sz="0" w:space="0" w:color="auto"/>
            <w:bottom w:val="none" w:sz="0" w:space="0" w:color="auto"/>
            <w:right w:val="none" w:sz="0" w:space="0" w:color="auto"/>
          </w:divBdr>
        </w:div>
        <w:div w:id="2088456768">
          <w:marLeft w:val="640"/>
          <w:marRight w:val="0"/>
          <w:marTop w:val="0"/>
          <w:marBottom w:val="0"/>
          <w:divBdr>
            <w:top w:val="none" w:sz="0" w:space="0" w:color="auto"/>
            <w:left w:val="none" w:sz="0" w:space="0" w:color="auto"/>
            <w:bottom w:val="none" w:sz="0" w:space="0" w:color="auto"/>
            <w:right w:val="none" w:sz="0" w:space="0" w:color="auto"/>
          </w:divBdr>
        </w:div>
        <w:div w:id="1962148477">
          <w:marLeft w:val="640"/>
          <w:marRight w:val="0"/>
          <w:marTop w:val="0"/>
          <w:marBottom w:val="0"/>
          <w:divBdr>
            <w:top w:val="none" w:sz="0" w:space="0" w:color="auto"/>
            <w:left w:val="none" w:sz="0" w:space="0" w:color="auto"/>
            <w:bottom w:val="none" w:sz="0" w:space="0" w:color="auto"/>
            <w:right w:val="none" w:sz="0" w:space="0" w:color="auto"/>
          </w:divBdr>
        </w:div>
        <w:div w:id="227690814">
          <w:marLeft w:val="640"/>
          <w:marRight w:val="0"/>
          <w:marTop w:val="0"/>
          <w:marBottom w:val="0"/>
          <w:divBdr>
            <w:top w:val="none" w:sz="0" w:space="0" w:color="auto"/>
            <w:left w:val="none" w:sz="0" w:space="0" w:color="auto"/>
            <w:bottom w:val="none" w:sz="0" w:space="0" w:color="auto"/>
            <w:right w:val="none" w:sz="0" w:space="0" w:color="auto"/>
          </w:divBdr>
        </w:div>
        <w:div w:id="2072849081">
          <w:marLeft w:val="640"/>
          <w:marRight w:val="0"/>
          <w:marTop w:val="0"/>
          <w:marBottom w:val="0"/>
          <w:divBdr>
            <w:top w:val="none" w:sz="0" w:space="0" w:color="auto"/>
            <w:left w:val="none" w:sz="0" w:space="0" w:color="auto"/>
            <w:bottom w:val="none" w:sz="0" w:space="0" w:color="auto"/>
            <w:right w:val="none" w:sz="0" w:space="0" w:color="auto"/>
          </w:divBdr>
        </w:div>
        <w:div w:id="24404516">
          <w:marLeft w:val="640"/>
          <w:marRight w:val="0"/>
          <w:marTop w:val="0"/>
          <w:marBottom w:val="0"/>
          <w:divBdr>
            <w:top w:val="none" w:sz="0" w:space="0" w:color="auto"/>
            <w:left w:val="none" w:sz="0" w:space="0" w:color="auto"/>
            <w:bottom w:val="none" w:sz="0" w:space="0" w:color="auto"/>
            <w:right w:val="none" w:sz="0" w:space="0" w:color="auto"/>
          </w:divBdr>
        </w:div>
        <w:div w:id="699817620">
          <w:marLeft w:val="640"/>
          <w:marRight w:val="0"/>
          <w:marTop w:val="0"/>
          <w:marBottom w:val="0"/>
          <w:divBdr>
            <w:top w:val="none" w:sz="0" w:space="0" w:color="auto"/>
            <w:left w:val="none" w:sz="0" w:space="0" w:color="auto"/>
            <w:bottom w:val="none" w:sz="0" w:space="0" w:color="auto"/>
            <w:right w:val="none" w:sz="0" w:space="0" w:color="auto"/>
          </w:divBdr>
        </w:div>
        <w:div w:id="1739547557">
          <w:marLeft w:val="640"/>
          <w:marRight w:val="0"/>
          <w:marTop w:val="0"/>
          <w:marBottom w:val="0"/>
          <w:divBdr>
            <w:top w:val="none" w:sz="0" w:space="0" w:color="auto"/>
            <w:left w:val="none" w:sz="0" w:space="0" w:color="auto"/>
            <w:bottom w:val="none" w:sz="0" w:space="0" w:color="auto"/>
            <w:right w:val="none" w:sz="0" w:space="0" w:color="auto"/>
          </w:divBdr>
        </w:div>
        <w:div w:id="1297292580">
          <w:marLeft w:val="640"/>
          <w:marRight w:val="0"/>
          <w:marTop w:val="0"/>
          <w:marBottom w:val="0"/>
          <w:divBdr>
            <w:top w:val="none" w:sz="0" w:space="0" w:color="auto"/>
            <w:left w:val="none" w:sz="0" w:space="0" w:color="auto"/>
            <w:bottom w:val="none" w:sz="0" w:space="0" w:color="auto"/>
            <w:right w:val="none" w:sz="0" w:space="0" w:color="auto"/>
          </w:divBdr>
        </w:div>
        <w:div w:id="186263199">
          <w:marLeft w:val="640"/>
          <w:marRight w:val="0"/>
          <w:marTop w:val="0"/>
          <w:marBottom w:val="0"/>
          <w:divBdr>
            <w:top w:val="none" w:sz="0" w:space="0" w:color="auto"/>
            <w:left w:val="none" w:sz="0" w:space="0" w:color="auto"/>
            <w:bottom w:val="none" w:sz="0" w:space="0" w:color="auto"/>
            <w:right w:val="none" w:sz="0" w:space="0" w:color="auto"/>
          </w:divBdr>
        </w:div>
        <w:div w:id="1084569195">
          <w:marLeft w:val="640"/>
          <w:marRight w:val="0"/>
          <w:marTop w:val="0"/>
          <w:marBottom w:val="0"/>
          <w:divBdr>
            <w:top w:val="none" w:sz="0" w:space="0" w:color="auto"/>
            <w:left w:val="none" w:sz="0" w:space="0" w:color="auto"/>
            <w:bottom w:val="none" w:sz="0" w:space="0" w:color="auto"/>
            <w:right w:val="none" w:sz="0" w:space="0" w:color="auto"/>
          </w:divBdr>
        </w:div>
        <w:div w:id="805199378">
          <w:marLeft w:val="640"/>
          <w:marRight w:val="0"/>
          <w:marTop w:val="0"/>
          <w:marBottom w:val="0"/>
          <w:divBdr>
            <w:top w:val="none" w:sz="0" w:space="0" w:color="auto"/>
            <w:left w:val="none" w:sz="0" w:space="0" w:color="auto"/>
            <w:bottom w:val="none" w:sz="0" w:space="0" w:color="auto"/>
            <w:right w:val="none" w:sz="0" w:space="0" w:color="auto"/>
          </w:divBdr>
        </w:div>
        <w:div w:id="1860773932">
          <w:marLeft w:val="640"/>
          <w:marRight w:val="0"/>
          <w:marTop w:val="0"/>
          <w:marBottom w:val="0"/>
          <w:divBdr>
            <w:top w:val="none" w:sz="0" w:space="0" w:color="auto"/>
            <w:left w:val="none" w:sz="0" w:space="0" w:color="auto"/>
            <w:bottom w:val="none" w:sz="0" w:space="0" w:color="auto"/>
            <w:right w:val="none" w:sz="0" w:space="0" w:color="auto"/>
          </w:divBdr>
        </w:div>
        <w:div w:id="655301560">
          <w:marLeft w:val="640"/>
          <w:marRight w:val="0"/>
          <w:marTop w:val="0"/>
          <w:marBottom w:val="0"/>
          <w:divBdr>
            <w:top w:val="none" w:sz="0" w:space="0" w:color="auto"/>
            <w:left w:val="none" w:sz="0" w:space="0" w:color="auto"/>
            <w:bottom w:val="none" w:sz="0" w:space="0" w:color="auto"/>
            <w:right w:val="none" w:sz="0" w:space="0" w:color="auto"/>
          </w:divBdr>
        </w:div>
        <w:div w:id="14383608">
          <w:marLeft w:val="640"/>
          <w:marRight w:val="0"/>
          <w:marTop w:val="0"/>
          <w:marBottom w:val="0"/>
          <w:divBdr>
            <w:top w:val="none" w:sz="0" w:space="0" w:color="auto"/>
            <w:left w:val="none" w:sz="0" w:space="0" w:color="auto"/>
            <w:bottom w:val="none" w:sz="0" w:space="0" w:color="auto"/>
            <w:right w:val="none" w:sz="0" w:space="0" w:color="auto"/>
          </w:divBdr>
        </w:div>
        <w:div w:id="1202327251">
          <w:marLeft w:val="640"/>
          <w:marRight w:val="0"/>
          <w:marTop w:val="0"/>
          <w:marBottom w:val="0"/>
          <w:divBdr>
            <w:top w:val="none" w:sz="0" w:space="0" w:color="auto"/>
            <w:left w:val="none" w:sz="0" w:space="0" w:color="auto"/>
            <w:bottom w:val="none" w:sz="0" w:space="0" w:color="auto"/>
            <w:right w:val="none" w:sz="0" w:space="0" w:color="auto"/>
          </w:divBdr>
        </w:div>
        <w:div w:id="772937869">
          <w:marLeft w:val="640"/>
          <w:marRight w:val="0"/>
          <w:marTop w:val="0"/>
          <w:marBottom w:val="0"/>
          <w:divBdr>
            <w:top w:val="none" w:sz="0" w:space="0" w:color="auto"/>
            <w:left w:val="none" w:sz="0" w:space="0" w:color="auto"/>
            <w:bottom w:val="none" w:sz="0" w:space="0" w:color="auto"/>
            <w:right w:val="none" w:sz="0" w:space="0" w:color="auto"/>
          </w:divBdr>
        </w:div>
        <w:div w:id="1702625592">
          <w:marLeft w:val="640"/>
          <w:marRight w:val="0"/>
          <w:marTop w:val="0"/>
          <w:marBottom w:val="0"/>
          <w:divBdr>
            <w:top w:val="none" w:sz="0" w:space="0" w:color="auto"/>
            <w:left w:val="none" w:sz="0" w:space="0" w:color="auto"/>
            <w:bottom w:val="none" w:sz="0" w:space="0" w:color="auto"/>
            <w:right w:val="none" w:sz="0" w:space="0" w:color="auto"/>
          </w:divBdr>
        </w:div>
        <w:div w:id="1331910492">
          <w:marLeft w:val="640"/>
          <w:marRight w:val="0"/>
          <w:marTop w:val="0"/>
          <w:marBottom w:val="0"/>
          <w:divBdr>
            <w:top w:val="none" w:sz="0" w:space="0" w:color="auto"/>
            <w:left w:val="none" w:sz="0" w:space="0" w:color="auto"/>
            <w:bottom w:val="none" w:sz="0" w:space="0" w:color="auto"/>
            <w:right w:val="none" w:sz="0" w:space="0" w:color="auto"/>
          </w:divBdr>
        </w:div>
        <w:div w:id="307907331">
          <w:marLeft w:val="640"/>
          <w:marRight w:val="0"/>
          <w:marTop w:val="0"/>
          <w:marBottom w:val="0"/>
          <w:divBdr>
            <w:top w:val="none" w:sz="0" w:space="0" w:color="auto"/>
            <w:left w:val="none" w:sz="0" w:space="0" w:color="auto"/>
            <w:bottom w:val="none" w:sz="0" w:space="0" w:color="auto"/>
            <w:right w:val="none" w:sz="0" w:space="0" w:color="auto"/>
          </w:divBdr>
        </w:div>
        <w:div w:id="1468477107">
          <w:marLeft w:val="640"/>
          <w:marRight w:val="0"/>
          <w:marTop w:val="0"/>
          <w:marBottom w:val="0"/>
          <w:divBdr>
            <w:top w:val="none" w:sz="0" w:space="0" w:color="auto"/>
            <w:left w:val="none" w:sz="0" w:space="0" w:color="auto"/>
            <w:bottom w:val="none" w:sz="0" w:space="0" w:color="auto"/>
            <w:right w:val="none" w:sz="0" w:space="0" w:color="auto"/>
          </w:divBdr>
        </w:div>
        <w:div w:id="231816125">
          <w:marLeft w:val="640"/>
          <w:marRight w:val="0"/>
          <w:marTop w:val="0"/>
          <w:marBottom w:val="0"/>
          <w:divBdr>
            <w:top w:val="none" w:sz="0" w:space="0" w:color="auto"/>
            <w:left w:val="none" w:sz="0" w:space="0" w:color="auto"/>
            <w:bottom w:val="none" w:sz="0" w:space="0" w:color="auto"/>
            <w:right w:val="none" w:sz="0" w:space="0" w:color="auto"/>
          </w:divBdr>
        </w:div>
        <w:div w:id="1446727070">
          <w:marLeft w:val="640"/>
          <w:marRight w:val="0"/>
          <w:marTop w:val="0"/>
          <w:marBottom w:val="0"/>
          <w:divBdr>
            <w:top w:val="none" w:sz="0" w:space="0" w:color="auto"/>
            <w:left w:val="none" w:sz="0" w:space="0" w:color="auto"/>
            <w:bottom w:val="none" w:sz="0" w:space="0" w:color="auto"/>
            <w:right w:val="none" w:sz="0" w:space="0" w:color="auto"/>
          </w:divBdr>
        </w:div>
        <w:div w:id="1244991413">
          <w:marLeft w:val="640"/>
          <w:marRight w:val="0"/>
          <w:marTop w:val="0"/>
          <w:marBottom w:val="0"/>
          <w:divBdr>
            <w:top w:val="none" w:sz="0" w:space="0" w:color="auto"/>
            <w:left w:val="none" w:sz="0" w:space="0" w:color="auto"/>
            <w:bottom w:val="none" w:sz="0" w:space="0" w:color="auto"/>
            <w:right w:val="none" w:sz="0" w:space="0" w:color="auto"/>
          </w:divBdr>
        </w:div>
        <w:div w:id="561603210">
          <w:marLeft w:val="640"/>
          <w:marRight w:val="0"/>
          <w:marTop w:val="0"/>
          <w:marBottom w:val="0"/>
          <w:divBdr>
            <w:top w:val="none" w:sz="0" w:space="0" w:color="auto"/>
            <w:left w:val="none" w:sz="0" w:space="0" w:color="auto"/>
            <w:bottom w:val="none" w:sz="0" w:space="0" w:color="auto"/>
            <w:right w:val="none" w:sz="0" w:space="0" w:color="auto"/>
          </w:divBdr>
        </w:div>
        <w:div w:id="3434017">
          <w:marLeft w:val="640"/>
          <w:marRight w:val="0"/>
          <w:marTop w:val="0"/>
          <w:marBottom w:val="0"/>
          <w:divBdr>
            <w:top w:val="none" w:sz="0" w:space="0" w:color="auto"/>
            <w:left w:val="none" w:sz="0" w:space="0" w:color="auto"/>
            <w:bottom w:val="none" w:sz="0" w:space="0" w:color="auto"/>
            <w:right w:val="none" w:sz="0" w:space="0" w:color="auto"/>
          </w:divBdr>
        </w:div>
        <w:div w:id="411968589">
          <w:marLeft w:val="640"/>
          <w:marRight w:val="0"/>
          <w:marTop w:val="0"/>
          <w:marBottom w:val="0"/>
          <w:divBdr>
            <w:top w:val="none" w:sz="0" w:space="0" w:color="auto"/>
            <w:left w:val="none" w:sz="0" w:space="0" w:color="auto"/>
            <w:bottom w:val="none" w:sz="0" w:space="0" w:color="auto"/>
            <w:right w:val="none" w:sz="0" w:space="0" w:color="auto"/>
          </w:divBdr>
        </w:div>
        <w:div w:id="613901517">
          <w:marLeft w:val="640"/>
          <w:marRight w:val="0"/>
          <w:marTop w:val="0"/>
          <w:marBottom w:val="0"/>
          <w:divBdr>
            <w:top w:val="none" w:sz="0" w:space="0" w:color="auto"/>
            <w:left w:val="none" w:sz="0" w:space="0" w:color="auto"/>
            <w:bottom w:val="none" w:sz="0" w:space="0" w:color="auto"/>
            <w:right w:val="none" w:sz="0" w:space="0" w:color="auto"/>
          </w:divBdr>
        </w:div>
        <w:div w:id="1051926049">
          <w:marLeft w:val="640"/>
          <w:marRight w:val="0"/>
          <w:marTop w:val="0"/>
          <w:marBottom w:val="0"/>
          <w:divBdr>
            <w:top w:val="none" w:sz="0" w:space="0" w:color="auto"/>
            <w:left w:val="none" w:sz="0" w:space="0" w:color="auto"/>
            <w:bottom w:val="none" w:sz="0" w:space="0" w:color="auto"/>
            <w:right w:val="none" w:sz="0" w:space="0" w:color="auto"/>
          </w:divBdr>
        </w:div>
        <w:div w:id="1537961626">
          <w:marLeft w:val="640"/>
          <w:marRight w:val="0"/>
          <w:marTop w:val="0"/>
          <w:marBottom w:val="0"/>
          <w:divBdr>
            <w:top w:val="none" w:sz="0" w:space="0" w:color="auto"/>
            <w:left w:val="none" w:sz="0" w:space="0" w:color="auto"/>
            <w:bottom w:val="none" w:sz="0" w:space="0" w:color="auto"/>
            <w:right w:val="none" w:sz="0" w:space="0" w:color="auto"/>
          </w:divBdr>
        </w:div>
        <w:div w:id="848370766">
          <w:marLeft w:val="640"/>
          <w:marRight w:val="0"/>
          <w:marTop w:val="0"/>
          <w:marBottom w:val="0"/>
          <w:divBdr>
            <w:top w:val="none" w:sz="0" w:space="0" w:color="auto"/>
            <w:left w:val="none" w:sz="0" w:space="0" w:color="auto"/>
            <w:bottom w:val="none" w:sz="0" w:space="0" w:color="auto"/>
            <w:right w:val="none" w:sz="0" w:space="0" w:color="auto"/>
          </w:divBdr>
        </w:div>
        <w:div w:id="1822505300">
          <w:marLeft w:val="640"/>
          <w:marRight w:val="0"/>
          <w:marTop w:val="0"/>
          <w:marBottom w:val="0"/>
          <w:divBdr>
            <w:top w:val="none" w:sz="0" w:space="0" w:color="auto"/>
            <w:left w:val="none" w:sz="0" w:space="0" w:color="auto"/>
            <w:bottom w:val="none" w:sz="0" w:space="0" w:color="auto"/>
            <w:right w:val="none" w:sz="0" w:space="0" w:color="auto"/>
          </w:divBdr>
        </w:div>
        <w:div w:id="1507817146">
          <w:marLeft w:val="640"/>
          <w:marRight w:val="0"/>
          <w:marTop w:val="0"/>
          <w:marBottom w:val="0"/>
          <w:divBdr>
            <w:top w:val="none" w:sz="0" w:space="0" w:color="auto"/>
            <w:left w:val="none" w:sz="0" w:space="0" w:color="auto"/>
            <w:bottom w:val="none" w:sz="0" w:space="0" w:color="auto"/>
            <w:right w:val="none" w:sz="0" w:space="0" w:color="auto"/>
          </w:divBdr>
        </w:div>
        <w:div w:id="1553073975">
          <w:marLeft w:val="640"/>
          <w:marRight w:val="0"/>
          <w:marTop w:val="0"/>
          <w:marBottom w:val="0"/>
          <w:divBdr>
            <w:top w:val="none" w:sz="0" w:space="0" w:color="auto"/>
            <w:left w:val="none" w:sz="0" w:space="0" w:color="auto"/>
            <w:bottom w:val="none" w:sz="0" w:space="0" w:color="auto"/>
            <w:right w:val="none" w:sz="0" w:space="0" w:color="auto"/>
          </w:divBdr>
        </w:div>
        <w:div w:id="1183738831">
          <w:marLeft w:val="640"/>
          <w:marRight w:val="0"/>
          <w:marTop w:val="0"/>
          <w:marBottom w:val="0"/>
          <w:divBdr>
            <w:top w:val="none" w:sz="0" w:space="0" w:color="auto"/>
            <w:left w:val="none" w:sz="0" w:space="0" w:color="auto"/>
            <w:bottom w:val="none" w:sz="0" w:space="0" w:color="auto"/>
            <w:right w:val="none" w:sz="0" w:space="0" w:color="auto"/>
          </w:divBdr>
        </w:div>
        <w:div w:id="2055108412">
          <w:marLeft w:val="640"/>
          <w:marRight w:val="0"/>
          <w:marTop w:val="0"/>
          <w:marBottom w:val="0"/>
          <w:divBdr>
            <w:top w:val="none" w:sz="0" w:space="0" w:color="auto"/>
            <w:left w:val="none" w:sz="0" w:space="0" w:color="auto"/>
            <w:bottom w:val="none" w:sz="0" w:space="0" w:color="auto"/>
            <w:right w:val="none" w:sz="0" w:space="0" w:color="auto"/>
          </w:divBdr>
        </w:div>
        <w:div w:id="1362976364">
          <w:marLeft w:val="640"/>
          <w:marRight w:val="0"/>
          <w:marTop w:val="0"/>
          <w:marBottom w:val="0"/>
          <w:divBdr>
            <w:top w:val="none" w:sz="0" w:space="0" w:color="auto"/>
            <w:left w:val="none" w:sz="0" w:space="0" w:color="auto"/>
            <w:bottom w:val="none" w:sz="0" w:space="0" w:color="auto"/>
            <w:right w:val="none" w:sz="0" w:space="0" w:color="auto"/>
          </w:divBdr>
        </w:div>
        <w:div w:id="1767337806">
          <w:marLeft w:val="640"/>
          <w:marRight w:val="0"/>
          <w:marTop w:val="0"/>
          <w:marBottom w:val="0"/>
          <w:divBdr>
            <w:top w:val="none" w:sz="0" w:space="0" w:color="auto"/>
            <w:left w:val="none" w:sz="0" w:space="0" w:color="auto"/>
            <w:bottom w:val="none" w:sz="0" w:space="0" w:color="auto"/>
            <w:right w:val="none" w:sz="0" w:space="0" w:color="auto"/>
          </w:divBdr>
        </w:div>
        <w:div w:id="743837957">
          <w:marLeft w:val="640"/>
          <w:marRight w:val="0"/>
          <w:marTop w:val="0"/>
          <w:marBottom w:val="0"/>
          <w:divBdr>
            <w:top w:val="none" w:sz="0" w:space="0" w:color="auto"/>
            <w:left w:val="none" w:sz="0" w:space="0" w:color="auto"/>
            <w:bottom w:val="none" w:sz="0" w:space="0" w:color="auto"/>
            <w:right w:val="none" w:sz="0" w:space="0" w:color="auto"/>
          </w:divBdr>
        </w:div>
        <w:div w:id="1916547742">
          <w:marLeft w:val="640"/>
          <w:marRight w:val="0"/>
          <w:marTop w:val="0"/>
          <w:marBottom w:val="0"/>
          <w:divBdr>
            <w:top w:val="none" w:sz="0" w:space="0" w:color="auto"/>
            <w:left w:val="none" w:sz="0" w:space="0" w:color="auto"/>
            <w:bottom w:val="none" w:sz="0" w:space="0" w:color="auto"/>
            <w:right w:val="none" w:sz="0" w:space="0" w:color="auto"/>
          </w:divBdr>
        </w:div>
        <w:div w:id="2017073682">
          <w:marLeft w:val="640"/>
          <w:marRight w:val="0"/>
          <w:marTop w:val="0"/>
          <w:marBottom w:val="0"/>
          <w:divBdr>
            <w:top w:val="none" w:sz="0" w:space="0" w:color="auto"/>
            <w:left w:val="none" w:sz="0" w:space="0" w:color="auto"/>
            <w:bottom w:val="none" w:sz="0" w:space="0" w:color="auto"/>
            <w:right w:val="none" w:sz="0" w:space="0" w:color="auto"/>
          </w:divBdr>
        </w:div>
        <w:div w:id="1188177266">
          <w:marLeft w:val="640"/>
          <w:marRight w:val="0"/>
          <w:marTop w:val="0"/>
          <w:marBottom w:val="0"/>
          <w:divBdr>
            <w:top w:val="none" w:sz="0" w:space="0" w:color="auto"/>
            <w:left w:val="none" w:sz="0" w:space="0" w:color="auto"/>
            <w:bottom w:val="none" w:sz="0" w:space="0" w:color="auto"/>
            <w:right w:val="none" w:sz="0" w:space="0" w:color="auto"/>
          </w:divBdr>
        </w:div>
        <w:div w:id="349767575">
          <w:marLeft w:val="640"/>
          <w:marRight w:val="0"/>
          <w:marTop w:val="0"/>
          <w:marBottom w:val="0"/>
          <w:divBdr>
            <w:top w:val="none" w:sz="0" w:space="0" w:color="auto"/>
            <w:left w:val="none" w:sz="0" w:space="0" w:color="auto"/>
            <w:bottom w:val="none" w:sz="0" w:space="0" w:color="auto"/>
            <w:right w:val="none" w:sz="0" w:space="0" w:color="auto"/>
          </w:divBdr>
        </w:div>
      </w:divsChild>
    </w:div>
    <w:div w:id="749741666">
      <w:bodyDiv w:val="1"/>
      <w:marLeft w:val="0"/>
      <w:marRight w:val="0"/>
      <w:marTop w:val="0"/>
      <w:marBottom w:val="0"/>
      <w:divBdr>
        <w:top w:val="none" w:sz="0" w:space="0" w:color="auto"/>
        <w:left w:val="none" w:sz="0" w:space="0" w:color="auto"/>
        <w:bottom w:val="none" w:sz="0" w:space="0" w:color="auto"/>
        <w:right w:val="none" w:sz="0" w:space="0" w:color="auto"/>
      </w:divBdr>
    </w:div>
    <w:div w:id="753670562">
      <w:bodyDiv w:val="1"/>
      <w:marLeft w:val="0"/>
      <w:marRight w:val="0"/>
      <w:marTop w:val="0"/>
      <w:marBottom w:val="0"/>
      <w:divBdr>
        <w:top w:val="none" w:sz="0" w:space="0" w:color="auto"/>
        <w:left w:val="none" w:sz="0" w:space="0" w:color="auto"/>
        <w:bottom w:val="none" w:sz="0" w:space="0" w:color="auto"/>
        <w:right w:val="none" w:sz="0" w:space="0" w:color="auto"/>
      </w:divBdr>
    </w:div>
    <w:div w:id="787696808">
      <w:bodyDiv w:val="1"/>
      <w:marLeft w:val="0"/>
      <w:marRight w:val="0"/>
      <w:marTop w:val="0"/>
      <w:marBottom w:val="0"/>
      <w:divBdr>
        <w:top w:val="none" w:sz="0" w:space="0" w:color="auto"/>
        <w:left w:val="none" w:sz="0" w:space="0" w:color="auto"/>
        <w:bottom w:val="none" w:sz="0" w:space="0" w:color="auto"/>
        <w:right w:val="none" w:sz="0" w:space="0" w:color="auto"/>
      </w:divBdr>
      <w:divsChild>
        <w:div w:id="428038521">
          <w:marLeft w:val="640"/>
          <w:marRight w:val="0"/>
          <w:marTop w:val="0"/>
          <w:marBottom w:val="0"/>
          <w:divBdr>
            <w:top w:val="none" w:sz="0" w:space="0" w:color="auto"/>
            <w:left w:val="none" w:sz="0" w:space="0" w:color="auto"/>
            <w:bottom w:val="none" w:sz="0" w:space="0" w:color="auto"/>
            <w:right w:val="none" w:sz="0" w:space="0" w:color="auto"/>
          </w:divBdr>
        </w:div>
        <w:div w:id="378364437">
          <w:marLeft w:val="640"/>
          <w:marRight w:val="0"/>
          <w:marTop w:val="0"/>
          <w:marBottom w:val="0"/>
          <w:divBdr>
            <w:top w:val="none" w:sz="0" w:space="0" w:color="auto"/>
            <w:left w:val="none" w:sz="0" w:space="0" w:color="auto"/>
            <w:bottom w:val="none" w:sz="0" w:space="0" w:color="auto"/>
            <w:right w:val="none" w:sz="0" w:space="0" w:color="auto"/>
          </w:divBdr>
        </w:div>
        <w:div w:id="1755740097">
          <w:marLeft w:val="640"/>
          <w:marRight w:val="0"/>
          <w:marTop w:val="0"/>
          <w:marBottom w:val="0"/>
          <w:divBdr>
            <w:top w:val="none" w:sz="0" w:space="0" w:color="auto"/>
            <w:left w:val="none" w:sz="0" w:space="0" w:color="auto"/>
            <w:bottom w:val="none" w:sz="0" w:space="0" w:color="auto"/>
            <w:right w:val="none" w:sz="0" w:space="0" w:color="auto"/>
          </w:divBdr>
        </w:div>
        <w:div w:id="1574050401">
          <w:marLeft w:val="640"/>
          <w:marRight w:val="0"/>
          <w:marTop w:val="0"/>
          <w:marBottom w:val="0"/>
          <w:divBdr>
            <w:top w:val="none" w:sz="0" w:space="0" w:color="auto"/>
            <w:left w:val="none" w:sz="0" w:space="0" w:color="auto"/>
            <w:bottom w:val="none" w:sz="0" w:space="0" w:color="auto"/>
            <w:right w:val="none" w:sz="0" w:space="0" w:color="auto"/>
          </w:divBdr>
        </w:div>
        <w:div w:id="470366006">
          <w:marLeft w:val="640"/>
          <w:marRight w:val="0"/>
          <w:marTop w:val="0"/>
          <w:marBottom w:val="0"/>
          <w:divBdr>
            <w:top w:val="none" w:sz="0" w:space="0" w:color="auto"/>
            <w:left w:val="none" w:sz="0" w:space="0" w:color="auto"/>
            <w:bottom w:val="none" w:sz="0" w:space="0" w:color="auto"/>
            <w:right w:val="none" w:sz="0" w:space="0" w:color="auto"/>
          </w:divBdr>
        </w:div>
        <w:div w:id="617417515">
          <w:marLeft w:val="640"/>
          <w:marRight w:val="0"/>
          <w:marTop w:val="0"/>
          <w:marBottom w:val="0"/>
          <w:divBdr>
            <w:top w:val="none" w:sz="0" w:space="0" w:color="auto"/>
            <w:left w:val="none" w:sz="0" w:space="0" w:color="auto"/>
            <w:bottom w:val="none" w:sz="0" w:space="0" w:color="auto"/>
            <w:right w:val="none" w:sz="0" w:space="0" w:color="auto"/>
          </w:divBdr>
        </w:div>
        <w:div w:id="127355477">
          <w:marLeft w:val="640"/>
          <w:marRight w:val="0"/>
          <w:marTop w:val="0"/>
          <w:marBottom w:val="0"/>
          <w:divBdr>
            <w:top w:val="none" w:sz="0" w:space="0" w:color="auto"/>
            <w:left w:val="none" w:sz="0" w:space="0" w:color="auto"/>
            <w:bottom w:val="none" w:sz="0" w:space="0" w:color="auto"/>
            <w:right w:val="none" w:sz="0" w:space="0" w:color="auto"/>
          </w:divBdr>
        </w:div>
        <w:div w:id="810250863">
          <w:marLeft w:val="640"/>
          <w:marRight w:val="0"/>
          <w:marTop w:val="0"/>
          <w:marBottom w:val="0"/>
          <w:divBdr>
            <w:top w:val="none" w:sz="0" w:space="0" w:color="auto"/>
            <w:left w:val="none" w:sz="0" w:space="0" w:color="auto"/>
            <w:bottom w:val="none" w:sz="0" w:space="0" w:color="auto"/>
            <w:right w:val="none" w:sz="0" w:space="0" w:color="auto"/>
          </w:divBdr>
        </w:div>
        <w:div w:id="739444374">
          <w:marLeft w:val="640"/>
          <w:marRight w:val="0"/>
          <w:marTop w:val="0"/>
          <w:marBottom w:val="0"/>
          <w:divBdr>
            <w:top w:val="none" w:sz="0" w:space="0" w:color="auto"/>
            <w:left w:val="none" w:sz="0" w:space="0" w:color="auto"/>
            <w:bottom w:val="none" w:sz="0" w:space="0" w:color="auto"/>
            <w:right w:val="none" w:sz="0" w:space="0" w:color="auto"/>
          </w:divBdr>
        </w:div>
        <w:div w:id="713434221">
          <w:marLeft w:val="640"/>
          <w:marRight w:val="0"/>
          <w:marTop w:val="0"/>
          <w:marBottom w:val="0"/>
          <w:divBdr>
            <w:top w:val="none" w:sz="0" w:space="0" w:color="auto"/>
            <w:left w:val="none" w:sz="0" w:space="0" w:color="auto"/>
            <w:bottom w:val="none" w:sz="0" w:space="0" w:color="auto"/>
            <w:right w:val="none" w:sz="0" w:space="0" w:color="auto"/>
          </w:divBdr>
        </w:div>
        <w:div w:id="50349075">
          <w:marLeft w:val="640"/>
          <w:marRight w:val="0"/>
          <w:marTop w:val="0"/>
          <w:marBottom w:val="0"/>
          <w:divBdr>
            <w:top w:val="none" w:sz="0" w:space="0" w:color="auto"/>
            <w:left w:val="none" w:sz="0" w:space="0" w:color="auto"/>
            <w:bottom w:val="none" w:sz="0" w:space="0" w:color="auto"/>
            <w:right w:val="none" w:sz="0" w:space="0" w:color="auto"/>
          </w:divBdr>
        </w:div>
        <w:div w:id="378752168">
          <w:marLeft w:val="640"/>
          <w:marRight w:val="0"/>
          <w:marTop w:val="0"/>
          <w:marBottom w:val="0"/>
          <w:divBdr>
            <w:top w:val="none" w:sz="0" w:space="0" w:color="auto"/>
            <w:left w:val="none" w:sz="0" w:space="0" w:color="auto"/>
            <w:bottom w:val="none" w:sz="0" w:space="0" w:color="auto"/>
            <w:right w:val="none" w:sz="0" w:space="0" w:color="auto"/>
          </w:divBdr>
        </w:div>
        <w:div w:id="1545292741">
          <w:marLeft w:val="640"/>
          <w:marRight w:val="0"/>
          <w:marTop w:val="0"/>
          <w:marBottom w:val="0"/>
          <w:divBdr>
            <w:top w:val="none" w:sz="0" w:space="0" w:color="auto"/>
            <w:left w:val="none" w:sz="0" w:space="0" w:color="auto"/>
            <w:bottom w:val="none" w:sz="0" w:space="0" w:color="auto"/>
            <w:right w:val="none" w:sz="0" w:space="0" w:color="auto"/>
          </w:divBdr>
        </w:div>
        <w:div w:id="1948344958">
          <w:marLeft w:val="640"/>
          <w:marRight w:val="0"/>
          <w:marTop w:val="0"/>
          <w:marBottom w:val="0"/>
          <w:divBdr>
            <w:top w:val="none" w:sz="0" w:space="0" w:color="auto"/>
            <w:left w:val="none" w:sz="0" w:space="0" w:color="auto"/>
            <w:bottom w:val="none" w:sz="0" w:space="0" w:color="auto"/>
            <w:right w:val="none" w:sz="0" w:space="0" w:color="auto"/>
          </w:divBdr>
        </w:div>
        <w:div w:id="342055744">
          <w:marLeft w:val="640"/>
          <w:marRight w:val="0"/>
          <w:marTop w:val="0"/>
          <w:marBottom w:val="0"/>
          <w:divBdr>
            <w:top w:val="none" w:sz="0" w:space="0" w:color="auto"/>
            <w:left w:val="none" w:sz="0" w:space="0" w:color="auto"/>
            <w:bottom w:val="none" w:sz="0" w:space="0" w:color="auto"/>
            <w:right w:val="none" w:sz="0" w:space="0" w:color="auto"/>
          </w:divBdr>
        </w:div>
        <w:div w:id="1361780565">
          <w:marLeft w:val="640"/>
          <w:marRight w:val="0"/>
          <w:marTop w:val="0"/>
          <w:marBottom w:val="0"/>
          <w:divBdr>
            <w:top w:val="none" w:sz="0" w:space="0" w:color="auto"/>
            <w:left w:val="none" w:sz="0" w:space="0" w:color="auto"/>
            <w:bottom w:val="none" w:sz="0" w:space="0" w:color="auto"/>
            <w:right w:val="none" w:sz="0" w:space="0" w:color="auto"/>
          </w:divBdr>
        </w:div>
        <w:div w:id="564726937">
          <w:marLeft w:val="640"/>
          <w:marRight w:val="0"/>
          <w:marTop w:val="0"/>
          <w:marBottom w:val="0"/>
          <w:divBdr>
            <w:top w:val="none" w:sz="0" w:space="0" w:color="auto"/>
            <w:left w:val="none" w:sz="0" w:space="0" w:color="auto"/>
            <w:bottom w:val="none" w:sz="0" w:space="0" w:color="auto"/>
            <w:right w:val="none" w:sz="0" w:space="0" w:color="auto"/>
          </w:divBdr>
        </w:div>
        <w:div w:id="1193689044">
          <w:marLeft w:val="640"/>
          <w:marRight w:val="0"/>
          <w:marTop w:val="0"/>
          <w:marBottom w:val="0"/>
          <w:divBdr>
            <w:top w:val="none" w:sz="0" w:space="0" w:color="auto"/>
            <w:left w:val="none" w:sz="0" w:space="0" w:color="auto"/>
            <w:bottom w:val="none" w:sz="0" w:space="0" w:color="auto"/>
            <w:right w:val="none" w:sz="0" w:space="0" w:color="auto"/>
          </w:divBdr>
        </w:div>
        <w:div w:id="1367831082">
          <w:marLeft w:val="640"/>
          <w:marRight w:val="0"/>
          <w:marTop w:val="0"/>
          <w:marBottom w:val="0"/>
          <w:divBdr>
            <w:top w:val="none" w:sz="0" w:space="0" w:color="auto"/>
            <w:left w:val="none" w:sz="0" w:space="0" w:color="auto"/>
            <w:bottom w:val="none" w:sz="0" w:space="0" w:color="auto"/>
            <w:right w:val="none" w:sz="0" w:space="0" w:color="auto"/>
          </w:divBdr>
        </w:div>
        <w:div w:id="1579317981">
          <w:marLeft w:val="640"/>
          <w:marRight w:val="0"/>
          <w:marTop w:val="0"/>
          <w:marBottom w:val="0"/>
          <w:divBdr>
            <w:top w:val="none" w:sz="0" w:space="0" w:color="auto"/>
            <w:left w:val="none" w:sz="0" w:space="0" w:color="auto"/>
            <w:bottom w:val="none" w:sz="0" w:space="0" w:color="auto"/>
            <w:right w:val="none" w:sz="0" w:space="0" w:color="auto"/>
          </w:divBdr>
        </w:div>
        <w:div w:id="228999948">
          <w:marLeft w:val="640"/>
          <w:marRight w:val="0"/>
          <w:marTop w:val="0"/>
          <w:marBottom w:val="0"/>
          <w:divBdr>
            <w:top w:val="none" w:sz="0" w:space="0" w:color="auto"/>
            <w:left w:val="none" w:sz="0" w:space="0" w:color="auto"/>
            <w:bottom w:val="none" w:sz="0" w:space="0" w:color="auto"/>
            <w:right w:val="none" w:sz="0" w:space="0" w:color="auto"/>
          </w:divBdr>
        </w:div>
        <w:div w:id="749540574">
          <w:marLeft w:val="640"/>
          <w:marRight w:val="0"/>
          <w:marTop w:val="0"/>
          <w:marBottom w:val="0"/>
          <w:divBdr>
            <w:top w:val="none" w:sz="0" w:space="0" w:color="auto"/>
            <w:left w:val="none" w:sz="0" w:space="0" w:color="auto"/>
            <w:bottom w:val="none" w:sz="0" w:space="0" w:color="auto"/>
            <w:right w:val="none" w:sz="0" w:space="0" w:color="auto"/>
          </w:divBdr>
        </w:div>
        <w:div w:id="594485384">
          <w:marLeft w:val="640"/>
          <w:marRight w:val="0"/>
          <w:marTop w:val="0"/>
          <w:marBottom w:val="0"/>
          <w:divBdr>
            <w:top w:val="none" w:sz="0" w:space="0" w:color="auto"/>
            <w:left w:val="none" w:sz="0" w:space="0" w:color="auto"/>
            <w:bottom w:val="none" w:sz="0" w:space="0" w:color="auto"/>
            <w:right w:val="none" w:sz="0" w:space="0" w:color="auto"/>
          </w:divBdr>
        </w:div>
        <w:div w:id="393115961">
          <w:marLeft w:val="640"/>
          <w:marRight w:val="0"/>
          <w:marTop w:val="0"/>
          <w:marBottom w:val="0"/>
          <w:divBdr>
            <w:top w:val="none" w:sz="0" w:space="0" w:color="auto"/>
            <w:left w:val="none" w:sz="0" w:space="0" w:color="auto"/>
            <w:bottom w:val="none" w:sz="0" w:space="0" w:color="auto"/>
            <w:right w:val="none" w:sz="0" w:space="0" w:color="auto"/>
          </w:divBdr>
        </w:div>
        <w:div w:id="622270891">
          <w:marLeft w:val="640"/>
          <w:marRight w:val="0"/>
          <w:marTop w:val="0"/>
          <w:marBottom w:val="0"/>
          <w:divBdr>
            <w:top w:val="none" w:sz="0" w:space="0" w:color="auto"/>
            <w:left w:val="none" w:sz="0" w:space="0" w:color="auto"/>
            <w:bottom w:val="none" w:sz="0" w:space="0" w:color="auto"/>
            <w:right w:val="none" w:sz="0" w:space="0" w:color="auto"/>
          </w:divBdr>
        </w:div>
        <w:div w:id="1025641543">
          <w:marLeft w:val="640"/>
          <w:marRight w:val="0"/>
          <w:marTop w:val="0"/>
          <w:marBottom w:val="0"/>
          <w:divBdr>
            <w:top w:val="none" w:sz="0" w:space="0" w:color="auto"/>
            <w:left w:val="none" w:sz="0" w:space="0" w:color="auto"/>
            <w:bottom w:val="none" w:sz="0" w:space="0" w:color="auto"/>
            <w:right w:val="none" w:sz="0" w:space="0" w:color="auto"/>
          </w:divBdr>
        </w:div>
        <w:div w:id="505098254">
          <w:marLeft w:val="640"/>
          <w:marRight w:val="0"/>
          <w:marTop w:val="0"/>
          <w:marBottom w:val="0"/>
          <w:divBdr>
            <w:top w:val="none" w:sz="0" w:space="0" w:color="auto"/>
            <w:left w:val="none" w:sz="0" w:space="0" w:color="auto"/>
            <w:bottom w:val="none" w:sz="0" w:space="0" w:color="auto"/>
            <w:right w:val="none" w:sz="0" w:space="0" w:color="auto"/>
          </w:divBdr>
        </w:div>
        <w:div w:id="412093054">
          <w:marLeft w:val="640"/>
          <w:marRight w:val="0"/>
          <w:marTop w:val="0"/>
          <w:marBottom w:val="0"/>
          <w:divBdr>
            <w:top w:val="none" w:sz="0" w:space="0" w:color="auto"/>
            <w:left w:val="none" w:sz="0" w:space="0" w:color="auto"/>
            <w:bottom w:val="none" w:sz="0" w:space="0" w:color="auto"/>
            <w:right w:val="none" w:sz="0" w:space="0" w:color="auto"/>
          </w:divBdr>
        </w:div>
        <w:div w:id="376514880">
          <w:marLeft w:val="640"/>
          <w:marRight w:val="0"/>
          <w:marTop w:val="0"/>
          <w:marBottom w:val="0"/>
          <w:divBdr>
            <w:top w:val="none" w:sz="0" w:space="0" w:color="auto"/>
            <w:left w:val="none" w:sz="0" w:space="0" w:color="auto"/>
            <w:bottom w:val="none" w:sz="0" w:space="0" w:color="auto"/>
            <w:right w:val="none" w:sz="0" w:space="0" w:color="auto"/>
          </w:divBdr>
        </w:div>
        <w:div w:id="57898463">
          <w:marLeft w:val="640"/>
          <w:marRight w:val="0"/>
          <w:marTop w:val="0"/>
          <w:marBottom w:val="0"/>
          <w:divBdr>
            <w:top w:val="none" w:sz="0" w:space="0" w:color="auto"/>
            <w:left w:val="none" w:sz="0" w:space="0" w:color="auto"/>
            <w:bottom w:val="none" w:sz="0" w:space="0" w:color="auto"/>
            <w:right w:val="none" w:sz="0" w:space="0" w:color="auto"/>
          </w:divBdr>
        </w:div>
        <w:div w:id="687484298">
          <w:marLeft w:val="640"/>
          <w:marRight w:val="0"/>
          <w:marTop w:val="0"/>
          <w:marBottom w:val="0"/>
          <w:divBdr>
            <w:top w:val="none" w:sz="0" w:space="0" w:color="auto"/>
            <w:left w:val="none" w:sz="0" w:space="0" w:color="auto"/>
            <w:bottom w:val="none" w:sz="0" w:space="0" w:color="auto"/>
            <w:right w:val="none" w:sz="0" w:space="0" w:color="auto"/>
          </w:divBdr>
        </w:div>
        <w:div w:id="259224280">
          <w:marLeft w:val="640"/>
          <w:marRight w:val="0"/>
          <w:marTop w:val="0"/>
          <w:marBottom w:val="0"/>
          <w:divBdr>
            <w:top w:val="none" w:sz="0" w:space="0" w:color="auto"/>
            <w:left w:val="none" w:sz="0" w:space="0" w:color="auto"/>
            <w:bottom w:val="none" w:sz="0" w:space="0" w:color="auto"/>
            <w:right w:val="none" w:sz="0" w:space="0" w:color="auto"/>
          </w:divBdr>
        </w:div>
        <w:div w:id="1840845264">
          <w:marLeft w:val="640"/>
          <w:marRight w:val="0"/>
          <w:marTop w:val="0"/>
          <w:marBottom w:val="0"/>
          <w:divBdr>
            <w:top w:val="none" w:sz="0" w:space="0" w:color="auto"/>
            <w:left w:val="none" w:sz="0" w:space="0" w:color="auto"/>
            <w:bottom w:val="none" w:sz="0" w:space="0" w:color="auto"/>
            <w:right w:val="none" w:sz="0" w:space="0" w:color="auto"/>
          </w:divBdr>
        </w:div>
        <w:div w:id="1967615201">
          <w:marLeft w:val="640"/>
          <w:marRight w:val="0"/>
          <w:marTop w:val="0"/>
          <w:marBottom w:val="0"/>
          <w:divBdr>
            <w:top w:val="none" w:sz="0" w:space="0" w:color="auto"/>
            <w:left w:val="none" w:sz="0" w:space="0" w:color="auto"/>
            <w:bottom w:val="none" w:sz="0" w:space="0" w:color="auto"/>
            <w:right w:val="none" w:sz="0" w:space="0" w:color="auto"/>
          </w:divBdr>
        </w:div>
        <w:div w:id="449323140">
          <w:marLeft w:val="640"/>
          <w:marRight w:val="0"/>
          <w:marTop w:val="0"/>
          <w:marBottom w:val="0"/>
          <w:divBdr>
            <w:top w:val="none" w:sz="0" w:space="0" w:color="auto"/>
            <w:left w:val="none" w:sz="0" w:space="0" w:color="auto"/>
            <w:bottom w:val="none" w:sz="0" w:space="0" w:color="auto"/>
            <w:right w:val="none" w:sz="0" w:space="0" w:color="auto"/>
          </w:divBdr>
        </w:div>
        <w:div w:id="115611555">
          <w:marLeft w:val="640"/>
          <w:marRight w:val="0"/>
          <w:marTop w:val="0"/>
          <w:marBottom w:val="0"/>
          <w:divBdr>
            <w:top w:val="none" w:sz="0" w:space="0" w:color="auto"/>
            <w:left w:val="none" w:sz="0" w:space="0" w:color="auto"/>
            <w:bottom w:val="none" w:sz="0" w:space="0" w:color="auto"/>
            <w:right w:val="none" w:sz="0" w:space="0" w:color="auto"/>
          </w:divBdr>
        </w:div>
        <w:div w:id="1191603633">
          <w:marLeft w:val="640"/>
          <w:marRight w:val="0"/>
          <w:marTop w:val="0"/>
          <w:marBottom w:val="0"/>
          <w:divBdr>
            <w:top w:val="none" w:sz="0" w:space="0" w:color="auto"/>
            <w:left w:val="none" w:sz="0" w:space="0" w:color="auto"/>
            <w:bottom w:val="none" w:sz="0" w:space="0" w:color="auto"/>
            <w:right w:val="none" w:sz="0" w:space="0" w:color="auto"/>
          </w:divBdr>
        </w:div>
        <w:div w:id="1254708612">
          <w:marLeft w:val="640"/>
          <w:marRight w:val="0"/>
          <w:marTop w:val="0"/>
          <w:marBottom w:val="0"/>
          <w:divBdr>
            <w:top w:val="none" w:sz="0" w:space="0" w:color="auto"/>
            <w:left w:val="none" w:sz="0" w:space="0" w:color="auto"/>
            <w:bottom w:val="none" w:sz="0" w:space="0" w:color="auto"/>
            <w:right w:val="none" w:sz="0" w:space="0" w:color="auto"/>
          </w:divBdr>
        </w:div>
        <w:div w:id="1071124194">
          <w:marLeft w:val="640"/>
          <w:marRight w:val="0"/>
          <w:marTop w:val="0"/>
          <w:marBottom w:val="0"/>
          <w:divBdr>
            <w:top w:val="none" w:sz="0" w:space="0" w:color="auto"/>
            <w:left w:val="none" w:sz="0" w:space="0" w:color="auto"/>
            <w:bottom w:val="none" w:sz="0" w:space="0" w:color="auto"/>
            <w:right w:val="none" w:sz="0" w:space="0" w:color="auto"/>
          </w:divBdr>
        </w:div>
        <w:div w:id="1859156085">
          <w:marLeft w:val="640"/>
          <w:marRight w:val="0"/>
          <w:marTop w:val="0"/>
          <w:marBottom w:val="0"/>
          <w:divBdr>
            <w:top w:val="none" w:sz="0" w:space="0" w:color="auto"/>
            <w:left w:val="none" w:sz="0" w:space="0" w:color="auto"/>
            <w:bottom w:val="none" w:sz="0" w:space="0" w:color="auto"/>
            <w:right w:val="none" w:sz="0" w:space="0" w:color="auto"/>
          </w:divBdr>
        </w:div>
        <w:div w:id="1520779067">
          <w:marLeft w:val="640"/>
          <w:marRight w:val="0"/>
          <w:marTop w:val="0"/>
          <w:marBottom w:val="0"/>
          <w:divBdr>
            <w:top w:val="none" w:sz="0" w:space="0" w:color="auto"/>
            <w:left w:val="none" w:sz="0" w:space="0" w:color="auto"/>
            <w:bottom w:val="none" w:sz="0" w:space="0" w:color="auto"/>
            <w:right w:val="none" w:sz="0" w:space="0" w:color="auto"/>
          </w:divBdr>
        </w:div>
        <w:div w:id="1360933695">
          <w:marLeft w:val="640"/>
          <w:marRight w:val="0"/>
          <w:marTop w:val="0"/>
          <w:marBottom w:val="0"/>
          <w:divBdr>
            <w:top w:val="none" w:sz="0" w:space="0" w:color="auto"/>
            <w:left w:val="none" w:sz="0" w:space="0" w:color="auto"/>
            <w:bottom w:val="none" w:sz="0" w:space="0" w:color="auto"/>
            <w:right w:val="none" w:sz="0" w:space="0" w:color="auto"/>
          </w:divBdr>
        </w:div>
        <w:div w:id="2083983145">
          <w:marLeft w:val="640"/>
          <w:marRight w:val="0"/>
          <w:marTop w:val="0"/>
          <w:marBottom w:val="0"/>
          <w:divBdr>
            <w:top w:val="none" w:sz="0" w:space="0" w:color="auto"/>
            <w:left w:val="none" w:sz="0" w:space="0" w:color="auto"/>
            <w:bottom w:val="none" w:sz="0" w:space="0" w:color="auto"/>
            <w:right w:val="none" w:sz="0" w:space="0" w:color="auto"/>
          </w:divBdr>
        </w:div>
        <w:div w:id="666254455">
          <w:marLeft w:val="640"/>
          <w:marRight w:val="0"/>
          <w:marTop w:val="0"/>
          <w:marBottom w:val="0"/>
          <w:divBdr>
            <w:top w:val="none" w:sz="0" w:space="0" w:color="auto"/>
            <w:left w:val="none" w:sz="0" w:space="0" w:color="auto"/>
            <w:bottom w:val="none" w:sz="0" w:space="0" w:color="auto"/>
            <w:right w:val="none" w:sz="0" w:space="0" w:color="auto"/>
          </w:divBdr>
        </w:div>
        <w:div w:id="948583434">
          <w:marLeft w:val="640"/>
          <w:marRight w:val="0"/>
          <w:marTop w:val="0"/>
          <w:marBottom w:val="0"/>
          <w:divBdr>
            <w:top w:val="none" w:sz="0" w:space="0" w:color="auto"/>
            <w:left w:val="none" w:sz="0" w:space="0" w:color="auto"/>
            <w:bottom w:val="none" w:sz="0" w:space="0" w:color="auto"/>
            <w:right w:val="none" w:sz="0" w:space="0" w:color="auto"/>
          </w:divBdr>
        </w:div>
        <w:div w:id="1824464049">
          <w:marLeft w:val="640"/>
          <w:marRight w:val="0"/>
          <w:marTop w:val="0"/>
          <w:marBottom w:val="0"/>
          <w:divBdr>
            <w:top w:val="none" w:sz="0" w:space="0" w:color="auto"/>
            <w:left w:val="none" w:sz="0" w:space="0" w:color="auto"/>
            <w:bottom w:val="none" w:sz="0" w:space="0" w:color="auto"/>
            <w:right w:val="none" w:sz="0" w:space="0" w:color="auto"/>
          </w:divBdr>
        </w:div>
        <w:div w:id="1392312657">
          <w:marLeft w:val="640"/>
          <w:marRight w:val="0"/>
          <w:marTop w:val="0"/>
          <w:marBottom w:val="0"/>
          <w:divBdr>
            <w:top w:val="none" w:sz="0" w:space="0" w:color="auto"/>
            <w:left w:val="none" w:sz="0" w:space="0" w:color="auto"/>
            <w:bottom w:val="none" w:sz="0" w:space="0" w:color="auto"/>
            <w:right w:val="none" w:sz="0" w:space="0" w:color="auto"/>
          </w:divBdr>
        </w:div>
        <w:div w:id="2116823298">
          <w:marLeft w:val="640"/>
          <w:marRight w:val="0"/>
          <w:marTop w:val="0"/>
          <w:marBottom w:val="0"/>
          <w:divBdr>
            <w:top w:val="none" w:sz="0" w:space="0" w:color="auto"/>
            <w:left w:val="none" w:sz="0" w:space="0" w:color="auto"/>
            <w:bottom w:val="none" w:sz="0" w:space="0" w:color="auto"/>
            <w:right w:val="none" w:sz="0" w:space="0" w:color="auto"/>
          </w:divBdr>
        </w:div>
        <w:div w:id="1366177986">
          <w:marLeft w:val="640"/>
          <w:marRight w:val="0"/>
          <w:marTop w:val="0"/>
          <w:marBottom w:val="0"/>
          <w:divBdr>
            <w:top w:val="none" w:sz="0" w:space="0" w:color="auto"/>
            <w:left w:val="none" w:sz="0" w:space="0" w:color="auto"/>
            <w:bottom w:val="none" w:sz="0" w:space="0" w:color="auto"/>
            <w:right w:val="none" w:sz="0" w:space="0" w:color="auto"/>
          </w:divBdr>
        </w:div>
        <w:div w:id="304698787">
          <w:marLeft w:val="640"/>
          <w:marRight w:val="0"/>
          <w:marTop w:val="0"/>
          <w:marBottom w:val="0"/>
          <w:divBdr>
            <w:top w:val="none" w:sz="0" w:space="0" w:color="auto"/>
            <w:left w:val="none" w:sz="0" w:space="0" w:color="auto"/>
            <w:bottom w:val="none" w:sz="0" w:space="0" w:color="auto"/>
            <w:right w:val="none" w:sz="0" w:space="0" w:color="auto"/>
          </w:divBdr>
        </w:div>
        <w:div w:id="1584531744">
          <w:marLeft w:val="640"/>
          <w:marRight w:val="0"/>
          <w:marTop w:val="0"/>
          <w:marBottom w:val="0"/>
          <w:divBdr>
            <w:top w:val="none" w:sz="0" w:space="0" w:color="auto"/>
            <w:left w:val="none" w:sz="0" w:space="0" w:color="auto"/>
            <w:bottom w:val="none" w:sz="0" w:space="0" w:color="auto"/>
            <w:right w:val="none" w:sz="0" w:space="0" w:color="auto"/>
          </w:divBdr>
        </w:div>
        <w:div w:id="469325748">
          <w:marLeft w:val="640"/>
          <w:marRight w:val="0"/>
          <w:marTop w:val="0"/>
          <w:marBottom w:val="0"/>
          <w:divBdr>
            <w:top w:val="none" w:sz="0" w:space="0" w:color="auto"/>
            <w:left w:val="none" w:sz="0" w:space="0" w:color="auto"/>
            <w:bottom w:val="none" w:sz="0" w:space="0" w:color="auto"/>
            <w:right w:val="none" w:sz="0" w:space="0" w:color="auto"/>
          </w:divBdr>
        </w:div>
        <w:div w:id="667557466">
          <w:marLeft w:val="640"/>
          <w:marRight w:val="0"/>
          <w:marTop w:val="0"/>
          <w:marBottom w:val="0"/>
          <w:divBdr>
            <w:top w:val="none" w:sz="0" w:space="0" w:color="auto"/>
            <w:left w:val="none" w:sz="0" w:space="0" w:color="auto"/>
            <w:bottom w:val="none" w:sz="0" w:space="0" w:color="auto"/>
            <w:right w:val="none" w:sz="0" w:space="0" w:color="auto"/>
          </w:divBdr>
        </w:div>
        <w:div w:id="1940063945">
          <w:marLeft w:val="640"/>
          <w:marRight w:val="0"/>
          <w:marTop w:val="0"/>
          <w:marBottom w:val="0"/>
          <w:divBdr>
            <w:top w:val="none" w:sz="0" w:space="0" w:color="auto"/>
            <w:left w:val="none" w:sz="0" w:space="0" w:color="auto"/>
            <w:bottom w:val="none" w:sz="0" w:space="0" w:color="auto"/>
            <w:right w:val="none" w:sz="0" w:space="0" w:color="auto"/>
          </w:divBdr>
        </w:div>
        <w:div w:id="1418360139">
          <w:marLeft w:val="640"/>
          <w:marRight w:val="0"/>
          <w:marTop w:val="0"/>
          <w:marBottom w:val="0"/>
          <w:divBdr>
            <w:top w:val="none" w:sz="0" w:space="0" w:color="auto"/>
            <w:left w:val="none" w:sz="0" w:space="0" w:color="auto"/>
            <w:bottom w:val="none" w:sz="0" w:space="0" w:color="auto"/>
            <w:right w:val="none" w:sz="0" w:space="0" w:color="auto"/>
          </w:divBdr>
        </w:div>
        <w:div w:id="2003194729">
          <w:marLeft w:val="640"/>
          <w:marRight w:val="0"/>
          <w:marTop w:val="0"/>
          <w:marBottom w:val="0"/>
          <w:divBdr>
            <w:top w:val="none" w:sz="0" w:space="0" w:color="auto"/>
            <w:left w:val="none" w:sz="0" w:space="0" w:color="auto"/>
            <w:bottom w:val="none" w:sz="0" w:space="0" w:color="auto"/>
            <w:right w:val="none" w:sz="0" w:space="0" w:color="auto"/>
          </w:divBdr>
        </w:div>
        <w:div w:id="285047048">
          <w:marLeft w:val="640"/>
          <w:marRight w:val="0"/>
          <w:marTop w:val="0"/>
          <w:marBottom w:val="0"/>
          <w:divBdr>
            <w:top w:val="none" w:sz="0" w:space="0" w:color="auto"/>
            <w:left w:val="none" w:sz="0" w:space="0" w:color="auto"/>
            <w:bottom w:val="none" w:sz="0" w:space="0" w:color="auto"/>
            <w:right w:val="none" w:sz="0" w:space="0" w:color="auto"/>
          </w:divBdr>
        </w:div>
        <w:div w:id="1108237234">
          <w:marLeft w:val="640"/>
          <w:marRight w:val="0"/>
          <w:marTop w:val="0"/>
          <w:marBottom w:val="0"/>
          <w:divBdr>
            <w:top w:val="none" w:sz="0" w:space="0" w:color="auto"/>
            <w:left w:val="none" w:sz="0" w:space="0" w:color="auto"/>
            <w:bottom w:val="none" w:sz="0" w:space="0" w:color="auto"/>
            <w:right w:val="none" w:sz="0" w:space="0" w:color="auto"/>
          </w:divBdr>
        </w:div>
        <w:div w:id="1305769226">
          <w:marLeft w:val="640"/>
          <w:marRight w:val="0"/>
          <w:marTop w:val="0"/>
          <w:marBottom w:val="0"/>
          <w:divBdr>
            <w:top w:val="none" w:sz="0" w:space="0" w:color="auto"/>
            <w:left w:val="none" w:sz="0" w:space="0" w:color="auto"/>
            <w:bottom w:val="none" w:sz="0" w:space="0" w:color="auto"/>
            <w:right w:val="none" w:sz="0" w:space="0" w:color="auto"/>
          </w:divBdr>
        </w:div>
        <w:div w:id="862590347">
          <w:marLeft w:val="640"/>
          <w:marRight w:val="0"/>
          <w:marTop w:val="0"/>
          <w:marBottom w:val="0"/>
          <w:divBdr>
            <w:top w:val="none" w:sz="0" w:space="0" w:color="auto"/>
            <w:left w:val="none" w:sz="0" w:space="0" w:color="auto"/>
            <w:bottom w:val="none" w:sz="0" w:space="0" w:color="auto"/>
            <w:right w:val="none" w:sz="0" w:space="0" w:color="auto"/>
          </w:divBdr>
        </w:div>
        <w:div w:id="150297028">
          <w:marLeft w:val="640"/>
          <w:marRight w:val="0"/>
          <w:marTop w:val="0"/>
          <w:marBottom w:val="0"/>
          <w:divBdr>
            <w:top w:val="none" w:sz="0" w:space="0" w:color="auto"/>
            <w:left w:val="none" w:sz="0" w:space="0" w:color="auto"/>
            <w:bottom w:val="none" w:sz="0" w:space="0" w:color="auto"/>
            <w:right w:val="none" w:sz="0" w:space="0" w:color="auto"/>
          </w:divBdr>
        </w:div>
        <w:div w:id="1278178998">
          <w:marLeft w:val="640"/>
          <w:marRight w:val="0"/>
          <w:marTop w:val="0"/>
          <w:marBottom w:val="0"/>
          <w:divBdr>
            <w:top w:val="none" w:sz="0" w:space="0" w:color="auto"/>
            <w:left w:val="none" w:sz="0" w:space="0" w:color="auto"/>
            <w:bottom w:val="none" w:sz="0" w:space="0" w:color="auto"/>
            <w:right w:val="none" w:sz="0" w:space="0" w:color="auto"/>
          </w:divBdr>
        </w:div>
        <w:div w:id="1545169676">
          <w:marLeft w:val="640"/>
          <w:marRight w:val="0"/>
          <w:marTop w:val="0"/>
          <w:marBottom w:val="0"/>
          <w:divBdr>
            <w:top w:val="none" w:sz="0" w:space="0" w:color="auto"/>
            <w:left w:val="none" w:sz="0" w:space="0" w:color="auto"/>
            <w:bottom w:val="none" w:sz="0" w:space="0" w:color="auto"/>
            <w:right w:val="none" w:sz="0" w:space="0" w:color="auto"/>
          </w:divBdr>
        </w:div>
        <w:div w:id="1088843175">
          <w:marLeft w:val="640"/>
          <w:marRight w:val="0"/>
          <w:marTop w:val="0"/>
          <w:marBottom w:val="0"/>
          <w:divBdr>
            <w:top w:val="none" w:sz="0" w:space="0" w:color="auto"/>
            <w:left w:val="none" w:sz="0" w:space="0" w:color="auto"/>
            <w:bottom w:val="none" w:sz="0" w:space="0" w:color="auto"/>
            <w:right w:val="none" w:sz="0" w:space="0" w:color="auto"/>
          </w:divBdr>
        </w:div>
        <w:div w:id="921376380">
          <w:marLeft w:val="640"/>
          <w:marRight w:val="0"/>
          <w:marTop w:val="0"/>
          <w:marBottom w:val="0"/>
          <w:divBdr>
            <w:top w:val="none" w:sz="0" w:space="0" w:color="auto"/>
            <w:left w:val="none" w:sz="0" w:space="0" w:color="auto"/>
            <w:bottom w:val="none" w:sz="0" w:space="0" w:color="auto"/>
            <w:right w:val="none" w:sz="0" w:space="0" w:color="auto"/>
          </w:divBdr>
        </w:div>
        <w:div w:id="721489067">
          <w:marLeft w:val="640"/>
          <w:marRight w:val="0"/>
          <w:marTop w:val="0"/>
          <w:marBottom w:val="0"/>
          <w:divBdr>
            <w:top w:val="none" w:sz="0" w:space="0" w:color="auto"/>
            <w:left w:val="none" w:sz="0" w:space="0" w:color="auto"/>
            <w:bottom w:val="none" w:sz="0" w:space="0" w:color="auto"/>
            <w:right w:val="none" w:sz="0" w:space="0" w:color="auto"/>
          </w:divBdr>
        </w:div>
        <w:div w:id="218323725">
          <w:marLeft w:val="640"/>
          <w:marRight w:val="0"/>
          <w:marTop w:val="0"/>
          <w:marBottom w:val="0"/>
          <w:divBdr>
            <w:top w:val="none" w:sz="0" w:space="0" w:color="auto"/>
            <w:left w:val="none" w:sz="0" w:space="0" w:color="auto"/>
            <w:bottom w:val="none" w:sz="0" w:space="0" w:color="auto"/>
            <w:right w:val="none" w:sz="0" w:space="0" w:color="auto"/>
          </w:divBdr>
        </w:div>
        <w:div w:id="422185415">
          <w:marLeft w:val="640"/>
          <w:marRight w:val="0"/>
          <w:marTop w:val="0"/>
          <w:marBottom w:val="0"/>
          <w:divBdr>
            <w:top w:val="none" w:sz="0" w:space="0" w:color="auto"/>
            <w:left w:val="none" w:sz="0" w:space="0" w:color="auto"/>
            <w:bottom w:val="none" w:sz="0" w:space="0" w:color="auto"/>
            <w:right w:val="none" w:sz="0" w:space="0" w:color="auto"/>
          </w:divBdr>
        </w:div>
        <w:div w:id="462768563">
          <w:marLeft w:val="640"/>
          <w:marRight w:val="0"/>
          <w:marTop w:val="0"/>
          <w:marBottom w:val="0"/>
          <w:divBdr>
            <w:top w:val="none" w:sz="0" w:space="0" w:color="auto"/>
            <w:left w:val="none" w:sz="0" w:space="0" w:color="auto"/>
            <w:bottom w:val="none" w:sz="0" w:space="0" w:color="auto"/>
            <w:right w:val="none" w:sz="0" w:space="0" w:color="auto"/>
          </w:divBdr>
        </w:div>
        <w:div w:id="1830440966">
          <w:marLeft w:val="640"/>
          <w:marRight w:val="0"/>
          <w:marTop w:val="0"/>
          <w:marBottom w:val="0"/>
          <w:divBdr>
            <w:top w:val="none" w:sz="0" w:space="0" w:color="auto"/>
            <w:left w:val="none" w:sz="0" w:space="0" w:color="auto"/>
            <w:bottom w:val="none" w:sz="0" w:space="0" w:color="auto"/>
            <w:right w:val="none" w:sz="0" w:space="0" w:color="auto"/>
          </w:divBdr>
        </w:div>
        <w:div w:id="326056759">
          <w:marLeft w:val="640"/>
          <w:marRight w:val="0"/>
          <w:marTop w:val="0"/>
          <w:marBottom w:val="0"/>
          <w:divBdr>
            <w:top w:val="none" w:sz="0" w:space="0" w:color="auto"/>
            <w:left w:val="none" w:sz="0" w:space="0" w:color="auto"/>
            <w:bottom w:val="none" w:sz="0" w:space="0" w:color="auto"/>
            <w:right w:val="none" w:sz="0" w:space="0" w:color="auto"/>
          </w:divBdr>
        </w:div>
        <w:div w:id="1127316515">
          <w:marLeft w:val="640"/>
          <w:marRight w:val="0"/>
          <w:marTop w:val="0"/>
          <w:marBottom w:val="0"/>
          <w:divBdr>
            <w:top w:val="none" w:sz="0" w:space="0" w:color="auto"/>
            <w:left w:val="none" w:sz="0" w:space="0" w:color="auto"/>
            <w:bottom w:val="none" w:sz="0" w:space="0" w:color="auto"/>
            <w:right w:val="none" w:sz="0" w:space="0" w:color="auto"/>
          </w:divBdr>
        </w:div>
        <w:div w:id="1938097499">
          <w:marLeft w:val="640"/>
          <w:marRight w:val="0"/>
          <w:marTop w:val="0"/>
          <w:marBottom w:val="0"/>
          <w:divBdr>
            <w:top w:val="none" w:sz="0" w:space="0" w:color="auto"/>
            <w:left w:val="none" w:sz="0" w:space="0" w:color="auto"/>
            <w:bottom w:val="none" w:sz="0" w:space="0" w:color="auto"/>
            <w:right w:val="none" w:sz="0" w:space="0" w:color="auto"/>
          </w:divBdr>
        </w:div>
        <w:div w:id="1918054389">
          <w:marLeft w:val="640"/>
          <w:marRight w:val="0"/>
          <w:marTop w:val="0"/>
          <w:marBottom w:val="0"/>
          <w:divBdr>
            <w:top w:val="none" w:sz="0" w:space="0" w:color="auto"/>
            <w:left w:val="none" w:sz="0" w:space="0" w:color="auto"/>
            <w:bottom w:val="none" w:sz="0" w:space="0" w:color="auto"/>
            <w:right w:val="none" w:sz="0" w:space="0" w:color="auto"/>
          </w:divBdr>
        </w:div>
        <w:div w:id="1746149849">
          <w:marLeft w:val="640"/>
          <w:marRight w:val="0"/>
          <w:marTop w:val="0"/>
          <w:marBottom w:val="0"/>
          <w:divBdr>
            <w:top w:val="none" w:sz="0" w:space="0" w:color="auto"/>
            <w:left w:val="none" w:sz="0" w:space="0" w:color="auto"/>
            <w:bottom w:val="none" w:sz="0" w:space="0" w:color="auto"/>
            <w:right w:val="none" w:sz="0" w:space="0" w:color="auto"/>
          </w:divBdr>
        </w:div>
        <w:div w:id="377826121">
          <w:marLeft w:val="640"/>
          <w:marRight w:val="0"/>
          <w:marTop w:val="0"/>
          <w:marBottom w:val="0"/>
          <w:divBdr>
            <w:top w:val="none" w:sz="0" w:space="0" w:color="auto"/>
            <w:left w:val="none" w:sz="0" w:space="0" w:color="auto"/>
            <w:bottom w:val="none" w:sz="0" w:space="0" w:color="auto"/>
            <w:right w:val="none" w:sz="0" w:space="0" w:color="auto"/>
          </w:divBdr>
        </w:div>
        <w:div w:id="323778853">
          <w:marLeft w:val="640"/>
          <w:marRight w:val="0"/>
          <w:marTop w:val="0"/>
          <w:marBottom w:val="0"/>
          <w:divBdr>
            <w:top w:val="none" w:sz="0" w:space="0" w:color="auto"/>
            <w:left w:val="none" w:sz="0" w:space="0" w:color="auto"/>
            <w:bottom w:val="none" w:sz="0" w:space="0" w:color="auto"/>
            <w:right w:val="none" w:sz="0" w:space="0" w:color="auto"/>
          </w:divBdr>
        </w:div>
        <w:div w:id="922184764">
          <w:marLeft w:val="640"/>
          <w:marRight w:val="0"/>
          <w:marTop w:val="0"/>
          <w:marBottom w:val="0"/>
          <w:divBdr>
            <w:top w:val="none" w:sz="0" w:space="0" w:color="auto"/>
            <w:left w:val="none" w:sz="0" w:space="0" w:color="auto"/>
            <w:bottom w:val="none" w:sz="0" w:space="0" w:color="auto"/>
            <w:right w:val="none" w:sz="0" w:space="0" w:color="auto"/>
          </w:divBdr>
        </w:div>
        <w:div w:id="1940291376">
          <w:marLeft w:val="640"/>
          <w:marRight w:val="0"/>
          <w:marTop w:val="0"/>
          <w:marBottom w:val="0"/>
          <w:divBdr>
            <w:top w:val="none" w:sz="0" w:space="0" w:color="auto"/>
            <w:left w:val="none" w:sz="0" w:space="0" w:color="auto"/>
            <w:bottom w:val="none" w:sz="0" w:space="0" w:color="auto"/>
            <w:right w:val="none" w:sz="0" w:space="0" w:color="auto"/>
          </w:divBdr>
        </w:div>
        <w:div w:id="223569061">
          <w:marLeft w:val="640"/>
          <w:marRight w:val="0"/>
          <w:marTop w:val="0"/>
          <w:marBottom w:val="0"/>
          <w:divBdr>
            <w:top w:val="none" w:sz="0" w:space="0" w:color="auto"/>
            <w:left w:val="none" w:sz="0" w:space="0" w:color="auto"/>
            <w:bottom w:val="none" w:sz="0" w:space="0" w:color="auto"/>
            <w:right w:val="none" w:sz="0" w:space="0" w:color="auto"/>
          </w:divBdr>
        </w:div>
        <w:div w:id="688603557">
          <w:marLeft w:val="640"/>
          <w:marRight w:val="0"/>
          <w:marTop w:val="0"/>
          <w:marBottom w:val="0"/>
          <w:divBdr>
            <w:top w:val="none" w:sz="0" w:space="0" w:color="auto"/>
            <w:left w:val="none" w:sz="0" w:space="0" w:color="auto"/>
            <w:bottom w:val="none" w:sz="0" w:space="0" w:color="auto"/>
            <w:right w:val="none" w:sz="0" w:space="0" w:color="auto"/>
          </w:divBdr>
        </w:div>
        <w:div w:id="1949894489">
          <w:marLeft w:val="640"/>
          <w:marRight w:val="0"/>
          <w:marTop w:val="0"/>
          <w:marBottom w:val="0"/>
          <w:divBdr>
            <w:top w:val="none" w:sz="0" w:space="0" w:color="auto"/>
            <w:left w:val="none" w:sz="0" w:space="0" w:color="auto"/>
            <w:bottom w:val="none" w:sz="0" w:space="0" w:color="auto"/>
            <w:right w:val="none" w:sz="0" w:space="0" w:color="auto"/>
          </w:divBdr>
        </w:div>
        <w:div w:id="1554926343">
          <w:marLeft w:val="640"/>
          <w:marRight w:val="0"/>
          <w:marTop w:val="0"/>
          <w:marBottom w:val="0"/>
          <w:divBdr>
            <w:top w:val="none" w:sz="0" w:space="0" w:color="auto"/>
            <w:left w:val="none" w:sz="0" w:space="0" w:color="auto"/>
            <w:bottom w:val="none" w:sz="0" w:space="0" w:color="auto"/>
            <w:right w:val="none" w:sz="0" w:space="0" w:color="auto"/>
          </w:divBdr>
        </w:div>
        <w:div w:id="1783528744">
          <w:marLeft w:val="640"/>
          <w:marRight w:val="0"/>
          <w:marTop w:val="0"/>
          <w:marBottom w:val="0"/>
          <w:divBdr>
            <w:top w:val="none" w:sz="0" w:space="0" w:color="auto"/>
            <w:left w:val="none" w:sz="0" w:space="0" w:color="auto"/>
            <w:bottom w:val="none" w:sz="0" w:space="0" w:color="auto"/>
            <w:right w:val="none" w:sz="0" w:space="0" w:color="auto"/>
          </w:divBdr>
        </w:div>
        <w:div w:id="55009232">
          <w:marLeft w:val="640"/>
          <w:marRight w:val="0"/>
          <w:marTop w:val="0"/>
          <w:marBottom w:val="0"/>
          <w:divBdr>
            <w:top w:val="none" w:sz="0" w:space="0" w:color="auto"/>
            <w:left w:val="none" w:sz="0" w:space="0" w:color="auto"/>
            <w:bottom w:val="none" w:sz="0" w:space="0" w:color="auto"/>
            <w:right w:val="none" w:sz="0" w:space="0" w:color="auto"/>
          </w:divBdr>
        </w:div>
        <w:div w:id="1194735225">
          <w:marLeft w:val="640"/>
          <w:marRight w:val="0"/>
          <w:marTop w:val="0"/>
          <w:marBottom w:val="0"/>
          <w:divBdr>
            <w:top w:val="none" w:sz="0" w:space="0" w:color="auto"/>
            <w:left w:val="none" w:sz="0" w:space="0" w:color="auto"/>
            <w:bottom w:val="none" w:sz="0" w:space="0" w:color="auto"/>
            <w:right w:val="none" w:sz="0" w:space="0" w:color="auto"/>
          </w:divBdr>
        </w:div>
        <w:div w:id="1371807748">
          <w:marLeft w:val="640"/>
          <w:marRight w:val="0"/>
          <w:marTop w:val="0"/>
          <w:marBottom w:val="0"/>
          <w:divBdr>
            <w:top w:val="none" w:sz="0" w:space="0" w:color="auto"/>
            <w:left w:val="none" w:sz="0" w:space="0" w:color="auto"/>
            <w:bottom w:val="none" w:sz="0" w:space="0" w:color="auto"/>
            <w:right w:val="none" w:sz="0" w:space="0" w:color="auto"/>
          </w:divBdr>
        </w:div>
        <w:div w:id="1265845283">
          <w:marLeft w:val="640"/>
          <w:marRight w:val="0"/>
          <w:marTop w:val="0"/>
          <w:marBottom w:val="0"/>
          <w:divBdr>
            <w:top w:val="none" w:sz="0" w:space="0" w:color="auto"/>
            <w:left w:val="none" w:sz="0" w:space="0" w:color="auto"/>
            <w:bottom w:val="none" w:sz="0" w:space="0" w:color="auto"/>
            <w:right w:val="none" w:sz="0" w:space="0" w:color="auto"/>
          </w:divBdr>
        </w:div>
        <w:div w:id="318778214">
          <w:marLeft w:val="640"/>
          <w:marRight w:val="0"/>
          <w:marTop w:val="0"/>
          <w:marBottom w:val="0"/>
          <w:divBdr>
            <w:top w:val="none" w:sz="0" w:space="0" w:color="auto"/>
            <w:left w:val="none" w:sz="0" w:space="0" w:color="auto"/>
            <w:bottom w:val="none" w:sz="0" w:space="0" w:color="auto"/>
            <w:right w:val="none" w:sz="0" w:space="0" w:color="auto"/>
          </w:divBdr>
        </w:div>
        <w:div w:id="1825582094">
          <w:marLeft w:val="640"/>
          <w:marRight w:val="0"/>
          <w:marTop w:val="0"/>
          <w:marBottom w:val="0"/>
          <w:divBdr>
            <w:top w:val="none" w:sz="0" w:space="0" w:color="auto"/>
            <w:left w:val="none" w:sz="0" w:space="0" w:color="auto"/>
            <w:bottom w:val="none" w:sz="0" w:space="0" w:color="auto"/>
            <w:right w:val="none" w:sz="0" w:space="0" w:color="auto"/>
          </w:divBdr>
        </w:div>
        <w:div w:id="970789732">
          <w:marLeft w:val="640"/>
          <w:marRight w:val="0"/>
          <w:marTop w:val="0"/>
          <w:marBottom w:val="0"/>
          <w:divBdr>
            <w:top w:val="none" w:sz="0" w:space="0" w:color="auto"/>
            <w:left w:val="none" w:sz="0" w:space="0" w:color="auto"/>
            <w:bottom w:val="none" w:sz="0" w:space="0" w:color="auto"/>
            <w:right w:val="none" w:sz="0" w:space="0" w:color="auto"/>
          </w:divBdr>
        </w:div>
        <w:div w:id="1616667402">
          <w:marLeft w:val="640"/>
          <w:marRight w:val="0"/>
          <w:marTop w:val="0"/>
          <w:marBottom w:val="0"/>
          <w:divBdr>
            <w:top w:val="none" w:sz="0" w:space="0" w:color="auto"/>
            <w:left w:val="none" w:sz="0" w:space="0" w:color="auto"/>
            <w:bottom w:val="none" w:sz="0" w:space="0" w:color="auto"/>
            <w:right w:val="none" w:sz="0" w:space="0" w:color="auto"/>
          </w:divBdr>
        </w:div>
        <w:div w:id="465048779">
          <w:marLeft w:val="640"/>
          <w:marRight w:val="0"/>
          <w:marTop w:val="0"/>
          <w:marBottom w:val="0"/>
          <w:divBdr>
            <w:top w:val="none" w:sz="0" w:space="0" w:color="auto"/>
            <w:left w:val="none" w:sz="0" w:space="0" w:color="auto"/>
            <w:bottom w:val="none" w:sz="0" w:space="0" w:color="auto"/>
            <w:right w:val="none" w:sz="0" w:space="0" w:color="auto"/>
          </w:divBdr>
        </w:div>
        <w:div w:id="1226335704">
          <w:marLeft w:val="640"/>
          <w:marRight w:val="0"/>
          <w:marTop w:val="0"/>
          <w:marBottom w:val="0"/>
          <w:divBdr>
            <w:top w:val="none" w:sz="0" w:space="0" w:color="auto"/>
            <w:left w:val="none" w:sz="0" w:space="0" w:color="auto"/>
            <w:bottom w:val="none" w:sz="0" w:space="0" w:color="auto"/>
            <w:right w:val="none" w:sz="0" w:space="0" w:color="auto"/>
          </w:divBdr>
        </w:div>
        <w:div w:id="950741467">
          <w:marLeft w:val="640"/>
          <w:marRight w:val="0"/>
          <w:marTop w:val="0"/>
          <w:marBottom w:val="0"/>
          <w:divBdr>
            <w:top w:val="none" w:sz="0" w:space="0" w:color="auto"/>
            <w:left w:val="none" w:sz="0" w:space="0" w:color="auto"/>
            <w:bottom w:val="none" w:sz="0" w:space="0" w:color="auto"/>
            <w:right w:val="none" w:sz="0" w:space="0" w:color="auto"/>
          </w:divBdr>
        </w:div>
        <w:div w:id="1393118697">
          <w:marLeft w:val="640"/>
          <w:marRight w:val="0"/>
          <w:marTop w:val="0"/>
          <w:marBottom w:val="0"/>
          <w:divBdr>
            <w:top w:val="none" w:sz="0" w:space="0" w:color="auto"/>
            <w:left w:val="none" w:sz="0" w:space="0" w:color="auto"/>
            <w:bottom w:val="none" w:sz="0" w:space="0" w:color="auto"/>
            <w:right w:val="none" w:sz="0" w:space="0" w:color="auto"/>
          </w:divBdr>
        </w:div>
        <w:div w:id="41486431">
          <w:marLeft w:val="640"/>
          <w:marRight w:val="0"/>
          <w:marTop w:val="0"/>
          <w:marBottom w:val="0"/>
          <w:divBdr>
            <w:top w:val="none" w:sz="0" w:space="0" w:color="auto"/>
            <w:left w:val="none" w:sz="0" w:space="0" w:color="auto"/>
            <w:bottom w:val="none" w:sz="0" w:space="0" w:color="auto"/>
            <w:right w:val="none" w:sz="0" w:space="0" w:color="auto"/>
          </w:divBdr>
        </w:div>
        <w:div w:id="612175167">
          <w:marLeft w:val="640"/>
          <w:marRight w:val="0"/>
          <w:marTop w:val="0"/>
          <w:marBottom w:val="0"/>
          <w:divBdr>
            <w:top w:val="none" w:sz="0" w:space="0" w:color="auto"/>
            <w:left w:val="none" w:sz="0" w:space="0" w:color="auto"/>
            <w:bottom w:val="none" w:sz="0" w:space="0" w:color="auto"/>
            <w:right w:val="none" w:sz="0" w:space="0" w:color="auto"/>
          </w:divBdr>
        </w:div>
        <w:div w:id="681130121">
          <w:marLeft w:val="640"/>
          <w:marRight w:val="0"/>
          <w:marTop w:val="0"/>
          <w:marBottom w:val="0"/>
          <w:divBdr>
            <w:top w:val="none" w:sz="0" w:space="0" w:color="auto"/>
            <w:left w:val="none" w:sz="0" w:space="0" w:color="auto"/>
            <w:bottom w:val="none" w:sz="0" w:space="0" w:color="auto"/>
            <w:right w:val="none" w:sz="0" w:space="0" w:color="auto"/>
          </w:divBdr>
        </w:div>
        <w:div w:id="2045204026">
          <w:marLeft w:val="640"/>
          <w:marRight w:val="0"/>
          <w:marTop w:val="0"/>
          <w:marBottom w:val="0"/>
          <w:divBdr>
            <w:top w:val="none" w:sz="0" w:space="0" w:color="auto"/>
            <w:left w:val="none" w:sz="0" w:space="0" w:color="auto"/>
            <w:bottom w:val="none" w:sz="0" w:space="0" w:color="auto"/>
            <w:right w:val="none" w:sz="0" w:space="0" w:color="auto"/>
          </w:divBdr>
        </w:div>
        <w:div w:id="2139100947">
          <w:marLeft w:val="640"/>
          <w:marRight w:val="0"/>
          <w:marTop w:val="0"/>
          <w:marBottom w:val="0"/>
          <w:divBdr>
            <w:top w:val="none" w:sz="0" w:space="0" w:color="auto"/>
            <w:left w:val="none" w:sz="0" w:space="0" w:color="auto"/>
            <w:bottom w:val="none" w:sz="0" w:space="0" w:color="auto"/>
            <w:right w:val="none" w:sz="0" w:space="0" w:color="auto"/>
          </w:divBdr>
        </w:div>
        <w:div w:id="1119295668">
          <w:marLeft w:val="640"/>
          <w:marRight w:val="0"/>
          <w:marTop w:val="0"/>
          <w:marBottom w:val="0"/>
          <w:divBdr>
            <w:top w:val="none" w:sz="0" w:space="0" w:color="auto"/>
            <w:left w:val="none" w:sz="0" w:space="0" w:color="auto"/>
            <w:bottom w:val="none" w:sz="0" w:space="0" w:color="auto"/>
            <w:right w:val="none" w:sz="0" w:space="0" w:color="auto"/>
          </w:divBdr>
        </w:div>
        <w:div w:id="1033844356">
          <w:marLeft w:val="640"/>
          <w:marRight w:val="0"/>
          <w:marTop w:val="0"/>
          <w:marBottom w:val="0"/>
          <w:divBdr>
            <w:top w:val="none" w:sz="0" w:space="0" w:color="auto"/>
            <w:left w:val="none" w:sz="0" w:space="0" w:color="auto"/>
            <w:bottom w:val="none" w:sz="0" w:space="0" w:color="auto"/>
            <w:right w:val="none" w:sz="0" w:space="0" w:color="auto"/>
          </w:divBdr>
        </w:div>
        <w:div w:id="2104911285">
          <w:marLeft w:val="640"/>
          <w:marRight w:val="0"/>
          <w:marTop w:val="0"/>
          <w:marBottom w:val="0"/>
          <w:divBdr>
            <w:top w:val="none" w:sz="0" w:space="0" w:color="auto"/>
            <w:left w:val="none" w:sz="0" w:space="0" w:color="auto"/>
            <w:bottom w:val="none" w:sz="0" w:space="0" w:color="auto"/>
            <w:right w:val="none" w:sz="0" w:space="0" w:color="auto"/>
          </w:divBdr>
        </w:div>
        <w:div w:id="1683508326">
          <w:marLeft w:val="640"/>
          <w:marRight w:val="0"/>
          <w:marTop w:val="0"/>
          <w:marBottom w:val="0"/>
          <w:divBdr>
            <w:top w:val="none" w:sz="0" w:space="0" w:color="auto"/>
            <w:left w:val="none" w:sz="0" w:space="0" w:color="auto"/>
            <w:bottom w:val="none" w:sz="0" w:space="0" w:color="auto"/>
            <w:right w:val="none" w:sz="0" w:space="0" w:color="auto"/>
          </w:divBdr>
        </w:div>
        <w:div w:id="1970473685">
          <w:marLeft w:val="640"/>
          <w:marRight w:val="0"/>
          <w:marTop w:val="0"/>
          <w:marBottom w:val="0"/>
          <w:divBdr>
            <w:top w:val="none" w:sz="0" w:space="0" w:color="auto"/>
            <w:left w:val="none" w:sz="0" w:space="0" w:color="auto"/>
            <w:bottom w:val="none" w:sz="0" w:space="0" w:color="auto"/>
            <w:right w:val="none" w:sz="0" w:space="0" w:color="auto"/>
          </w:divBdr>
        </w:div>
        <w:div w:id="731929453">
          <w:marLeft w:val="640"/>
          <w:marRight w:val="0"/>
          <w:marTop w:val="0"/>
          <w:marBottom w:val="0"/>
          <w:divBdr>
            <w:top w:val="none" w:sz="0" w:space="0" w:color="auto"/>
            <w:left w:val="none" w:sz="0" w:space="0" w:color="auto"/>
            <w:bottom w:val="none" w:sz="0" w:space="0" w:color="auto"/>
            <w:right w:val="none" w:sz="0" w:space="0" w:color="auto"/>
          </w:divBdr>
        </w:div>
        <w:div w:id="2130468060">
          <w:marLeft w:val="640"/>
          <w:marRight w:val="0"/>
          <w:marTop w:val="0"/>
          <w:marBottom w:val="0"/>
          <w:divBdr>
            <w:top w:val="none" w:sz="0" w:space="0" w:color="auto"/>
            <w:left w:val="none" w:sz="0" w:space="0" w:color="auto"/>
            <w:bottom w:val="none" w:sz="0" w:space="0" w:color="auto"/>
            <w:right w:val="none" w:sz="0" w:space="0" w:color="auto"/>
          </w:divBdr>
        </w:div>
        <w:div w:id="144133114">
          <w:marLeft w:val="640"/>
          <w:marRight w:val="0"/>
          <w:marTop w:val="0"/>
          <w:marBottom w:val="0"/>
          <w:divBdr>
            <w:top w:val="none" w:sz="0" w:space="0" w:color="auto"/>
            <w:left w:val="none" w:sz="0" w:space="0" w:color="auto"/>
            <w:bottom w:val="none" w:sz="0" w:space="0" w:color="auto"/>
            <w:right w:val="none" w:sz="0" w:space="0" w:color="auto"/>
          </w:divBdr>
        </w:div>
        <w:div w:id="1298602954">
          <w:marLeft w:val="640"/>
          <w:marRight w:val="0"/>
          <w:marTop w:val="0"/>
          <w:marBottom w:val="0"/>
          <w:divBdr>
            <w:top w:val="none" w:sz="0" w:space="0" w:color="auto"/>
            <w:left w:val="none" w:sz="0" w:space="0" w:color="auto"/>
            <w:bottom w:val="none" w:sz="0" w:space="0" w:color="auto"/>
            <w:right w:val="none" w:sz="0" w:space="0" w:color="auto"/>
          </w:divBdr>
        </w:div>
        <w:div w:id="443498029">
          <w:marLeft w:val="640"/>
          <w:marRight w:val="0"/>
          <w:marTop w:val="0"/>
          <w:marBottom w:val="0"/>
          <w:divBdr>
            <w:top w:val="none" w:sz="0" w:space="0" w:color="auto"/>
            <w:left w:val="none" w:sz="0" w:space="0" w:color="auto"/>
            <w:bottom w:val="none" w:sz="0" w:space="0" w:color="auto"/>
            <w:right w:val="none" w:sz="0" w:space="0" w:color="auto"/>
          </w:divBdr>
        </w:div>
        <w:div w:id="1534659093">
          <w:marLeft w:val="640"/>
          <w:marRight w:val="0"/>
          <w:marTop w:val="0"/>
          <w:marBottom w:val="0"/>
          <w:divBdr>
            <w:top w:val="none" w:sz="0" w:space="0" w:color="auto"/>
            <w:left w:val="none" w:sz="0" w:space="0" w:color="auto"/>
            <w:bottom w:val="none" w:sz="0" w:space="0" w:color="auto"/>
            <w:right w:val="none" w:sz="0" w:space="0" w:color="auto"/>
          </w:divBdr>
        </w:div>
        <w:div w:id="1137793641">
          <w:marLeft w:val="640"/>
          <w:marRight w:val="0"/>
          <w:marTop w:val="0"/>
          <w:marBottom w:val="0"/>
          <w:divBdr>
            <w:top w:val="none" w:sz="0" w:space="0" w:color="auto"/>
            <w:left w:val="none" w:sz="0" w:space="0" w:color="auto"/>
            <w:bottom w:val="none" w:sz="0" w:space="0" w:color="auto"/>
            <w:right w:val="none" w:sz="0" w:space="0" w:color="auto"/>
          </w:divBdr>
        </w:div>
        <w:div w:id="278151100">
          <w:marLeft w:val="640"/>
          <w:marRight w:val="0"/>
          <w:marTop w:val="0"/>
          <w:marBottom w:val="0"/>
          <w:divBdr>
            <w:top w:val="none" w:sz="0" w:space="0" w:color="auto"/>
            <w:left w:val="none" w:sz="0" w:space="0" w:color="auto"/>
            <w:bottom w:val="none" w:sz="0" w:space="0" w:color="auto"/>
            <w:right w:val="none" w:sz="0" w:space="0" w:color="auto"/>
          </w:divBdr>
        </w:div>
        <w:div w:id="698118453">
          <w:marLeft w:val="640"/>
          <w:marRight w:val="0"/>
          <w:marTop w:val="0"/>
          <w:marBottom w:val="0"/>
          <w:divBdr>
            <w:top w:val="none" w:sz="0" w:space="0" w:color="auto"/>
            <w:left w:val="none" w:sz="0" w:space="0" w:color="auto"/>
            <w:bottom w:val="none" w:sz="0" w:space="0" w:color="auto"/>
            <w:right w:val="none" w:sz="0" w:space="0" w:color="auto"/>
          </w:divBdr>
        </w:div>
        <w:div w:id="478807098">
          <w:marLeft w:val="640"/>
          <w:marRight w:val="0"/>
          <w:marTop w:val="0"/>
          <w:marBottom w:val="0"/>
          <w:divBdr>
            <w:top w:val="none" w:sz="0" w:space="0" w:color="auto"/>
            <w:left w:val="none" w:sz="0" w:space="0" w:color="auto"/>
            <w:bottom w:val="none" w:sz="0" w:space="0" w:color="auto"/>
            <w:right w:val="none" w:sz="0" w:space="0" w:color="auto"/>
          </w:divBdr>
        </w:div>
        <w:div w:id="794059687">
          <w:marLeft w:val="640"/>
          <w:marRight w:val="0"/>
          <w:marTop w:val="0"/>
          <w:marBottom w:val="0"/>
          <w:divBdr>
            <w:top w:val="none" w:sz="0" w:space="0" w:color="auto"/>
            <w:left w:val="none" w:sz="0" w:space="0" w:color="auto"/>
            <w:bottom w:val="none" w:sz="0" w:space="0" w:color="auto"/>
            <w:right w:val="none" w:sz="0" w:space="0" w:color="auto"/>
          </w:divBdr>
        </w:div>
        <w:div w:id="506795173">
          <w:marLeft w:val="640"/>
          <w:marRight w:val="0"/>
          <w:marTop w:val="0"/>
          <w:marBottom w:val="0"/>
          <w:divBdr>
            <w:top w:val="none" w:sz="0" w:space="0" w:color="auto"/>
            <w:left w:val="none" w:sz="0" w:space="0" w:color="auto"/>
            <w:bottom w:val="none" w:sz="0" w:space="0" w:color="auto"/>
            <w:right w:val="none" w:sz="0" w:space="0" w:color="auto"/>
          </w:divBdr>
        </w:div>
        <w:div w:id="206573387">
          <w:marLeft w:val="640"/>
          <w:marRight w:val="0"/>
          <w:marTop w:val="0"/>
          <w:marBottom w:val="0"/>
          <w:divBdr>
            <w:top w:val="none" w:sz="0" w:space="0" w:color="auto"/>
            <w:left w:val="none" w:sz="0" w:space="0" w:color="auto"/>
            <w:bottom w:val="none" w:sz="0" w:space="0" w:color="auto"/>
            <w:right w:val="none" w:sz="0" w:space="0" w:color="auto"/>
          </w:divBdr>
        </w:div>
        <w:div w:id="842280279">
          <w:marLeft w:val="640"/>
          <w:marRight w:val="0"/>
          <w:marTop w:val="0"/>
          <w:marBottom w:val="0"/>
          <w:divBdr>
            <w:top w:val="none" w:sz="0" w:space="0" w:color="auto"/>
            <w:left w:val="none" w:sz="0" w:space="0" w:color="auto"/>
            <w:bottom w:val="none" w:sz="0" w:space="0" w:color="auto"/>
            <w:right w:val="none" w:sz="0" w:space="0" w:color="auto"/>
          </w:divBdr>
        </w:div>
        <w:div w:id="95253059">
          <w:marLeft w:val="640"/>
          <w:marRight w:val="0"/>
          <w:marTop w:val="0"/>
          <w:marBottom w:val="0"/>
          <w:divBdr>
            <w:top w:val="none" w:sz="0" w:space="0" w:color="auto"/>
            <w:left w:val="none" w:sz="0" w:space="0" w:color="auto"/>
            <w:bottom w:val="none" w:sz="0" w:space="0" w:color="auto"/>
            <w:right w:val="none" w:sz="0" w:space="0" w:color="auto"/>
          </w:divBdr>
        </w:div>
        <w:div w:id="823399863">
          <w:marLeft w:val="640"/>
          <w:marRight w:val="0"/>
          <w:marTop w:val="0"/>
          <w:marBottom w:val="0"/>
          <w:divBdr>
            <w:top w:val="none" w:sz="0" w:space="0" w:color="auto"/>
            <w:left w:val="none" w:sz="0" w:space="0" w:color="auto"/>
            <w:bottom w:val="none" w:sz="0" w:space="0" w:color="auto"/>
            <w:right w:val="none" w:sz="0" w:space="0" w:color="auto"/>
          </w:divBdr>
        </w:div>
      </w:divsChild>
    </w:div>
    <w:div w:id="805852467">
      <w:bodyDiv w:val="1"/>
      <w:marLeft w:val="0"/>
      <w:marRight w:val="0"/>
      <w:marTop w:val="0"/>
      <w:marBottom w:val="0"/>
      <w:divBdr>
        <w:top w:val="none" w:sz="0" w:space="0" w:color="auto"/>
        <w:left w:val="none" w:sz="0" w:space="0" w:color="auto"/>
        <w:bottom w:val="none" w:sz="0" w:space="0" w:color="auto"/>
        <w:right w:val="none" w:sz="0" w:space="0" w:color="auto"/>
      </w:divBdr>
    </w:div>
    <w:div w:id="848370016">
      <w:bodyDiv w:val="1"/>
      <w:marLeft w:val="0"/>
      <w:marRight w:val="0"/>
      <w:marTop w:val="0"/>
      <w:marBottom w:val="0"/>
      <w:divBdr>
        <w:top w:val="none" w:sz="0" w:space="0" w:color="auto"/>
        <w:left w:val="none" w:sz="0" w:space="0" w:color="auto"/>
        <w:bottom w:val="none" w:sz="0" w:space="0" w:color="auto"/>
        <w:right w:val="none" w:sz="0" w:space="0" w:color="auto"/>
      </w:divBdr>
    </w:div>
    <w:div w:id="848984312">
      <w:bodyDiv w:val="1"/>
      <w:marLeft w:val="0"/>
      <w:marRight w:val="0"/>
      <w:marTop w:val="0"/>
      <w:marBottom w:val="0"/>
      <w:divBdr>
        <w:top w:val="none" w:sz="0" w:space="0" w:color="auto"/>
        <w:left w:val="none" w:sz="0" w:space="0" w:color="auto"/>
        <w:bottom w:val="none" w:sz="0" w:space="0" w:color="auto"/>
        <w:right w:val="none" w:sz="0" w:space="0" w:color="auto"/>
      </w:divBdr>
    </w:div>
    <w:div w:id="857087454">
      <w:bodyDiv w:val="1"/>
      <w:marLeft w:val="0"/>
      <w:marRight w:val="0"/>
      <w:marTop w:val="0"/>
      <w:marBottom w:val="0"/>
      <w:divBdr>
        <w:top w:val="none" w:sz="0" w:space="0" w:color="auto"/>
        <w:left w:val="none" w:sz="0" w:space="0" w:color="auto"/>
        <w:bottom w:val="none" w:sz="0" w:space="0" w:color="auto"/>
        <w:right w:val="none" w:sz="0" w:space="0" w:color="auto"/>
      </w:divBdr>
    </w:div>
    <w:div w:id="857163793">
      <w:bodyDiv w:val="1"/>
      <w:marLeft w:val="0"/>
      <w:marRight w:val="0"/>
      <w:marTop w:val="0"/>
      <w:marBottom w:val="0"/>
      <w:divBdr>
        <w:top w:val="none" w:sz="0" w:space="0" w:color="auto"/>
        <w:left w:val="none" w:sz="0" w:space="0" w:color="auto"/>
        <w:bottom w:val="none" w:sz="0" w:space="0" w:color="auto"/>
        <w:right w:val="none" w:sz="0" w:space="0" w:color="auto"/>
      </w:divBdr>
    </w:div>
    <w:div w:id="858663164">
      <w:bodyDiv w:val="1"/>
      <w:marLeft w:val="0"/>
      <w:marRight w:val="0"/>
      <w:marTop w:val="0"/>
      <w:marBottom w:val="0"/>
      <w:divBdr>
        <w:top w:val="none" w:sz="0" w:space="0" w:color="auto"/>
        <w:left w:val="none" w:sz="0" w:space="0" w:color="auto"/>
        <w:bottom w:val="none" w:sz="0" w:space="0" w:color="auto"/>
        <w:right w:val="none" w:sz="0" w:space="0" w:color="auto"/>
      </w:divBdr>
    </w:div>
    <w:div w:id="865796725">
      <w:bodyDiv w:val="1"/>
      <w:marLeft w:val="0"/>
      <w:marRight w:val="0"/>
      <w:marTop w:val="0"/>
      <w:marBottom w:val="0"/>
      <w:divBdr>
        <w:top w:val="none" w:sz="0" w:space="0" w:color="auto"/>
        <w:left w:val="none" w:sz="0" w:space="0" w:color="auto"/>
        <w:bottom w:val="none" w:sz="0" w:space="0" w:color="auto"/>
        <w:right w:val="none" w:sz="0" w:space="0" w:color="auto"/>
      </w:divBdr>
    </w:div>
    <w:div w:id="900215421">
      <w:bodyDiv w:val="1"/>
      <w:marLeft w:val="0"/>
      <w:marRight w:val="0"/>
      <w:marTop w:val="0"/>
      <w:marBottom w:val="0"/>
      <w:divBdr>
        <w:top w:val="none" w:sz="0" w:space="0" w:color="auto"/>
        <w:left w:val="none" w:sz="0" w:space="0" w:color="auto"/>
        <w:bottom w:val="none" w:sz="0" w:space="0" w:color="auto"/>
        <w:right w:val="none" w:sz="0" w:space="0" w:color="auto"/>
      </w:divBdr>
    </w:div>
    <w:div w:id="907809996">
      <w:bodyDiv w:val="1"/>
      <w:marLeft w:val="0"/>
      <w:marRight w:val="0"/>
      <w:marTop w:val="0"/>
      <w:marBottom w:val="0"/>
      <w:divBdr>
        <w:top w:val="none" w:sz="0" w:space="0" w:color="auto"/>
        <w:left w:val="none" w:sz="0" w:space="0" w:color="auto"/>
        <w:bottom w:val="none" w:sz="0" w:space="0" w:color="auto"/>
        <w:right w:val="none" w:sz="0" w:space="0" w:color="auto"/>
      </w:divBdr>
    </w:div>
    <w:div w:id="914628831">
      <w:bodyDiv w:val="1"/>
      <w:marLeft w:val="0"/>
      <w:marRight w:val="0"/>
      <w:marTop w:val="0"/>
      <w:marBottom w:val="0"/>
      <w:divBdr>
        <w:top w:val="none" w:sz="0" w:space="0" w:color="auto"/>
        <w:left w:val="none" w:sz="0" w:space="0" w:color="auto"/>
        <w:bottom w:val="none" w:sz="0" w:space="0" w:color="auto"/>
        <w:right w:val="none" w:sz="0" w:space="0" w:color="auto"/>
      </w:divBdr>
      <w:divsChild>
        <w:div w:id="743993050">
          <w:marLeft w:val="640"/>
          <w:marRight w:val="0"/>
          <w:marTop w:val="0"/>
          <w:marBottom w:val="0"/>
          <w:divBdr>
            <w:top w:val="none" w:sz="0" w:space="0" w:color="auto"/>
            <w:left w:val="none" w:sz="0" w:space="0" w:color="auto"/>
            <w:bottom w:val="none" w:sz="0" w:space="0" w:color="auto"/>
            <w:right w:val="none" w:sz="0" w:space="0" w:color="auto"/>
          </w:divBdr>
        </w:div>
        <w:div w:id="1002204286">
          <w:marLeft w:val="640"/>
          <w:marRight w:val="0"/>
          <w:marTop w:val="0"/>
          <w:marBottom w:val="0"/>
          <w:divBdr>
            <w:top w:val="none" w:sz="0" w:space="0" w:color="auto"/>
            <w:left w:val="none" w:sz="0" w:space="0" w:color="auto"/>
            <w:bottom w:val="none" w:sz="0" w:space="0" w:color="auto"/>
            <w:right w:val="none" w:sz="0" w:space="0" w:color="auto"/>
          </w:divBdr>
        </w:div>
        <w:div w:id="1376271537">
          <w:marLeft w:val="640"/>
          <w:marRight w:val="0"/>
          <w:marTop w:val="0"/>
          <w:marBottom w:val="0"/>
          <w:divBdr>
            <w:top w:val="none" w:sz="0" w:space="0" w:color="auto"/>
            <w:left w:val="none" w:sz="0" w:space="0" w:color="auto"/>
            <w:bottom w:val="none" w:sz="0" w:space="0" w:color="auto"/>
            <w:right w:val="none" w:sz="0" w:space="0" w:color="auto"/>
          </w:divBdr>
        </w:div>
        <w:div w:id="1987732868">
          <w:marLeft w:val="640"/>
          <w:marRight w:val="0"/>
          <w:marTop w:val="0"/>
          <w:marBottom w:val="0"/>
          <w:divBdr>
            <w:top w:val="none" w:sz="0" w:space="0" w:color="auto"/>
            <w:left w:val="none" w:sz="0" w:space="0" w:color="auto"/>
            <w:bottom w:val="none" w:sz="0" w:space="0" w:color="auto"/>
            <w:right w:val="none" w:sz="0" w:space="0" w:color="auto"/>
          </w:divBdr>
        </w:div>
        <w:div w:id="777482114">
          <w:marLeft w:val="640"/>
          <w:marRight w:val="0"/>
          <w:marTop w:val="0"/>
          <w:marBottom w:val="0"/>
          <w:divBdr>
            <w:top w:val="none" w:sz="0" w:space="0" w:color="auto"/>
            <w:left w:val="none" w:sz="0" w:space="0" w:color="auto"/>
            <w:bottom w:val="none" w:sz="0" w:space="0" w:color="auto"/>
            <w:right w:val="none" w:sz="0" w:space="0" w:color="auto"/>
          </w:divBdr>
        </w:div>
        <w:div w:id="1936285238">
          <w:marLeft w:val="640"/>
          <w:marRight w:val="0"/>
          <w:marTop w:val="0"/>
          <w:marBottom w:val="0"/>
          <w:divBdr>
            <w:top w:val="none" w:sz="0" w:space="0" w:color="auto"/>
            <w:left w:val="none" w:sz="0" w:space="0" w:color="auto"/>
            <w:bottom w:val="none" w:sz="0" w:space="0" w:color="auto"/>
            <w:right w:val="none" w:sz="0" w:space="0" w:color="auto"/>
          </w:divBdr>
        </w:div>
        <w:div w:id="1810054481">
          <w:marLeft w:val="640"/>
          <w:marRight w:val="0"/>
          <w:marTop w:val="0"/>
          <w:marBottom w:val="0"/>
          <w:divBdr>
            <w:top w:val="none" w:sz="0" w:space="0" w:color="auto"/>
            <w:left w:val="none" w:sz="0" w:space="0" w:color="auto"/>
            <w:bottom w:val="none" w:sz="0" w:space="0" w:color="auto"/>
            <w:right w:val="none" w:sz="0" w:space="0" w:color="auto"/>
          </w:divBdr>
        </w:div>
        <w:div w:id="1665476231">
          <w:marLeft w:val="640"/>
          <w:marRight w:val="0"/>
          <w:marTop w:val="0"/>
          <w:marBottom w:val="0"/>
          <w:divBdr>
            <w:top w:val="none" w:sz="0" w:space="0" w:color="auto"/>
            <w:left w:val="none" w:sz="0" w:space="0" w:color="auto"/>
            <w:bottom w:val="none" w:sz="0" w:space="0" w:color="auto"/>
            <w:right w:val="none" w:sz="0" w:space="0" w:color="auto"/>
          </w:divBdr>
        </w:div>
        <w:div w:id="764423271">
          <w:marLeft w:val="640"/>
          <w:marRight w:val="0"/>
          <w:marTop w:val="0"/>
          <w:marBottom w:val="0"/>
          <w:divBdr>
            <w:top w:val="none" w:sz="0" w:space="0" w:color="auto"/>
            <w:left w:val="none" w:sz="0" w:space="0" w:color="auto"/>
            <w:bottom w:val="none" w:sz="0" w:space="0" w:color="auto"/>
            <w:right w:val="none" w:sz="0" w:space="0" w:color="auto"/>
          </w:divBdr>
        </w:div>
        <w:div w:id="1888373225">
          <w:marLeft w:val="640"/>
          <w:marRight w:val="0"/>
          <w:marTop w:val="0"/>
          <w:marBottom w:val="0"/>
          <w:divBdr>
            <w:top w:val="none" w:sz="0" w:space="0" w:color="auto"/>
            <w:left w:val="none" w:sz="0" w:space="0" w:color="auto"/>
            <w:bottom w:val="none" w:sz="0" w:space="0" w:color="auto"/>
            <w:right w:val="none" w:sz="0" w:space="0" w:color="auto"/>
          </w:divBdr>
        </w:div>
        <w:div w:id="153569896">
          <w:marLeft w:val="640"/>
          <w:marRight w:val="0"/>
          <w:marTop w:val="0"/>
          <w:marBottom w:val="0"/>
          <w:divBdr>
            <w:top w:val="none" w:sz="0" w:space="0" w:color="auto"/>
            <w:left w:val="none" w:sz="0" w:space="0" w:color="auto"/>
            <w:bottom w:val="none" w:sz="0" w:space="0" w:color="auto"/>
            <w:right w:val="none" w:sz="0" w:space="0" w:color="auto"/>
          </w:divBdr>
        </w:div>
        <w:div w:id="356347745">
          <w:marLeft w:val="640"/>
          <w:marRight w:val="0"/>
          <w:marTop w:val="0"/>
          <w:marBottom w:val="0"/>
          <w:divBdr>
            <w:top w:val="none" w:sz="0" w:space="0" w:color="auto"/>
            <w:left w:val="none" w:sz="0" w:space="0" w:color="auto"/>
            <w:bottom w:val="none" w:sz="0" w:space="0" w:color="auto"/>
            <w:right w:val="none" w:sz="0" w:space="0" w:color="auto"/>
          </w:divBdr>
        </w:div>
        <w:div w:id="1980261803">
          <w:marLeft w:val="640"/>
          <w:marRight w:val="0"/>
          <w:marTop w:val="0"/>
          <w:marBottom w:val="0"/>
          <w:divBdr>
            <w:top w:val="none" w:sz="0" w:space="0" w:color="auto"/>
            <w:left w:val="none" w:sz="0" w:space="0" w:color="auto"/>
            <w:bottom w:val="none" w:sz="0" w:space="0" w:color="auto"/>
            <w:right w:val="none" w:sz="0" w:space="0" w:color="auto"/>
          </w:divBdr>
        </w:div>
        <w:div w:id="173887324">
          <w:marLeft w:val="640"/>
          <w:marRight w:val="0"/>
          <w:marTop w:val="0"/>
          <w:marBottom w:val="0"/>
          <w:divBdr>
            <w:top w:val="none" w:sz="0" w:space="0" w:color="auto"/>
            <w:left w:val="none" w:sz="0" w:space="0" w:color="auto"/>
            <w:bottom w:val="none" w:sz="0" w:space="0" w:color="auto"/>
            <w:right w:val="none" w:sz="0" w:space="0" w:color="auto"/>
          </w:divBdr>
        </w:div>
        <w:div w:id="292054049">
          <w:marLeft w:val="640"/>
          <w:marRight w:val="0"/>
          <w:marTop w:val="0"/>
          <w:marBottom w:val="0"/>
          <w:divBdr>
            <w:top w:val="none" w:sz="0" w:space="0" w:color="auto"/>
            <w:left w:val="none" w:sz="0" w:space="0" w:color="auto"/>
            <w:bottom w:val="none" w:sz="0" w:space="0" w:color="auto"/>
            <w:right w:val="none" w:sz="0" w:space="0" w:color="auto"/>
          </w:divBdr>
        </w:div>
        <w:div w:id="1982079141">
          <w:marLeft w:val="640"/>
          <w:marRight w:val="0"/>
          <w:marTop w:val="0"/>
          <w:marBottom w:val="0"/>
          <w:divBdr>
            <w:top w:val="none" w:sz="0" w:space="0" w:color="auto"/>
            <w:left w:val="none" w:sz="0" w:space="0" w:color="auto"/>
            <w:bottom w:val="none" w:sz="0" w:space="0" w:color="auto"/>
            <w:right w:val="none" w:sz="0" w:space="0" w:color="auto"/>
          </w:divBdr>
        </w:div>
        <w:div w:id="1508203635">
          <w:marLeft w:val="640"/>
          <w:marRight w:val="0"/>
          <w:marTop w:val="0"/>
          <w:marBottom w:val="0"/>
          <w:divBdr>
            <w:top w:val="none" w:sz="0" w:space="0" w:color="auto"/>
            <w:left w:val="none" w:sz="0" w:space="0" w:color="auto"/>
            <w:bottom w:val="none" w:sz="0" w:space="0" w:color="auto"/>
            <w:right w:val="none" w:sz="0" w:space="0" w:color="auto"/>
          </w:divBdr>
        </w:div>
        <w:div w:id="1519008021">
          <w:marLeft w:val="640"/>
          <w:marRight w:val="0"/>
          <w:marTop w:val="0"/>
          <w:marBottom w:val="0"/>
          <w:divBdr>
            <w:top w:val="none" w:sz="0" w:space="0" w:color="auto"/>
            <w:left w:val="none" w:sz="0" w:space="0" w:color="auto"/>
            <w:bottom w:val="none" w:sz="0" w:space="0" w:color="auto"/>
            <w:right w:val="none" w:sz="0" w:space="0" w:color="auto"/>
          </w:divBdr>
        </w:div>
        <w:div w:id="1836873846">
          <w:marLeft w:val="640"/>
          <w:marRight w:val="0"/>
          <w:marTop w:val="0"/>
          <w:marBottom w:val="0"/>
          <w:divBdr>
            <w:top w:val="none" w:sz="0" w:space="0" w:color="auto"/>
            <w:left w:val="none" w:sz="0" w:space="0" w:color="auto"/>
            <w:bottom w:val="none" w:sz="0" w:space="0" w:color="auto"/>
            <w:right w:val="none" w:sz="0" w:space="0" w:color="auto"/>
          </w:divBdr>
        </w:div>
        <w:div w:id="1720081888">
          <w:marLeft w:val="640"/>
          <w:marRight w:val="0"/>
          <w:marTop w:val="0"/>
          <w:marBottom w:val="0"/>
          <w:divBdr>
            <w:top w:val="none" w:sz="0" w:space="0" w:color="auto"/>
            <w:left w:val="none" w:sz="0" w:space="0" w:color="auto"/>
            <w:bottom w:val="none" w:sz="0" w:space="0" w:color="auto"/>
            <w:right w:val="none" w:sz="0" w:space="0" w:color="auto"/>
          </w:divBdr>
        </w:div>
        <w:div w:id="2110617305">
          <w:marLeft w:val="640"/>
          <w:marRight w:val="0"/>
          <w:marTop w:val="0"/>
          <w:marBottom w:val="0"/>
          <w:divBdr>
            <w:top w:val="none" w:sz="0" w:space="0" w:color="auto"/>
            <w:left w:val="none" w:sz="0" w:space="0" w:color="auto"/>
            <w:bottom w:val="none" w:sz="0" w:space="0" w:color="auto"/>
            <w:right w:val="none" w:sz="0" w:space="0" w:color="auto"/>
          </w:divBdr>
        </w:div>
        <w:div w:id="337587121">
          <w:marLeft w:val="640"/>
          <w:marRight w:val="0"/>
          <w:marTop w:val="0"/>
          <w:marBottom w:val="0"/>
          <w:divBdr>
            <w:top w:val="none" w:sz="0" w:space="0" w:color="auto"/>
            <w:left w:val="none" w:sz="0" w:space="0" w:color="auto"/>
            <w:bottom w:val="none" w:sz="0" w:space="0" w:color="auto"/>
            <w:right w:val="none" w:sz="0" w:space="0" w:color="auto"/>
          </w:divBdr>
        </w:div>
        <w:div w:id="757946236">
          <w:marLeft w:val="640"/>
          <w:marRight w:val="0"/>
          <w:marTop w:val="0"/>
          <w:marBottom w:val="0"/>
          <w:divBdr>
            <w:top w:val="none" w:sz="0" w:space="0" w:color="auto"/>
            <w:left w:val="none" w:sz="0" w:space="0" w:color="auto"/>
            <w:bottom w:val="none" w:sz="0" w:space="0" w:color="auto"/>
            <w:right w:val="none" w:sz="0" w:space="0" w:color="auto"/>
          </w:divBdr>
        </w:div>
        <w:div w:id="1086347655">
          <w:marLeft w:val="640"/>
          <w:marRight w:val="0"/>
          <w:marTop w:val="0"/>
          <w:marBottom w:val="0"/>
          <w:divBdr>
            <w:top w:val="none" w:sz="0" w:space="0" w:color="auto"/>
            <w:left w:val="none" w:sz="0" w:space="0" w:color="auto"/>
            <w:bottom w:val="none" w:sz="0" w:space="0" w:color="auto"/>
            <w:right w:val="none" w:sz="0" w:space="0" w:color="auto"/>
          </w:divBdr>
        </w:div>
        <w:div w:id="624698768">
          <w:marLeft w:val="640"/>
          <w:marRight w:val="0"/>
          <w:marTop w:val="0"/>
          <w:marBottom w:val="0"/>
          <w:divBdr>
            <w:top w:val="none" w:sz="0" w:space="0" w:color="auto"/>
            <w:left w:val="none" w:sz="0" w:space="0" w:color="auto"/>
            <w:bottom w:val="none" w:sz="0" w:space="0" w:color="auto"/>
            <w:right w:val="none" w:sz="0" w:space="0" w:color="auto"/>
          </w:divBdr>
        </w:div>
        <w:div w:id="371732468">
          <w:marLeft w:val="640"/>
          <w:marRight w:val="0"/>
          <w:marTop w:val="0"/>
          <w:marBottom w:val="0"/>
          <w:divBdr>
            <w:top w:val="none" w:sz="0" w:space="0" w:color="auto"/>
            <w:left w:val="none" w:sz="0" w:space="0" w:color="auto"/>
            <w:bottom w:val="none" w:sz="0" w:space="0" w:color="auto"/>
            <w:right w:val="none" w:sz="0" w:space="0" w:color="auto"/>
          </w:divBdr>
        </w:div>
        <w:div w:id="837577299">
          <w:marLeft w:val="640"/>
          <w:marRight w:val="0"/>
          <w:marTop w:val="0"/>
          <w:marBottom w:val="0"/>
          <w:divBdr>
            <w:top w:val="none" w:sz="0" w:space="0" w:color="auto"/>
            <w:left w:val="none" w:sz="0" w:space="0" w:color="auto"/>
            <w:bottom w:val="none" w:sz="0" w:space="0" w:color="auto"/>
            <w:right w:val="none" w:sz="0" w:space="0" w:color="auto"/>
          </w:divBdr>
        </w:div>
        <w:div w:id="300424513">
          <w:marLeft w:val="640"/>
          <w:marRight w:val="0"/>
          <w:marTop w:val="0"/>
          <w:marBottom w:val="0"/>
          <w:divBdr>
            <w:top w:val="none" w:sz="0" w:space="0" w:color="auto"/>
            <w:left w:val="none" w:sz="0" w:space="0" w:color="auto"/>
            <w:bottom w:val="none" w:sz="0" w:space="0" w:color="auto"/>
            <w:right w:val="none" w:sz="0" w:space="0" w:color="auto"/>
          </w:divBdr>
        </w:div>
        <w:div w:id="1238326243">
          <w:marLeft w:val="640"/>
          <w:marRight w:val="0"/>
          <w:marTop w:val="0"/>
          <w:marBottom w:val="0"/>
          <w:divBdr>
            <w:top w:val="none" w:sz="0" w:space="0" w:color="auto"/>
            <w:left w:val="none" w:sz="0" w:space="0" w:color="auto"/>
            <w:bottom w:val="none" w:sz="0" w:space="0" w:color="auto"/>
            <w:right w:val="none" w:sz="0" w:space="0" w:color="auto"/>
          </w:divBdr>
        </w:div>
        <w:div w:id="898176437">
          <w:marLeft w:val="640"/>
          <w:marRight w:val="0"/>
          <w:marTop w:val="0"/>
          <w:marBottom w:val="0"/>
          <w:divBdr>
            <w:top w:val="none" w:sz="0" w:space="0" w:color="auto"/>
            <w:left w:val="none" w:sz="0" w:space="0" w:color="auto"/>
            <w:bottom w:val="none" w:sz="0" w:space="0" w:color="auto"/>
            <w:right w:val="none" w:sz="0" w:space="0" w:color="auto"/>
          </w:divBdr>
        </w:div>
        <w:div w:id="1462846194">
          <w:marLeft w:val="640"/>
          <w:marRight w:val="0"/>
          <w:marTop w:val="0"/>
          <w:marBottom w:val="0"/>
          <w:divBdr>
            <w:top w:val="none" w:sz="0" w:space="0" w:color="auto"/>
            <w:left w:val="none" w:sz="0" w:space="0" w:color="auto"/>
            <w:bottom w:val="none" w:sz="0" w:space="0" w:color="auto"/>
            <w:right w:val="none" w:sz="0" w:space="0" w:color="auto"/>
          </w:divBdr>
        </w:div>
        <w:div w:id="1814055397">
          <w:marLeft w:val="640"/>
          <w:marRight w:val="0"/>
          <w:marTop w:val="0"/>
          <w:marBottom w:val="0"/>
          <w:divBdr>
            <w:top w:val="none" w:sz="0" w:space="0" w:color="auto"/>
            <w:left w:val="none" w:sz="0" w:space="0" w:color="auto"/>
            <w:bottom w:val="none" w:sz="0" w:space="0" w:color="auto"/>
            <w:right w:val="none" w:sz="0" w:space="0" w:color="auto"/>
          </w:divBdr>
        </w:div>
        <w:div w:id="52509115">
          <w:marLeft w:val="640"/>
          <w:marRight w:val="0"/>
          <w:marTop w:val="0"/>
          <w:marBottom w:val="0"/>
          <w:divBdr>
            <w:top w:val="none" w:sz="0" w:space="0" w:color="auto"/>
            <w:left w:val="none" w:sz="0" w:space="0" w:color="auto"/>
            <w:bottom w:val="none" w:sz="0" w:space="0" w:color="auto"/>
            <w:right w:val="none" w:sz="0" w:space="0" w:color="auto"/>
          </w:divBdr>
        </w:div>
        <w:div w:id="1155799234">
          <w:marLeft w:val="640"/>
          <w:marRight w:val="0"/>
          <w:marTop w:val="0"/>
          <w:marBottom w:val="0"/>
          <w:divBdr>
            <w:top w:val="none" w:sz="0" w:space="0" w:color="auto"/>
            <w:left w:val="none" w:sz="0" w:space="0" w:color="auto"/>
            <w:bottom w:val="none" w:sz="0" w:space="0" w:color="auto"/>
            <w:right w:val="none" w:sz="0" w:space="0" w:color="auto"/>
          </w:divBdr>
        </w:div>
        <w:div w:id="1232887936">
          <w:marLeft w:val="640"/>
          <w:marRight w:val="0"/>
          <w:marTop w:val="0"/>
          <w:marBottom w:val="0"/>
          <w:divBdr>
            <w:top w:val="none" w:sz="0" w:space="0" w:color="auto"/>
            <w:left w:val="none" w:sz="0" w:space="0" w:color="auto"/>
            <w:bottom w:val="none" w:sz="0" w:space="0" w:color="auto"/>
            <w:right w:val="none" w:sz="0" w:space="0" w:color="auto"/>
          </w:divBdr>
        </w:div>
        <w:div w:id="990215030">
          <w:marLeft w:val="640"/>
          <w:marRight w:val="0"/>
          <w:marTop w:val="0"/>
          <w:marBottom w:val="0"/>
          <w:divBdr>
            <w:top w:val="none" w:sz="0" w:space="0" w:color="auto"/>
            <w:left w:val="none" w:sz="0" w:space="0" w:color="auto"/>
            <w:bottom w:val="none" w:sz="0" w:space="0" w:color="auto"/>
            <w:right w:val="none" w:sz="0" w:space="0" w:color="auto"/>
          </w:divBdr>
        </w:div>
        <w:div w:id="109978703">
          <w:marLeft w:val="640"/>
          <w:marRight w:val="0"/>
          <w:marTop w:val="0"/>
          <w:marBottom w:val="0"/>
          <w:divBdr>
            <w:top w:val="none" w:sz="0" w:space="0" w:color="auto"/>
            <w:left w:val="none" w:sz="0" w:space="0" w:color="auto"/>
            <w:bottom w:val="none" w:sz="0" w:space="0" w:color="auto"/>
            <w:right w:val="none" w:sz="0" w:space="0" w:color="auto"/>
          </w:divBdr>
        </w:div>
        <w:div w:id="2020695921">
          <w:marLeft w:val="640"/>
          <w:marRight w:val="0"/>
          <w:marTop w:val="0"/>
          <w:marBottom w:val="0"/>
          <w:divBdr>
            <w:top w:val="none" w:sz="0" w:space="0" w:color="auto"/>
            <w:left w:val="none" w:sz="0" w:space="0" w:color="auto"/>
            <w:bottom w:val="none" w:sz="0" w:space="0" w:color="auto"/>
            <w:right w:val="none" w:sz="0" w:space="0" w:color="auto"/>
          </w:divBdr>
        </w:div>
        <w:div w:id="505634344">
          <w:marLeft w:val="640"/>
          <w:marRight w:val="0"/>
          <w:marTop w:val="0"/>
          <w:marBottom w:val="0"/>
          <w:divBdr>
            <w:top w:val="none" w:sz="0" w:space="0" w:color="auto"/>
            <w:left w:val="none" w:sz="0" w:space="0" w:color="auto"/>
            <w:bottom w:val="none" w:sz="0" w:space="0" w:color="auto"/>
            <w:right w:val="none" w:sz="0" w:space="0" w:color="auto"/>
          </w:divBdr>
        </w:div>
        <w:div w:id="1021663598">
          <w:marLeft w:val="640"/>
          <w:marRight w:val="0"/>
          <w:marTop w:val="0"/>
          <w:marBottom w:val="0"/>
          <w:divBdr>
            <w:top w:val="none" w:sz="0" w:space="0" w:color="auto"/>
            <w:left w:val="none" w:sz="0" w:space="0" w:color="auto"/>
            <w:bottom w:val="none" w:sz="0" w:space="0" w:color="auto"/>
            <w:right w:val="none" w:sz="0" w:space="0" w:color="auto"/>
          </w:divBdr>
        </w:div>
        <w:div w:id="1879318041">
          <w:marLeft w:val="640"/>
          <w:marRight w:val="0"/>
          <w:marTop w:val="0"/>
          <w:marBottom w:val="0"/>
          <w:divBdr>
            <w:top w:val="none" w:sz="0" w:space="0" w:color="auto"/>
            <w:left w:val="none" w:sz="0" w:space="0" w:color="auto"/>
            <w:bottom w:val="none" w:sz="0" w:space="0" w:color="auto"/>
            <w:right w:val="none" w:sz="0" w:space="0" w:color="auto"/>
          </w:divBdr>
        </w:div>
        <w:div w:id="1157306897">
          <w:marLeft w:val="640"/>
          <w:marRight w:val="0"/>
          <w:marTop w:val="0"/>
          <w:marBottom w:val="0"/>
          <w:divBdr>
            <w:top w:val="none" w:sz="0" w:space="0" w:color="auto"/>
            <w:left w:val="none" w:sz="0" w:space="0" w:color="auto"/>
            <w:bottom w:val="none" w:sz="0" w:space="0" w:color="auto"/>
            <w:right w:val="none" w:sz="0" w:space="0" w:color="auto"/>
          </w:divBdr>
        </w:div>
        <w:div w:id="159782145">
          <w:marLeft w:val="640"/>
          <w:marRight w:val="0"/>
          <w:marTop w:val="0"/>
          <w:marBottom w:val="0"/>
          <w:divBdr>
            <w:top w:val="none" w:sz="0" w:space="0" w:color="auto"/>
            <w:left w:val="none" w:sz="0" w:space="0" w:color="auto"/>
            <w:bottom w:val="none" w:sz="0" w:space="0" w:color="auto"/>
            <w:right w:val="none" w:sz="0" w:space="0" w:color="auto"/>
          </w:divBdr>
        </w:div>
        <w:div w:id="1272738248">
          <w:marLeft w:val="640"/>
          <w:marRight w:val="0"/>
          <w:marTop w:val="0"/>
          <w:marBottom w:val="0"/>
          <w:divBdr>
            <w:top w:val="none" w:sz="0" w:space="0" w:color="auto"/>
            <w:left w:val="none" w:sz="0" w:space="0" w:color="auto"/>
            <w:bottom w:val="none" w:sz="0" w:space="0" w:color="auto"/>
            <w:right w:val="none" w:sz="0" w:space="0" w:color="auto"/>
          </w:divBdr>
        </w:div>
        <w:div w:id="921140165">
          <w:marLeft w:val="640"/>
          <w:marRight w:val="0"/>
          <w:marTop w:val="0"/>
          <w:marBottom w:val="0"/>
          <w:divBdr>
            <w:top w:val="none" w:sz="0" w:space="0" w:color="auto"/>
            <w:left w:val="none" w:sz="0" w:space="0" w:color="auto"/>
            <w:bottom w:val="none" w:sz="0" w:space="0" w:color="auto"/>
            <w:right w:val="none" w:sz="0" w:space="0" w:color="auto"/>
          </w:divBdr>
        </w:div>
        <w:div w:id="1401371109">
          <w:marLeft w:val="640"/>
          <w:marRight w:val="0"/>
          <w:marTop w:val="0"/>
          <w:marBottom w:val="0"/>
          <w:divBdr>
            <w:top w:val="none" w:sz="0" w:space="0" w:color="auto"/>
            <w:left w:val="none" w:sz="0" w:space="0" w:color="auto"/>
            <w:bottom w:val="none" w:sz="0" w:space="0" w:color="auto"/>
            <w:right w:val="none" w:sz="0" w:space="0" w:color="auto"/>
          </w:divBdr>
        </w:div>
        <w:div w:id="255945355">
          <w:marLeft w:val="640"/>
          <w:marRight w:val="0"/>
          <w:marTop w:val="0"/>
          <w:marBottom w:val="0"/>
          <w:divBdr>
            <w:top w:val="none" w:sz="0" w:space="0" w:color="auto"/>
            <w:left w:val="none" w:sz="0" w:space="0" w:color="auto"/>
            <w:bottom w:val="none" w:sz="0" w:space="0" w:color="auto"/>
            <w:right w:val="none" w:sz="0" w:space="0" w:color="auto"/>
          </w:divBdr>
        </w:div>
        <w:div w:id="115955341">
          <w:marLeft w:val="640"/>
          <w:marRight w:val="0"/>
          <w:marTop w:val="0"/>
          <w:marBottom w:val="0"/>
          <w:divBdr>
            <w:top w:val="none" w:sz="0" w:space="0" w:color="auto"/>
            <w:left w:val="none" w:sz="0" w:space="0" w:color="auto"/>
            <w:bottom w:val="none" w:sz="0" w:space="0" w:color="auto"/>
            <w:right w:val="none" w:sz="0" w:space="0" w:color="auto"/>
          </w:divBdr>
        </w:div>
        <w:div w:id="194317317">
          <w:marLeft w:val="640"/>
          <w:marRight w:val="0"/>
          <w:marTop w:val="0"/>
          <w:marBottom w:val="0"/>
          <w:divBdr>
            <w:top w:val="none" w:sz="0" w:space="0" w:color="auto"/>
            <w:left w:val="none" w:sz="0" w:space="0" w:color="auto"/>
            <w:bottom w:val="none" w:sz="0" w:space="0" w:color="auto"/>
            <w:right w:val="none" w:sz="0" w:space="0" w:color="auto"/>
          </w:divBdr>
        </w:div>
        <w:div w:id="927032726">
          <w:marLeft w:val="640"/>
          <w:marRight w:val="0"/>
          <w:marTop w:val="0"/>
          <w:marBottom w:val="0"/>
          <w:divBdr>
            <w:top w:val="none" w:sz="0" w:space="0" w:color="auto"/>
            <w:left w:val="none" w:sz="0" w:space="0" w:color="auto"/>
            <w:bottom w:val="none" w:sz="0" w:space="0" w:color="auto"/>
            <w:right w:val="none" w:sz="0" w:space="0" w:color="auto"/>
          </w:divBdr>
        </w:div>
        <w:div w:id="1381704584">
          <w:marLeft w:val="640"/>
          <w:marRight w:val="0"/>
          <w:marTop w:val="0"/>
          <w:marBottom w:val="0"/>
          <w:divBdr>
            <w:top w:val="none" w:sz="0" w:space="0" w:color="auto"/>
            <w:left w:val="none" w:sz="0" w:space="0" w:color="auto"/>
            <w:bottom w:val="none" w:sz="0" w:space="0" w:color="auto"/>
            <w:right w:val="none" w:sz="0" w:space="0" w:color="auto"/>
          </w:divBdr>
        </w:div>
        <w:div w:id="923957023">
          <w:marLeft w:val="640"/>
          <w:marRight w:val="0"/>
          <w:marTop w:val="0"/>
          <w:marBottom w:val="0"/>
          <w:divBdr>
            <w:top w:val="none" w:sz="0" w:space="0" w:color="auto"/>
            <w:left w:val="none" w:sz="0" w:space="0" w:color="auto"/>
            <w:bottom w:val="none" w:sz="0" w:space="0" w:color="auto"/>
            <w:right w:val="none" w:sz="0" w:space="0" w:color="auto"/>
          </w:divBdr>
        </w:div>
        <w:div w:id="467481147">
          <w:marLeft w:val="640"/>
          <w:marRight w:val="0"/>
          <w:marTop w:val="0"/>
          <w:marBottom w:val="0"/>
          <w:divBdr>
            <w:top w:val="none" w:sz="0" w:space="0" w:color="auto"/>
            <w:left w:val="none" w:sz="0" w:space="0" w:color="auto"/>
            <w:bottom w:val="none" w:sz="0" w:space="0" w:color="auto"/>
            <w:right w:val="none" w:sz="0" w:space="0" w:color="auto"/>
          </w:divBdr>
        </w:div>
        <w:div w:id="242761130">
          <w:marLeft w:val="640"/>
          <w:marRight w:val="0"/>
          <w:marTop w:val="0"/>
          <w:marBottom w:val="0"/>
          <w:divBdr>
            <w:top w:val="none" w:sz="0" w:space="0" w:color="auto"/>
            <w:left w:val="none" w:sz="0" w:space="0" w:color="auto"/>
            <w:bottom w:val="none" w:sz="0" w:space="0" w:color="auto"/>
            <w:right w:val="none" w:sz="0" w:space="0" w:color="auto"/>
          </w:divBdr>
        </w:div>
        <w:div w:id="936136047">
          <w:marLeft w:val="640"/>
          <w:marRight w:val="0"/>
          <w:marTop w:val="0"/>
          <w:marBottom w:val="0"/>
          <w:divBdr>
            <w:top w:val="none" w:sz="0" w:space="0" w:color="auto"/>
            <w:left w:val="none" w:sz="0" w:space="0" w:color="auto"/>
            <w:bottom w:val="none" w:sz="0" w:space="0" w:color="auto"/>
            <w:right w:val="none" w:sz="0" w:space="0" w:color="auto"/>
          </w:divBdr>
        </w:div>
        <w:div w:id="987977328">
          <w:marLeft w:val="640"/>
          <w:marRight w:val="0"/>
          <w:marTop w:val="0"/>
          <w:marBottom w:val="0"/>
          <w:divBdr>
            <w:top w:val="none" w:sz="0" w:space="0" w:color="auto"/>
            <w:left w:val="none" w:sz="0" w:space="0" w:color="auto"/>
            <w:bottom w:val="none" w:sz="0" w:space="0" w:color="auto"/>
            <w:right w:val="none" w:sz="0" w:space="0" w:color="auto"/>
          </w:divBdr>
        </w:div>
        <w:div w:id="599534348">
          <w:marLeft w:val="640"/>
          <w:marRight w:val="0"/>
          <w:marTop w:val="0"/>
          <w:marBottom w:val="0"/>
          <w:divBdr>
            <w:top w:val="none" w:sz="0" w:space="0" w:color="auto"/>
            <w:left w:val="none" w:sz="0" w:space="0" w:color="auto"/>
            <w:bottom w:val="none" w:sz="0" w:space="0" w:color="auto"/>
            <w:right w:val="none" w:sz="0" w:space="0" w:color="auto"/>
          </w:divBdr>
        </w:div>
        <w:div w:id="103157849">
          <w:marLeft w:val="640"/>
          <w:marRight w:val="0"/>
          <w:marTop w:val="0"/>
          <w:marBottom w:val="0"/>
          <w:divBdr>
            <w:top w:val="none" w:sz="0" w:space="0" w:color="auto"/>
            <w:left w:val="none" w:sz="0" w:space="0" w:color="auto"/>
            <w:bottom w:val="none" w:sz="0" w:space="0" w:color="auto"/>
            <w:right w:val="none" w:sz="0" w:space="0" w:color="auto"/>
          </w:divBdr>
        </w:div>
        <w:div w:id="718936454">
          <w:marLeft w:val="640"/>
          <w:marRight w:val="0"/>
          <w:marTop w:val="0"/>
          <w:marBottom w:val="0"/>
          <w:divBdr>
            <w:top w:val="none" w:sz="0" w:space="0" w:color="auto"/>
            <w:left w:val="none" w:sz="0" w:space="0" w:color="auto"/>
            <w:bottom w:val="none" w:sz="0" w:space="0" w:color="auto"/>
            <w:right w:val="none" w:sz="0" w:space="0" w:color="auto"/>
          </w:divBdr>
        </w:div>
        <w:div w:id="671416986">
          <w:marLeft w:val="640"/>
          <w:marRight w:val="0"/>
          <w:marTop w:val="0"/>
          <w:marBottom w:val="0"/>
          <w:divBdr>
            <w:top w:val="none" w:sz="0" w:space="0" w:color="auto"/>
            <w:left w:val="none" w:sz="0" w:space="0" w:color="auto"/>
            <w:bottom w:val="none" w:sz="0" w:space="0" w:color="auto"/>
            <w:right w:val="none" w:sz="0" w:space="0" w:color="auto"/>
          </w:divBdr>
        </w:div>
        <w:div w:id="1681471183">
          <w:marLeft w:val="640"/>
          <w:marRight w:val="0"/>
          <w:marTop w:val="0"/>
          <w:marBottom w:val="0"/>
          <w:divBdr>
            <w:top w:val="none" w:sz="0" w:space="0" w:color="auto"/>
            <w:left w:val="none" w:sz="0" w:space="0" w:color="auto"/>
            <w:bottom w:val="none" w:sz="0" w:space="0" w:color="auto"/>
            <w:right w:val="none" w:sz="0" w:space="0" w:color="auto"/>
          </w:divBdr>
        </w:div>
        <w:div w:id="1306544301">
          <w:marLeft w:val="640"/>
          <w:marRight w:val="0"/>
          <w:marTop w:val="0"/>
          <w:marBottom w:val="0"/>
          <w:divBdr>
            <w:top w:val="none" w:sz="0" w:space="0" w:color="auto"/>
            <w:left w:val="none" w:sz="0" w:space="0" w:color="auto"/>
            <w:bottom w:val="none" w:sz="0" w:space="0" w:color="auto"/>
            <w:right w:val="none" w:sz="0" w:space="0" w:color="auto"/>
          </w:divBdr>
        </w:div>
        <w:div w:id="672073544">
          <w:marLeft w:val="640"/>
          <w:marRight w:val="0"/>
          <w:marTop w:val="0"/>
          <w:marBottom w:val="0"/>
          <w:divBdr>
            <w:top w:val="none" w:sz="0" w:space="0" w:color="auto"/>
            <w:left w:val="none" w:sz="0" w:space="0" w:color="auto"/>
            <w:bottom w:val="none" w:sz="0" w:space="0" w:color="auto"/>
            <w:right w:val="none" w:sz="0" w:space="0" w:color="auto"/>
          </w:divBdr>
        </w:div>
        <w:div w:id="1580409353">
          <w:marLeft w:val="640"/>
          <w:marRight w:val="0"/>
          <w:marTop w:val="0"/>
          <w:marBottom w:val="0"/>
          <w:divBdr>
            <w:top w:val="none" w:sz="0" w:space="0" w:color="auto"/>
            <w:left w:val="none" w:sz="0" w:space="0" w:color="auto"/>
            <w:bottom w:val="none" w:sz="0" w:space="0" w:color="auto"/>
            <w:right w:val="none" w:sz="0" w:space="0" w:color="auto"/>
          </w:divBdr>
        </w:div>
        <w:div w:id="1301885734">
          <w:marLeft w:val="640"/>
          <w:marRight w:val="0"/>
          <w:marTop w:val="0"/>
          <w:marBottom w:val="0"/>
          <w:divBdr>
            <w:top w:val="none" w:sz="0" w:space="0" w:color="auto"/>
            <w:left w:val="none" w:sz="0" w:space="0" w:color="auto"/>
            <w:bottom w:val="none" w:sz="0" w:space="0" w:color="auto"/>
            <w:right w:val="none" w:sz="0" w:space="0" w:color="auto"/>
          </w:divBdr>
        </w:div>
        <w:div w:id="1210070762">
          <w:marLeft w:val="640"/>
          <w:marRight w:val="0"/>
          <w:marTop w:val="0"/>
          <w:marBottom w:val="0"/>
          <w:divBdr>
            <w:top w:val="none" w:sz="0" w:space="0" w:color="auto"/>
            <w:left w:val="none" w:sz="0" w:space="0" w:color="auto"/>
            <w:bottom w:val="none" w:sz="0" w:space="0" w:color="auto"/>
            <w:right w:val="none" w:sz="0" w:space="0" w:color="auto"/>
          </w:divBdr>
        </w:div>
        <w:div w:id="1059981595">
          <w:marLeft w:val="640"/>
          <w:marRight w:val="0"/>
          <w:marTop w:val="0"/>
          <w:marBottom w:val="0"/>
          <w:divBdr>
            <w:top w:val="none" w:sz="0" w:space="0" w:color="auto"/>
            <w:left w:val="none" w:sz="0" w:space="0" w:color="auto"/>
            <w:bottom w:val="none" w:sz="0" w:space="0" w:color="auto"/>
            <w:right w:val="none" w:sz="0" w:space="0" w:color="auto"/>
          </w:divBdr>
        </w:div>
        <w:div w:id="1349218659">
          <w:marLeft w:val="640"/>
          <w:marRight w:val="0"/>
          <w:marTop w:val="0"/>
          <w:marBottom w:val="0"/>
          <w:divBdr>
            <w:top w:val="none" w:sz="0" w:space="0" w:color="auto"/>
            <w:left w:val="none" w:sz="0" w:space="0" w:color="auto"/>
            <w:bottom w:val="none" w:sz="0" w:space="0" w:color="auto"/>
            <w:right w:val="none" w:sz="0" w:space="0" w:color="auto"/>
          </w:divBdr>
        </w:div>
        <w:div w:id="104812604">
          <w:marLeft w:val="640"/>
          <w:marRight w:val="0"/>
          <w:marTop w:val="0"/>
          <w:marBottom w:val="0"/>
          <w:divBdr>
            <w:top w:val="none" w:sz="0" w:space="0" w:color="auto"/>
            <w:left w:val="none" w:sz="0" w:space="0" w:color="auto"/>
            <w:bottom w:val="none" w:sz="0" w:space="0" w:color="auto"/>
            <w:right w:val="none" w:sz="0" w:space="0" w:color="auto"/>
          </w:divBdr>
        </w:div>
        <w:div w:id="645285745">
          <w:marLeft w:val="640"/>
          <w:marRight w:val="0"/>
          <w:marTop w:val="0"/>
          <w:marBottom w:val="0"/>
          <w:divBdr>
            <w:top w:val="none" w:sz="0" w:space="0" w:color="auto"/>
            <w:left w:val="none" w:sz="0" w:space="0" w:color="auto"/>
            <w:bottom w:val="none" w:sz="0" w:space="0" w:color="auto"/>
            <w:right w:val="none" w:sz="0" w:space="0" w:color="auto"/>
          </w:divBdr>
        </w:div>
        <w:div w:id="1545406806">
          <w:marLeft w:val="640"/>
          <w:marRight w:val="0"/>
          <w:marTop w:val="0"/>
          <w:marBottom w:val="0"/>
          <w:divBdr>
            <w:top w:val="none" w:sz="0" w:space="0" w:color="auto"/>
            <w:left w:val="none" w:sz="0" w:space="0" w:color="auto"/>
            <w:bottom w:val="none" w:sz="0" w:space="0" w:color="auto"/>
            <w:right w:val="none" w:sz="0" w:space="0" w:color="auto"/>
          </w:divBdr>
        </w:div>
        <w:div w:id="773674200">
          <w:marLeft w:val="640"/>
          <w:marRight w:val="0"/>
          <w:marTop w:val="0"/>
          <w:marBottom w:val="0"/>
          <w:divBdr>
            <w:top w:val="none" w:sz="0" w:space="0" w:color="auto"/>
            <w:left w:val="none" w:sz="0" w:space="0" w:color="auto"/>
            <w:bottom w:val="none" w:sz="0" w:space="0" w:color="auto"/>
            <w:right w:val="none" w:sz="0" w:space="0" w:color="auto"/>
          </w:divBdr>
        </w:div>
        <w:div w:id="369110952">
          <w:marLeft w:val="640"/>
          <w:marRight w:val="0"/>
          <w:marTop w:val="0"/>
          <w:marBottom w:val="0"/>
          <w:divBdr>
            <w:top w:val="none" w:sz="0" w:space="0" w:color="auto"/>
            <w:left w:val="none" w:sz="0" w:space="0" w:color="auto"/>
            <w:bottom w:val="none" w:sz="0" w:space="0" w:color="auto"/>
            <w:right w:val="none" w:sz="0" w:space="0" w:color="auto"/>
          </w:divBdr>
        </w:div>
        <w:div w:id="1629822267">
          <w:marLeft w:val="640"/>
          <w:marRight w:val="0"/>
          <w:marTop w:val="0"/>
          <w:marBottom w:val="0"/>
          <w:divBdr>
            <w:top w:val="none" w:sz="0" w:space="0" w:color="auto"/>
            <w:left w:val="none" w:sz="0" w:space="0" w:color="auto"/>
            <w:bottom w:val="none" w:sz="0" w:space="0" w:color="auto"/>
            <w:right w:val="none" w:sz="0" w:space="0" w:color="auto"/>
          </w:divBdr>
        </w:div>
        <w:div w:id="1682657660">
          <w:marLeft w:val="640"/>
          <w:marRight w:val="0"/>
          <w:marTop w:val="0"/>
          <w:marBottom w:val="0"/>
          <w:divBdr>
            <w:top w:val="none" w:sz="0" w:space="0" w:color="auto"/>
            <w:left w:val="none" w:sz="0" w:space="0" w:color="auto"/>
            <w:bottom w:val="none" w:sz="0" w:space="0" w:color="auto"/>
            <w:right w:val="none" w:sz="0" w:space="0" w:color="auto"/>
          </w:divBdr>
        </w:div>
        <w:div w:id="519666150">
          <w:marLeft w:val="640"/>
          <w:marRight w:val="0"/>
          <w:marTop w:val="0"/>
          <w:marBottom w:val="0"/>
          <w:divBdr>
            <w:top w:val="none" w:sz="0" w:space="0" w:color="auto"/>
            <w:left w:val="none" w:sz="0" w:space="0" w:color="auto"/>
            <w:bottom w:val="none" w:sz="0" w:space="0" w:color="auto"/>
            <w:right w:val="none" w:sz="0" w:space="0" w:color="auto"/>
          </w:divBdr>
        </w:div>
        <w:div w:id="734356438">
          <w:marLeft w:val="640"/>
          <w:marRight w:val="0"/>
          <w:marTop w:val="0"/>
          <w:marBottom w:val="0"/>
          <w:divBdr>
            <w:top w:val="none" w:sz="0" w:space="0" w:color="auto"/>
            <w:left w:val="none" w:sz="0" w:space="0" w:color="auto"/>
            <w:bottom w:val="none" w:sz="0" w:space="0" w:color="auto"/>
            <w:right w:val="none" w:sz="0" w:space="0" w:color="auto"/>
          </w:divBdr>
        </w:div>
        <w:div w:id="660811792">
          <w:marLeft w:val="640"/>
          <w:marRight w:val="0"/>
          <w:marTop w:val="0"/>
          <w:marBottom w:val="0"/>
          <w:divBdr>
            <w:top w:val="none" w:sz="0" w:space="0" w:color="auto"/>
            <w:left w:val="none" w:sz="0" w:space="0" w:color="auto"/>
            <w:bottom w:val="none" w:sz="0" w:space="0" w:color="auto"/>
            <w:right w:val="none" w:sz="0" w:space="0" w:color="auto"/>
          </w:divBdr>
        </w:div>
        <w:div w:id="1842158150">
          <w:marLeft w:val="640"/>
          <w:marRight w:val="0"/>
          <w:marTop w:val="0"/>
          <w:marBottom w:val="0"/>
          <w:divBdr>
            <w:top w:val="none" w:sz="0" w:space="0" w:color="auto"/>
            <w:left w:val="none" w:sz="0" w:space="0" w:color="auto"/>
            <w:bottom w:val="none" w:sz="0" w:space="0" w:color="auto"/>
            <w:right w:val="none" w:sz="0" w:space="0" w:color="auto"/>
          </w:divBdr>
        </w:div>
        <w:div w:id="2072191609">
          <w:marLeft w:val="640"/>
          <w:marRight w:val="0"/>
          <w:marTop w:val="0"/>
          <w:marBottom w:val="0"/>
          <w:divBdr>
            <w:top w:val="none" w:sz="0" w:space="0" w:color="auto"/>
            <w:left w:val="none" w:sz="0" w:space="0" w:color="auto"/>
            <w:bottom w:val="none" w:sz="0" w:space="0" w:color="auto"/>
            <w:right w:val="none" w:sz="0" w:space="0" w:color="auto"/>
          </w:divBdr>
        </w:div>
        <w:div w:id="167213074">
          <w:marLeft w:val="640"/>
          <w:marRight w:val="0"/>
          <w:marTop w:val="0"/>
          <w:marBottom w:val="0"/>
          <w:divBdr>
            <w:top w:val="none" w:sz="0" w:space="0" w:color="auto"/>
            <w:left w:val="none" w:sz="0" w:space="0" w:color="auto"/>
            <w:bottom w:val="none" w:sz="0" w:space="0" w:color="auto"/>
            <w:right w:val="none" w:sz="0" w:space="0" w:color="auto"/>
          </w:divBdr>
        </w:div>
        <w:div w:id="70733460">
          <w:marLeft w:val="640"/>
          <w:marRight w:val="0"/>
          <w:marTop w:val="0"/>
          <w:marBottom w:val="0"/>
          <w:divBdr>
            <w:top w:val="none" w:sz="0" w:space="0" w:color="auto"/>
            <w:left w:val="none" w:sz="0" w:space="0" w:color="auto"/>
            <w:bottom w:val="none" w:sz="0" w:space="0" w:color="auto"/>
            <w:right w:val="none" w:sz="0" w:space="0" w:color="auto"/>
          </w:divBdr>
        </w:div>
        <w:div w:id="832524253">
          <w:marLeft w:val="640"/>
          <w:marRight w:val="0"/>
          <w:marTop w:val="0"/>
          <w:marBottom w:val="0"/>
          <w:divBdr>
            <w:top w:val="none" w:sz="0" w:space="0" w:color="auto"/>
            <w:left w:val="none" w:sz="0" w:space="0" w:color="auto"/>
            <w:bottom w:val="none" w:sz="0" w:space="0" w:color="auto"/>
            <w:right w:val="none" w:sz="0" w:space="0" w:color="auto"/>
          </w:divBdr>
        </w:div>
        <w:div w:id="1588617709">
          <w:marLeft w:val="640"/>
          <w:marRight w:val="0"/>
          <w:marTop w:val="0"/>
          <w:marBottom w:val="0"/>
          <w:divBdr>
            <w:top w:val="none" w:sz="0" w:space="0" w:color="auto"/>
            <w:left w:val="none" w:sz="0" w:space="0" w:color="auto"/>
            <w:bottom w:val="none" w:sz="0" w:space="0" w:color="auto"/>
            <w:right w:val="none" w:sz="0" w:space="0" w:color="auto"/>
          </w:divBdr>
        </w:div>
        <w:div w:id="1509833315">
          <w:marLeft w:val="640"/>
          <w:marRight w:val="0"/>
          <w:marTop w:val="0"/>
          <w:marBottom w:val="0"/>
          <w:divBdr>
            <w:top w:val="none" w:sz="0" w:space="0" w:color="auto"/>
            <w:left w:val="none" w:sz="0" w:space="0" w:color="auto"/>
            <w:bottom w:val="none" w:sz="0" w:space="0" w:color="auto"/>
            <w:right w:val="none" w:sz="0" w:space="0" w:color="auto"/>
          </w:divBdr>
        </w:div>
        <w:div w:id="131024438">
          <w:marLeft w:val="640"/>
          <w:marRight w:val="0"/>
          <w:marTop w:val="0"/>
          <w:marBottom w:val="0"/>
          <w:divBdr>
            <w:top w:val="none" w:sz="0" w:space="0" w:color="auto"/>
            <w:left w:val="none" w:sz="0" w:space="0" w:color="auto"/>
            <w:bottom w:val="none" w:sz="0" w:space="0" w:color="auto"/>
            <w:right w:val="none" w:sz="0" w:space="0" w:color="auto"/>
          </w:divBdr>
        </w:div>
        <w:div w:id="373428391">
          <w:marLeft w:val="640"/>
          <w:marRight w:val="0"/>
          <w:marTop w:val="0"/>
          <w:marBottom w:val="0"/>
          <w:divBdr>
            <w:top w:val="none" w:sz="0" w:space="0" w:color="auto"/>
            <w:left w:val="none" w:sz="0" w:space="0" w:color="auto"/>
            <w:bottom w:val="none" w:sz="0" w:space="0" w:color="auto"/>
            <w:right w:val="none" w:sz="0" w:space="0" w:color="auto"/>
          </w:divBdr>
        </w:div>
        <w:div w:id="1510410913">
          <w:marLeft w:val="640"/>
          <w:marRight w:val="0"/>
          <w:marTop w:val="0"/>
          <w:marBottom w:val="0"/>
          <w:divBdr>
            <w:top w:val="none" w:sz="0" w:space="0" w:color="auto"/>
            <w:left w:val="none" w:sz="0" w:space="0" w:color="auto"/>
            <w:bottom w:val="none" w:sz="0" w:space="0" w:color="auto"/>
            <w:right w:val="none" w:sz="0" w:space="0" w:color="auto"/>
          </w:divBdr>
        </w:div>
        <w:div w:id="1050155907">
          <w:marLeft w:val="640"/>
          <w:marRight w:val="0"/>
          <w:marTop w:val="0"/>
          <w:marBottom w:val="0"/>
          <w:divBdr>
            <w:top w:val="none" w:sz="0" w:space="0" w:color="auto"/>
            <w:left w:val="none" w:sz="0" w:space="0" w:color="auto"/>
            <w:bottom w:val="none" w:sz="0" w:space="0" w:color="auto"/>
            <w:right w:val="none" w:sz="0" w:space="0" w:color="auto"/>
          </w:divBdr>
        </w:div>
        <w:div w:id="206453162">
          <w:marLeft w:val="640"/>
          <w:marRight w:val="0"/>
          <w:marTop w:val="0"/>
          <w:marBottom w:val="0"/>
          <w:divBdr>
            <w:top w:val="none" w:sz="0" w:space="0" w:color="auto"/>
            <w:left w:val="none" w:sz="0" w:space="0" w:color="auto"/>
            <w:bottom w:val="none" w:sz="0" w:space="0" w:color="auto"/>
            <w:right w:val="none" w:sz="0" w:space="0" w:color="auto"/>
          </w:divBdr>
        </w:div>
        <w:div w:id="914166566">
          <w:marLeft w:val="640"/>
          <w:marRight w:val="0"/>
          <w:marTop w:val="0"/>
          <w:marBottom w:val="0"/>
          <w:divBdr>
            <w:top w:val="none" w:sz="0" w:space="0" w:color="auto"/>
            <w:left w:val="none" w:sz="0" w:space="0" w:color="auto"/>
            <w:bottom w:val="none" w:sz="0" w:space="0" w:color="auto"/>
            <w:right w:val="none" w:sz="0" w:space="0" w:color="auto"/>
          </w:divBdr>
        </w:div>
        <w:div w:id="792820488">
          <w:marLeft w:val="640"/>
          <w:marRight w:val="0"/>
          <w:marTop w:val="0"/>
          <w:marBottom w:val="0"/>
          <w:divBdr>
            <w:top w:val="none" w:sz="0" w:space="0" w:color="auto"/>
            <w:left w:val="none" w:sz="0" w:space="0" w:color="auto"/>
            <w:bottom w:val="none" w:sz="0" w:space="0" w:color="auto"/>
            <w:right w:val="none" w:sz="0" w:space="0" w:color="auto"/>
          </w:divBdr>
        </w:div>
        <w:div w:id="443772429">
          <w:marLeft w:val="640"/>
          <w:marRight w:val="0"/>
          <w:marTop w:val="0"/>
          <w:marBottom w:val="0"/>
          <w:divBdr>
            <w:top w:val="none" w:sz="0" w:space="0" w:color="auto"/>
            <w:left w:val="none" w:sz="0" w:space="0" w:color="auto"/>
            <w:bottom w:val="none" w:sz="0" w:space="0" w:color="auto"/>
            <w:right w:val="none" w:sz="0" w:space="0" w:color="auto"/>
          </w:divBdr>
        </w:div>
        <w:div w:id="94525957">
          <w:marLeft w:val="640"/>
          <w:marRight w:val="0"/>
          <w:marTop w:val="0"/>
          <w:marBottom w:val="0"/>
          <w:divBdr>
            <w:top w:val="none" w:sz="0" w:space="0" w:color="auto"/>
            <w:left w:val="none" w:sz="0" w:space="0" w:color="auto"/>
            <w:bottom w:val="none" w:sz="0" w:space="0" w:color="auto"/>
            <w:right w:val="none" w:sz="0" w:space="0" w:color="auto"/>
          </w:divBdr>
        </w:div>
        <w:div w:id="476340726">
          <w:marLeft w:val="640"/>
          <w:marRight w:val="0"/>
          <w:marTop w:val="0"/>
          <w:marBottom w:val="0"/>
          <w:divBdr>
            <w:top w:val="none" w:sz="0" w:space="0" w:color="auto"/>
            <w:left w:val="none" w:sz="0" w:space="0" w:color="auto"/>
            <w:bottom w:val="none" w:sz="0" w:space="0" w:color="auto"/>
            <w:right w:val="none" w:sz="0" w:space="0" w:color="auto"/>
          </w:divBdr>
        </w:div>
        <w:div w:id="1383020273">
          <w:marLeft w:val="640"/>
          <w:marRight w:val="0"/>
          <w:marTop w:val="0"/>
          <w:marBottom w:val="0"/>
          <w:divBdr>
            <w:top w:val="none" w:sz="0" w:space="0" w:color="auto"/>
            <w:left w:val="none" w:sz="0" w:space="0" w:color="auto"/>
            <w:bottom w:val="none" w:sz="0" w:space="0" w:color="auto"/>
            <w:right w:val="none" w:sz="0" w:space="0" w:color="auto"/>
          </w:divBdr>
        </w:div>
        <w:div w:id="1552381912">
          <w:marLeft w:val="640"/>
          <w:marRight w:val="0"/>
          <w:marTop w:val="0"/>
          <w:marBottom w:val="0"/>
          <w:divBdr>
            <w:top w:val="none" w:sz="0" w:space="0" w:color="auto"/>
            <w:left w:val="none" w:sz="0" w:space="0" w:color="auto"/>
            <w:bottom w:val="none" w:sz="0" w:space="0" w:color="auto"/>
            <w:right w:val="none" w:sz="0" w:space="0" w:color="auto"/>
          </w:divBdr>
        </w:div>
        <w:div w:id="871266894">
          <w:marLeft w:val="640"/>
          <w:marRight w:val="0"/>
          <w:marTop w:val="0"/>
          <w:marBottom w:val="0"/>
          <w:divBdr>
            <w:top w:val="none" w:sz="0" w:space="0" w:color="auto"/>
            <w:left w:val="none" w:sz="0" w:space="0" w:color="auto"/>
            <w:bottom w:val="none" w:sz="0" w:space="0" w:color="auto"/>
            <w:right w:val="none" w:sz="0" w:space="0" w:color="auto"/>
          </w:divBdr>
        </w:div>
        <w:div w:id="527063702">
          <w:marLeft w:val="640"/>
          <w:marRight w:val="0"/>
          <w:marTop w:val="0"/>
          <w:marBottom w:val="0"/>
          <w:divBdr>
            <w:top w:val="none" w:sz="0" w:space="0" w:color="auto"/>
            <w:left w:val="none" w:sz="0" w:space="0" w:color="auto"/>
            <w:bottom w:val="none" w:sz="0" w:space="0" w:color="auto"/>
            <w:right w:val="none" w:sz="0" w:space="0" w:color="auto"/>
          </w:divBdr>
        </w:div>
        <w:div w:id="1377779029">
          <w:marLeft w:val="640"/>
          <w:marRight w:val="0"/>
          <w:marTop w:val="0"/>
          <w:marBottom w:val="0"/>
          <w:divBdr>
            <w:top w:val="none" w:sz="0" w:space="0" w:color="auto"/>
            <w:left w:val="none" w:sz="0" w:space="0" w:color="auto"/>
            <w:bottom w:val="none" w:sz="0" w:space="0" w:color="auto"/>
            <w:right w:val="none" w:sz="0" w:space="0" w:color="auto"/>
          </w:divBdr>
        </w:div>
        <w:div w:id="303318414">
          <w:marLeft w:val="640"/>
          <w:marRight w:val="0"/>
          <w:marTop w:val="0"/>
          <w:marBottom w:val="0"/>
          <w:divBdr>
            <w:top w:val="none" w:sz="0" w:space="0" w:color="auto"/>
            <w:left w:val="none" w:sz="0" w:space="0" w:color="auto"/>
            <w:bottom w:val="none" w:sz="0" w:space="0" w:color="auto"/>
            <w:right w:val="none" w:sz="0" w:space="0" w:color="auto"/>
          </w:divBdr>
        </w:div>
        <w:div w:id="1858305334">
          <w:marLeft w:val="640"/>
          <w:marRight w:val="0"/>
          <w:marTop w:val="0"/>
          <w:marBottom w:val="0"/>
          <w:divBdr>
            <w:top w:val="none" w:sz="0" w:space="0" w:color="auto"/>
            <w:left w:val="none" w:sz="0" w:space="0" w:color="auto"/>
            <w:bottom w:val="none" w:sz="0" w:space="0" w:color="auto"/>
            <w:right w:val="none" w:sz="0" w:space="0" w:color="auto"/>
          </w:divBdr>
        </w:div>
        <w:div w:id="1089077652">
          <w:marLeft w:val="640"/>
          <w:marRight w:val="0"/>
          <w:marTop w:val="0"/>
          <w:marBottom w:val="0"/>
          <w:divBdr>
            <w:top w:val="none" w:sz="0" w:space="0" w:color="auto"/>
            <w:left w:val="none" w:sz="0" w:space="0" w:color="auto"/>
            <w:bottom w:val="none" w:sz="0" w:space="0" w:color="auto"/>
            <w:right w:val="none" w:sz="0" w:space="0" w:color="auto"/>
          </w:divBdr>
        </w:div>
        <w:div w:id="331761547">
          <w:marLeft w:val="640"/>
          <w:marRight w:val="0"/>
          <w:marTop w:val="0"/>
          <w:marBottom w:val="0"/>
          <w:divBdr>
            <w:top w:val="none" w:sz="0" w:space="0" w:color="auto"/>
            <w:left w:val="none" w:sz="0" w:space="0" w:color="auto"/>
            <w:bottom w:val="none" w:sz="0" w:space="0" w:color="auto"/>
            <w:right w:val="none" w:sz="0" w:space="0" w:color="auto"/>
          </w:divBdr>
        </w:div>
        <w:div w:id="1117483311">
          <w:marLeft w:val="640"/>
          <w:marRight w:val="0"/>
          <w:marTop w:val="0"/>
          <w:marBottom w:val="0"/>
          <w:divBdr>
            <w:top w:val="none" w:sz="0" w:space="0" w:color="auto"/>
            <w:left w:val="none" w:sz="0" w:space="0" w:color="auto"/>
            <w:bottom w:val="none" w:sz="0" w:space="0" w:color="auto"/>
            <w:right w:val="none" w:sz="0" w:space="0" w:color="auto"/>
          </w:divBdr>
        </w:div>
        <w:div w:id="1372606206">
          <w:marLeft w:val="640"/>
          <w:marRight w:val="0"/>
          <w:marTop w:val="0"/>
          <w:marBottom w:val="0"/>
          <w:divBdr>
            <w:top w:val="none" w:sz="0" w:space="0" w:color="auto"/>
            <w:left w:val="none" w:sz="0" w:space="0" w:color="auto"/>
            <w:bottom w:val="none" w:sz="0" w:space="0" w:color="auto"/>
            <w:right w:val="none" w:sz="0" w:space="0" w:color="auto"/>
          </w:divBdr>
        </w:div>
        <w:div w:id="2145272585">
          <w:marLeft w:val="640"/>
          <w:marRight w:val="0"/>
          <w:marTop w:val="0"/>
          <w:marBottom w:val="0"/>
          <w:divBdr>
            <w:top w:val="none" w:sz="0" w:space="0" w:color="auto"/>
            <w:left w:val="none" w:sz="0" w:space="0" w:color="auto"/>
            <w:bottom w:val="none" w:sz="0" w:space="0" w:color="auto"/>
            <w:right w:val="none" w:sz="0" w:space="0" w:color="auto"/>
          </w:divBdr>
        </w:div>
        <w:div w:id="1031690577">
          <w:marLeft w:val="640"/>
          <w:marRight w:val="0"/>
          <w:marTop w:val="0"/>
          <w:marBottom w:val="0"/>
          <w:divBdr>
            <w:top w:val="none" w:sz="0" w:space="0" w:color="auto"/>
            <w:left w:val="none" w:sz="0" w:space="0" w:color="auto"/>
            <w:bottom w:val="none" w:sz="0" w:space="0" w:color="auto"/>
            <w:right w:val="none" w:sz="0" w:space="0" w:color="auto"/>
          </w:divBdr>
        </w:div>
        <w:div w:id="371540758">
          <w:marLeft w:val="640"/>
          <w:marRight w:val="0"/>
          <w:marTop w:val="0"/>
          <w:marBottom w:val="0"/>
          <w:divBdr>
            <w:top w:val="none" w:sz="0" w:space="0" w:color="auto"/>
            <w:left w:val="none" w:sz="0" w:space="0" w:color="auto"/>
            <w:bottom w:val="none" w:sz="0" w:space="0" w:color="auto"/>
            <w:right w:val="none" w:sz="0" w:space="0" w:color="auto"/>
          </w:divBdr>
        </w:div>
        <w:div w:id="964698848">
          <w:marLeft w:val="640"/>
          <w:marRight w:val="0"/>
          <w:marTop w:val="0"/>
          <w:marBottom w:val="0"/>
          <w:divBdr>
            <w:top w:val="none" w:sz="0" w:space="0" w:color="auto"/>
            <w:left w:val="none" w:sz="0" w:space="0" w:color="auto"/>
            <w:bottom w:val="none" w:sz="0" w:space="0" w:color="auto"/>
            <w:right w:val="none" w:sz="0" w:space="0" w:color="auto"/>
          </w:divBdr>
        </w:div>
        <w:div w:id="1972857729">
          <w:marLeft w:val="640"/>
          <w:marRight w:val="0"/>
          <w:marTop w:val="0"/>
          <w:marBottom w:val="0"/>
          <w:divBdr>
            <w:top w:val="none" w:sz="0" w:space="0" w:color="auto"/>
            <w:left w:val="none" w:sz="0" w:space="0" w:color="auto"/>
            <w:bottom w:val="none" w:sz="0" w:space="0" w:color="auto"/>
            <w:right w:val="none" w:sz="0" w:space="0" w:color="auto"/>
          </w:divBdr>
        </w:div>
        <w:div w:id="1681850807">
          <w:marLeft w:val="640"/>
          <w:marRight w:val="0"/>
          <w:marTop w:val="0"/>
          <w:marBottom w:val="0"/>
          <w:divBdr>
            <w:top w:val="none" w:sz="0" w:space="0" w:color="auto"/>
            <w:left w:val="none" w:sz="0" w:space="0" w:color="auto"/>
            <w:bottom w:val="none" w:sz="0" w:space="0" w:color="auto"/>
            <w:right w:val="none" w:sz="0" w:space="0" w:color="auto"/>
          </w:divBdr>
        </w:div>
        <w:div w:id="1643535764">
          <w:marLeft w:val="640"/>
          <w:marRight w:val="0"/>
          <w:marTop w:val="0"/>
          <w:marBottom w:val="0"/>
          <w:divBdr>
            <w:top w:val="none" w:sz="0" w:space="0" w:color="auto"/>
            <w:left w:val="none" w:sz="0" w:space="0" w:color="auto"/>
            <w:bottom w:val="none" w:sz="0" w:space="0" w:color="auto"/>
            <w:right w:val="none" w:sz="0" w:space="0" w:color="auto"/>
          </w:divBdr>
        </w:div>
        <w:div w:id="386413297">
          <w:marLeft w:val="640"/>
          <w:marRight w:val="0"/>
          <w:marTop w:val="0"/>
          <w:marBottom w:val="0"/>
          <w:divBdr>
            <w:top w:val="none" w:sz="0" w:space="0" w:color="auto"/>
            <w:left w:val="none" w:sz="0" w:space="0" w:color="auto"/>
            <w:bottom w:val="none" w:sz="0" w:space="0" w:color="auto"/>
            <w:right w:val="none" w:sz="0" w:space="0" w:color="auto"/>
          </w:divBdr>
        </w:div>
        <w:div w:id="1628395340">
          <w:marLeft w:val="640"/>
          <w:marRight w:val="0"/>
          <w:marTop w:val="0"/>
          <w:marBottom w:val="0"/>
          <w:divBdr>
            <w:top w:val="none" w:sz="0" w:space="0" w:color="auto"/>
            <w:left w:val="none" w:sz="0" w:space="0" w:color="auto"/>
            <w:bottom w:val="none" w:sz="0" w:space="0" w:color="auto"/>
            <w:right w:val="none" w:sz="0" w:space="0" w:color="auto"/>
          </w:divBdr>
        </w:div>
        <w:div w:id="598293450">
          <w:marLeft w:val="640"/>
          <w:marRight w:val="0"/>
          <w:marTop w:val="0"/>
          <w:marBottom w:val="0"/>
          <w:divBdr>
            <w:top w:val="none" w:sz="0" w:space="0" w:color="auto"/>
            <w:left w:val="none" w:sz="0" w:space="0" w:color="auto"/>
            <w:bottom w:val="none" w:sz="0" w:space="0" w:color="auto"/>
            <w:right w:val="none" w:sz="0" w:space="0" w:color="auto"/>
          </w:divBdr>
        </w:div>
        <w:div w:id="1049259533">
          <w:marLeft w:val="640"/>
          <w:marRight w:val="0"/>
          <w:marTop w:val="0"/>
          <w:marBottom w:val="0"/>
          <w:divBdr>
            <w:top w:val="none" w:sz="0" w:space="0" w:color="auto"/>
            <w:left w:val="none" w:sz="0" w:space="0" w:color="auto"/>
            <w:bottom w:val="none" w:sz="0" w:space="0" w:color="auto"/>
            <w:right w:val="none" w:sz="0" w:space="0" w:color="auto"/>
          </w:divBdr>
        </w:div>
        <w:div w:id="323170772">
          <w:marLeft w:val="640"/>
          <w:marRight w:val="0"/>
          <w:marTop w:val="0"/>
          <w:marBottom w:val="0"/>
          <w:divBdr>
            <w:top w:val="none" w:sz="0" w:space="0" w:color="auto"/>
            <w:left w:val="none" w:sz="0" w:space="0" w:color="auto"/>
            <w:bottom w:val="none" w:sz="0" w:space="0" w:color="auto"/>
            <w:right w:val="none" w:sz="0" w:space="0" w:color="auto"/>
          </w:divBdr>
        </w:div>
        <w:div w:id="986082905">
          <w:marLeft w:val="640"/>
          <w:marRight w:val="0"/>
          <w:marTop w:val="0"/>
          <w:marBottom w:val="0"/>
          <w:divBdr>
            <w:top w:val="none" w:sz="0" w:space="0" w:color="auto"/>
            <w:left w:val="none" w:sz="0" w:space="0" w:color="auto"/>
            <w:bottom w:val="none" w:sz="0" w:space="0" w:color="auto"/>
            <w:right w:val="none" w:sz="0" w:space="0" w:color="auto"/>
          </w:divBdr>
        </w:div>
        <w:div w:id="1901089786">
          <w:marLeft w:val="640"/>
          <w:marRight w:val="0"/>
          <w:marTop w:val="0"/>
          <w:marBottom w:val="0"/>
          <w:divBdr>
            <w:top w:val="none" w:sz="0" w:space="0" w:color="auto"/>
            <w:left w:val="none" w:sz="0" w:space="0" w:color="auto"/>
            <w:bottom w:val="none" w:sz="0" w:space="0" w:color="auto"/>
            <w:right w:val="none" w:sz="0" w:space="0" w:color="auto"/>
          </w:divBdr>
        </w:div>
        <w:div w:id="889343986">
          <w:marLeft w:val="640"/>
          <w:marRight w:val="0"/>
          <w:marTop w:val="0"/>
          <w:marBottom w:val="0"/>
          <w:divBdr>
            <w:top w:val="none" w:sz="0" w:space="0" w:color="auto"/>
            <w:left w:val="none" w:sz="0" w:space="0" w:color="auto"/>
            <w:bottom w:val="none" w:sz="0" w:space="0" w:color="auto"/>
            <w:right w:val="none" w:sz="0" w:space="0" w:color="auto"/>
          </w:divBdr>
        </w:div>
        <w:div w:id="533077894">
          <w:marLeft w:val="640"/>
          <w:marRight w:val="0"/>
          <w:marTop w:val="0"/>
          <w:marBottom w:val="0"/>
          <w:divBdr>
            <w:top w:val="none" w:sz="0" w:space="0" w:color="auto"/>
            <w:left w:val="none" w:sz="0" w:space="0" w:color="auto"/>
            <w:bottom w:val="none" w:sz="0" w:space="0" w:color="auto"/>
            <w:right w:val="none" w:sz="0" w:space="0" w:color="auto"/>
          </w:divBdr>
        </w:div>
        <w:div w:id="1603149479">
          <w:marLeft w:val="640"/>
          <w:marRight w:val="0"/>
          <w:marTop w:val="0"/>
          <w:marBottom w:val="0"/>
          <w:divBdr>
            <w:top w:val="none" w:sz="0" w:space="0" w:color="auto"/>
            <w:left w:val="none" w:sz="0" w:space="0" w:color="auto"/>
            <w:bottom w:val="none" w:sz="0" w:space="0" w:color="auto"/>
            <w:right w:val="none" w:sz="0" w:space="0" w:color="auto"/>
          </w:divBdr>
        </w:div>
        <w:div w:id="102923147">
          <w:marLeft w:val="640"/>
          <w:marRight w:val="0"/>
          <w:marTop w:val="0"/>
          <w:marBottom w:val="0"/>
          <w:divBdr>
            <w:top w:val="none" w:sz="0" w:space="0" w:color="auto"/>
            <w:left w:val="none" w:sz="0" w:space="0" w:color="auto"/>
            <w:bottom w:val="none" w:sz="0" w:space="0" w:color="auto"/>
            <w:right w:val="none" w:sz="0" w:space="0" w:color="auto"/>
          </w:divBdr>
        </w:div>
        <w:div w:id="1117913703">
          <w:marLeft w:val="640"/>
          <w:marRight w:val="0"/>
          <w:marTop w:val="0"/>
          <w:marBottom w:val="0"/>
          <w:divBdr>
            <w:top w:val="none" w:sz="0" w:space="0" w:color="auto"/>
            <w:left w:val="none" w:sz="0" w:space="0" w:color="auto"/>
            <w:bottom w:val="none" w:sz="0" w:space="0" w:color="auto"/>
            <w:right w:val="none" w:sz="0" w:space="0" w:color="auto"/>
          </w:divBdr>
        </w:div>
      </w:divsChild>
    </w:div>
    <w:div w:id="952785076">
      <w:bodyDiv w:val="1"/>
      <w:marLeft w:val="0"/>
      <w:marRight w:val="0"/>
      <w:marTop w:val="0"/>
      <w:marBottom w:val="0"/>
      <w:divBdr>
        <w:top w:val="none" w:sz="0" w:space="0" w:color="auto"/>
        <w:left w:val="none" w:sz="0" w:space="0" w:color="auto"/>
        <w:bottom w:val="none" w:sz="0" w:space="0" w:color="auto"/>
        <w:right w:val="none" w:sz="0" w:space="0" w:color="auto"/>
      </w:divBdr>
    </w:div>
    <w:div w:id="953748732">
      <w:bodyDiv w:val="1"/>
      <w:marLeft w:val="0"/>
      <w:marRight w:val="0"/>
      <w:marTop w:val="0"/>
      <w:marBottom w:val="0"/>
      <w:divBdr>
        <w:top w:val="none" w:sz="0" w:space="0" w:color="auto"/>
        <w:left w:val="none" w:sz="0" w:space="0" w:color="auto"/>
        <w:bottom w:val="none" w:sz="0" w:space="0" w:color="auto"/>
        <w:right w:val="none" w:sz="0" w:space="0" w:color="auto"/>
      </w:divBdr>
      <w:divsChild>
        <w:div w:id="1811365520">
          <w:marLeft w:val="-10"/>
          <w:marRight w:val="0"/>
          <w:marTop w:val="0"/>
          <w:marBottom w:val="0"/>
          <w:divBdr>
            <w:top w:val="none" w:sz="0" w:space="0" w:color="auto"/>
            <w:left w:val="none" w:sz="0" w:space="0" w:color="auto"/>
            <w:bottom w:val="none" w:sz="0" w:space="0" w:color="auto"/>
            <w:right w:val="none" w:sz="0" w:space="0" w:color="auto"/>
          </w:divBdr>
        </w:div>
      </w:divsChild>
    </w:div>
    <w:div w:id="965045687">
      <w:bodyDiv w:val="1"/>
      <w:marLeft w:val="0"/>
      <w:marRight w:val="0"/>
      <w:marTop w:val="0"/>
      <w:marBottom w:val="0"/>
      <w:divBdr>
        <w:top w:val="none" w:sz="0" w:space="0" w:color="auto"/>
        <w:left w:val="none" w:sz="0" w:space="0" w:color="auto"/>
        <w:bottom w:val="none" w:sz="0" w:space="0" w:color="auto"/>
        <w:right w:val="none" w:sz="0" w:space="0" w:color="auto"/>
      </w:divBdr>
    </w:div>
    <w:div w:id="1033772496">
      <w:bodyDiv w:val="1"/>
      <w:marLeft w:val="0"/>
      <w:marRight w:val="0"/>
      <w:marTop w:val="0"/>
      <w:marBottom w:val="0"/>
      <w:divBdr>
        <w:top w:val="none" w:sz="0" w:space="0" w:color="auto"/>
        <w:left w:val="none" w:sz="0" w:space="0" w:color="auto"/>
        <w:bottom w:val="none" w:sz="0" w:space="0" w:color="auto"/>
        <w:right w:val="none" w:sz="0" w:space="0" w:color="auto"/>
      </w:divBdr>
    </w:div>
    <w:div w:id="1037658506">
      <w:bodyDiv w:val="1"/>
      <w:marLeft w:val="0"/>
      <w:marRight w:val="0"/>
      <w:marTop w:val="0"/>
      <w:marBottom w:val="0"/>
      <w:divBdr>
        <w:top w:val="none" w:sz="0" w:space="0" w:color="auto"/>
        <w:left w:val="none" w:sz="0" w:space="0" w:color="auto"/>
        <w:bottom w:val="none" w:sz="0" w:space="0" w:color="auto"/>
        <w:right w:val="none" w:sz="0" w:space="0" w:color="auto"/>
      </w:divBdr>
      <w:divsChild>
        <w:div w:id="1490635698">
          <w:marLeft w:val="640"/>
          <w:marRight w:val="0"/>
          <w:marTop w:val="0"/>
          <w:marBottom w:val="0"/>
          <w:divBdr>
            <w:top w:val="none" w:sz="0" w:space="0" w:color="auto"/>
            <w:left w:val="none" w:sz="0" w:space="0" w:color="auto"/>
            <w:bottom w:val="none" w:sz="0" w:space="0" w:color="auto"/>
            <w:right w:val="none" w:sz="0" w:space="0" w:color="auto"/>
          </w:divBdr>
        </w:div>
        <w:div w:id="176044618">
          <w:marLeft w:val="640"/>
          <w:marRight w:val="0"/>
          <w:marTop w:val="0"/>
          <w:marBottom w:val="0"/>
          <w:divBdr>
            <w:top w:val="none" w:sz="0" w:space="0" w:color="auto"/>
            <w:left w:val="none" w:sz="0" w:space="0" w:color="auto"/>
            <w:bottom w:val="none" w:sz="0" w:space="0" w:color="auto"/>
            <w:right w:val="none" w:sz="0" w:space="0" w:color="auto"/>
          </w:divBdr>
        </w:div>
        <w:div w:id="1358312865">
          <w:marLeft w:val="640"/>
          <w:marRight w:val="0"/>
          <w:marTop w:val="0"/>
          <w:marBottom w:val="0"/>
          <w:divBdr>
            <w:top w:val="none" w:sz="0" w:space="0" w:color="auto"/>
            <w:left w:val="none" w:sz="0" w:space="0" w:color="auto"/>
            <w:bottom w:val="none" w:sz="0" w:space="0" w:color="auto"/>
            <w:right w:val="none" w:sz="0" w:space="0" w:color="auto"/>
          </w:divBdr>
        </w:div>
        <w:div w:id="28452869">
          <w:marLeft w:val="640"/>
          <w:marRight w:val="0"/>
          <w:marTop w:val="0"/>
          <w:marBottom w:val="0"/>
          <w:divBdr>
            <w:top w:val="none" w:sz="0" w:space="0" w:color="auto"/>
            <w:left w:val="none" w:sz="0" w:space="0" w:color="auto"/>
            <w:bottom w:val="none" w:sz="0" w:space="0" w:color="auto"/>
            <w:right w:val="none" w:sz="0" w:space="0" w:color="auto"/>
          </w:divBdr>
        </w:div>
        <w:div w:id="1433668167">
          <w:marLeft w:val="640"/>
          <w:marRight w:val="0"/>
          <w:marTop w:val="0"/>
          <w:marBottom w:val="0"/>
          <w:divBdr>
            <w:top w:val="none" w:sz="0" w:space="0" w:color="auto"/>
            <w:left w:val="none" w:sz="0" w:space="0" w:color="auto"/>
            <w:bottom w:val="none" w:sz="0" w:space="0" w:color="auto"/>
            <w:right w:val="none" w:sz="0" w:space="0" w:color="auto"/>
          </w:divBdr>
        </w:div>
        <w:div w:id="1648631290">
          <w:marLeft w:val="640"/>
          <w:marRight w:val="0"/>
          <w:marTop w:val="0"/>
          <w:marBottom w:val="0"/>
          <w:divBdr>
            <w:top w:val="none" w:sz="0" w:space="0" w:color="auto"/>
            <w:left w:val="none" w:sz="0" w:space="0" w:color="auto"/>
            <w:bottom w:val="none" w:sz="0" w:space="0" w:color="auto"/>
            <w:right w:val="none" w:sz="0" w:space="0" w:color="auto"/>
          </w:divBdr>
        </w:div>
        <w:div w:id="416097941">
          <w:marLeft w:val="640"/>
          <w:marRight w:val="0"/>
          <w:marTop w:val="0"/>
          <w:marBottom w:val="0"/>
          <w:divBdr>
            <w:top w:val="none" w:sz="0" w:space="0" w:color="auto"/>
            <w:left w:val="none" w:sz="0" w:space="0" w:color="auto"/>
            <w:bottom w:val="none" w:sz="0" w:space="0" w:color="auto"/>
            <w:right w:val="none" w:sz="0" w:space="0" w:color="auto"/>
          </w:divBdr>
        </w:div>
        <w:div w:id="1057313630">
          <w:marLeft w:val="640"/>
          <w:marRight w:val="0"/>
          <w:marTop w:val="0"/>
          <w:marBottom w:val="0"/>
          <w:divBdr>
            <w:top w:val="none" w:sz="0" w:space="0" w:color="auto"/>
            <w:left w:val="none" w:sz="0" w:space="0" w:color="auto"/>
            <w:bottom w:val="none" w:sz="0" w:space="0" w:color="auto"/>
            <w:right w:val="none" w:sz="0" w:space="0" w:color="auto"/>
          </w:divBdr>
        </w:div>
        <w:div w:id="1689983055">
          <w:marLeft w:val="640"/>
          <w:marRight w:val="0"/>
          <w:marTop w:val="0"/>
          <w:marBottom w:val="0"/>
          <w:divBdr>
            <w:top w:val="none" w:sz="0" w:space="0" w:color="auto"/>
            <w:left w:val="none" w:sz="0" w:space="0" w:color="auto"/>
            <w:bottom w:val="none" w:sz="0" w:space="0" w:color="auto"/>
            <w:right w:val="none" w:sz="0" w:space="0" w:color="auto"/>
          </w:divBdr>
        </w:div>
        <w:div w:id="317928517">
          <w:marLeft w:val="640"/>
          <w:marRight w:val="0"/>
          <w:marTop w:val="0"/>
          <w:marBottom w:val="0"/>
          <w:divBdr>
            <w:top w:val="none" w:sz="0" w:space="0" w:color="auto"/>
            <w:left w:val="none" w:sz="0" w:space="0" w:color="auto"/>
            <w:bottom w:val="none" w:sz="0" w:space="0" w:color="auto"/>
            <w:right w:val="none" w:sz="0" w:space="0" w:color="auto"/>
          </w:divBdr>
        </w:div>
        <w:div w:id="1258513691">
          <w:marLeft w:val="640"/>
          <w:marRight w:val="0"/>
          <w:marTop w:val="0"/>
          <w:marBottom w:val="0"/>
          <w:divBdr>
            <w:top w:val="none" w:sz="0" w:space="0" w:color="auto"/>
            <w:left w:val="none" w:sz="0" w:space="0" w:color="auto"/>
            <w:bottom w:val="none" w:sz="0" w:space="0" w:color="auto"/>
            <w:right w:val="none" w:sz="0" w:space="0" w:color="auto"/>
          </w:divBdr>
        </w:div>
        <w:div w:id="1740664566">
          <w:marLeft w:val="640"/>
          <w:marRight w:val="0"/>
          <w:marTop w:val="0"/>
          <w:marBottom w:val="0"/>
          <w:divBdr>
            <w:top w:val="none" w:sz="0" w:space="0" w:color="auto"/>
            <w:left w:val="none" w:sz="0" w:space="0" w:color="auto"/>
            <w:bottom w:val="none" w:sz="0" w:space="0" w:color="auto"/>
            <w:right w:val="none" w:sz="0" w:space="0" w:color="auto"/>
          </w:divBdr>
        </w:div>
        <w:div w:id="2050060527">
          <w:marLeft w:val="640"/>
          <w:marRight w:val="0"/>
          <w:marTop w:val="0"/>
          <w:marBottom w:val="0"/>
          <w:divBdr>
            <w:top w:val="none" w:sz="0" w:space="0" w:color="auto"/>
            <w:left w:val="none" w:sz="0" w:space="0" w:color="auto"/>
            <w:bottom w:val="none" w:sz="0" w:space="0" w:color="auto"/>
            <w:right w:val="none" w:sz="0" w:space="0" w:color="auto"/>
          </w:divBdr>
        </w:div>
        <w:div w:id="1017655820">
          <w:marLeft w:val="640"/>
          <w:marRight w:val="0"/>
          <w:marTop w:val="0"/>
          <w:marBottom w:val="0"/>
          <w:divBdr>
            <w:top w:val="none" w:sz="0" w:space="0" w:color="auto"/>
            <w:left w:val="none" w:sz="0" w:space="0" w:color="auto"/>
            <w:bottom w:val="none" w:sz="0" w:space="0" w:color="auto"/>
            <w:right w:val="none" w:sz="0" w:space="0" w:color="auto"/>
          </w:divBdr>
        </w:div>
        <w:div w:id="106970900">
          <w:marLeft w:val="640"/>
          <w:marRight w:val="0"/>
          <w:marTop w:val="0"/>
          <w:marBottom w:val="0"/>
          <w:divBdr>
            <w:top w:val="none" w:sz="0" w:space="0" w:color="auto"/>
            <w:left w:val="none" w:sz="0" w:space="0" w:color="auto"/>
            <w:bottom w:val="none" w:sz="0" w:space="0" w:color="auto"/>
            <w:right w:val="none" w:sz="0" w:space="0" w:color="auto"/>
          </w:divBdr>
        </w:div>
        <w:div w:id="1982035538">
          <w:marLeft w:val="640"/>
          <w:marRight w:val="0"/>
          <w:marTop w:val="0"/>
          <w:marBottom w:val="0"/>
          <w:divBdr>
            <w:top w:val="none" w:sz="0" w:space="0" w:color="auto"/>
            <w:left w:val="none" w:sz="0" w:space="0" w:color="auto"/>
            <w:bottom w:val="none" w:sz="0" w:space="0" w:color="auto"/>
            <w:right w:val="none" w:sz="0" w:space="0" w:color="auto"/>
          </w:divBdr>
        </w:div>
        <w:div w:id="1155343439">
          <w:marLeft w:val="640"/>
          <w:marRight w:val="0"/>
          <w:marTop w:val="0"/>
          <w:marBottom w:val="0"/>
          <w:divBdr>
            <w:top w:val="none" w:sz="0" w:space="0" w:color="auto"/>
            <w:left w:val="none" w:sz="0" w:space="0" w:color="auto"/>
            <w:bottom w:val="none" w:sz="0" w:space="0" w:color="auto"/>
            <w:right w:val="none" w:sz="0" w:space="0" w:color="auto"/>
          </w:divBdr>
        </w:div>
        <w:div w:id="1969969976">
          <w:marLeft w:val="640"/>
          <w:marRight w:val="0"/>
          <w:marTop w:val="0"/>
          <w:marBottom w:val="0"/>
          <w:divBdr>
            <w:top w:val="none" w:sz="0" w:space="0" w:color="auto"/>
            <w:left w:val="none" w:sz="0" w:space="0" w:color="auto"/>
            <w:bottom w:val="none" w:sz="0" w:space="0" w:color="auto"/>
            <w:right w:val="none" w:sz="0" w:space="0" w:color="auto"/>
          </w:divBdr>
        </w:div>
        <w:div w:id="358241326">
          <w:marLeft w:val="640"/>
          <w:marRight w:val="0"/>
          <w:marTop w:val="0"/>
          <w:marBottom w:val="0"/>
          <w:divBdr>
            <w:top w:val="none" w:sz="0" w:space="0" w:color="auto"/>
            <w:left w:val="none" w:sz="0" w:space="0" w:color="auto"/>
            <w:bottom w:val="none" w:sz="0" w:space="0" w:color="auto"/>
            <w:right w:val="none" w:sz="0" w:space="0" w:color="auto"/>
          </w:divBdr>
        </w:div>
        <w:div w:id="469132179">
          <w:marLeft w:val="640"/>
          <w:marRight w:val="0"/>
          <w:marTop w:val="0"/>
          <w:marBottom w:val="0"/>
          <w:divBdr>
            <w:top w:val="none" w:sz="0" w:space="0" w:color="auto"/>
            <w:left w:val="none" w:sz="0" w:space="0" w:color="auto"/>
            <w:bottom w:val="none" w:sz="0" w:space="0" w:color="auto"/>
            <w:right w:val="none" w:sz="0" w:space="0" w:color="auto"/>
          </w:divBdr>
        </w:div>
        <w:div w:id="301618659">
          <w:marLeft w:val="640"/>
          <w:marRight w:val="0"/>
          <w:marTop w:val="0"/>
          <w:marBottom w:val="0"/>
          <w:divBdr>
            <w:top w:val="none" w:sz="0" w:space="0" w:color="auto"/>
            <w:left w:val="none" w:sz="0" w:space="0" w:color="auto"/>
            <w:bottom w:val="none" w:sz="0" w:space="0" w:color="auto"/>
            <w:right w:val="none" w:sz="0" w:space="0" w:color="auto"/>
          </w:divBdr>
        </w:div>
        <w:div w:id="2080400753">
          <w:marLeft w:val="640"/>
          <w:marRight w:val="0"/>
          <w:marTop w:val="0"/>
          <w:marBottom w:val="0"/>
          <w:divBdr>
            <w:top w:val="none" w:sz="0" w:space="0" w:color="auto"/>
            <w:left w:val="none" w:sz="0" w:space="0" w:color="auto"/>
            <w:bottom w:val="none" w:sz="0" w:space="0" w:color="auto"/>
            <w:right w:val="none" w:sz="0" w:space="0" w:color="auto"/>
          </w:divBdr>
        </w:div>
        <w:div w:id="1349601128">
          <w:marLeft w:val="640"/>
          <w:marRight w:val="0"/>
          <w:marTop w:val="0"/>
          <w:marBottom w:val="0"/>
          <w:divBdr>
            <w:top w:val="none" w:sz="0" w:space="0" w:color="auto"/>
            <w:left w:val="none" w:sz="0" w:space="0" w:color="auto"/>
            <w:bottom w:val="none" w:sz="0" w:space="0" w:color="auto"/>
            <w:right w:val="none" w:sz="0" w:space="0" w:color="auto"/>
          </w:divBdr>
        </w:div>
        <w:div w:id="227495756">
          <w:marLeft w:val="640"/>
          <w:marRight w:val="0"/>
          <w:marTop w:val="0"/>
          <w:marBottom w:val="0"/>
          <w:divBdr>
            <w:top w:val="none" w:sz="0" w:space="0" w:color="auto"/>
            <w:left w:val="none" w:sz="0" w:space="0" w:color="auto"/>
            <w:bottom w:val="none" w:sz="0" w:space="0" w:color="auto"/>
            <w:right w:val="none" w:sz="0" w:space="0" w:color="auto"/>
          </w:divBdr>
        </w:div>
        <w:div w:id="960460043">
          <w:marLeft w:val="640"/>
          <w:marRight w:val="0"/>
          <w:marTop w:val="0"/>
          <w:marBottom w:val="0"/>
          <w:divBdr>
            <w:top w:val="none" w:sz="0" w:space="0" w:color="auto"/>
            <w:left w:val="none" w:sz="0" w:space="0" w:color="auto"/>
            <w:bottom w:val="none" w:sz="0" w:space="0" w:color="auto"/>
            <w:right w:val="none" w:sz="0" w:space="0" w:color="auto"/>
          </w:divBdr>
        </w:div>
        <w:div w:id="1677997293">
          <w:marLeft w:val="640"/>
          <w:marRight w:val="0"/>
          <w:marTop w:val="0"/>
          <w:marBottom w:val="0"/>
          <w:divBdr>
            <w:top w:val="none" w:sz="0" w:space="0" w:color="auto"/>
            <w:left w:val="none" w:sz="0" w:space="0" w:color="auto"/>
            <w:bottom w:val="none" w:sz="0" w:space="0" w:color="auto"/>
            <w:right w:val="none" w:sz="0" w:space="0" w:color="auto"/>
          </w:divBdr>
        </w:div>
        <w:div w:id="1948846851">
          <w:marLeft w:val="640"/>
          <w:marRight w:val="0"/>
          <w:marTop w:val="0"/>
          <w:marBottom w:val="0"/>
          <w:divBdr>
            <w:top w:val="none" w:sz="0" w:space="0" w:color="auto"/>
            <w:left w:val="none" w:sz="0" w:space="0" w:color="auto"/>
            <w:bottom w:val="none" w:sz="0" w:space="0" w:color="auto"/>
            <w:right w:val="none" w:sz="0" w:space="0" w:color="auto"/>
          </w:divBdr>
        </w:div>
        <w:div w:id="139542387">
          <w:marLeft w:val="640"/>
          <w:marRight w:val="0"/>
          <w:marTop w:val="0"/>
          <w:marBottom w:val="0"/>
          <w:divBdr>
            <w:top w:val="none" w:sz="0" w:space="0" w:color="auto"/>
            <w:left w:val="none" w:sz="0" w:space="0" w:color="auto"/>
            <w:bottom w:val="none" w:sz="0" w:space="0" w:color="auto"/>
            <w:right w:val="none" w:sz="0" w:space="0" w:color="auto"/>
          </w:divBdr>
        </w:div>
        <w:div w:id="1030374606">
          <w:marLeft w:val="640"/>
          <w:marRight w:val="0"/>
          <w:marTop w:val="0"/>
          <w:marBottom w:val="0"/>
          <w:divBdr>
            <w:top w:val="none" w:sz="0" w:space="0" w:color="auto"/>
            <w:left w:val="none" w:sz="0" w:space="0" w:color="auto"/>
            <w:bottom w:val="none" w:sz="0" w:space="0" w:color="auto"/>
            <w:right w:val="none" w:sz="0" w:space="0" w:color="auto"/>
          </w:divBdr>
        </w:div>
        <w:div w:id="472791862">
          <w:marLeft w:val="640"/>
          <w:marRight w:val="0"/>
          <w:marTop w:val="0"/>
          <w:marBottom w:val="0"/>
          <w:divBdr>
            <w:top w:val="none" w:sz="0" w:space="0" w:color="auto"/>
            <w:left w:val="none" w:sz="0" w:space="0" w:color="auto"/>
            <w:bottom w:val="none" w:sz="0" w:space="0" w:color="auto"/>
            <w:right w:val="none" w:sz="0" w:space="0" w:color="auto"/>
          </w:divBdr>
        </w:div>
        <w:div w:id="793017856">
          <w:marLeft w:val="640"/>
          <w:marRight w:val="0"/>
          <w:marTop w:val="0"/>
          <w:marBottom w:val="0"/>
          <w:divBdr>
            <w:top w:val="none" w:sz="0" w:space="0" w:color="auto"/>
            <w:left w:val="none" w:sz="0" w:space="0" w:color="auto"/>
            <w:bottom w:val="none" w:sz="0" w:space="0" w:color="auto"/>
            <w:right w:val="none" w:sz="0" w:space="0" w:color="auto"/>
          </w:divBdr>
        </w:div>
        <w:div w:id="1800226992">
          <w:marLeft w:val="640"/>
          <w:marRight w:val="0"/>
          <w:marTop w:val="0"/>
          <w:marBottom w:val="0"/>
          <w:divBdr>
            <w:top w:val="none" w:sz="0" w:space="0" w:color="auto"/>
            <w:left w:val="none" w:sz="0" w:space="0" w:color="auto"/>
            <w:bottom w:val="none" w:sz="0" w:space="0" w:color="auto"/>
            <w:right w:val="none" w:sz="0" w:space="0" w:color="auto"/>
          </w:divBdr>
        </w:div>
        <w:div w:id="916593185">
          <w:marLeft w:val="640"/>
          <w:marRight w:val="0"/>
          <w:marTop w:val="0"/>
          <w:marBottom w:val="0"/>
          <w:divBdr>
            <w:top w:val="none" w:sz="0" w:space="0" w:color="auto"/>
            <w:left w:val="none" w:sz="0" w:space="0" w:color="auto"/>
            <w:bottom w:val="none" w:sz="0" w:space="0" w:color="auto"/>
            <w:right w:val="none" w:sz="0" w:space="0" w:color="auto"/>
          </w:divBdr>
        </w:div>
        <w:div w:id="1746798048">
          <w:marLeft w:val="640"/>
          <w:marRight w:val="0"/>
          <w:marTop w:val="0"/>
          <w:marBottom w:val="0"/>
          <w:divBdr>
            <w:top w:val="none" w:sz="0" w:space="0" w:color="auto"/>
            <w:left w:val="none" w:sz="0" w:space="0" w:color="auto"/>
            <w:bottom w:val="none" w:sz="0" w:space="0" w:color="auto"/>
            <w:right w:val="none" w:sz="0" w:space="0" w:color="auto"/>
          </w:divBdr>
        </w:div>
        <w:div w:id="2031562903">
          <w:marLeft w:val="640"/>
          <w:marRight w:val="0"/>
          <w:marTop w:val="0"/>
          <w:marBottom w:val="0"/>
          <w:divBdr>
            <w:top w:val="none" w:sz="0" w:space="0" w:color="auto"/>
            <w:left w:val="none" w:sz="0" w:space="0" w:color="auto"/>
            <w:bottom w:val="none" w:sz="0" w:space="0" w:color="auto"/>
            <w:right w:val="none" w:sz="0" w:space="0" w:color="auto"/>
          </w:divBdr>
        </w:div>
        <w:div w:id="665742311">
          <w:marLeft w:val="640"/>
          <w:marRight w:val="0"/>
          <w:marTop w:val="0"/>
          <w:marBottom w:val="0"/>
          <w:divBdr>
            <w:top w:val="none" w:sz="0" w:space="0" w:color="auto"/>
            <w:left w:val="none" w:sz="0" w:space="0" w:color="auto"/>
            <w:bottom w:val="none" w:sz="0" w:space="0" w:color="auto"/>
            <w:right w:val="none" w:sz="0" w:space="0" w:color="auto"/>
          </w:divBdr>
        </w:div>
        <w:div w:id="595872427">
          <w:marLeft w:val="640"/>
          <w:marRight w:val="0"/>
          <w:marTop w:val="0"/>
          <w:marBottom w:val="0"/>
          <w:divBdr>
            <w:top w:val="none" w:sz="0" w:space="0" w:color="auto"/>
            <w:left w:val="none" w:sz="0" w:space="0" w:color="auto"/>
            <w:bottom w:val="none" w:sz="0" w:space="0" w:color="auto"/>
            <w:right w:val="none" w:sz="0" w:space="0" w:color="auto"/>
          </w:divBdr>
        </w:div>
        <w:div w:id="574054537">
          <w:marLeft w:val="640"/>
          <w:marRight w:val="0"/>
          <w:marTop w:val="0"/>
          <w:marBottom w:val="0"/>
          <w:divBdr>
            <w:top w:val="none" w:sz="0" w:space="0" w:color="auto"/>
            <w:left w:val="none" w:sz="0" w:space="0" w:color="auto"/>
            <w:bottom w:val="none" w:sz="0" w:space="0" w:color="auto"/>
            <w:right w:val="none" w:sz="0" w:space="0" w:color="auto"/>
          </w:divBdr>
        </w:div>
        <w:div w:id="163589317">
          <w:marLeft w:val="640"/>
          <w:marRight w:val="0"/>
          <w:marTop w:val="0"/>
          <w:marBottom w:val="0"/>
          <w:divBdr>
            <w:top w:val="none" w:sz="0" w:space="0" w:color="auto"/>
            <w:left w:val="none" w:sz="0" w:space="0" w:color="auto"/>
            <w:bottom w:val="none" w:sz="0" w:space="0" w:color="auto"/>
            <w:right w:val="none" w:sz="0" w:space="0" w:color="auto"/>
          </w:divBdr>
        </w:div>
        <w:div w:id="485636080">
          <w:marLeft w:val="640"/>
          <w:marRight w:val="0"/>
          <w:marTop w:val="0"/>
          <w:marBottom w:val="0"/>
          <w:divBdr>
            <w:top w:val="none" w:sz="0" w:space="0" w:color="auto"/>
            <w:left w:val="none" w:sz="0" w:space="0" w:color="auto"/>
            <w:bottom w:val="none" w:sz="0" w:space="0" w:color="auto"/>
            <w:right w:val="none" w:sz="0" w:space="0" w:color="auto"/>
          </w:divBdr>
        </w:div>
        <w:div w:id="209807651">
          <w:marLeft w:val="640"/>
          <w:marRight w:val="0"/>
          <w:marTop w:val="0"/>
          <w:marBottom w:val="0"/>
          <w:divBdr>
            <w:top w:val="none" w:sz="0" w:space="0" w:color="auto"/>
            <w:left w:val="none" w:sz="0" w:space="0" w:color="auto"/>
            <w:bottom w:val="none" w:sz="0" w:space="0" w:color="auto"/>
            <w:right w:val="none" w:sz="0" w:space="0" w:color="auto"/>
          </w:divBdr>
        </w:div>
        <w:div w:id="2068919379">
          <w:marLeft w:val="640"/>
          <w:marRight w:val="0"/>
          <w:marTop w:val="0"/>
          <w:marBottom w:val="0"/>
          <w:divBdr>
            <w:top w:val="none" w:sz="0" w:space="0" w:color="auto"/>
            <w:left w:val="none" w:sz="0" w:space="0" w:color="auto"/>
            <w:bottom w:val="none" w:sz="0" w:space="0" w:color="auto"/>
            <w:right w:val="none" w:sz="0" w:space="0" w:color="auto"/>
          </w:divBdr>
        </w:div>
        <w:div w:id="2093548647">
          <w:marLeft w:val="640"/>
          <w:marRight w:val="0"/>
          <w:marTop w:val="0"/>
          <w:marBottom w:val="0"/>
          <w:divBdr>
            <w:top w:val="none" w:sz="0" w:space="0" w:color="auto"/>
            <w:left w:val="none" w:sz="0" w:space="0" w:color="auto"/>
            <w:bottom w:val="none" w:sz="0" w:space="0" w:color="auto"/>
            <w:right w:val="none" w:sz="0" w:space="0" w:color="auto"/>
          </w:divBdr>
        </w:div>
        <w:div w:id="2136370613">
          <w:marLeft w:val="640"/>
          <w:marRight w:val="0"/>
          <w:marTop w:val="0"/>
          <w:marBottom w:val="0"/>
          <w:divBdr>
            <w:top w:val="none" w:sz="0" w:space="0" w:color="auto"/>
            <w:left w:val="none" w:sz="0" w:space="0" w:color="auto"/>
            <w:bottom w:val="none" w:sz="0" w:space="0" w:color="auto"/>
            <w:right w:val="none" w:sz="0" w:space="0" w:color="auto"/>
          </w:divBdr>
        </w:div>
        <w:div w:id="1408500991">
          <w:marLeft w:val="640"/>
          <w:marRight w:val="0"/>
          <w:marTop w:val="0"/>
          <w:marBottom w:val="0"/>
          <w:divBdr>
            <w:top w:val="none" w:sz="0" w:space="0" w:color="auto"/>
            <w:left w:val="none" w:sz="0" w:space="0" w:color="auto"/>
            <w:bottom w:val="none" w:sz="0" w:space="0" w:color="auto"/>
            <w:right w:val="none" w:sz="0" w:space="0" w:color="auto"/>
          </w:divBdr>
        </w:div>
        <w:div w:id="694305676">
          <w:marLeft w:val="640"/>
          <w:marRight w:val="0"/>
          <w:marTop w:val="0"/>
          <w:marBottom w:val="0"/>
          <w:divBdr>
            <w:top w:val="none" w:sz="0" w:space="0" w:color="auto"/>
            <w:left w:val="none" w:sz="0" w:space="0" w:color="auto"/>
            <w:bottom w:val="none" w:sz="0" w:space="0" w:color="auto"/>
            <w:right w:val="none" w:sz="0" w:space="0" w:color="auto"/>
          </w:divBdr>
        </w:div>
        <w:div w:id="1765952423">
          <w:marLeft w:val="640"/>
          <w:marRight w:val="0"/>
          <w:marTop w:val="0"/>
          <w:marBottom w:val="0"/>
          <w:divBdr>
            <w:top w:val="none" w:sz="0" w:space="0" w:color="auto"/>
            <w:left w:val="none" w:sz="0" w:space="0" w:color="auto"/>
            <w:bottom w:val="none" w:sz="0" w:space="0" w:color="auto"/>
            <w:right w:val="none" w:sz="0" w:space="0" w:color="auto"/>
          </w:divBdr>
        </w:div>
        <w:div w:id="1629511929">
          <w:marLeft w:val="640"/>
          <w:marRight w:val="0"/>
          <w:marTop w:val="0"/>
          <w:marBottom w:val="0"/>
          <w:divBdr>
            <w:top w:val="none" w:sz="0" w:space="0" w:color="auto"/>
            <w:left w:val="none" w:sz="0" w:space="0" w:color="auto"/>
            <w:bottom w:val="none" w:sz="0" w:space="0" w:color="auto"/>
            <w:right w:val="none" w:sz="0" w:space="0" w:color="auto"/>
          </w:divBdr>
        </w:div>
        <w:div w:id="1573396165">
          <w:marLeft w:val="640"/>
          <w:marRight w:val="0"/>
          <w:marTop w:val="0"/>
          <w:marBottom w:val="0"/>
          <w:divBdr>
            <w:top w:val="none" w:sz="0" w:space="0" w:color="auto"/>
            <w:left w:val="none" w:sz="0" w:space="0" w:color="auto"/>
            <w:bottom w:val="none" w:sz="0" w:space="0" w:color="auto"/>
            <w:right w:val="none" w:sz="0" w:space="0" w:color="auto"/>
          </w:divBdr>
        </w:div>
        <w:div w:id="1814105345">
          <w:marLeft w:val="640"/>
          <w:marRight w:val="0"/>
          <w:marTop w:val="0"/>
          <w:marBottom w:val="0"/>
          <w:divBdr>
            <w:top w:val="none" w:sz="0" w:space="0" w:color="auto"/>
            <w:left w:val="none" w:sz="0" w:space="0" w:color="auto"/>
            <w:bottom w:val="none" w:sz="0" w:space="0" w:color="auto"/>
            <w:right w:val="none" w:sz="0" w:space="0" w:color="auto"/>
          </w:divBdr>
        </w:div>
        <w:div w:id="1509519282">
          <w:marLeft w:val="640"/>
          <w:marRight w:val="0"/>
          <w:marTop w:val="0"/>
          <w:marBottom w:val="0"/>
          <w:divBdr>
            <w:top w:val="none" w:sz="0" w:space="0" w:color="auto"/>
            <w:left w:val="none" w:sz="0" w:space="0" w:color="auto"/>
            <w:bottom w:val="none" w:sz="0" w:space="0" w:color="auto"/>
            <w:right w:val="none" w:sz="0" w:space="0" w:color="auto"/>
          </w:divBdr>
        </w:div>
        <w:div w:id="532429276">
          <w:marLeft w:val="640"/>
          <w:marRight w:val="0"/>
          <w:marTop w:val="0"/>
          <w:marBottom w:val="0"/>
          <w:divBdr>
            <w:top w:val="none" w:sz="0" w:space="0" w:color="auto"/>
            <w:left w:val="none" w:sz="0" w:space="0" w:color="auto"/>
            <w:bottom w:val="none" w:sz="0" w:space="0" w:color="auto"/>
            <w:right w:val="none" w:sz="0" w:space="0" w:color="auto"/>
          </w:divBdr>
        </w:div>
        <w:div w:id="931813912">
          <w:marLeft w:val="640"/>
          <w:marRight w:val="0"/>
          <w:marTop w:val="0"/>
          <w:marBottom w:val="0"/>
          <w:divBdr>
            <w:top w:val="none" w:sz="0" w:space="0" w:color="auto"/>
            <w:left w:val="none" w:sz="0" w:space="0" w:color="auto"/>
            <w:bottom w:val="none" w:sz="0" w:space="0" w:color="auto"/>
            <w:right w:val="none" w:sz="0" w:space="0" w:color="auto"/>
          </w:divBdr>
        </w:div>
        <w:div w:id="1716588251">
          <w:marLeft w:val="640"/>
          <w:marRight w:val="0"/>
          <w:marTop w:val="0"/>
          <w:marBottom w:val="0"/>
          <w:divBdr>
            <w:top w:val="none" w:sz="0" w:space="0" w:color="auto"/>
            <w:left w:val="none" w:sz="0" w:space="0" w:color="auto"/>
            <w:bottom w:val="none" w:sz="0" w:space="0" w:color="auto"/>
            <w:right w:val="none" w:sz="0" w:space="0" w:color="auto"/>
          </w:divBdr>
        </w:div>
        <w:div w:id="2102480465">
          <w:marLeft w:val="640"/>
          <w:marRight w:val="0"/>
          <w:marTop w:val="0"/>
          <w:marBottom w:val="0"/>
          <w:divBdr>
            <w:top w:val="none" w:sz="0" w:space="0" w:color="auto"/>
            <w:left w:val="none" w:sz="0" w:space="0" w:color="auto"/>
            <w:bottom w:val="none" w:sz="0" w:space="0" w:color="auto"/>
            <w:right w:val="none" w:sz="0" w:space="0" w:color="auto"/>
          </w:divBdr>
        </w:div>
        <w:div w:id="481310512">
          <w:marLeft w:val="640"/>
          <w:marRight w:val="0"/>
          <w:marTop w:val="0"/>
          <w:marBottom w:val="0"/>
          <w:divBdr>
            <w:top w:val="none" w:sz="0" w:space="0" w:color="auto"/>
            <w:left w:val="none" w:sz="0" w:space="0" w:color="auto"/>
            <w:bottom w:val="none" w:sz="0" w:space="0" w:color="auto"/>
            <w:right w:val="none" w:sz="0" w:space="0" w:color="auto"/>
          </w:divBdr>
        </w:div>
        <w:div w:id="1258513710">
          <w:marLeft w:val="640"/>
          <w:marRight w:val="0"/>
          <w:marTop w:val="0"/>
          <w:marBottom w:val="0"/>
          <w:divBdr>
            <w:top w:val="none" w:sz="0" w:space="0" w:color="auto"/>
            <w:left w:val="none" w:sz="0" w:space="0" w:color="auto"/>
            <w:bottom w:val="none" w:sz="0" w:space="0" w:color="auto"/>
            <w:right w:val="none" w:sz="0" w:space="0" w:color="auto"/>
          </w:divBdr>
        </w:div>
        <w:div w:id="1257907480">
          <w:marLeft w:val="640"/>
          <w:marRight w:val="0"/>
          <w:marTop w:val="0"/>
          <w:marBottom w:val="0"/>
          <w:divBdr>
            <w:top w:val="none" w:sz="0" w:space="0" w:color="auto"/>
            <w:left w:val="none" w:sz="0" w:space="0" w:color="auto"/>
            <w:bottom w:val="none" w:sz="0" w:space="0" w:color="auto"/>
            <w:right w:val="none" w:sz="0" w:space="0" w:color="auto"/>
          </w:divBdr>
        </w:div>
        <w:div w:id="612828714">
          <w:marLeft w:val="640"/>
          <w:marRight w:val="0"/>
          <w:marTop w:val="0"/>
          <w:marBottom w:val="0"/>
          <w:divBdr>
            <w:top w:val="none" w:sz="0" w:space="0" w:color="auto"/>
            <w:left w:val="none" w:sz="0" w:space="0" w:color="auto"/>
            <w:bottom w:val="none" w:sz="0" w:space="0" w:color="auto"/>
            <w:right w:val="none" w:sz="0" w:space="0" w:color="auto"/>
          </w:divBdr>
        </w:div>
        <w:div w:id="251671405">
          <w:marLeft w:val="640"/>
          <w:marRight w:val="0"/>
          <w:marTop w:val="0"/>
          <w:marBottom w:val="0"/>
          <w:divBdr>
            <w:top w:val="none" w:sz="0" w:space="0" w:color="auto"/>
            <w:left w:val="none" w:sz="0" w:space="0" w:color="auto"/>
            <w:bottom w:val="none" w:sz="0" w:space="0" w:color="auto"/>
            <w:right w:val="none" w:sz="0" w:space="0" w:color="auto"/>
          </w:divBdr>
        </w:div>
        <w:div w:id="1884366798">
          <w:marLeft w:val="640"/>
          <w:marRight w:val="0"/>
          <w:marTop w:val="0"/>
          <w:marBottom w:val="0"/>
          <w:divBdr>
            <w:top w:val="none" w:sz="0" w:space="0" w:color="auto"/>
            <w:left w:val="none" w:sz="0" w:space="0" w:color="auto"/>
            <w:bottom w:val="none" w:sz="0" w:space="0" w:color="auto"/>
            <w:right w:val="none" w:sz="0" w:space="0" w:color="auto"/>
          </w:divBdr>
        </w:div>
        <w:div w:id="443042123">
          <w:marLeft w:val="640"/>
          <w:marRight w:val="0"/>
          <w:marTop w:val="0"/>
          <w:marBottom w:val="0"/>
          <w:divBdr>
            <w:top w:val="none" w:sz="0" w:space="0" w:color="auto"/>
            <w:left w:val="none" w:sz="0" w:space="0" w:color="auto"/>
            <w:bottom w:val="none" w:sz="0" w:space="0" w:color="auto"/>
            <w:right w:val="none" w:sz="0" w:space="0" w:color="auto"/>
          </w:divBdr>
        </w:div>
        <w:div w:id="1711878183">
          <w:marLeft w:val="640"/>
          <w:marRight w:val="0"/>
          <w:marTop w:val="0"/>
          <w:marBottom w:val="0"/>
          <w:divBdr>
            <w:top w:val="none" w:sz="0" w:space="0" w:color="auto"/>
            <w:left w:val="none" w:sz="0" w:space="0" w:color="auto"/>
            <w:bottom w:val="none" w:sz="0" w:space="0" w:color="auto"/>
            <w:right w:val="none" w:sz="0" w:space="0" w:color="auto"/>
          </w:divBdr>
        </w:div>
        <w:div w:id="1503273819">
          <w:marLeft w:val="640"/>
          <w:marRight w:val="0"/>
          <w:marTop w:val="0"/>
          <w:marBottom w:val="0"/>
          <w:divBdr>
            <w:top w:val="none" w:sz="0" w:space="0" w:color="auto"/>
            <w:left w:val="none" w:sz="0" w:space="0" w:color="auto"/>
            <w:bottom w:val="none" w:sz="0" w:space="0" w:color="auto"/>
            <w:right w:val="none" w:sz="0" w:space="0" w:color="auto"/>
          </w:divBdr>
        </w:div>
        <w:div w:id="1708874822">
          <w:marLeft w:val="640"/>
          <w:marRight w:val="0"/>
          <w:marTop w:val="0"/>
          <w:marBottom w:val="0"/>
          <w:divBdr>
            <w:top w:val="none" w:sz="0" w:space="0" w:color="auto"/>
            <w:left w:val="none" w:sz="0" w:space="0" w:color="auto"/>
            <w:bottom w:val="none" w:sz="0" w:space="0" w:color="auto"/>
            <w:right w:val="none" w:sz="0" w:space="0" w:color="auto"/>
          </w:divBdr>
        </w:div>
        <w:div w:id="432478682">
          <w:marLeft w:val="640"/>
          <w:marRight w:val="0"/>
          <w:marTop w:val="0"/>
          <w:marBottom w:val="0"/>
          <w:divBdr>
            <w:top w:val="none" w:sz="0" w:space="0" w:color="auto"/>
            <w:left w:val="none" w:sz="0" w:space="0" w:color="auto"/>
            <w:bottom w:val="none" w:sz="0" w:space="0" w:color="auto"/>
            <w:right w:val="none" w:sz="0" w:space="0" w:color="auto"/>
          </w:divBdr>
        </w:div>
        <w:div w:id="1485001762">
          <w:marLeft w:val="640"/>
          <w:marRight w:val="0"/>
          <w:marTop w:val="0"/>
          <w:marBottom w:val="0"/>
          <w:divBdr>
            <w:top w:val="none" w:sz="0" w:space="0" w:color="auto"/>
            <w:left w:val="none" w:sz="0" w:space="0" w:color="auto"/>
            <w:bottom w:val="none" w:sz="0" w:space="0" w:color="auto"/>
            <w:right w:val="none" w:sz="0" w:space="0" w:color="auto"/>
          </w:divBdr>
        </w:div>
        <w:div w:id="1343050663">
          <w:marLeft w:val="640"/>
          <w:marRight w:val="0"/>
          <w:marTop w:val="0"/>
          <w:marBottom w:val="0"/>
          <w:divBdr>
            <w:top w:val="none" w:sz="0" w:space="0" w:color="auto"/>
            <w:left w:val="none" w:sz="0" w:space="0" w:color="auto"/>
            <w:bottom w:val="none" w:sz="0" w:space="0" w:color="auto"/>
            <w:right w:val="none" w:sz="0" w:space="0" w:color="auto"/>
          </w:divBdr>
        </w:div>
        <w:div w:id="1321887932">
          <w:marLeft w:val="640"/>
          <w:marRight w:val="0"/>
          <w:marTop w:val="0"/>
          <w:marBottom w:val="0"/>
          <w:divBdr>
            <w:top w:val="none" w:sz="0" w:space="0" w:color="auto"/>
            <w:left w:val="none" w:sz="0" w:space="0" w:color="auto"/>
            <w:bottom w:val="none" w:sz="0" w:space="0" w:color="auto"/>
            <w:right w:val="none" w:sz="0" w:space="0" w:color="auto"/>
          </w:divBdr>
        </w:div>
        <w:div w:id="195120700">
          <w:marLeft w:val="640"/>
          <w:marRight w:val="0"/>
          <w:marTop w:val="0"/>
          <w:marBottom w:val="0"/>
          <w:divBdr>
            <w:top w:val="none" w:sz="0" w:space="0" w:color="auto"/>
            <w:left w:val="none" w:sz="0" w:space="0" w:color="auto"/>
            <w:bottom w:val="none" w:sz="0" w:space="0" w:color="auto"/>
            <w:right w:val="none" w:sz="0" w:space="0" w:color="auto"/>
          </w:divBdr>
        </w:div>
        <w:div w:id="2100520668">
          <w:marLeft w:val="640"/>
          <w:marRight w:val="0"/>
          <w:marTop w:val="0"/>
          <w:marBottom w:val="0"/>
          <w:divBdr>
            <w:top w:val="none" w:sz="0" w:space="0" w:color="auto"/>
            <w:left w:val="none" w:sz="0" w:space="0" w:color="auto"/>
            <w:bottom w:val="none" w:sz="0" w:space="0" w:color="auto"/>
            <w:right w:val="none" w:sz="0" w:space="0" w:color="auto"/>
          </w:divBdr>
        </w:div>
        <w:div w:id="1038357011">
          <w:marLeft w:val="640"/>
          <w:marRight w:val="0"/>
          <w:marTop w:val="0"/>
          <w:marBottom w:val="0"/>
          <w:divBdr>
            <w:top w:val="none" w:sz="0" w:space="0" w:color="auto"/>
            <w:left w:val="none" w:sz="0" w:space="0" w:color="auto"/>
            <w:bottom w:val="none" w:sz="0" w:space="0" w:color="auto"/>
            <w:right w:val="none" w:sz="0" w:space="0" w:color="auto"/>
          </w:divBdr>
        </w:div>
        <w:div w:id="1782408193">
          <w:marLeft w:val="640"/>
          <w:marRight w:val="0"/>
          <w:marTop w:val="0"/>
          <w:marBottom w:val="0"/>
          <w:divBdr>
            <w:top w:val="none" w:sz="0" w:space="0" w:color="auto"/>
            <w:left w:val="none" w:sz="0" w:space="0" w:color="auto"/>
            <w:bottom w:val="none" w:sz="0" w:space="0" w:color="auto"/>
            <w:right w:val="none" w:sz="0" w:space="0" w:color="auto"/>
          </w:divBdr>
        </w:div>
        <w:div w:id="292252882">
          <w:marLeft w:val="640"/>
          <w:marRight w:val="0"/>
          <w:marTop w:val="0"/>
          <w:marBottom w:val="0"/>
          <w:divBdr>
            <w:top w:val="none" w:sz="0" w:space="0" w:color="auto"/>
            <w:left w:val="none" w:sz="0" w:space="0" w:color="auto"/>
            <w:bottom w:val="none" w:sz="0" w:space="0" w:color="auto"/>
            <w:right w:val="none" w:sz="0" w:space="0" w:color="auto"/>
          </w:divBdr>
        </w:div>
        <w:div w:id="1685522073">
          <w:marLeft w:val="640"/>
          <w:marRight w:val="0"/>
          <w:marTop w:val="0"/>
          <w:marBottom w:val="0"/>
          <w:divBdr>
            <w:top w:val="none" w:sz="0" w:space="0" w:color="auto"/>
            <w:left w:val="none" w:sz="0" w:space="0" w:color="auto"/>
            <w:bottom w:val="none" w:sz="0" w:space="0" w:color="auto"/>
            <w:right w:val="none" w:sz="0" w:space="0" w:color="auto"/>
          </w:divBdr>
        </w:div>
        <w:div w:id="721517022">
          <w:marLeft w:val="640"/>
          <w:marRight w:val="0"/>
          <w:marTop w:val="0"/>
          <w:marBottom w:val="0"/>
          <w:divBdr>
            <w:top w:val="none" w:sz="0" w:space="0" w:color="auto"/>
            <w:left w:val="none" w:sz="0" w:space="0" w:color="auto"/>
            <w:bottom w:val="none" w:sz="0" w:space="0" w:color="auto"/>
            <w:right w:val="none" w:sz="0" w:space="0" w:color="auto"/>
          </w:divBdr>
        </w:div>
        <w:div w:id="1505126427">
          <w:marLeft w:val="640"/>
          <w:marRight w:val="0"/>
          <w:marTop w:val="0"/>
          <w:marBottom w:val="0"/>
          <w:divBdr>
            <w:top w:val="none" w:sz="0" w:space="0" w:color="auto"/>
            <w:left w:val="none" w:sz="0" w:space="0" w:color="auto"/>
            <w:bottom w:val="none" w:sz="0" w:space="0" w:color="auto"/>
            <w:right w:val="none" w:sz="0" w:space="0" w:color="auto"/>
          </w:divBdr>
        </w:div>
        <w:div w:id="1885407942">
          <w:marLeft w:val="640"/>
          <w:marRight w:val="0"/>
          <w:marTop w:val="0"/>
          <w:marBottom w:val="0"/>
          <w:divBdr>
            <w:top w:val="none" w:sz="0" w:space="0" w:color="auto"/>
            <w:left w:val="none" w:sz="0" w:space="0" w:color="auto"/>
            <w:bottom w:val="none" w:sz="0" w:space="0" w:color="auto"/>
            <w:right w:val="none" w:sz="0" w:space="0" w:color="auto"/>
          </w:divBdr>
        </w:div>
        <w:div w:id="1358657683">
          <w:marLeft w:val="640"/>
          <w:marRight w:val="0"/>
          <w:marTop w:val="0"/>
          <w:marBottom w:val="0"/>
          <w:divBdr>
            <w:top w:val="none" w:sz="0" w:space="0" w:color="auto"/>
            <w:left w:val="none" w:sz="0" w:space="0" w:color="auto"/>
            <w:bottom w:val="none" w:sz="0" w:space="0" w:color="auto"/>
            <w:right w:val="none" w:sz="0" w:space="0" w:color="auto"/>
          </w:divBdr>
        </w:div>
        <w:div w:id="1111435826">
          <w:marLeft w:val="640"/>
          <w:marRight w:val="0"/>
          <w:marTop w:val="0"/>
          <w:marBottom w:val="0"/>
          <w:divBdr>
            <w:top w:val="none" w:sz="0" w:space="0" w:color="auto"/>
            <w:left w:val="none" w:sz="0" w:space="0" w:color="auto"/>
            <w:bottom w:val="none" w:sz="0" w:space="0" w:color="auto"/>
            <w:right w:val="none" w:sz="0" w:space="0" w:color="auto"/>
          </w:divBdr>
        </w:div>
        <w:div w:id="1286543867">
          <w:marLeft w:val="640"/>
          <w:marRight w:val="0"/>
          <w:marTop w:val="0"/>
          <w:marBottom w:val="0"/>
          <w:divBdr>
            <w:top w:val="none" w:sz="0" w:space="0" w:color="auto"/>
            <w:left w:val="none" w:sz="0" w:space="0" w:color="auto"/>
            <w:bottom w:val="none" w:sz="0" w:space="0" w:color="auto"/>
            <w:right w:val="none" w:sz="0" w:space="0" w:color="auto"/>
          </w:divBdr>
        </w:div>
        <w:div w:id="1025332529">
          <w:marLeft w:val="640"/>
          <w:marRight w:val="0"/>
          <w:marTop w:val="0"/>
          <w:marBottom w:val="0"/>
          <w:divBdr>
            <w:top w:val="none" w:sz="0" w:space="0" w:color="auto"/>
            <w:left w:val="none" w:sz="0" w:space="0" w:color="auto"/>
            <w:bottom w:val="none" w:sz="0" w:space="0" w:color="auto"/>
            <w:right w:val="none" w:sz="0" w:space="0" w:color="auto"/>
          </w:divBdr>
        </w:div>
        <w:div w:id="1486432010">
          <w:marLeft w:val="640"/>
          <w:marRight w:val="0"/>
          <w:marTop w:val="0"/>
          <w:marBottom w:val="0"/>
          <w:divBdr>
            <w:top w:val="none" w:sz="0" w:space="0" w:color="auto"/>
            <w:left w:val="none" w:sz="0" w:space="0" w:color="auto"/>
            <w:bottom w:val="none" w:sz="0" w:space="0" w:color="auto"/>
            <w:right w:val="none" w:sz="0" w:space="0" w:color="auto"/>
          </w:divBdr>
        </w:div>
        <w:div w:id="799425239">
          <w:marLeft w:val="640"/>
          <w:marRight w:val="0"/>
          <w:marTop w:val="0"/>
          <w:marBottom w:val="0"/>
          <w:divBdr>
            <w:top w:val="none" w:sz="0" w:space="0" w:color="auto"/>
            <w:left w:val="none" w:sz="0" w:space="0" w:color="auto"/>
            <w:bottom w:val="none" w:sz="0" w:space="0" w:color="auto"/>
            <w:right w:val="none" w:sz="0" w:space="0" w:color="auto"/>
          </w:divBdr>
        </w:div>
        <w:div w:id="1272661605">
          <w:marLeft w:val="640"/>
          <w:marRight w:val="0"/>
          <w:marTop w:val="0"/>
          <w:marBottom w:val="0"/>
          <w:divBdr>
            <w:top w:val="none" w:sz="0" w:space="0" w:color="auto"/>
            <w:left w:val="none" w:sz="0" w:space="0" w:color="auto"/>
            <w:bottom w:val="none" w:sz="0" w:space="0" w:color="auto"/>
            <w:right w:val="none" w:sz="0" w:space="0" w:color="auto"/>
          </w:divBdr>
        </w:div>
        <w:div w:id="919950079">
          <w:marLeft w:val="640"/>
          <w:marRight w:val="0"/>
          <w:marTop w:val="0"/>
          <w:marBottom w:val="0"/>
          <w:divBdr>
            <w:top w:val="none" w:sz="0" w:space="0" w:color="auto"/>
            <w:left w:val="none" w:sz="0" w:space="0" w:color="auto"/>
            <w:bottom w:val="none" w:sz="0" w:space="0" w:color="auto"/>
            <w:right w:val="none" w:sz="0" w:space="0" w:color="auto"/>
          </w:divBdr>
        </w:div>
        <w:div w:id="652486598">
          <w:marLeft w:val="640"/>
          <w:marRight w:val="0"/>
          <w:marTop w:val="0"/>
          <w:marBottom w:val="0"/>
          <w:divBdr>
            <w:top w:val="none" w:sz="0" w:space="0" w:color="auto"/>
            <w:left w:val="none" w:sz="0" w:space="0" w:color="auto"/>
            <w:bottom w:val="none" w:sz="0" w:space="0" w:color="auto"/>
            <w:right w:val="none" w:sz="0" w:space="0" w:color="auto"/>
          </w:divBdr>
        </w:div>
        <w:div w:id="2033338737">
          <w:marLeft w:val="640"/>
          <w:marRight w:val="0"/>
          <w:marTop w:val="0"/>
          <w:marBottom w:val="0"/>
          <w:divBdr>
            <w:top w:val="none" w:sz="0" w:space="0" w:color="auto"/>
            <w:left w:val="none" w:sz="0" w:space="0" w:color="auto"/>
            <w:bottom w:val="none" w:sz="0" w:space="0" w:color="auto"/>
            <w:right w:val="none" w:sz="0" w:space="0" w:color="auto"/>
          </w:divBdr>
        </w:div>
        <w:div w:id="517085829">
          <w:marLeft w:val="640"/>
          <w:marRight w:val="0"/>
          <w:marTop w:val="0"/>
          <w:marBottom w:val="0"/>
          <w:divBdr>
            <w:top w:val="none" w:sz="0" w:space="0" w:color="auto"/>
            <w:left w:val="none" w:sz="0" w:space="0" w:color="auto"/>
            <w:bottom w:val="none" w:sz="0" w:space="0" w:color="auto"/>
            <w:right w:val="none" w:sz="0" w:space="0" w:color="auto"/>
          </w:divBdr>
        </w:div>
        <w:div w:id="1886286385">
          <w:marLeft w:val="640"/>
          <w:marRight w:val="0"/>
          <w:marTop w:val="0"/>
          <w:marBottom w:val="0"/>
          <w:divBdr>
            <w:top w:val="none" w:sz="0" w:space="0" w:color="auto"/>
            <w:left w:val="none" w:sz="0" w:space="0" w:color="auto"/>
            <w:bottom w:val="none" w:sz="0" w:space="0" w:color="auto"/>
            <w:right w:val="none" w:sz="0" w:space="0" w:color="auto"/>
          </w:divBdr>
        </w:div>
        <w:div w:id="1690987813">
          <w:marLeft w:val="640"/>
          <w:marRight w:val="0"/>
          <w:marTop w:val="0"/>
          <w:marBottom w:val="0"/>
          <w:divBdr>
            <w:top w:val="none" w:sz="0" w:space="0" w:color="auto"/>
            <w:left w:val="none" w:sz="0" w:space="0" w:color="auto"/>
            <w:bottom w:val="none" w:sz="0" w:space="0" w:color="auto"/>
            <w:right w:val="none" w:sz="0" w:space="0" w:color="auto"/>
          </w:divBdr>
        </w:div>
        <w:div w:id="1283460344">
          <w:marLeft w:val="640"/>
          <w:marRight w:val="0"/>
          <w:marTop w:val="0"/>
          <w:marBottom w:val="0"/>
          <w:divBdr>
            <w:top w:val="none" w:sz="0" w:space="0" w:color="auto"/>
            <w:left w:val="none" w:sz="0" w:space="0" w:color="auto"/>
            <w:bottom w:val="none" w:sz="0" w:space="0" w:color="auto"/>
            <w:right w:val="none" w:sz="0" w:space="0" w:color="auto"/>
          </w:divBdr>
        </w:div>
        <w:div w:id="492137247">
          <w:marLeft w:val="640"/>
          <w:marRight w:val="0"/>
          <w:marTop w:val="0"/>
          <w:marBottom w:val="0"/>
          <w:divBdr>
            <w:top w:val="none" w:sz="0" w:space="0" w:color="auto"/>
            <w:left w:val="none" w:sz="0" w:space="0" w:color="auto"/>
            <w:bottom w:val="none" w:sz="0" w:space="0" w:color="auto"/>
            <w:right w:val="none" w:sz="0" w:space="0" w:color="auto"/>
          </w:divBdr>
        </w:div>
        <w:div w:id="429281498">
          <w:marLeft w:val="640"/>
          <w:marRight w:val="0"/>
          <w:marTop w:val="0"/>
          <w:marBottom w:val="0"/>
          <w:divBdr>
            <w:top w:val="none" w:sz="0" w:space="0" w:color="auto"/>
            <w:left w:val="none" w:sz="0" w:space="0" w:color="auto"/>
            <w:bottom w:val="none" w:sz="0" w:space="0" w:color="auto"/>
            <w:right w:val="none" w:sz="0" w:space="0" w:color="auto"/>
          </w:divBdr>
        </w:div>
        <w:div w:id="1494183628">
          <w:marLeft w:val="640"/>
          <w:marRight w:val="0"/>
          <w:marTop w:val="0"/>
          <w:marBottom w:val="0"/>
          <w:divBdr>
            <w:top w:val="none" w:sz="0" w:space="0" w:color="auto"/>
            <w:left w:val="none" w:sz="0" w:space="0" w:color="auto"/>
            <w:bottom w:val="none" w:sz="0" w:space="0" w:color="auto"/>
            <w:right w:val="none" w:sz="0" w:space="0" w:color="auto"/>
          </w:divBdr>
        </w:div>
        <w:div w:id="1023245809">
          <w:marLeft w:val="640"/>
          <w:marRight w:val="0"/>
          <w:marTop w:val="0"/>
          <w:marBottom w:val="0"/>
          <w:divBdr>
            <w:top w:val="none" w:sz="0" w:space="0" w:color="auto"/>
            <w:left w:val="none" w:sz="0" w:space="0" w:color="auto"/>
            <w:bottom w:val="none" w:sz="0" w:space="0" w:color="auto"/>
            <w:right w:val="none" w:sz="0" w:space="0" w:color="auto"/>
          </w:divBdr>
        </w:div>
        <w:div w:id="1003318436">
          <w:marLeft w:val="640"/>
          <w:marRight w:val="0"/>
          <w:marTop w:val="0"/>
          <w:marBottom w:val="0"/>
          <w:divBdr>
            <w:top w:val="none" w:sz="0" w:space="0" w:color="auto"/>
            <w:left w:val="none" w:sz="0" w:space="0" w:color="auto"/>
            <w:bottom w:val="none" w:sz="0" w:space="0" w:color="auto"/>
            <w:right w:val="none" w:sz="0" w:space="0" w:color="auto"/>
          </w:divBdr>
        </w:div>
        <w:div w:id="23025510">
          <w:marLeft w:val="640"/>
          <w:marRight w:val="0"/>
          <w:marTop w:val="0"/>
          <w:marBottom w:val="0"/>
          <w:divBdr>
            <w:top w:val="none" w:sz="0" w:space="0" w:color="auto"/>
            <w:left w:val="none" w:sz="0" w:space="0" w:color="auto"/>
            <w:bottom w:val="none" w:sz="0" w:space="0" w:color="auto"/>
            <w:right w:val="none" w:sz="0" w:space="0" w:color="auto"/>
          </w:divBdr>
        </w:div>
        <w:div w:id="2085032044">
          <w:marLeft w:val="640"/>
          <w:marRight w:val="0"/>
          <w:marTop w:val="0"/>
          <w:marBottom w:val="0"/>
          <w:divBdr>
            <w:top w:val="none" w:sz="0" w:space="0" w:color="auto"/>
            <w:left w:val="none" w:sz="0" w:space="0" w:color="auto"/>
            <w:bottom w:val="none" w:sz="0" w:space="0" w:color="auto"/>
            <w:right w:val="none" w:sz="0" w:space="0" w:color="auto"/>
          </w:divBdr>
        </w:div>
        <w:div w:id="2120489320">
          <w:marLeft w:val="640"/>
          <w:marRight w:val="0"/>
          <w:marTop w:val="0"/>
          <w:marBottom w:val="0"/>
          <w:divBdr>
            <w:top w:val="none" w:sz="0" w:space="0" w:color="auto"/>
            <w:left w:val="none" w:sz="0" w:space="0" w:color="auto"/>
            <w:bottom w:val="none" w:sz="0" w:space="0" w:color="auto"/>
            <w:right w:val="none" w:sz="0" w:space="0" w:color="auto"/>
          </w:divBdr>
        </w:div>
        <w:div w:id="685524973">
          <w:marLeft w:val="640"/>
          <w:marRight w:val="0"/>
          <w:marTop w:val="0"/>
          <w:marBottom w:val="0"/>
          <w:divBdr>
            <w:top w:val="none" w:sz="0" w:space="0" w:color="auto"/>
            <w:left w:val="none" w:sz="0" w:space="0" w:color="auto"/>
            <w:bottom w:val="none" w:sz="0" w:space="0" w:color="auto"/>
            <w:right w:val="none" w:sz="0" w:space="0" w:color="auto"/>
          </w:divBdr>
        </w:div>
        <w:div w:id="1650595786">
          <w:marLeft w:val="640"/>
          <w:marRight w:val="0"/>
          <w:marTop w:val="0"/>
          <w:marBottom w:val="0"/>
          <w:divBdr>
            <w:top w:val="none" w:sz="0" w:space="0" w:color="auto"/>
            <w:left w:val="none" w:sz="0" w:space="0" w:color="auto"/>
            <w:bottom w:val="none" w:sz="0" w:space="0" w:color="auto"/>
            <w:right w:val="none" w:sz="0" w:space="0" w:color="auto"/>
          </w:divBdr>
        </w:div>
        <w:div w:id="894701475">
          <w:marLeft w:val="640"/>
          <w:marRight w:val="0"/>
          <w:marTop w:val="0"/>
          <w:marBottom w:val="0"/>
          <w:divBdr>
            <w:top w:val="none" w:sz="0" w:space="0" w:color="auto"/>
            <w:left w:val="none" w:sz="0" w:space="0" w:color="auto"/>
            <w:bottom w:val="none" w:sz="0" w:space="0" w:color="auto"/>
            <w:right w:val="none" w:sz="0" w:space="0" w:color="auto"/>
          </w:divBdr>
        </w:div>
        <w:div w:id="2090957349">
          <w:marLeft w:val="640"/>
          <w:marRight w:val="0"/>
          <w:marTop w:val="0"/>
          <w:marBottom w:val="0"/>
          <w:divBdr>
            <w:top w:val="none" w:sz="0" w:space="0" w:color="auto"/>
            <w:left w:val="none" w:sz="0" w:space="0" w:color="auto"/>
            <w:bottom w:val="none" w:sz="0" w:space="0" w:color="auto"/>
            <w:right w:val="none" w:sz="0" w:space="0" w:color="auto"/>
          </w:divBdr>
        </w:div>
        <w:div w:id="333338976">
          <w:marLeft w:val="640"/>
          <w:marRight w:val="0"/>
          <w:marTop w:val="0"/>
          <w:marBottom w:val="0"/>
          <w:divBdr>
            <w:top w:val="none" w:sz="0" w:space="0" w:color="auto"/>
            <w:left w:val="none" w:sz="0" w:space="0" w:color="auto"/>
            <w:bottom w:val="none" w:sz="0" w:space="0" w:color="auto"/>
            <w:right w:val="none" w:sz="0" w:space="0" w:color="auto"/>
          </w:divBdr>
        </w:div>
        <w:div w:id="1711497230">
          <w:marLeft w:val="640"/>
          <w:marRight w:val="0"/>
          <w:marTop w:val="0"/>
          <w:marBottom w:val="0"/>
          <w:divBdr>
            <w:top w:val="none" w:sz="0" w:space="0" w:color="auto"/>
            <w:left w:val="none" w:sz="0" w:space="0" w:color="auto"/>
            <w:bottom w:val="none" w:sz="0" w:space="0" w:color="auto"/>
            <w:right w:val="none" w:sz="0" w:space="0" w:color="auto"/>
          </w:divBdr>
        </w:div>
        <w:div w:id="318072340">
          <w:marLeft w:val="640"/>
          <w:marRight w:val="0"/>
          <w:marTop w:val="0"/>
          <w:marBottom w:val="0"/>
          <w:divBdr>
            <w:top w:val="none" w:sz="0" w:space="0" w:color="auto"/>
            <w:left w:val="none" w:sz="0" w:space="0" w:color="auto"/>
            <w:bottom w:val="none" w:sz="0" w:space="0" w:color="auto"/>
            <w:right w:val="none" w:sz="0" w:space="0" w:color="auto"/>
          </w:divBdr>
        </w:div>
        <w:div w:id="1183127545">
          <w:marLeft w:val="640"/>
          <w:marRight w:val="0"/>
          <w:marTop w:val="0"/>
          <w:marBottom w:val="0"/>
          <w:divBdr>
            <w:top w:val="none" w:sz="0" w:space="0" w:color="auto"/>
            <w:left w:val="none" w:sz="0" w:space="0" w:color="auto"/>
            <w:bottom w:val="none" w:sz="0" w:space="0" w:color="auto"/>
            <w:right w:val="none" w:sz="0" w:space="0" w:color="auto"/>
          </w:divBdr>
        </w:div>
        <w:div w:id="1102533220">
          <w:marLeft w:val="640"/>
          <w:marRight w:val="0"/>
          <w:marTop w:val="0"/>
          <w:marBottom w:val="0"/>
          <w:divBdr>
            <w:top w:val="none" w:sz="0" w:space="0" w:color="auto"/>
            <w:left w:val="none" w:sz="0" w:space="0" w:color="auto"/>
            <w:bottom w:val="none" w:sz="0" w:space="0" w:color="auto"/>
            <w:right w:val="none" w:sz="0" w:space="0" w:color="auto"/>
          </w:divBdr>
        </w:div>
        <w:div w:id="1775856905">
          <w:marLeft w:val="640"/>
          <w:marRight w:val="0"/>
          <w:marTop w:val="0"/>
          <w:marBottom w:val="0"/>
          <w:divBdr>
            <w:top w:val="none" w:sz="0" w:space="0" w:color="auto"/>
            <w:left w:val="none" w:sz="0" w:space="0" w:color="auto"/>
            <w:bottom w:val="none" w:sz="0" w:space="0" w:color="auto"/>
            <w:right w:val="none" w:sz="0" w:space="0" w:color="auto"/>
          </w:divBdr>
        </w:div>
        <w:div w:id="528184480">
          <w:marLeft w:val="640"/>
          <w:marRight w:val="0"/>
          <w:marTop w:val="0"/>
          <w:marBottom w:val="0"/>
          <w:divBdr>
            <w:top w:val="none" w:sz="0" w:space="0" w:color="auto"/>
            <w:left w:val="none" w:sz="0" w:space="0" w:color="auto"/>
            <w:bottom w:val="none" w:sz="0" w:space="0" w:color="auto"/>
            <w:right w:val="none" w:sz="0" w:space="0" w:color="auto"/>
          </w:divBdr>
        </w:div>
        <w:div w:id="985551684">
          <w:marLeft w:val="640"/>
          <w:marRight w:val="0"/>
          <w:marTop w:val="0"/>
          <w:marBottom w:val="0"/>
          <w:divBdr>
            <w:top w:val="none" w:sz="0" w:space="0" w:color="auto"/>
            <w:left w:val="none" w:sz="0" w:space="0" w:color="auto"/>
            <w:bottom w:val="none" w:sz="0" w:space="0" w:color="auto"/>
            <w:right w:val="none" w:sz="0" w:space="0" w:color="auto"/>
          </w:divBdr>
        </w:div>
        <w:div w:id="151722988">
          <w:marLeft w:val="640"/>
          <w:marRight w:val="0"/>
          <w:marTop w:val="0"/>
          <w:marBottom w:val="0"/>
          <w:divBdr>
            <w:top w:val="none" w:sz="0" w:space="0" w:color="auto"/>
            <w:left w:val="none" w:sz="0" w:space="0" w:color="auto"/>
            <w:bottom w:val="none" w:sz="0" w:space="0" w:color="auto"/>
            <w:right w:val="none" w:sz="0" w:space="0" w:color="auto"/>
          </w:divBdr>
        </w:div>
        <w:div w:id="1026952239">
          <w:marLeft w:val="640"/>
          <w:marRight w:val="0"/>
          <w:marTop w:val="0"/>
          <w:marBottom w:val="0"/>
          <w:divBdr>
            <w:top w:val="none" w:sz="0" w:space="0" w:color="auto"/>
            <w:left w:val="none" w:sz="0" w:space="0" w:color="auto"/>
            <w:bottom w:val="none" w:sz="0" w:space="0" w:color="auto"/>
            <w:right w:val="none" w:sz="0" w:space="0" w:color="auto"/>
          </w:divBdr>
        </w:div>
        <w:div w:id="83570928">
          <w:marLeft w:val="640"/>
          <w:marRight w:val="0"/>
          <w:marTop w:val="0"/>
          <w:marBottom w:val="0"/>
          <w:divBdr>
            <w:top w:val="none" w:sz="0" w:space="0" w:color="auto"/>
            <w:left w:val="none" w:sz="0" w:space="0" w:color="auto"/>
            <w:bottom w:val="none" w:sz="0" w:space="0" w:color="auto"/>
            <w:right w:val="none" w:sz="0" w:space="0" w:color="auto"/>
          </w:divBdr>
        </w:div>
        <w:div w:id="2071532802">
          <w:marLeft w:val="640"/>
          <w:marRight w:val="0"/>
          <w:marTop w:val="0"/>
          <w:marBottom w:val="0"/>
          <w:divBdr>
            <w:top w:val="none" w:sz="0" w:space="0" w:color="auto"/>
            <w:left w:val="none" w:sz="0" w:space="0" w:color="auto"/>
            <w:bottom w:val="none" w:sz="0" w:space="0" w:color="auto"/>
            <w:right w:val="none" w:sz="0" w:space="0" w:color="auto"/>
          </w:divBdr>
        </w:div>
        <w:div w:id="190457863">
          <w:marLeft w:val="640"/>
          <w:marRight w:val="0"/>
          <w:marTop w:val="0"/>
          <w:marBottom w:val="0"/>
          <w:divBdr>
            <w:top w:val="none" w:sz="0" w:space="0" w:color="auto"/>
            <w:left w:val="none" w:sz="0" w:space="0" w:color="auto"/>
            <w:bottom w:val="none" w:sz="0" w:space="0" w:color="auto"/>
            <w:right w:val="none" w:sz="0" w:space="0" w:color="auto"/>
          </w:divBdr>
        </w:div>
        <w:div w:id="736979027">
          <w:marLeft w:val="640"/>
          <w:marRight w:val="0"/>
          <w:marTop w:val="0"/>
          <w:marBottom w:val="0"/>
          <w:divBdr>
            <w:top w:val="none" w:sz="0" w:space="0" w:color="auto"/>
            <w:left w:val="none" w:sz="0" w:space="0" w:color="auto"/>
            <w:bottom w:val="none" w:sz="0" w:space="0" w:color="auto"/>
            <w:right w:val="none" w:sz="0" w:space="0" w:color="auto"/>
          </w:divBdr>
        </w:div>
        <w:div w:id="1830175550">
          <w:marLeft w:val="640"/>
          <w:marRight w:val="0"/>
          <w:marTop w:val="0"/>
          <w:marBottom w:val="0"/>
          <w:divBdr>
            <w:top w:val="none" w:sz="0" w:space="0" w:color="auto"/>
            <w:left w:val="none" w:sz="0" w:space="0" w:color="auto"/>
            <w:bottom w:val="none" w:sz="0" w:space="0" w:color="auto"/>
            <w:right w:val="none" w:sz="0" w:space="0" w:color="auto"/>
          </w:divBdr>
        </w:div>
        <w:div w:id="1109274235">
          <w:marLeft w:val="640"/>
          <w:marRight w:val="0"/>
          <w:marTop w:val="0"/>
          <w:marBottom w:val="0"/>
          <w:divBdr>
            <w:top w:val="none" w:sz="0" w:space="0" w:color="auto"/>
            <w:left w:val="none" w:sz="0" w:space="0" w:color="auto"/>
            <w:bottom w:val="none" w:sz="0" w:space="0" w:color="auto"/>
            <w:right w:val="none" w:sz="0" w:space="0" w:color="auto"/>
          </w:divBdr>
        </w:div>
        <w:div w:id="896672013">
          <w:marLeft w:val="640"/>
          <w:marRight w:val="0"/>
          <w:marTop w:val="0"/>
          <w:marBottom w:val="0"/>
          <w:divBdr>
            <w:top w:val="none" w:sz="0" w:space="0" w:color="auto"/>
            <w:left w:val="none" w:sz="0" w:space="0" w:color="auto"/>
            <w:bottom w:val="none" w:sz="0" w:space="0" w:color="auto"/>
            <w:right w:val="none" w:sz="0" w:space="0" w:color="auto"/>
          </w:divBdr>
        </w:div>
        <w:div w:id="176621660">
          <w:marLeft w:val="640"/>
          <w:marRight w:val="0"/>
          <w:marTop w:val="0"/>
          <w:marBottom w:val="0"/>
          <w:divBdr>
            <w:top w:val="none" w:sz="0" w:space="0" w:color="auto"/>
            <w:left w:val="none" w:sz="0" w:space="0" w:color="auto"/>
            <w:bottom w:val="none" w:sz="0" w:space="0" w:color="auto"/>
            <w:right w:val="none" w:sz="0" w:space="0" w:color="auto"/>
          </w:divBdr>
        </w:div>
      </w:divsChild>
    </w:div>
    <w:div w:id="1042441391">
      <w:bodyDiv w:val="1"/>
      <w:marLeft w:val="0"/>
      <w:marRight w:val="0"/>
      <w:marTop w:val="0"/>
      <w:marBottom w:val="0"/>
      <w:divBdr>
        <w:top w:val="none" w:sz="0" w:space="0" w:color="auto"/>
        <w:left w:val="none" w:sz="0" w:space="0" w:color="auto"/>
        <w:bottom w:val="none" w:sz="0" w:space="0" w:color="auto"/>
        <w:right w:val="none" w:sz="0" w:space="0" w:color="auto"/>
      </w:divBdr>
    </w:div>
    <w:div w:id="1056004667">
      <w:bodyDiv w:val="1"/>
      <w:marLeft w:val="0"/>
      <w:marRight w:val="0"/>
      <w:marTop w:val="0"/>
      <w:marBottom w:val="0"/>
      <w:divBdr>
        <w:top w:val="none" w:sz="0" w:space="0" w:color="auto"/>
        <w:left w:val="none" w:sz="0" w:space="0" w:color="auto"/>
        <w:bottom w:val="none" w:sz="0" w:space="0" w:color="auto"/>
        <w:right w:val="none" w:sz="0" w:space="0" w:color="auto"/>
      </w:divBdr>
    </w:div>
    <w:div w:id="1061827372">
      <w:bodyDiv w:val="1"/>
      <w:marLeft w:val="0"/>
      <w:marRight w:val="0"/>
      <w:marTop w:val="0"/>
      <w:marBottom w:val="0"/>
      <w:divBdr>
        <w:top w:val="none" w:sz="0" w:space="0" w:color="auto"/>
        <w:left w:val="none" w:sz="0" w:space="0" w:color="auto"/>
        <w:bottom w:val="none" w:sz="0" w:space="0" w:color="auto"/>
        <w:right w:val="none" w:sz="0" w:space="0" w:color="auto"/>
      </w:divBdr>
    </w:div>
    <w:div w:id="1071998557">
      <w:bodyDiv w:val="1"/>
      <w:marLeft w:val="0"/>
      <w:marRight w:val="0"/>
      <w:marTop w:val="0"/>
      <w:marBottom w:val="0"/>
      <w:divBdr>
        <w:top w:val="none" w:sz="0" w:space="0" w:color="auto"/>
        <w:left w:val="none" w:sz="0" w:space="0" w:color="auto"/>
        <w:bottom w:val="none" w:sz="0" w:space="0" w:color="auto"/>
        <w:right w:val="none" w:sz="0" w:space="0" w:color="auto"/>
      </w:divBdr>
    </w:div>
    <w:div w:id="1074862136">
      <w:bodyDiv w:val="1"/>
      <w:marLeft w:val="0"/>
      <w:marRight w:val="0"/>
      <w:marTop w:val="0"/>
      <w:marBottom w:val="0"/>
      <w:divBdr>
        <w:top w:val="none" w:sz="0" w:space="0" w:color="auto"/>
        <w:left w:val="none" w:sz="0" w:space="0" w:color="auto"/>
        <w:bottom w:val="none" w:sz="0" w:space="0" w:color="auto"/>
        <w:right w:val="none" w:sz="0" w:space="0" w:color="auto"/>
      </w:divBdr>
      <w:divsChild>
        <w:div w:id="107243399">
          <w:marLeft w:val="640"/>
          <w:marRight w:val="0"/>
          <w:marTop w:val="0"/>
          <w:marBottom w:val="0"/>
          <w:divBdr>
            <w:top w:val="none" w:sz="0" w:space="0" w:color="auto"/>
            <w:left w:val="none" w:sz="0" w:space="0" w:color="auto"/>
            <w:bottom w:val="none" w:sz="0" w:space="0" w:color="auto"/>
            <w:right w:val="none" w:sz="0" w:space="0" w:color="auto"/>
          </w:divBdr>
        </w:div>
        <w:div w:id="1014498798">
          <w:marLeft w:val="640"/>
          <w:marRight w:val="0"/>
          <w:marTop w:val="0"/>
          <w:marBottom w:val="0"/>
          <w:divBdr>
            <w:top w:val="none" w:sz="0" w:space="0" w:color="auto"/>
            <w:left w:val="none" w:sz="0" w:space="0" w:color="auto"/>
            <w:bottom w:val="none" w:sz="0" w:space="0" w:color="auto"/>
            <w:right w:val="none" w:sz="0" w:space="0" w:color="auto"/>
          </w:divBdr>
        </w:div>
        <w:div w:id="364058636">
          <w:marLeft w:val="640"/>
          <w:marRight w:val="0"/>
          <w:marTop w:val="0"/>
          <w:marBottom w:val="0"/>
          <w:divBdr>
            <w:top w:val="none" w:sz="0" w:space="0" w:color="auto"/>
            <w:left w:val="none" w:sz="0" w:space="0" w:color="auto"/>
            <w:bottom w:val="none" w:sz="0" w:space="0" w:color="auto"/>
            <w:right w:val="none" w:sz="0" w:space="0" w:color="auto"/>
          </w:divBdr>
        </w:div>
        <w:div w:id="103186236">
          <w:marLeft w:val="640"/>
          <w:marRight w:val="0"/>
          <w:marTop w:val="0"/>
          <w:marBottom w:val="0"/>
          <w:divBdr>
            <w:top w:val="none" w:sz="0" w:space="0" w:color="auto"/>
            <w:left w:val="none" w:sz="0" w:space="0" w:color="auto"/>
            <w:bottom w:val="none" w:sz="0" w:space="0" w:color="auto"/>
            <w:right w:val="none" w:sz="0" w:space="0" w:color="auto"/>
          </w:divBdr>
        </w:div>
        <w:div w:id="1198739912">
          <w:marLeft w:val="640"/>
          <w:marRight w:val="0"/>
          <w:marTop w:val="0"/>
          <w:marBottom w:val="0"/>
          <w:divBdr>
            <w:top w:val="none" w:sz="0" w:space="0" w:color="auto"/>
            <w:left w:val="none" w:sz="0" w:space="0" w:color="auto"/>
            <w:bottom w:val="none" w:sz="0" w:space="0" w:color="auto"/>
            <w:right w:val="none" w:sz="0" w:space="0" w:color="auto"/>
          </w:divBdr>
        </w:div>
        <w:div w:id="2078815510">
          <w:marLeft w:val="640"/>
          <w:marRight w:val="0"/>
          <w:marTop w:val="0"/>
          <w:marBottom w:val="0"/>
          <w:divBdr>
            <w:top w:val="none" w:sz="0" w:space="0" w:color="auto"/>
            <w:left w:val="none" w:sz="0" w:space="0" w:color="auto"/>
            <w:bottom w:val="none" w:sz="0" w:space="0" w:color="auto"/>
            <w:right w:val="none" w:sz="0" w:space="0" w:color="auto"/>
          </w:divBdr>
        </w:div>
        <w:div w:id="827865200">
          <w:marLeft w:val="640"/>
          <w:marRight w:val="0"/>
          <w:marTop w:val="0"/>
          <w:marBottom w:val="0"/>
          <w:divBdr>
            <w:top w:val="none" w:sz="0" w:space="0" w:color="auto"/>
            <w:left w:val="none" w:sz="0" w:space="0" w:color="auto"/>
            <w:bottom w:val="none" w:sz="0" w:space="0" w:color="auto"/>
            <w:right w:val="none" w:sz="0" w:space="0" w:color="auto"/>
          </w:divBdr>
        </w:div>
        <w:div w:id="1201362632">
          <w:marLeft w:val="640"/>
          <w:marRight w:val="0"/>
          <w:marTop w:val="0"/>
          <w:marBottom w:val="0"/>
          <w:divBdr>
            <w:top w:val="none" w:sz="0" w:space="0" w:color="auto"/>
            <w:left w:val="none" w:sz="0" w:space="0" w:color="auto"/>
            <w:bottom w:val="none" w:sz="0" w:space="0" w:color="auto"/>
            <w:right w:val="none" w:sz="0" w:space="0" w:color="auto"/>
          </w:divBdr>
        </w:div>
        <w:div w:id="1429079985">
          <w:marLeft w:val="640"/>
          <w:marRight w:val="0"/>
          <w:marTop w:val="0"/>
          <w:marBottom w:val="0"/>
          <w:divBdr>
            <w:top w:val="none" w:sz="0" w:space="0" w:color="auto"/>
            <w:left w:val="none" w:sz="0" w:space="0" w:color="auto"/>
            <w:bottom w:val="none" w:sz="0" w:space="0" w:color="auto"/>
            <w:right w:val="none" w:sz="0" w:space="0" w:color="auto"/>
          </w:divBdr>
        </w:div>
        <w:div w:id="552039708">
          <w:marLeft w:val="640"/>
          <w:marRight w:val="0"/>
          <w:marTop w:val="0"/>
          <w:marBottom w:val="0"/>
          <w:divBdr>
            <w:top w:val="none" w:sz="0" w:space="0" w:color="auto"/>
            <w:left w:val="none" w:sz="0" w:space="0" w:color="auto"/>
            <w:bottom w:val="none" w:sz="0" w:space="0" w:color="auto"/>
            <w:right w:val="none" w:sz="0" w:space="0" w:color="auto"/>
          </w:divBdr>
        </w:div>
        <w:div w:id="1466191704">
          <w:marLeft w:val="640"/>
          <w:marRight w:val="0"/>
          <w:marTop w:val="0"/>
          <w:marBottom w:val="0"/>
          <w:divBdr>
            <w:top w:val="none" w:sz="0" w:space="0" w:color="auto"/>
            <w:left w:val="none" w:sz="0" w:space="0" w:color="auto"/>
            <w:bottom w:val="none" w:sz="0" w:space="0" w:color="auto"/>
            <w:right w:val="none" w:sz="0" w:space="0" w:color="auto"/>
          </w:divBdr>
        </w:div>
        <w:div w:id="62680010">
          <w:marLeft w:val="640"/>
          <w:marRight w:val="0"/>
          <w:marTop w:val="0"/>
          <w:marBottom w:val="0"/>
          <w:divBdr>
            <w:top w:val="none" w:sz="0" w:space="0" w:color="auto"/>
            <w:left w:val="none" w:sz="0" w:space="0" w:color="auto"/>
            <w:bottom w:val="none" w:sz="0" w:space="0" w:color="auto"/>
            <w:right w:val="none" w:sz="0" w:space="0" w:color="auto"/>
          </w:divBdr>
        </w:div>
        <w:div w:id="1548103983">
          <w:marLeft w:val="640"/>
          <w:marRight w:val="0"/>
          <w:marTop w:val="0"/>
          <w:marBottom w:val="0"/>
          <w:divBdr>
            <w:top w:val="none" w:sz="0" w:space="0" w:color="auto"/>
            <w:left w:val="none" w:sz="0" w:space="0" w:color="auto"/>
            <w:bottom w:val="none" w:sz="0" w:space="0" w:color="auto"/>
            <w:right w:val="none" w:sz="0" w:space="0" w:color="auto"/>
          </w:divBdr>
        </w:div>
        <w:div w:id="2062556329">
          <w:marLeft w:val="640"/>
          <w:marRight w:val="0"/>
          <w:marTop w:val="0"/>
          <w:marBottom w:val="0"/>
          <w:divBdr>
            <w:top w:val="none" w:sz="0" w:space="0" w:color="auto"/>
            <w:left w:val="none" w:sz="0" w:space="0" w:color="auto"/>
            <w:bottom w:val="none" w:sz="0" w:space="0" w:color="auto"/>
            <w:right w:val="none" w:sz="0" w:space="0" w:color="auto"/>
          </w:divBdr>
        </w:div>
        <w:div w:id="577986529">
          <w:marLeft w:val="640"/>
          <w:marRight w:val="0"/>
          <w:marTop w:val="0"/>
          <w:marBottom w:val="0"/>
          <w:divBdr>
            <w:top w:val="none" w:sz="0" w:space="0" w:color="auto"/>
            <w:left w:val="none" w:sz="0" w:space="0" w:color="auto"/>
            <w:bottom w:val="none" w:sz="0" w:space="0" w:color="auto"/>
            <w:right w:val="none" w:sz="0" w:space="0" w:color="auto"/>
          </w:divBdr>
        </w:div>
        <w:div w:id="1877886585">
          <w:marLeft w:val="640"/>
          <w:marRight w:val="0"/>
          <w:marTop w:val="0"/>
          <w:marBottom w:val="0"/>
          <w:divBdr>
            <w:top w:val="none" w:sz="0" w:space="0" w:color="auto"/>
            <w:left w:val="none" w:sz="0" w:space="0" w:color="auto"/>
            <w:bottom w:val="none" w:sz="0" w:space="0" w:color="auto"/>
            <w:right w:val="none" w:sz="0" w:space="0" w:color="auto"/>
          </w:divBdr>
        </w:div>
        <w:div w:id="518399870">
          <w:marLeft w:val="640"/>
          <w:marRight w:val="0"/>
          <w:marTop w:val="0"/>
          <w:marBottom w:val="0"/>
          <w:divBdr>
            <w:top w:val="none" w:sz="0" w:space="0" w:color="auto"/>
            <w:left w:val="none" w:sz="0" w:space="0" w:color="auto"/>
            <w:bottom w:val="none" w:sz="0" w:space="0" w:color="auto"/>
            <w:right w:val="none" w:sz="0" w:space="0" w:color="auto"/>
          </w:divBdr>
        </w:div>
        <w:div w:id="725300843">
          <w:marLeft w:val="640"/>
          <w:marRight w:val="0"/>
          <w:marTop w:val="0"/>
          <w:marBottom w:val="0"/>
          <w:divBdr>
            <w:top w:val="none" w:sz="0" w:space="0" w:color="auto"/>
            <w:left w:val="none" w:sz="0" w:space="0" w:color="auto"/>
            <w:bottom w:val="none" w:sz="0" w:space="0" w:color="auto"/>
            <w:right w:val="none" w:sz="0" w:space="0" w:color="auto"/>
          </w:divBdr>
        </w:div>
        <w:div w:id="869924982">
          <w:marLeft w:val="640"/>
          <w:marRight w:val="0"/>
          <w:marTop w:val="0"/>
          <w:marBottom w:val="0"/>
          <w:divBdr>
            <w:top w:val="none" w:sz="0" w:space="0" w:color="auto"/>
            <w:left w:val="none" w:sz="0" w:space="0" w:color="auto"/>
            <w:bottom w:val="none" w:sz="0" w:space="0" w:color="auto"/>
            <w:right w:val="none" w:sz="0" w:space="0" w:color="auto"/>
          </w:divBdr>
        </w:div>
        <w:div w:id="1139542188">
          <w:marLeft w:val="640"/>
          <w:marRight w:val="0"/>
          <w:marTop w:val="0"/>
          <w:marBottom w:val="0"/>
          <w:divBdr>
            <w:top w:val="none" w:sz="0" w:space="0" w:color="auto"/>
            <w:left w:val="none" w:sz="0" w:space="0" w:color="auto"/>
            <w:bottom w:val="none" w:sz="0" w:space="0" w:color="auto"/>
            <w:right w:val="none" w:sz="0" w:space="0" w:color="auto"/>
          </w:divBdr>
        </w:div>
        <w:div w:id="1044645453">
          <w:marLeft w:val="640"/>
          <w:marRight w:val="0"/>
          <w:marTop w:val="0"/>
          <w:marBottom w:val="0"/>
          <w:divBdr>
            <w:top w:val="none" w:sz="0" w:space="0" w:color="auto"/>
            <w:left w:val="none" w:sz="0" w:space="0" w:color="auto"/>
            <w:bottom w:val="none" w:sz="0" w:space="0" w:color="auto"/>
            <w:right w:val="none" w:sz="0" w:space="0" w:color="auto"/>
          </w:divBdr>
        </w:div>
        <w:div w:id="1148477038">
          <w:marLeft w:val="640"/>
          <w:marRight w:val="0"/>
          <w:marTop w:val="0"/>
          <w:marBottom w:val="0"/>
          <w:divBdr>
            <w:top w:val="none" w:sz="0" w:space="0" w:color="auto"/>
            <w:left w:val="none" w:sz="0" w:space="0" w:color="auto"/>
            <w:bottom w:val="none" w:sz="0" w:space="0" w:color="auto"/>
            <w:right w:val="none" w:sz="0" w:space="0" w:color="auto"/>
          </w:divBdr>
        </w:div>
        <w:div w:id="1129787017">
          <w:marLeft w:val="640"/>
          <w:marRight w:val="0"/>
          <w:marTop w:val="0"/>
          <w:marBottom w:val="0"/>
          <w:divBdr>
            <w:top w:val="none" w:sz="0" w:space="0" w:color="auto"/>
            <w:left w:val="none" w:sz="0" w:space="0" w:color="auto"/>
            <w:bottom w:val="none" w:sz="0" w:space="0" w:color="auto"/>
            <w:right w:val="none" w:sz="0" w:space="0" w:color="auto"/>
          </w:divBdr>
        </w:div>
        <w:div w:id="1223979005">
          <w:marLeft w:val="640"/>
          <w:marRight w:val="0"/>
          <w:marTop w:val="0"/>
          <w:marBottom w:val="0"/>
          <w:divBdr>
            <w:top w:val="none" w:sz="0" w:space="0" w:color="auto"/>
            <w:left w:val="none" w:sz="0" w:space="0" w:color="auto"/>
            <w:bottom w:val="none" w:sz="0" w:space="0" w:color="auto"/>
            <w:right w:val="none" w:sz="0" w:space="0" w:color="auto"/>
          </w:divBdr>
        </w:div>
        <w:div w:id="1770269937">
          <w:marLeft w:val="640"/>
          <w:marRight w:val="0"/>
          <w:marTop w:val="0"/>
          <w:marBottom w:val="0"/>
          <w:divBdr>
            <w:top w:val="none" w:sz="0" w:space="0" w:color="auto"/>
            <w:left w:val="none" w:sz="0" w:space="0" w:color="auto"/>
            <w:bottom w:val="none" w:sz="0" w:space="0" w:color="auto"/>
            <w:right w:val="none" w:sz="0" w:space="0" w:color="auto"/>
          </w:divBdr>
        </w:div>
        <w:div w:id="1013148927">
          <w:marLeft w:val="640"/>
          <w:marRight w:val="0"/>
          <w:marTop w:val="0"/>
          <w:marBottom w:val="0"/>
          <w:divBdr>
            <w:top w:val="none" w:sz="0" w:space="0" w:color="auto"/>
            <w:left w:val="none" w:sz="0" w:space="0" w:color="auto"/>
            <w:bottom w:val="none" w:sz="0" w:space="0" w:color="auto"/>
            <w:right w:val="none" w:sz="0" w:space="0" w:color="auto"/>
          </w:divBdr>
        </w:div>
        <w:div w:id="339356097">
          <w:marLeft w:val="640"/>
          <w:marRight w:val="0"/>
          <w:marTop w:val="0"/>
          <w:marBottom w:val="0"/>
          <w:divBdr>
            <w:top w:val="none" w:sz="0" w:space="0" w:color="auto"/>
            <w:left w:val="none" w:sz="0" w:space="0" w:color="auto"/>
            <w:bottom w:val="none" w:sz="0" w:space="0" w:color="auto"/>
            <w:right w:val="none" w:sz="0" w:space="0" w:color="auto"/>
          </w:divBdr>
        </w:div>
        <w:div w:id="1504779080">
          <w:marLeft w:val="640"/>
          <w:marRight w:val="0"/>
          <w:marTop w:val="0"/>
          <w:marBottom w:val="0"/>
          <w:divBdr>
            <w:top w:val="none" w:sz="0" w:space="0" w:color="auto"/>
            <w:left w:val="none" w:sz="0" w:space="0" w:color="auto"/>
            <w:bottom w:val="none" w:sz="0" w:space="0" w:color="auto"/>
            <w:right w:val="none" w:sz="0" w:space="0" w:color="auto"/>
          </w:divBdr>
        </w:div>
        <w:div w:id="430705050">
          <w:marLeft w:val="640"/>
          <w:marRight w:val="0"/>
          <w:marTop w:val="0"/>
          <w:marBottom w:val="0"/>
          <w:divBdr>
            <w:top w:val="none" w:sz="0" w:space="0" w:color="auto"/>
            <w:left w:val="none" w:sz="0" w:space="0" w:color="auto"/>
            <w:bottom w:val="none" w:sz="0" w:space="0" w:color="auto"/>
            <w:right w:val="none" w:sz="0" w:space="0" w:color="auto"/>
          </w:divBdr>
        </w:div>
        <w:div w:id="1506049449">
          <w:marLeft w:val="640"/>
          <w:marRight w:val="0"/>
          <w:marTop w:val="0"/>
          <w:marBottom w:val="0"/>
          <w:divBdr>
            <w:top w:val="none" w:sz="0" w:space="0" w:color="auto"/>
            <w:left w:val="none" w:sz="0" w:space="0" w:color="auto"/>
            <w:bottom w:val="none" w:sz="0" w:space="0" w:color="auto"/>
            <w:right w:val="none" w:sz="0" w:space="0" w:color="auto"/>
          </w:divBdr>
        </w:div>
        <w:div w:id="1601256017">
          <w:marLeft w:val="640"/>
          <w:marRight w:val="0"/>
          <w:marTop w:val="0"/>
          <w:marBottom w:val="0"/>
          <w:divBdr>
            <w:top w:val="none" w:sz="0" w:space="0" w:color="auto"/>
            <w:left w:val="none" w:sz="0" w:space="0" w:color="auto"/>
            <w:bottom w:val="none" w:sz="0" w:space="0" w:color="auto"/>
            <w:right w:val="none" w:sz="0" w:space="0" w:color="auto"/>
          </w:divBdr>
        </w:div>
        <w:div w:id="1247957676">
          <w:marLeft w:val="640"/>
          <w:marRight w:val="0"/>
          <w:marTop w:val="0"/>
          <w:marBottom w:val="0"/>
          <w:divBdr>
            <w:top w:val="none" w:sz="0" w:space="0" w:color="auto"/>
            <w:left w:val="none" w:sz="0" w:space="0" w:color="auto"/>
            <w:bottom w:val="none" w:sz="0" w:space="0" w:color="auto"/>
            <w:right w:val="none" w:sz="0" w:space="0" w:color="auto"/>
          </w:divBdr>
        </w:div>
        <w:div w:id="1103646070">
          <w:marLeft w:val="640"/>
          <w:marRight w:val="0"/>
          <w:marTop w:val="0"/>
          <w:marBottom w:val="0"/>
          <w:divBdr>
            <w:top w:val="none" w:sz="0" w:space="0" w:color="auto"/>
            <w:left w:val="none" w:sz="0" w:space="0" w:color="auto"/>
            <w:bottom w:val="none" w:sz="0" w:space="0" w:color="auto"/>
            <w:right w:val="none" w:sz="0" w:space="0" w:color="auto"/>
          </w:divBdr>
        </w:div>
        <w:div w:id="897981793">
          <w:marLeft w:val="640"/>
          <w:marRight w:val="0"/>
          <w:marTop w:val="0"/>
          <w:marBottom w:val="0"/>
          <w:divBdr>
            <w:top w:val="none" w:sz="0" w:space="0" w:color="auto"/>
            <w:left w:val="none" w:sz="0" w:space="0" w:color="auto"/>
            <w:bottom w:val="none" w:sz="0" w:space="0" w:color="auto"/>
            <w:right w:val="none" w:sz="0" w:space="0" w:color="auto"/>
          </w:divBdr>
        </w:div>
        <w:div w:id="545530398">
          <w:marLeft w:val="640"/>
          <w:marRight w:val="0"/>
          <w:marTop w:val="0"/>
          <w:marBottom w:val="0"/>
          <w:divBdr>
            <w:top w:val="none" w:sz="0" w:space="0" w:color="auto"/>
            <w:left w:val="none" w:sz="0" w:space="0" w:color="auto"/>
            <w:bottom w:val="none" w:sz="0" w:space="0" w:color="auto"/>
            <w:right w:val="none" w:sz="0" w:space="0" w:color="auto"/>
          </w:divBdr>
        </w:div>
        <w:div w:id="1683165096">
          <w:marLeft w:val="640"/>
          <w:marRight w:val="0"/>
          <w:marTop w:val="0"/>
          <w:marBottom w:val="0"/>
          <w:divBdr>
            <w:top w:val="none" w:sz="0" w:space="0" w:color="auto"/>
            <w:left w:val="none" w:sz="0" w:space="0" w:color="auto"/>
            <w:bottom w:val="none" w:sz="0" w:space="0" w:color="auto"/>
            <w:right w:val="none" w:sz="0" w:space="0" w:color="auto"/>
          </w:divBdr>
        </w:div>
        <w:div w:id="694691237">
          <w:marLeft w:val="640"/>
          <w:marRight w:val="0"/>
          <w:marTop w:val="0"/>
          <w:marBottom w:val="0"/>
          <w:divBdr>
            <w:top w:val="none" w:sz="0" w:space="0" w:color="auto"/>
            <w:left w:val="none" w:sz="0" w:space="0" w:color="auto"/>
            <w:bottom w:val="none" w:sz="0" w:space="0" w:color="auto"/>
            <w:right w:val="none" w:sz="0" w:space="0" w:color="auto"/>
          </w:divBdr>
        </w:div>
        <w:div w:id="1113283699">
          <w:marLeft w:val="640"/>
          <w:marRight w:val="0"/>
          <w:marTop w:val="0"/>
          <w:marBottom w:val="0"/>
          <w:divBdr>
            <w:top w:val="none" w:sz="0" w:space="0" w:color="auto"/>
            <w:left w:val="none" w:sz="0" w:space="0" w:color="auto"/>
            <w:bottom w:val="none" w:sz="0" w:space="0" w:color="auto"/>
            <w:right w:val="none" w:sz="0" w:space="0" w:color="auto"/>
          </w:divBdr>
        </w:div>
        <w:div w:id="1445810984">
          <w:marLeft w:val="640"/>
          <w:marRight w:val="0"/>
          <w:marTop w:val="0"/>
          <w:marBottom w:val="0"/>
          <w:divBdr>
            <w:top w:val="none" w:sz="0" w:space="0" w:color="auto"/>
            <w:left w:val="none" w:sz="0" w:space="0" w:color="auto"/>
            <w:bottom w:val="none" w:sz="0" w:space="0" w:color="auto"/>
            <w:right w:val="none" w:sz="0" w:space="0" w:color="auto"/>
          </w:divBdr>
        </w:div>
        <w:div w:id="1369526673">
          <w:marLeft w:val="640"/>
          <w:marRight w:val="0"/>
          <w:marTop w:val="0"/>
          <w:marBottom w:val="0"/>
          <w:divBdr>
            <w:top w:val="none" w:sz="0" w:space="0" w:color="auto"/>
            <w:left w:val="none" w:sz="0" w:space="0" w:color="auto"/>
            <w:bottom w:val="none" w:sz="0" w:space="0" w:color="auto"/>
            <w:right w:val="none" w:sz="0" w:space="0" w:color="auto"/>
          </w:divBdr>
        </w:div>
        <w:div w:id="893203365">
          <w:marLeft w:val="640"/>
          <w:marRight w:val="0"/>
          <w:marTop w:val="0"/>
          <w:marBottom w:val="0"/>
          <w:divBdr>
            <w:top w:val="none" w:sz="0" w:space="0" w:color="auto"/>
            <w:left w:val="none" w:sz="0" w:space="0" w:color="auto"/>
            <w:bottom w:val="none" w:sz="0" w:space="0" w:color="auto"/>
            <w:right w:val="none" w:sz="0" w:space="0" w:color="auto"/>
          </w:divBdr>
        </w:div>
        <w:div w:id="1566260149">
          <w:marLeft w:val="640"/>
          <w:marRight w:val="0"/>
          <w:marTop w:val="0"/>
          <w:marBottom w:val="0"/>
          <w:divBdr>
            <w:top w:val="none" w:sz="0" w:space="0" w:color="auto"/>
            <w:left w:val="none" w:sz="0" w:space="0" w:color="auto"/>
            <w:bottom w:val="none" w:sz="0" w:space="0" w:color="auto"/>
            <w:right w:val="none" w:sz="0" w:space="0" w:color="auto"/>
          </w:divBdr>
        </w:div>
        <w:div w:id="379016390">
          <w:marLeft w:val="640"/>
          <w:marRight w:val="0"/>
          <w:marTop w:val="0"/>
          <w:marBottom w:val="0"/>
          <w:divBdr>
            <w:top w:val="none" w:sz="0" w:space="0" w:color="auto"/>
            <w:left w:val="none" w:sz="0" w:space="0" w:color="auto"/>
            <w:bottom w:val="none" w:sz="0" w:space="0" w:color="auto"/>
            <w:right w:val="none" w:sz="0" w:space="0" w:color="auto"/>
          </w:divBdr>
        </w:div>
        <w:div w:id="1225794734">
          <w:marLeft w:val="640"/>
          <w:marRight w:val="0"/>
          <w:marTop w:val="0"/>
          <w:marBottom w:val="0"/>
          <w:divBdr>
            <w:top w:val="none" w:sz="0" w:space="0" w:color="auto"/>
            <w:left w:val="none" w:sz="0" w:space="0" w:color="auto"/>
            <w:bottom w:val="none" w:sz="0" w:space="0" w:color="auto"/>
            <w:right w:val="none" w:sz="0" w:space="0" w:color="auto"/>
          </w:divBdr>
        </w:div>
        <w:div w:id="992680589">
          <w:marLeft w:val="640"/>
          <w:marRight w:val="0"/>
          <w:marTop w:val="0"/>
          <w:marBottom w:val="0"/>
          <w:divBdr>
            <w:top w:val="none" w:sz="0" w:space="0" w:color="auto"/>
            <w:left w:val="none" w:sz="0" w:space="0" w:color="auto"/>
            <w:bottom w:val="none" w:sz="0" w:space="0" w:color="auto"/>
            <w:right w:val="none" w:sz="0" w:space="0" w:color="auto"/>
          </w:divBdr>
        </w:div>
        <w:div w:id="458494639">
          <w:marLeft w:val="640"/>
          <w:marRight w:val="0"/>
          <w:marTop w:val="0"/>
          <w:marBottom w:val="0"/>
          <w:divBdr>
            <w:top w:val="none" w:sz="0" w:space="0" w:color="auto"/>
            <w:left w:val="none" w:sz="0" w:space="0" w:color="auto"/>
            <w:bottom w:val="none" w:sz="0" w:space="0" w:color="auto"/>
            <w:right w:val="none" w:sz="0" w:space="0" w:color="auto"/>
          </w:divBdr>
        </w:div>
        <w:div w:id="1265768475">
          <w:marLeft w:val="640"/>
          <w:marRight w:val="0"/>
          <w:marTop w:val="0"/>
          <w:marBottom w:val="0"/>
          <w:divBdr>
            <w:top w:val="none" w:sz="0" w:space="0" w:color="auto"/>
            <w:left w:val="none" w:sz="0" w:space="0" w:color="auto"/>
            <w:bottom w:val="none" w:sz="0" w:space="0" w:color="auto"/>
            <w:right w:val="none" w:sz="0" w:space="0" w:color="auto"/>
          </w:divBdr>
        </w:div>
        <w:div w:id="1460416714">
          <w:marLeft w:val="640"/>
          <w:marRight w:val="0"/>
          <w:marTop w:val="0"/>
          <w:marBottom w:val="0"/>
          <w:divBdr>
            <w:top w:val="none" w:sz="0" w:space="0" w:color="auto"/>
            <w:left w:val="none" w:sz="0" w:space="0" w:color="auto"/>
            <w:bottom w:val="none" w:sz="0" w:space="0" w:color="auto"/>
            <w:right w:val="none" w:sz="0" w:space="0" w:color="auto"/>
          </w:divBdr>
        </w:div>
        <w:div w:id="1118985739">
          <w:marLeft w:val="640"/>
          <w:marRight w:val="0"/>
          <w:marTop w:val="0"/>
          <w:marBottom w:val="0"/>
          <w:divBdr>
            <w:top w:val="none" w:sz="0" w:space="0" w:color="auto"/>
            <w:left w:val="none" w:sz="0" w:space="0" w:color="auto"/>
            <w:bottom w:val="none" w:sz="0" w:space="0" w:color="auto"/>
            <w:right w:val="none" w:sz="0" w:space="0" w:color="auto"/>
          </w:divBdr>
        </w:div>
        <w:div w:id="2075546592">
          <w:marLeft w:val="640"/>
          <w:marRight w:val="0"/>
          <w:marTop w:val="0"/>
          <w:marBottom w:val="0"/>
          <w:divBdr>
            <w:top w:val="none" w:sz="0" w:space="0" w:color="auto"/>
            <w:left w:val="none" w:sz="0" w:space="0" w:color="auto"/>
            <w:bottom w:val="none" w:sz="0" w:space="0" w:color="auto"/>
            <w:right w:val="none" w:sz="0" w:space="0" w:color="auto"/>
          </w:divBdr>
        </w:div>
        <w:div w:id="1191381220">
          <w:marLeft w:val="640"/>
          <w:marRight w:val="0"/>
          <w:marTop w:val="0"/>
          <w:marBottom w:val="0"/>
          <w:divBdr>
            <w:top w:val="none" w:sz="0" w:space="0" w:color="auto"/>
            <w:left w:val="none" w:sz="0" w:space="0" w:color="auto"/>
            <w:bottom w:val="none" w:sz="0" w:space="0" w:color="auto"/>
            <w:right w:val="none" w:sz="0" w:space="0" w:color="auto"/>
          </w:divBdr>
        </w:div>
        <w:div w:id="723142559">
          <w:marLeft w:val="640"/>
          <w:marRight w:val="0"/>
          <w:marTop w:val="0"/>
          <w:marBottom w:val="0"/>
          <w:divBdr>
            <w:top w:val="none" w:sz="0" w:space="0" w:color="auto"/>
            <w:left w:val="none" w:sz="0" w:space="0" w:color="auto"/>
            <w:bottom w:val="none" w:sz="0" w:space="0" w:color="auto"/>
            <w:right w:val="none" w:sz="0" w:space="0" w:color="auto"/>
          </w:divBdr>
        </w:div>
        <w:div w:id="963655836">
          <w:marLeft w:val="640"/>
          <w:marRight w:val="0"/>
          <w:marTop w:val="0"/>
          <w:marBottom w:val="0"/>
          <w:divBdr>
            <w:top w:val="none" w:sz="0" w:space="0" w:color="auto"/>
            <w:left w:val="none" w:sz="0" w:space="0" w:color="auto"/>
            <w:bottom w:val="none" w:sz="0" w:space="0" w:color="auto"/>
            <w:right w:val="none" w:sz="0" w:space="0" w:color="auto"/>
          </w:divBdr>
        </w:div>
        <w:div w:id="1162968844">
          <w:marLeft w:val="640"/>
          <w:marRight w:val="0"/>
          <w:marTop w:val="0"/>
          <w:marBottom w:val="0"/>
          <w:divBdr>
            <w:top w:val="none" w:sz="0" w:space="0" w:color="auto"/>
            <w:left w:val="none" w:sz="0" w:space="0" w:color="auto"/>
            <w:bottom w:val="none" w:sz="0" w:space="0" w:color="auto"/>
            <w:right w:val="none" w:sz="0" w:space="0" w:color="auto"/>
          </w:divBdr>
        </w:div>
        <w:div w:id="459959121">
          <w:marLeft w:val="640"/>
          <w:marRight w:val="0"/>
          <w:marTop w:val="0"/>
          <w:marBottom w:val="0"/>
          <w:divBdr>
            <w:top w:val="none" w:sz="0" w:space="0" w:color="auto"/>
            <w:left w:val="none" w:sz="0" w:space="0" w:color="auto"/>
            <w:bottom w:val="none" w:sz="0" w:space="0" w:color="auto"/>
            <w:right w:val="none" w:sz="0" w:space="0" w:color="auto"/>
          </w:divBdr>
        </w:div>
        <w:div w:id="637221927">
          <w:marLeft w:val="640"/>
          <w:marRight w:val="0"/>
          <w:marTop w:val="0"/>
          <w:marBottom w:val="0"/>
          <w:divBdr>
            <w:top w:val="none" w:sz="0" w:space="0" w:color="auto"/>
            <w:left w:val="none" w:sz="0" w:space="0" w:color="auto"/>
            <w:bottom w:val="none" w:sz="0" w:space="0" w:color="auto"/>
            <w:right w:val="none" w:sz="0" w:space="0" w:color="auto"/>
          </w:divBdr>
        </w:div>
        <w:div w:id="832139686">
          <w:marLeft w:val="640"/>
          <w:marRight w:val="0"/>
          <w:marTop w:val="0"/>
          <w:marBottom w:val="0"/>
          <w:divBdr>
            <w:top w:val="none" w:sz="0" w:space="0" w:color="auto"/>
            <w:left w:val="none" w:sz="0" w:space="0" w:color="auto"/>
            <w:bottom w:val="none" w:sz="0" w:space="0" w:color="auto"/>
            <w:right w:val="none" w:sz="0" w:space="0" w:color="auto"/>
          </w:divBdr>
        </w:div>
        <w:div w:id="155003388">
          <w:marLeft w:val="640"/>
          <w:marRight w:val="0"/>
          <w:marTop w:val="0"/>
          <w:marBottom w:val="0"/>
          <w:divBdr>
            <w:top w:val="none" w:sz="0" w:space="0" w:color="auto"/>
            <w:left w:val="none" w:sz="0" w:space="0" w:color="auto"/>
            <w:bottom w:val="none" w:sz="0" w:space="0" w:color="auto"/>
            <w:right w:val="none" w:sz="0" w:space="0" w:color="auto"/>
          </w:divBdr>
        </w:div>
        <w:div w:id="949700983">
          <w:marLeft w:val="640"/>
          <w:marRight w:val="0"/>
          <w:marTop w:val="0"/>
          <w:marBottom w:val="0"/>
          <w:divBdr>
            <w:top w:val="none" w:sz="0" w:space="0" w:color="auto"/>
            <w:left w:val="none" w:sz="0" w:space="0" w:color="auto"/>
            <w:bottom w:val="none" w:sz="0" w:space="0" w:color="auto"/>
            <w:right w:val="none" w:sz="0" w:space="0" w:color="auto"/>
          </w:divBdr>
        </w:div>
        <w:div w:id="1918854730">
          <w:marLeft w:val="640"/>
          <w:marRight w:val="0"/>
          <w:marTop w:val="0"/>
          <w:marBottom w:val="0"/>
          <w:divBdr>
            <w:top w:val="none" w:sz="0" w:space="0" w:color="auto"/>
            <w:left w:val="none" w:sz="0" w:space="0" w:color="auto"/>
            <w:bottom w:val="none" w:sz="0" w:space="0" w:color="auto"/>
            <w:right w:val="none" w:sz="0" w:space="0" w:color="auto"/>
          </w:divBdr>
        </w:div>
        <w:div w:id="1202593270">
          <w:marLeft w:val="640"/>
          <w:marRight w:val="0"/>
          <w:marTop w:val="0"/>
          <w:marBottom w:val="0"/>
          <w:divBdr>
            <w:top w:val="none" w:sz="0" w:space="0" w:color="auto"/>
            <w:left w:val="none" w:sz="0" w:space="0" w:color="auto"/>
            <w:bottom w:val="none" w:sz="0" w:space="0" w:color="auto"/>
            <w:right w:val="none" w:sz="0" w:space="0" w:color="auto"/>
          </w:divBdr>
        </w:div>
        <w:div w:id="1729113339">
          <w:marLeft w:val="640"/>
          <w:marRight w:val="0"/>
          <w:marTop w:val="0"/>
          <w:marBottom w:val="0"/>
          <w:divBdr>
            <w:top w:val="none" w:sz="0" w:space="0" w:color="auto"/>
            <w:left w:val="none" w:sz="0" w:space="0" w:color="auto"/>
            <w:bottom w:val="none" w:sz="0" w:space="0" w:color="auto"/>
            <w:right w:val="none" w:sz="0" w:space="0" w:color="auto"/>
          </w:divBdr>
        </w:div>
        <w:div w:id="698436510">
          <w:marLeft w:val="640"/>
          <w:marRight w:val="0"/>
          <w:marTop w:val="0"/>
          <w:marBottom w:val="0"/>
          <w:divBdr>
            <w:top w:val="none" w:sz="0" w:space="0" w:color="auto"/>
            <w:left w:val="none" w:sz="0" w:space="0" w:color="auto"/>
            <w:bottom w:val="none" w:sz="0" w:space="0" w:color="auto"/>
            <w:right w:val="none" w:sz="0" w:space="0" w:color="auto"/>
          </w:divBdr>
        </w:div>
        <w:div w:id="287131640">
          <w:marLeft w:val="640"/>
          <w:marRight w:val="0"/>
          <w:marTop w:val="0"/>
          <w:marBottom w:val="0"/>
          <w:divBdr>
            <w:top w:val="none" w:sz="0" w:space="0" w:color="auto"/>
            <w:left w:val="none" w:sz="0" w:space="0" w:color="auto"/>
            <w:bottom w:val="none" w:sz="0" w:space="0" w:color="auto"/>
            <w:right w:val="none" w:sz="0" w:space="0" w:color="auto"/>
          </w:divBdr>
        </w:div>
        <w:div w:id="257064893">
          <w:marLeft w:val="640"/>
          <w:marRight w:val="0"/>
          <w:marTop w:val="0"/>
          <w:marBottom w:val="0"/>
          <w:divBdr>
            <w:top w:val="none" w:sz="0" w:space="0" w:color="auto"/>
            <w:left w:val="none" w:sz="0" w:space="0" w:color="auto"/>
            <w:bottom w:val="none" w:sz="0" w:space="0" w:color="auto"/>
            <w:right w:val="none" w:sz="0" w:space="0" w:color="auto"/>
          </w:divBdr>
        </w:div>
        <w:div w:id="282157094">
          <w:marLeft w:val="640"/>
          <w:marRight w:val="0"/>
          <w:marTop w:val="0"/>
          <w:marBottom w:val="0"/>
          <w:divBdr>
            <w:top w:val="none" w:sz="0" w:space="0" w:color="auto"/>
            <w:left w:val="none" w:sz="0" w:space="0" w:color="auto"/>
            <w:bottom w:val="none" w:sz="0" w:space="0" w:color="auto"/>
            <w:right w:val="none" w:sz="0" w:space="0" w:color="auto"/>
          </w:divBdr>
        </w:div>
        <w:div w:id="867641624">
          <w:marLeft w:val="640"/>
          <w:marRight w:val="0"/>
          <w:marTop w:val="0"/>
          <w:marBottom w:val="0"/>
          <w:divBdr>
            <w:top w:val="none" w:sz="0" w:space="0" w:color="auto"/>
            <w:left w:val="none" w:sz="0" w:space="0" w:color="auto"/>
            <w:bottom w:val="none" w:sz="0" w:space="0" w:color="auto"/>
            <w:right w:val="none" w:sz="0" w:space="0" w:color="auto"/>
          </w:divBdr>
        </w:div>
        <w:div w:id="58408837">
          <w:marLeft w:val="640"/>
          <w:marRight w:val="0"/>
          <w:marTop w:val="0"/>
          <w:marBottom w:val="0"/>
          <w:divBdr>
            <w:top w:val="none" w:sz="0" w:space="0" w:color="auto"/>
            <w:left w:val="none" w:sz="0" w:space="0" w:color="auto"/>
            <w:bottom w:val="none" w:sz="0" w:space="0" w:color="auto"/>
            <w:right w:val="none" w:sz="0" w:space="0" w:color="auto"/>
          </w:divBdr>
        </w:div>
        <w:div w:id="1513841211">
          <w:marLeft w:val="640"/>
          <w:marRight w:val="0"/>
          <w:marTop w:val="0"/>
          <w:marBottom w:val="0"/>
          <w:divBdr>
            <w:top w:val="none" w:sz="0" w:space="0" w:color="auto"/>
            <w:left w:val="none" w:sz="0" w:space="0" w:color="auto"/>
            <w:bottom w:val="none" w:sz="0" w:space="0" w:color="auto"/>
            <w:right w:val="none" w:sz="0" w:space="0" w:color="auto"/>
          </w:divBdr>
        </w:div>
        <w:div w:id="213390640">
          <w:marLeft w:val="640"/>
          <w:marRight w:val="0"/>
          <w:marTop w:val="0"/>
          <w:marBottom w:val="0"/>
          <w:divBdr>
            <w:top w:val="none" w:sz="0" w:space="0" w:color="auto"/>
            <w:left w:val="none" w:sz="0" w:space="0" w:color="auto"/>
            <w:bottom w:val="none" w:sz="0" w:space="0" w:color="auto"/>
            <w:right w:val="none" w:sz="0" w:space="0" w:color="auto"/>
          </w:divBdr>
        </w:div>
        <w:div w:id="1624538283">
          <w:marLeft w:val="640"/>
          <w:marRight w:val="0"/>
          <w:marTop w:val="0"/>
          <w:marBottom w:val="0"/>
          <w:divBdr>
            <w:top w:val="none" w:sz="0" w:space="0" w:color="auto"/>
            <w:left w:val="none" w:sz="0" w:space="0" w:color="auto"/>
            <w:bottom w:val="none" w:sz="0" w:space="0" w:color="auto"/>
            <w:right w:val="none" w:sz="0" w:space="0" w:color="auto"/>
          </w:divBdr>
        </w:div>
        <w:div w:id="1652325294">
          <w:marLeft w:val="640"/>
          <w:marRight w:val="0"/>
          <w:marTop w:val="0"/>
          <w:marBottom w:val="0"/>
          <w:divBdr>
            <w:top w:val="none" w:sz="0" w:space="0" w:color="auto"/>
            <w:left w:val="none" w:sz="0" w:space="0" w:color="auto"/>
            <w:bottom w:val="none" w:sz="0" w:space="0" w:color="auto"/>
            <w:right w:val="none" w:sz="0" w:space="0" w:color="auto"/>
          </w:divBdr>
        </w:div>
        <w:div w:id="2110617990">
          <w:marLeft w:val="640"/>
          <w:marRight w:val="0"/>
          <w:marTop w:val="0"/>
          <w:marBottom w:val="0"/>
          <w:divBdr>
            <w:top w:val="none" w:sz="0" w:space="0" w:color="auto"/>
            <w:left w:val="none" w:sz="0" w:space="0" w:color="auto"/>
            <w:bottom w:val="none" w:sz="0" w:space="0" w:color="auto"/>
            <w:right w:val="none" w:sz="0" w:space="0" w:color="auto"/>
          </w:divBdr>
        </w:div>
        <w:div w:id="907763525">
          <w:marLeft w:val="640"/>
          <w:marRight w:val="0"/>
          <w:marTop w:val="0"/>
          <w:marBottom w:val="0"/>
          <w:divBdr>
            <w:top w:val="none" w:sz="0" w:space="0" w:color="auto"/>
            <w:left w:val="none" w:sz="0" w:space="0" w:color="auto"/>
            <w:bottom w:val="none" w:sz="0" w:space="0" w:color="auto"/>
            <w:right w:val="none" w:sz="0" w:space="0" w:color="auto"/>
          </w:divBdr>
        </w:div>
        <w:div w:id="266431078">
          <w:marLeft w:val="640"/>
          <w:marRight w:val="0"/>
          <w:marTop w:val="0"/>
          <w:marBottom w:val="0"/>
          <w:divBdr>
            <w:top w:val="none" w:sz="0" w:space="0" w:color="auto"/>
            <w:left w:val="none" w:sz="0" w:space="0" w:color="auto"/>
            <w:bottom w:val="none" w:sz="0" w:space="0" w:color="auto"/>
            <w:right w:val="none" w:sz="0" w:space="0" w:color="auto"/>
          </w:divBdr>
        </w:div>
        <w:div w:id="78337020">
          <w:marLeft w:val="640"/>
          <w:marRight w:val="0"/>
          <w:marTop w:val="0"/>
          <w:marBottom w:val="0"/>
          <w:divBdr>
            <w:top w:val="none" w:sz="0" w:space="0" w:color="auto"/>
            <w:left w:val="none" w:sz="0" w:space="0" w:color="auto"/>
            <w:bottom w:val="none" w:sz="0" w:space="0" w:color="auto"/>
            <w:right w:val="none" w:sz="0" w:space="0" w:color="auto"/>
          </w:divBdr>
        </w:div>
        <w:div w:id="186725792">
          <w:marLeft w:val="640"/>
          <w:marRight w:val="0"/>
          <w:marTop w:val="0"/>
          <w:marBottom w:val="0"/>
          <w:divBdr>
            <w:top w:val="none" w:sz="0" w:space="0" w:color="auto"/>
            <w:left w:val="none" w:sz="0" w:space="0" w:color="auto"/>
            <w:bottom w:val="none" w:sz="0" w:space="0" w:color="auto"/>
            <w:right w:val="none" w:sz="0" w:space="0" w:color="auto"/>
          </w:divBdr>
        </w:div>
        <w:div w:id="1354069863">
          <w:marLeft w:val="640"/>
          <w:marRight w:val="0"/>
          <w:marTop w:val="0"/>
          <w:marBottom w:val="0"/>
          <w:divBdr>
            <w:top w:val="none" w:sz="0" w:space="0" w:color="auto"/>
            <w:left w:val="none" w:sz="0" w:space="0" w:color="auto"/>
            <w:bottom w:val="none" w:sz="0" w:space="0" w:color="auto"/>
            <w:right w:val="none" w:sz="0" w:space="0" w:color="auto"/>
          </w:divBdr>
        </w:div>
        <w:div w:id="1728412707">
          <w:marLeft w:val="640"/>
          <w:marRight w:val="0"/>
          <w:marTop w:val="0"/>
          <w:marBottom w:val="0"/>
          <w:divBdr>
            <w:top w:val="none" w:sz="0" w:space="0" w:color="auto"/>
            <w:left w:val="none" w:sz="0" w:space="0" w:color="auto"/>
            <w:bottom w:val="none" w:sz="0" w:space="0" w:color="auto"/>
            <w:right w:val="none" w:sz="0" w:space="0" w:color="auto"/>
          </w:divBdr>
        </w:div>
        <w:div w:id="1850830096">
          <w:marLeft w:val="640"/>
          <w:marRight w:val="0"/>
          <w:marTop w:val="0"/>
          <w:marBottom w:val="0"/>
          <w:divBdr>
            <w:top w:val="none" w:sz="0" w:space="0" w:color="auto"/>
            <w:left w:val="none" w:sz="0" w:space="0" w:color="auto"/>
            <w:bottom w:val="none" w:sz="0" w:space="0" w:color="auto"/>
            <w:right w:val="none" w:sz="0" w:space="0" w:color="auto"/>
          </w:divBdr>
        </w:div>
        <w:div w:id="426734471">
          <w:marLeft w:val="640"/>
          <w:marRight w:val="0"/>
          <w:marTop w:val="0"/>
          <w:marBottom w:val="0"/>
          <w:divBdr>
            <w:top w:val="none" w:sz="0" w:space="0" w:color="auto"/>
            <w:left w:val="none" w:sz="0" w:space="0" w:color="auto"/>
            <w:bottom w:val="none" w:sz="0" w:space="0" w:color="auto"/>
            <w:right w:val="none" w:sz="0" w:space="0" w:color="auto"/>
          </w:divBdr>
        </w:div>
        <w:div w:id="797651686">
          <w:marLeft w:val="640"/>
          <w:marRight w:val="0"/>
          <w:marTop w:val="0"/>
          <w:marBottom w:val="0"/>
          <w:divBdr>
            <w:top w:val="none" w:sz="0" w:space="0" w:color="auto"/>
            <w:left w:val="none" w:sz="0" w:space="0" w:color="auto"/>
            <w:bottom w:val="none" w:sz="0" w:space="0" w:color="auto"/>
            <w:right w:val="none" w:sz="0" w:space="0" w:color="auto"/>
          </w:divBdr>
        </w:div>
        <w:div w:id="1137189165">
          <w:marLeft w:val="640"/>
          <w:marRight w:val="0"/>
          <w:marTop w:val="0"/>
          <w:marBottom w:val="0"/>
          <w:divBdr>
            <w:top w:val="none" w:sz="0" w:space="0" w:color="auto"/>
            <w:left w:val="none" w:sz="0" w:space="0" w:color="auto"/>
            <w:bottom w:val="none" w:sz="0" w:space="0" w:color="auto"/>
            <w:right w:val="none" w:sz="0" w:space="0" w:color="auto"/>
          </w:divBdr>
        </w:div>
        <w:div w:id="1213886053">
          <w:marLeft w:val="640"/>
          <w:marRight w:val="0"/>
          <w:marTop w:val="0"/>
          <w:marBottom w:val="0"/>
          <w:divBdr>
            <w:top w:val="none" w:sz="0" w:space="0" w:color="auto"/>
            <w:left w:val="none" w:sz="0" w:space="0" w:color="auto"/>
            <w:bottom w:val="none" w:sz="0" w:space="0" w:color="auto"/>
            <w:right w:val="none" w:sz="0" w:space="0" w:color="auto"/>
          </w:divBdr>
        </w:div>
        <w:div w:id="912006081">
          <w:marLeft w:val="640"/>
          <w:marRight w:val="0"/>
          <w:marTop w:val="0"/>
          <w:marBottom w:val="0"/>
          <w:divBdr>
            <w:top w:val="none" w:sz="0" w:space="0" w:color="auto"/>
            <w:left w:val="none" w:sz="0" w:space="0" w:color="auto"/>
            <w:bottom w:val="none" w:sz="0" w:space="0" w:color="auto"/>
            <w:right w:val="none" w:sz="0" w:space="0" w:color="auto"/>
          </w:divBdr>
        </w:div>
        <w:div w:id="1242329189">
          <w:marLeft w:val="640"/>
          <w:marRight w:val="0"/>
          <w:marTop w:val="0"/>
          <w:marBottom w:val="0"/>
          <w:divBdr>
            <w:top w:val="none" w:sz="0" w:space="0" w:color="auto"/>
            <w:left w:val="none" w:sz="0" w:space="0" w:color="auto"/>
            <w:bottom w:val="none" w:sz="0" w:space="0" w:color="auto"/>
            <w:right w:val="none" w:sz="0" w:space="0" w:color="auto"/>
          </w:divBdr>
        </w:div>
        <w:div w:id="1854878829">
          <w:marLeft w:val="640"/>
          <w:marRight w:val="0"/>
          <w:marTop w:val="0"/>
          <w:marBottom w:val="0"/>
          <w:divBdr>
            <w:top w:val="none" w:sz="0" w:space="0" w:color="auto"/>
            <w:left w:val="none" w:sz="0" w:space="0" w:color="auto"/>
            <w:bottom w:val="none" w:sz="0" w:space="0" w:color="auto"/>
            <w:right w:val="none" w:sz="0" w:space="0" w:color="auto"/>
          </w:divBdr>
        </w:div>
        <w:div w:id="1646086601">
          <w:marLeft w:val="640"/>
          <w:marRight w:val="0"/>
          <w:marTop w:val="0"/>
          <w:marBottom w:val="0"/>
          <w:divBdr>
            <w:top w:val="none" w:sz="0" w:space="0" w:color="auto"/>
            <w:left w:val="none" w:sz="0" w:space="0" w:color="auto"/>
            <w:bottom w:val="none" w:sz="0" w:space="0" w:color="auto"/>
            <w:right w:val="none" w:sz="0" w:space="0" w:color="auto"/>
          </w:divBdr>
        </w:div>
        <w:div w:id="992871870">
          <w:marLeft w:val="640"/>
          <w:marRight w:val="0"/>
          <w:marTop w:val="0"/>
          <w:marBottom w:val="0"/>
          <w:divBdr>
            <w:top w:val="none" w:sz="0" w:space="0" w:color="auto"/>
            <w:left w:val="none" w:sz="0" w:space="0" w:color="auto"/>
            <w:bottom w:val="none" w:sz="0" w:space="0" w:color="auto"/>
            <w:right w:val="none" w:sz="0" w:space="0" w:color="auto"/>
          </w:divBdr>
        </w:div>
        <w:div w:id="1644389716">
          <w:marLeft w:val="640"/>
          <w:marRight w:val="0"/>
          <w:marTop w:val="0"/>
          <w:marBottom w:val="0"/>
          <w:divBdr>
            <w:top w:val="none" w:sz="0" w:space="0" w:color="auto"/>
            <w:left w:val="none" w:sz="0" w:space="0" w:color="auto"/>
            <w:bottom w:val="none" w:sz="0" w:space="0" w:color="auto"/>
            <w:right w:val="none" w:sz="0" w:space="0" w:color="auto"/>
          </w:divBdr>
        </w:div>
        <w:div w:id="1679576678">
          <w:marLeft w:val="640"/>
          <w:marRight w:val="0"/>
          <w:marTop w:val="0"/>
          <w:marBottom w:val="0"/>
          <w:divBdr>
            <w:top w:val="none" w:sz="0" w:space="0" w:color="auto"/>
            <w:left w:val="none" w:sz="0" w:space="0" w:color="auto"/>
            <w:bottom w:val="none" w:sz="0" w:space="0" w:color="auto"/>
            <w:right w:val="none" w:sz="0" w:space="0" w:color="auto"/>
          </w:divBdr>
        </w:div>
        <w:div w:id="1336610816">
          <w:marLeft w:val="640"/>
          <w:marRight w:val="0"/>
          <w:marTop w:val="0"/>
          <w:marBottom w:val="0"/>
          <w:divBdr>
            <w:top w:val="none" w:sz="0" w:space="0" w:color="auto"/>
            <w:left w:val="none" w:sz="0" w:space="0" w:color="auto"/>
            <w:bottom w:val="none" w:sz="0" w:space="0" w:color="auto"/>
            <w:right w:val="none" w:sz="0" w:space="0" w:color="auto"/>
          </w:divBdr>
        </w:div>
        <w:div w:id="1858231093">
          <w:marLeft w:val="640"/>
          <w:marRight w:val="0"/>
          <w:marTop w:val="0"/>
          <w:marBottom w:val="0"/>
          <w:divBdr>
            <w:top w:val="none" w:sz="0" w:space="0" w:color="auto"/>
            <w:left w:val="none" w:sz="0" w:space="0" w:color="auto"/>
            <w:bottom w:val="none" w:sz="0" w:space="0" w:color="auto"/>
            <w:right w:val="none" w:sz="0" w:space="0" w:color="auto"/>
          </w:divBdr>
        </w:div>
        <w:div w:id="707947943">
          <w:marLeft w:val="640"/>
          <w:marRight w:val="0"/>
          <w:marTop w:val="0"/>
          <w:marBottom w:val="0"/>
          <w:divBdr>
            <w:top w:val="none" w:sz="0" w:space="0" w:color="auto"/>
            <w:left w:val="none" w:sz="0" w:space="0" w:color="auto"/>
            <w:bottom w:val="none" w:sz="0" w:space="0" w:color="auto"/>
            <w:right w:val="none" w:sz="0" w:space="0" w:color="auto"/>
          </w:divBdr>
        </w:div>
        <w:div w:id="1171216686">
          <w:marLeft w:val="640"/>
          <w:marRight w:val="0"/>
          <w:marTop w:val="0"/>
          <w:marBottom w:val="0"/>
          <w:divBdr>
            <w:top w:val="none" w:sz="0" w:space="0" w:color="auto"/>
            <w:left w:val="none" w:sz="0" w:space="0" w:color="auto"/>
            <w:bottom w:val="none" w:sz="0" w:space="0" w:color="auto"/>
            <w:right w:val="none" w:sz="0" w:space="0" w:color="auto"/>
          </w:divBdr>
        </w:div>
        <w:div w:id="1721897922">
          <w:marLeft w:val="640"/>
          <w:marRight w:val="0"/>
          <w:marTop w:val="0"/>
          <w:marBottom w:val="0"/>
          <w:divBdr>
            <w:top w:val="none" w:sz="0" w:space="0" w:color="auto"/>
            <w:left w:val="none" w:sz="0" w:space="0" w:color="auto"/>
            <w:bottom w:val="none" w:sz="0" w:space="0" w:color="auto"/>
            <w:right w:val="none" w:sz="0" w:space="0" w:color="auto"/>
          </w:divBdr>
        </w:div>
        <w:div w:id="2135368048">
          <w:marLeft w:val="640"/>
          <w:marRight w:val="0"/>
          <w:marTop w:val="0"/>
          <w:marBottom w:val="0"/>
          <w:divBdr>
            <w:top w:val="none" w:sz="0" w:space="0" w:color="auto"/>
            <w:left w:val="none" w:sz="0" w:space="0" w:color="auto"/>
            <w:bottom w:val="none" w:sz="0" w:space="0" w:color="auto"/>
            <w:right w:val="none" w:sz="0" w:space="0" w:color="auto"/>
          </w:divBdr>
        </w:div>
        <w:div w:id="1488596203">
          <w:marLeft w:val="640"/>
          <w:marRight w:val="0"/>
          <w:marTop w:val="0"/>
          <w:marBottom w:val="0"/>
          <w:divBdr>
            <w:top w:val="none" w:sz="0" w:space="0" w:color="auto"/>
            <w:left w:val="none" w:sz="0" w:space="0" w:color="auto"/>
            <w:bottom w:val="none" w:sz="0" w:space="0" w:color="auto"/>
            <w:right w:val="none" w:sz="0" w:space="0" w:color="auto"/>
          </w:divBdr>
        </w:div>
        <w:div w:id="1480655412">
          <w:marLeft w:val="640"/>
          <w:marRight w:val="0"/>
          <w:marTop w:val="0"/>
          <w:marBottom w:val="0"/>
          <w:divBdr>
            <w:top w:val="none" w:sz="0" w:space="0" w:color="auto"/>
            <w:left w:val="none" w:sz="0" w:space="0" w:color="auto"/>
            <w:bottom w:val="none" w:sz="0" w:space="0" w:color="auto"/>
            <w:right w:val="none" w:sz="0" w:space="0" w:color="auto"/>
          </w:divBdr>
        </w:div>
        <w:div w:id="2074429688">
          <w:marLeft w:val="640"/>
          <w:marRight w:val="0"/>
          <w:marTop w:val="0"/>
          <w:marBottom w:val="0"/>
          <w:divBdr>
            <w:top w:val="none" w:sz="0" w:space="0" w:color="auto"/>
            <w:left w:val="none" w:sz="0" w:space="0" w:color="auto"/>
            <w:bottom w:val="none" w:sz="0" w:space="0" w:color="auto"/>
            <w:right w:val="none" w:sz="0" w:space="0" w:color="auto"/>
          </w:divBdr>
        </w:div>
        <w:div w:id="1964993349">
          <w:marLeft w:val="640"/>
          <w:marRight w:val="0"/>
          <w:marTop w:val="0"/>
          <w:marBottom w:val="0"/>
          <w:divBdr>
            <w:top w:val="none" w:sz="0" w:space="0" w:color="auto"/>
            <w:left w:val="none" w:sz="0" w:space="0" w:color="auto"/>
            <w:bottom w:val="none" w:sz="0" w:space="0" w:color="auto"/>
            <w:right w:val="none" w:sz="0" w:space="0" w:color="auto"/>
          </w:divBdr>
        </w:div>
        <w:div w:id="1517110610">
          <w:marLeft w:val="640"/>
          <w:marRight w:val="0"/>
          <w:marTop w:val="0"/>
          <w:marBottom w:val="0"/>
          <w:divBdr>
            <w:top w:val="none" w:sz="0" w:space="0" w:color="auto"/>
            <w:left w:val="none" w:sz="0" w:space="0" w:color="auto"/>
            <w:bottom w:val="none" w:sz="0" w:space="0" w:color="auto"/>
            <w:right w:val="none" w:sz="0" w:space="0" w:color="auto"/>
          </w:divBdr>
        </w:div>
        <w:div w:id="155388226">
          <w:marLeft w:val="640"/>
          <w:marRight w:val="0"/>
          <w:marTop w:val="0"/>
          <w:marBottom w:val="0"/>
          <w:divBdr>
            <w:top w:val="none" w:sz="0" w:space="0" w:color="auto"/>
            <w:left w:val="none" w:sz="0" w:space="0" w:color="auto"/>
            <w:bottom w:val="none" w:sz="0" w:space="0" w:color="auto"/>
            <w:right w:val="none" w:sz="0" w:space="0" w:color="auto"/>
          </w:divBdr>
        </w:div>
        <w:div w:id="626741939">
          <w:marLeft w:val="640"/>
          <w:marRight w:val="0"/>
          <w:marTop w:val="0"/>
          <w:marBottom w:val="0"/>
          <w:divBdr>
            <w:top w:val="none" w:sz="0" w:space="0" w:color="auto"/>
            <w:left w:val="none" w:sz="0" w:space="0" w:color="auto"/>
            <w:bottom w:val="none" w:sz="0" w:space="0" w:color="auto"/>
            <w:right w:val="none" w:sz="0" w:space="0" w:color="auto"/>
          </w:divBdr>
        </w:div>
        <w:div w:id="877664374">
          <w:marLeft w:val="640"/>
          <w:marRight w:val="0"/>
          <w:marTop w:val="0"/>
          <w:marBottom w:val="0"/>
          <w:divBdr>
            <w:top w:val="none" w:sz="0" w:space="0" w:color="auto"/>
            <w:left w:val="none" w:sz="0" w:space="0" w:color="auto"/>
            <w:bottom w:val="none" w:sz="0" w:space="0" w:color="auto"/>
            <w:right w:val="none" w:sz="0" w:space="0" w:color="auto"/>
          </w:divBdr>
        </w:div>
        <w:div w:id="1743258445">
          <w:marLeft w:val="640"/>
          <w:marRight w:val="0"/>
          <w:marTop w:val="0"/>
          <w:marBottom w:val="0"/>
          <w:divBdr>
            <w:top w:val="none" w:sz="0" w:space="0" w:color="auto"/>
            <w:left w:val="none" w:sz="0" w:space="0" w:color="auto"/>
            <w:bottom w:val="none" w:sz="0" w:space="0" w:color="auto"/>
            <w:right w:val="none" w:sz="0" w:space="0" w:color="auto"/>
          </w:divBdr>
        </w:div>
        <w:div w:id="574319969">
          <w:marLeft w:val="640"/>
          <w:marRight w:val="0"/>
          <w:marTop w:val="0"/>
          <w:marBottom w:val="0"/>
          <w:divBdr>
            <w:top w:val="none" w:sz="0" w:space="0" w:color="auto"/>
            <w:left w:val="none" w:sz="0" w:space="0" w:color="auto"/>
            <w:bottom w:val="none" w:sz="0" w:space="0" w:color="auto"/>
            <w:right w:val="none" w:sz="0" w:space="0" w:color="auto"/>
          </w:divBdr>
        </w:div>
        <w:div w:id="1353219449">
          <w:marLeft w:val="640"/>
          <w:marRight w:val="0"/>
          <w:marTop w:val="0"/>
          <w:marBottom w:val="0"/>
          <w:divBdr>
            <w:top w:val="none" w:sz="0" w:space="0" w:color="auto"/>
            <w:left w:val="none" w:sz="0" w:space="0" w:color="auto"/>
            <w:bottom w:val="none" w:sz="0" w:space="0" w:color="auto"/>
            <w:right w:val="none" w:sz="0" w:space="0" w:color="auto"/>
          </w:divBdr>
        </w:div>
        <w:div w:id="924729281">
          <w:marLeft w:val="640"/>
          <w:marRight w:val="0"/>
          <w:marTop w:val="0"/>
          <w:marBottom w:val="0"/>
          <w:divBdr>
            <w:top w:val="none" w:sz="0" w:space="0" w:color="auto"/>
            <w:left w:val="none" w:sz="0" w:space="0" w:color="auto"/>
            <w:bottom w:val="none" w:sz="0" w:space="0" w:color="auto"/>
            <w:right w:val="none" w:sz="0" w:space="0" w:color="auto"/>
          </w:divBdr>
        </w:div>
        <w:div w:id="1750925899">
          <w:marLeft w:val="640"/>
          <w:marRight w:val="0"/>
          <w:marTop w:val="0"/>
          <w:marBottom w:val="0"/>
          <w:divBdr>
            <w:top w:val="none" w:sz="0" w:space="0" w:color="auto"/>
            <w:left w:val="none" w:sz="0" w:space="0" w:color="auto"/>
            <w:bottom w:val="none" w:sz="0" w:space="0" w:color="auto"/>
            <w:right w:val="none" w:sz="0" w:space="0" w:color="auto"/>
          </w:divBdr>
        </w:div>
        <w:div w:id="169608904">
          <w:marLeft w:val="640"/>
          <w:marRight w:val="0"/>
          <w:marTop w:val="0"/>
          <w:marBottom w:val="0"/>
          <w:divBdr>
            <w:top w:val="none" w:sz="0" w:space="0" w:color="auto"/>
            <w:left w:val="none" w:sz="0" w:space="0" w:color="auto"/>
            <w:bottom w:val="none" w:sz="0" w:space="0" w:color="auto"/>
            <w:right w:val="none" w:sz="0" w:space="0" w:color="auto"/>
          </w:divBdr>
        </w:div>
        <w:div w:id="854005843">
          <w:marLeft w:val="640"/>
          <w:marRight w:val="0"/>
          <w:marTop w:val="0"/>
          <w:marBottom w:val="0"/>
          <w:divBdr>
            <w:top w:val="none" w:sz="0" w:space="0" w:color="auto"/>
            <w:left w:val="none" w:sz="0" w:space="0" w:color="auto"/>
            <w:bottom w:val="none" w:sz="0" w:space="0" w:color="auto"/>
            <w:right w:val="none" w:sz="0" w:space="0" w:color="auto"/>
          </w:divBdr>
        </w:div>
        <w:div w:id="1208028930">
          <w:marLeft w:val="640"/>
          <w:marRight w:val="0"/>
          <w:marTop w:val="0"/>
          <w:marBottom w:val="0"/>
          <w:divBdr>
            <w:top w:val="none" w:sz="0" w:space="0" w:color="auto"/>
            <w:left w:val="none" w:sz="0" w:space="0" w:color="auto"/>
            <w:bottom w:val="none" w:sz="0" w:space="0" w:color="auto"/>
            <w:right w:val="none" w:sz="0" w:space="0" w:color="auto"/>
          </w:divBdr>
        </w:div>
        <w:div w:id="1071385804">
          <w:marLeft w:val="640"/>
          <w:marRight w:val="0"/>
          <w:marTop w:val="0"/>
          <w:marBottom w:val="0"/>
          <w:divBdr>
            <w:top w:val="none" w:sz="0" w:space="0" w:color="auto"/>
            <w:left w:val="none" w:sz="0" w:space="0" w:color="auto"/>
            <w:bottom w:val="none" w:sz="0" w:space="0" w:color="auto"/>
            <w:right w:val="none" w:sz="0" w:space="0" w:color="auto"/>
          </w:divBdr>
        </w:div>
        <w:div w:id="21592793">
          <w:marLeft w:val="640"/>
          <w:marRight w:val="0"/>
          <w:marTop w:val="0"/>
          <w:marBottom w:val="0"/>
          <w:divBdr>
            <w:top w:val="none" w:sz="0" w:space="0" w:color="auto"/>
            <w:left w:val="none" w:sz="0" w:space="0" w:color="auto"/>
            <w:bottom w:val="none" w:sz="0" w:space="0" w:color="auto"/>
            <w:right w:val="none" w:sz="0" w:space="0" w:color="auto"/>
          </w:divBdr>
        </w:div>
        <w:div w:id="99112918">
          <w:marLeft w:val="640"/>
          <w:marRight w:val="0"/>
          <w:marTop w:val="0"/>
          <w:marBottom w:val="0"/>
          <w:divBdr>
            <w:top w:val="none" w:sz="0" w:space="0" w:color="auto"/>
            <w:left w:val="none" w:sz="0" w:space="0" w:color="auto"/>
            <w:bottom w:val="none" w:sz="0" w:space="0" w:color="auto"/>
            <w:right w:val="none" w:sz="0" w:space="0" w:color="auto"/>
          </w:divBdr>
        </w:div>
        <w:div w:id="1399860039">
          <w:marLeft w:val="640"/>
          <w:marRight w:val="0"/>
          <w:marTop w:val="0"/>
          <w:marBottom w:val="0"/>
          <w:divBdr>
            <w:top w:val="none" w:sz="0" w:space="0" w:color="auto"/>
            <w:left w:val="none" w:sz="0" w:space="0" w:color="auto"/>
            <w:bottom w:val="none" w:sz="0" w:space="0" w:color="auto"/>
            <w:right w:val="none" w:sz="0" w:space="0" w:color="auto"/>
          </w:divBdr>
        </w:div>
        <w:div w:id="1787962476">
          <w:marLeft w:val="640"/>
          <w:marRight w:val="0"/>
          <w:marTop w:val="0"/>
          <w:marBottom w:val="0"/>
          <w:divBdr>
            <w:top w:val="none" w:sz="0" w:space="0" w:color="auto"/>
            <w:left w:val="none" w:sz="0" w:space="0" w:color="auto"/>
            <w:bottom w:val="none" w:sz="0" w:space="0" w:color="auto"/>
            <w:right w:val="none" w:sz="0" w:space="0" w:color="auto"/>
          </w:divBdr>
        </w:div>
        <w:div w:id="1401946778">
          <w:marLeft w:val="640"/>
          <w:marRight w:val="0"/>
          <w:marTop w:val="0"/>
          <w:marBottom w:val="0"/>
          <w:divBdr>
            <w:top w:val="none" w:sz="0" w:space="0" w:color="auto"/>
            <w:left w:val="none" w:sz="0" w:space="0" w:color="auto"/>
            <w:bottom w:val="none" w:sz="0" w:space="0" w:color="auto"/>
            <w:right w:val="none" w:sz="0" w:space="0" w:color="auto"/>
          </w:divBdr>
        </w:div>
        <w:div w:id="1346245990">
          <w:marLeft w:val="640"/>
          <w:marRight w:val="0"/>
          <w:marTop w:val="0"/>
          <w:marBottom w:val="0"/>
          <w:divBdr>
            <w:top w:val="none" w:sz="0" w:space="0" w:color="auto"/>
            <w:left w:val="none" w:sz="0" w:space="0" w:color="auto"/>
            <w:bottom w:val="none" w:sz="0" w:space="0" w:color="auto"/>
            <w:right w:val="none" w:sz="0" w:space="0" w:color="auto"/>
          </w:divBdr>
        </w:div>
        <w:div w:id="1871650477">
          <w:marLeft w:val="640"/>
          <w:marRight w:val="0"/>
          <w:marTop w:val="0"/>
          <w:marBottom w:val="0"/>
          <w:divBdr>
            <w:top w:val="none" w:sz="0" w:space="0" w:color="auto"/>
            <w:left w:val="none" w:sz="0" w:space="0" w:color="auto"/>
            <w:bottom w:val="none" w:sz="0" w:space="0" w:color="auto"/>
            <w:right w:val="none" w:sz="0" w:space="0" w:color="auto"/>
          </w:divBdr>
        </w:div>
        <w:div w:id="1974485982">
          <w:marLeft w:val="640"/>
          <w:marRight w:val="0"/>
          <w:marTop w:val="0"/>
          <w:marBottom w:val="0"/>
          <w:divBdr>
            <w:top w:val="none" w:sz="0" w:space="0" w:color="auto"/>
            <w:left w:val="none" w:sz="0" w:space="0" w:color="auto"/>
            <w:bottom w:val="none" w:sz="0" w:space="0" w:color="auto"/>
            <w:right w:val="none" w:sz="0" w:space="0" w:color="auto"/>
          </w:divBdr>
        </w:div>
      </w:divsChild>
    </w:div>
    <w:div w:id="1077750845">
      <w:bodyDiv w:val="1"/>
      <w:marLeft w:val="0"/>
      <w:marRight w:val="0"/>
      <w:marTop w:val="0"/>
      <w:marBottom w:val="0"/>
      <w:divBdr>
        <w:top w:val="none" w:sz="0" w:space="0" w:color="auto"/>
        <w:left w:val="none" w:sz="0" w:space="0" w:color="auto"/>
        <w:bottom w:val="none" w:sz="0" w:space="0" w:color="auto"/>
        <w:right w:val="none" w:sz="0" w:space="0" w:color="auto"/>
      </w:divBdr>
      <w:divsChild>
        <w:div w:id="2035961545">
          <w:marLeft w:val="640"/>
          <w:marRight w:val="0"/>
          <w:marTop w:val="0"/>
          <w:marBottom w:val="0"/>
          <w:divBdr>
            <w:top w:val="none" w:sz="0" w:space="0" w:color="auto"/>
            <w:left w:val="none" w:sz="0" w:space="0" w:color="auto"/>
            <w:bottom w:val="none" w:sz="0" w:space="0" w:color="auto"/>
            <w:right w:val="none" w:sz="0" w:space="0" w:color="auto"/>
          </w:divBdr>
        </w:div>
        <w:div w:id="556356030">
          <w:marLeft w:val="640"/>
          <w:marRight w:val="0"/>
          <w:marTop w:val="0"/>
          <w:marBottom w:val="0"/>
          <w:divBdr>
            <w:top w:val="none" w:sz="0" w:space="0" w:color="auto"/>
            <w:left w:val="none" w:sz="0" w:space="0" w:color="auto"/>
            <w:bottom w:val="none" w:sz="0" w:space="0" w:color="auto"/>
            <w:right w:val="none" w:sz="0" w:space="0" w:color="auto"/>
          </w:divBdr>
        </w:div>
        <w:div w:id="2131780188">
          <w:marLeft w:val="640"/>
          <w:marRight w:val="0"/>
          <w:marTop w:val="0"/>
          <w:marBottom w:val="0"/>
          <w:divBdr>
            <w:top w:val="none" w:sz="0" w:space="0" w:color="auto"/>
            <w:left w:val="none" w:sz="0" w:space="0" w:color="auto"/>
            <w:bottom w:val="none" w:sz="0" w:space="0" w:color="auto"/>
            <w:right w:val="none" w:sz="0" w:space="0" w:color="auto"/>
          </w:divBdr>
        </w:div>
        <w:div w:id="2082364275">
          <w:marLeft w:val="640"/>
          <w:marRight w:val="0"/>
          <w:marTop w:val="0"/>
          <w:marBottom w:val="0"/>
          <w:divBdr>
            <w:top w:val="none" w:sz="0" w:space="0" w:color="auto"/>
            <w:left w:val="none" w:sz="0" w:space="0" w:color="auto"/>
            <w:bottom w:val="none" w:sz="0" w:space="0" w:color="auto"/>
            <w:right w:val="none" w:sz="0" w:space="0" w:color="auto"/>
          </w:divBdr>
        </w:div>
        <w:div w:id="1696150273">
          <w:marLeft w:val="640"/>
          <w:marRight w:val="0"/>
          <w:marTop w:val="0"/>
          <w:marBottom w:val="0"/>
          <w:divBdr>
            <w:top w:val="none" w:sz="0" w:space="0" w:color="auto"/>
            <w:left w:val="none" w:sz="0" w:space="0" w:color="auto"/>
            <w:bottom w:val="none" w:sz="0" w:space="0" w:color="auto"/>
            <w:right w:val="none" w:sz="0" w:space="0" w:color="auto"/>
          </w:divBdr>
        </w:div>
        <w:div w:id="1266426746">
          <w:marLeft w:val="640"/>
          <w:marRight w:val="0"/>
          <w:marTop w:val="0"/>
          <w:marBottom w:val="0"/>
          <w:divBdr>
            <w:top w:val="none" w:sz="0" w:space="0" w:color="auto"/>
            <w:left w:val="none" w:sz="0" w:space="0" w:color="auto"/>
            <w:bottom w:val="none" w:sz="0" w:space="0" w:color="auto"/>
            <w:right w:val="none" w:sz="0" w:space="0" w:color="auto"/>
          </w:divBdr>
        </w:div>
        <w:div w:id="361325522">
          <w:marLeft w:val="640"/>
          <w:marRight w:val="0"/>
          <w:marTop w:val="0"/>
          <w:marBottom w:val="0"/>
          <w:divBdr>
            <w:top w:val="none" w:sz="0" w:space="0" w:color="auto"/>
            <w:left w:val="none" w:sz="0" w:space="0" w:color="auto"/>
            <w:bottom w:val="none" w:sz="0" w:space="0" w:color="auto"/>
            <w:right w:val="none" w:sz="0" w:space="0" w:color="auto"/>
          </w:divBdr>
        </w:div>
        <w:div w:id="144712206">
          <w:marLeft w:val="640"/>
          <w:marRight w:val="0"/>
          <w:marTop w:val="0"/>
          <w:marBottom w:val="0"/>
          <w:divBdr>
            <w:top w:val="none" w:sz="0" w:space="0" w:color="auto"/>
            <w:left w:val="none" w:sz="0" w:space="0" w:color="auto"/>
            <w:bottom w:val="none" w:sz="0" w:space="0" w:color="auto"/>
            <w:right w:val="none" w:sz="0" w:space="0" w:color="auto"/>
          </w:divBdr>
        </w:div>
        <w:div w:id="2008484467">
          <w:marLeft w:val="640"/>
          <w:marRight w:val="0"/>
          <w:marTop w:val="0"/>
          <w:marBottom w:val="0"/>
          <w:divBdr>
            <w:top w:val="none" w:sz="0" w:space="0" w:color="auto"/>
            <w:left w:val="none" w:sz="0" w:space="0" w:color="auto"/>
            <w:bottom w:val="none" w:sz="0" w:space="0" w:color="auto"/>
            <w:right w:val="none" w:sz="0" w:space="0" w:color="auto"/>
          </w:divBdr>
        </w:div>
        <w:div w:id="1441756048">
          <w:marLeft w:val="640"/>
          <w:marRight w:val="0"/>
          <w:marTop w:val="0"/>
          <w:marBottom w:val="0"/>
          <w:divBdr>
            <w:top w:val="none" w:sz="0" w:space="0" w:color="auto"/>
            <w:left w:val="none" w:sz="0" w:space="0" w:color="auto"/>
            <w:bottom w:val="none" w:sz="0" w:space="0" w:color="auto"/>
            <w:right w:val="none" w:sz="0" w:space="0" w:color="auto"/>
          </w:divBdr>
        </w:div>
        <w:div w:id="2106998281">
          <w:marLeft w:val="640"/>
          <w:marRight w:val="0"/>
          <w:marTop w:val="0"/>
          <w:marBottom w:val="0"/>
          <w:divBdr>
            <w:top w:val="none" w:sz="0" w:space="0" w:color="auto"/>
            <w:left w:val="none" w:sz="0" w:space="0" w:color="auto"/>
            <w:bottom w:val="none" w:sz="0" w:space="0" w:color="auto"/>
            <w:right w:val="none" w:sz="0" w:space="0" w:color="auto"/>
          </w:divBdr>
        </w:div>
        <w:div w:id="2143034341">
          <w:marLeft w:val="640"/>
          <w:marRight w:val="0"/>
          <w:marTop w:val="0"/>
          <w:marBottom w:val="0"/>
          <w:divBdr>
            <w:top w:val="none" w:sz="0" w:space="0" w:color="auto"/>
            <w:left w:val="none" w:sz="0" w:space="0" w:color="auto"/>
            <w:bottom w:val="none" w:sz="0" w:space="0" w:color="auto"/>
            <w:right w:val="none" w:sz="0" w:space="0" w:color="auto"/>
          </w:divBdr>
        </w:div>
        <w:div w:id="932276439">
          <w:marLeft w:val="640"/>
          <w:marRight w:val="0"/>
          <w:marTop w:val="0"/>
          <w:marBottom w:val="0"/>
          <w:divBdr>
            <w:top w:val="none" w:sz="0" w:space="0" w:color="auto"/>
            <w:left w:val="none" w:sz="0" w:space="0" w:color="auto"/>
            <w:bottom w:val="none" w:sz="0" w:space="0" w:color="auto"/>
            <w:right w:val="none" w:sz="0" w:space="0" w:color="auto"/>
          </w:divBdr>
        </w:div>
        <w:div w:id="577596143">
          <w:marLeft w:val="640"/>
          <w:marRight w:val="0"/>
          <w:marTop w:val="0"/>
          <w:marBottom w:val="0"/>
          <w:divBdr>
            <w:top w:val="none" w:sz="0" w:space="0" w:color="auto"/>
            <w:left w:val="none" w:sz="0" w:space="0" w:color="auto"/>
            <w:bottom w:val="none" w:sz="0" w:space="0" w:color="auto"/>
            <w:right w:val="none" w:sz="0" w:space="0" w:color="auto"/>
          </w:divBdr>
        </w:div>
        <w:div w:id="2057659112">
          <w:marLeft w:val="640"/>
          <w:marRight w:val="0"/>
          <w:marTop w:val="0"/>
          <w:marBottom w:val="0"/>
          <w:divBdr>
            <w:top w:val="none" w:sz="0" w:space="0" w:color="auto"/>
            <w:left w:val="none" w:sz="0" w:space="0" w:color="auto"/>
            <w:bottom w:val="none" w:sz="0" w:space="0" w:color="auto"/>
            <w:right w:val="none" w:sz="0" w:space="0" w:color="auto"/>
          </w:divBdr>
        </w:div>
        <w:div w:id="299267183">
          <w:marLeft w:val="640"/>
          <w:marRight w:val="0"/>
          <w:marTop w:val="0"/>
          <w:marBottom w:val="0"/>
          <w:divBdr>
            <w:top w:val="none" w:sz="0" w:space="0" w:color="auto"/>
            <w:left w:val="none" w:sz="0" w:space="0" w:color="auto"/>
            <w:bottom w:val="none" w:sz="0" w:space="0" w:color="auto"/>
            <w:right w:val="none" w:sz="0" w:space="0" w:color="auto"/>
          </w:divBdr>
        </w:div>
        <w:div w:id="1791705941">
          <w:marLeft w:val="640"/>
          <w:marRight w:val="0"/>
          <w:marTop w:val="0"/>
          <w:marBottom w:val="0"/>
          <w:divBdr>
            <w:top w:val="none" w:sz="0" w:space="0" w:color="auto"/>
            <w:left w:val="none" w:sz="0" w:space="0" w:color="auto"/>
            <w:bottom w:val="none" w:sz="0" w:space="0" w:color="auto"/>
            <w:right w:val="none" w:sz="0" w:space="0" w:color="auto"/>
          </w:divBdr>
        </w:div>
        <w:div w:id="1015694243">
          <w:marLeft w:val="640"/>
          <w:marRight w:val="0"/>
          <w:marTop w:val="0"/>
          <w:marBottom w:val="0"/>
          <w:divBdr>
            <w:top w:val="none" w:sz="0" w:space="0" w:color="auto"/>
            <w:left w:val="none" w:sz="0" w:space="0" w:color="auto"/>
            <w:bottom w:val="none" w:sz="0" w:space="0" w:color="auto"/>
            <w:right w:val="none" w:sz="0" w:space="0" w:color="auto"/>
          </w:divBdr>
        </w:div>
        <w:div w:id="1537237539">
          <w:marLeft w:val="640"/>
          <w:marRight w:val="0"/>
          <w:marTop w:val="0"/>
          <w:marBottom w:val="0"/>
          <w:divBdr>
            <w:top w:val="none" w:sz="0" w:space="0" w:color="auto"/>
            <w:left w:val="none" w:sz="0" w:space="0" w:color="auto"/>
            <w:bottom w:val="none" w:sz="0" w:space="0" w:color="auto"/>
            <w:right w:val="none" w:sz="0" w:space="0" w:color="auto"/>
          </w:divBdr>
        </w:div>
        <w:div w:id="1911841327">
          <w:marLeft w:val="640"/>
          <w:marRight w:val="0"/>
          <w:marTop w:val="0"/>
          <w:marBottom w:val="0"/>
          <w:divBdr>
            <w:top w:val="none" w:sz="0" w:space="0" w:color="auto"/>
            <w:left w:val="none" w:sz="0" w:space="0" w:color="auto"/>
            <w:bottom w:val="none" w:sz="0" w:space="0" w:color="auto"/>
            <w:right w:val="none" w:sz="0" w:space="0" w:color="auto"/>
          </w:divBdr>
        </w:div>
        <w:div w:id="984359420">
          <w:marLeft w:val="640"/>
          <w:marRight w:val="0"/>
          <w:marTop w:val="0"/>
          <w:marBottom w:val="0"/>
          <w:divBdr>
            <w:top w:val="none" w:sz="0" w:space="0" w:color="auto"/>
            <w:left w:val="none" w:sz="0" w:space="0" w:color="auto"/>
            <w:bottom w:val="none" w:sz="0" w:space="0" w:color="auto"/>
            <w:right w:val="none" w:sz="0" w:space="0" w:color="auto"/>
          </w:divBdr>
        </w:div>
        <w:div w:id="1544754660">
          <w:marLeft w:val="640"/>
          <w:marRight w:val="0"/>
          <w:marTop w:val="0"/>
          <w:marBottom w:val="0"/>
          <w:divBdr>
            <w:top w:val="none" w:sz="0" w:space="0" w:color="auto"/>
            <w:left w:val="none" w:sz="0" w:space="0" w:color="auto"/>
            <w:bottom w:val="none" w:sz="0" w:space="0" w:color="auto"/>
            <w:right w:val="none" w:sz="0" w:space="0" w:color="auto"/>
          </w:divBdr>
        </w:div>
        <w:div w:id="1317152611">
          <w:marLeft w:val="640"/>
          <w:marRight w:val="0"/>
          <w:marTop w:val="0"/>
          <w:marBottom w:val="0"/>
          <w:divBdr>
            <w:top w:val="none" w:sz="0" w:space="0" w:color="auto"/>
            <w:left w:val="none" w:sz="0" w:space="0" w:color="auto"/>
            <w:bottom w:val="none" w:sz="0" w:space="0" w:color="auto"/>
            <w:right w:val="none" w:sz="0" w:space="0" w:color="auto"/>
          </w:divBdr>
        </w:div>
        <w:div w:id="430248845">
          <w:marLeft w:val="640"/>
          <w:marRight w:val="0"/>
          <w:marTop w:val="0"/>
          <w:marBottom w:val="0"/>
          <w:divBdr>
            <w:top w:val="none" w:sz="0" w:space="0" w:color="auto"/>
            <w:left w:val="none" w:sz="0" w:space="0" w:color="auto"/>
            <w:bottom w:val="none" w:sz="0" w:space="0" w:color="auto"/>
            <w:right w:val="none" w:sz="0" w:space="0" w:color="auto"/>
          </w:divBdr>
        </w:div>
        <w:div w:id="380901812">
          <w:marLeft w:val="640"/>
          <w:marRight w:val="0"/>
          <w:marTop w:val="0"/>
          <w:marBottom w:val="0"/>
          <w:divBdr>
            <w:top w:val="none" w:sz="0" w:space="0" w:color="auto"/>
            <w:left w:val="none" w:sz="0" w:space="0" w:color="auto"/>
            <w:bottom w:val="none" w:sz="0" w:space="0" w:color="auto"/>
            <w:right w:val="none" w:sz="0" w:space="0" w:color="auto"/>
          </w:divBdr>
        </w:div>
        <w:div w:id="398671499">
          <w:marLeft w:val="640"/>
          <w:marRight w:val="0"/>
          <w:marTop w:val="0"/>
          <w:marBottom w:val="0"/>
          <w:divBdr>
            <w:top w:val="none" w:sz="0" w:space="0" w:color="auto"/>
            <w:left w:val="none" w:sz="0" w:space="0" w:color="auto"/>
            <w:bottom w:val="none" w:sz="0" w:space="0" w:color="auto"/>
            <w:right w:val="none" w:sz="0" w:space="0" w:color="auto"/>
          </w:divBdr>
        </w:div>
        <w:div w:id="1658925177">
          <w:marLeft w:val="640"/>
          <w:marRight w:val="0"/>
          <w:marTop w:val="0"/>
          <w:marBottom w:val="0"/>
          <w:divBdr>
            <w:top w:val="none" w:sz="0" w:space="0" w:color="auto"/>
            <w:left w:val="none" w:sz="0" w:space="0" w:color="auto"/>
            <w:bottom w:val="none" w:sz="0" w:space="0" w:color="auto"/>
            <w:right w:val="none" w:sz="0" w:space="0" w:color="auto"/>
          </w:divBdr>
        </w:div>
        <w:div w:id="497236938">
          <w:marLeft w:val="640"/>
          <w:marRight w:val="0"/>
          <w:marTop w:val="0"/>
          <w:marBottom w:val="0"/>
          <w:divBdr>
            <w:top w:val="none" w:sz="0" w:space="0" w:color="auto"/>
            <w:left w:val="none" w:sz="0" w:space="0" w:color="auto"/>
            <w:bottom w:val="none" w:sz="0" w:space="0" w:color="auto"/>
            <w:right w:val="none" w:sz="0" w:space="0" w:color="auto"/>
          </w:divBdr>
        </w:div>
        <w:div w:id="1166164998">
          <w:marLeft w:val="640"/>
          <w:marRight w:val="0"/>
          <w:marTop w:val="0"/>
          <w:marBottom w:val="0"/>
          <w:divBdr>
            <w:top w:val="none" w:sz="0" w:space="0" w:color="auto"/>
            <w:left w:val="none" w:sz="0" w:space="0" w:color="auto"/>
            <w:bottom w:val="none" w:sz="0" w:space="0" w:color="auto"/>
            <w:right w:val="none" w:sz="0" w:space="0" w:color="auto"/>
          </w:divBdr>
        </w:div>
        <w:div w:id="940449728">
          <w:marLeft w:val="640"/>
          <w:marRight w:val="0"/>
          <w:marTop w:val="0"/>
          <w:marBottom w:val="0"/>
          <w:divBdr>
            <w:top w:val="none" w:sz="0" w:space="0" w:color="auto"/>
            <w:left w:val="none" w:sz="0" w:space="0" w:color="auto"/>
            <w:bottom w:val="none" w:sz="0" w:space="0" w:color="auto"/>
            <w:right w:val="none" w:sz="0" w:space="0" w:color="auto"/>
          </w:divBdr>
        </w:div>
        <w:div w:id="334112122">
          <w:marLeft w:val="640"/>
          <w:marRight w:val="0"/>
          <w:marTop w:val="0"/>
          <w:marBottom w:val="0"/>
          <w:divBdr>
            <w:top w:val="none" w:sz="0" w:space="0" w:color="auto"/>
            <w:left w:val="none" w:sz="0" w:space="0" w:color="auto"/>
            <w:bottom w:val="none" w:sz="0" w:space="0" w:color="auto"/>
            <w:right w:val="none" w:sz="0" w:space="0" w:color="auto"/>
          </w:divBdr>
        </w:div>
        <w:div w:id="1355763736">
          <w:marLeft w:val="640"/>
          <w:marRight w:val="0"/>
          <w:marTop w:val="0"/>
          <w:marBottom w:val="0"/>
          <w:divBdr>
            <w:top w:val="none" w:sz="0" w:space="0" w:color="auto"/>
            <w:left w:val="none" w:sz="0" w:space="0" w:color="auto"/>
            <w:bottom w:val="none" w:sz="0" w:space="0" w:color="auto"/>
            <w:right w:val="none" w:sz="0" w:space="0" w:color="auto"/>
          </w:divBdr>
        </w:div>
        <w:div w:id="1483082726">
          <w:marLeft w:val="640"/>
          <w:marRight w:val="0"/>
          <w:marTop w:val="0"/>
          <w:marBottom w:val="0"/>
          <w:divBdr>
            <w:top w:val="none" w:sz="0" w:space="0" w:color="auto"/>
            <w:left w:val="none" w:sz="0" w:space="0" w:color="auto"/>
            <w:bottom w:val="none" w:sz="0" w:space="0" w:color="auto"/>
            <w:right w:val="none" w:sz="0" w:space="0" w:color="auto"/>
          </w:divBdr>
        </w:div>
        <w:div w:id="2109038701">
          <w:marLeft w:val="640"/>
          <w:marRight w:val="0"/>
          <w:marTop w:val="0"/>
          <w:marBottom w:val="0"/>
          <w:divBdr>
            <w:top w:val="none" w:sz="0" w:space="0" w:color="auto"/>
            <w:left w:val="none" w:sz="0" w:space="0" w:color="auto"/>
            <w:bottom w:val="none" w:sz="0" w:space="0" w:color="auto"/>
            <w:right w:val="none" w:sz="0" w:space="0" w:color="auto"/>
          </w:divBdr>
        </w:div>
        <w:div w:id="1260068866">
          <w:marLeft w:val="640"/>
          <w:marRight w:val="0"/>
          <w:marTop w:val="0"/>
          <w:marBottom w:val="0"/>
          <w:divBdr>
            <w:top w:val="none" w:sz="0" w:space="0" w:color="auto"/>
            <w:left w:val="none" w:sz="0" w:space="0" w:color="auto"/>
            <w:bottom w:val="none" w:sz="0" w:space="0" w:color="auto"/>
            <w:right w:val="none" w:sz="0" w:space="0" w:color="auto"/>
          </w:divBdr>
        </w:div>
        <w:div w:id="2074616301">
          <w:marLeft w:val="640"/>
          <w:marRight w:val="0"/>
          <w:marTop w:val="0"/>
          <w:marBottom w:val="0"/>
          <w:divBdr>
            <w:top w:val="none" w:sz="0" w:space="0" w:color="auto"/>
            <w:left w:val="none" w:sz="0" w:space="0" w:color="auto"/>
            <w:bottom w:val="none" w:sz="0" w:space="0" w:color="auto"/>
            <w:right w:val="none" w:sz="0" w:space="0" w:color="auto"/>
          </w:divBdr>
        </w:div>
        <w:div w:id="278412656">
          <w:marLeft w:val="640"/>
          <w:marRight w:val="0"/>
          <w:marTop w:val="0"/>
          <w:marBottom w:val="0"/>
          <w:divBdr>
            <w:top w:val="none" w:sz="0" w:space="0" w:color="auto"/>
            <w:left w:val="none" w:sz="0" w:space="0" w:color="auto"/>
            <w:bottom w:val="none" w:sz="0" w:space="0" w:color="auto"/>
            <w:right w:val="none" w:sz="0" w:space="0" w:color="auto"/>
          </w:divBdr>
        </w:div>
        <w:div w:id="2106683542">
          <w:marLeft w:val="640"/>
          <w:marRight w:val="0"/>
          <w:marTop w:val="0"/>
          <w:marBottom w:val="0"/>
          <w:divBdr>
            <w:top w:val="none" w:sz="0" w:space="0" w:color="auto"/>
            <w:left w:val="none" w:sz="0" w:space="0" w:color="auto"/>
            <w:bottom w:val="none" w:sz="0" w:space="0" w:color="auto"/>
            <w:right w:val="none" w:sz="0" w:space="0" w:color="auto"/>
          </w:divBdr>
        </w:div>
        <w:div w:id="1093009448">
          <w:marLeft w:val="640"/>
          <w:marRight w:val="0"/>
          <w:marTop w:val="0"/>
          <w:marBottom w:val="0"/>
          <w:divBdr>
            <w:top w:val="none" w:sz="0" w:space="0" w:color="auto"/>
            <w:left w:val="none" w:sz="0" w:space="0" w:color="auto"/>
            <w:bottom w:val="none" w:sz="0" w:space="0" w:color="auto"/>
            <w:right w:val="none" w:sz="0" w:space="0" w:color="auto"/>
          </w:divBdr>
        </w:div>
        <w:div w:id="335612780">
          <w:marLeft w:val="640"/>
          <w:marRight w:val="0"/>
          <w:marTop w:val="0"/>
          <w:marBottom w:val="0"/>
          <w:divBdr>
            <w:top w:val="none" w:sz="0" w:space="0" w:color="auto"/>
            <w:left w:val="none" w:sz="0" w:space="0" w:color="auto"/>
            <w:bottom w:val="none" w:sz="0" w:space="0" w:color="auto"/>
            <w:right w:val="none" w:sz="0" w:space="0" w:color="auto"/>
          </w:divBdr>
        </w:div>
        <w:div w:id="1029263138">
          <w:marLeft w:val="640"/>
          <w:marRight w:val="0"/>
          <w:marTop w:val="0"/>
          <w:marBottom w:val="0"/>
          <w:divBdr>
            <w:top w:val="none" w:sz="0" w:space="0" w:color="auto"/>
            <w:left w:val="none" w:sz="0" w:space="0" w:color="auto"/>
            <w:bottom w:val="none" w:sz="0" w:space="0" w:color="auto"/>
            <w:right w:val="none" w:sz="0" w:space="0" w:color="auto"/>
          </w:divBdr>
        </w:div>
        <w:div w:id="2063867157">
          <w:marLeft w:val="640"/>
          <w:marRight w:val="0"/>
          <w:marTop w:val="0"/>
          <w:marBottom w:val="0"/>
          <w:divBdr>
            <w:top w:val="none" w:sz="0" w:space="0" w:color="auto"/>
            <w:left w:val="none" w:sz="0" w:space="0" w:color="auto"/>
            <w:bottom w:val="none" w:sz="0" w:space="0" w:color="auto"/>
            <w:right w:val="none" w:sz="0" w:space="0" w:color="auto"/>
          </w:divBdr>
        </w:div>
        <w:div w:id="798574189">
          <w:marLeft w:val="640"/>
          <w:marRight w:val="0"/>
          <w:marTop w:val="0"/>
          <w:marBottom w:val="0"/>
          <w:divBdr>
            <w:top w:val="none" w:sz="0" w:space="0" w:color="auto"/>
            <w:left w:val="none" w:sz="0" w:space="0" w:color="auto"/>
            <w:bottom w:val="none" w:sz="0" w:space="0" w:color="auto"/>
            <w:right w:val="none" w:sz="0" w:space="0" w:color="auto"/>
          </w:divBdr>
        </w:div>
        <w:div w:id="1689721910">
          <w:marLeft w:val="640"/>
          <w:marRight w:val="0"/>
          <w:marTop w:val="0"/>
          <w:marBottom w:val="0"/>
          <w:divBdr>
            <w:top w:val="none" w:sz="0" w:space="0" w:color="auto"/>
            <w:left w:val="none" w:sz="0" w:space="0" w:color="auto"/>
            <w:bottom w:val="none" w:sz="0" w:space="0" w:color="auto"/>
            <w:right w:val="none" w:sz="0" w:space="0" w:color="auto"/>
          </w:divBdr>
        </w:div>
        <w:div w:id="1576740645">
          <w:marLeft w:val="640"/>
          <w:marRight w:val="0"/>
          <w:marTop w:val="0"/>
          <w:marBottom w:val="0"/>
          <w:divBdr>
            <w:top w:val="none" w:sz="0" w:space="0" w:color="auto"/>
            <w:left w:val="none" w:sz="0" w:space="0" w:color="auto"/>
            <w:bottom w:val="none" w:sz="0" w:space="0" w:color="auto"/>
            <w:right w:val="none" w:sz="0" w:space="0" w:color="auto"/>
          </w:divBdr>
        </w:div>
        <w:div w:id="1484547828">
          <w:marLeft w:val="640"/>
          <w:marRight w:val="0"/>
          <w:marTop w:val="0"/>
          <w:marBottom w:val="0"/>
          <w:divBdr>
            <w:top w:val="none" w:sz="0" w:space="0" w:color="auto"/>
            <w:left w:val="none" w:sz="0" w:space="0" w:color="auto"/>
            <w:bottom w:val="none" w:sz="0" w:space="0" w:color="auto"/>
            <w:right w:val="none" w:sz="0" w:space="0" w:color="auto"/>
          </w:divBdr>
        </w:div>
        <w:div w:id="1291781582">
          <w:marLeft w:val="640"/>
          <w:marRight w:val="0"/>
          <w:marTop w:val="0"/>
          <w:marBottom w:val="0"/>
          <w:divBdr>
            <w:top w:val="none" w:sz="0" w:space="0" w:color="auto"/>
            <w:left w:val="none" w:sz="0" w:space="0" w:color="auto"/>
            <w:bottom w:val="none" w:sz="0" w:space="0" w:color="auto"/>
            <w:right w:val="none" w:sz="0" w:space="0" w:color="auto"/>
          </w:divBdr>
        </w:div>
        <w:div w:id="1036924741">
          <w:marLeft w:val="640"/>
          <w:marRight w:val="0"/>
          <w:marTop w:val="0"/>
          <w:marBottom w:val="0"/>
          <w:divBdr>
            <w:top w:val="none" w:sz="0" w:space="0" w:color="auto"/>
            <w:left w:val="none" w:sz="0" w:space="0" w:color="auto"/>
            <w:bottom w:val="none" w:sz="0" w:space="0" w:color="auto"/>
            <w:right w:val="none" w:sz="0" w:space="0" w:color="auto"/>
          </w:divBdr>
        </w:div>
        <w:div w:id="1704593796">
          <w:marLeft w:val="640"/>
          <w:marRight w:val="0"/>
          <w:marTop w:val="0"/>
          <w:marBottom w:val="0"/>
          <w:divBdr>
            <w:top w:val="none" w:sz="0" w:space="0" w:color="auto"/>
            <w:left w:val="none" w:sz="0" w:space="0" w:color="auto"/>
            <w:bottom w:val="none" w:sz="0" w:space="0" w:color="auto"/>
            <w:right w:val="none" w:sz="0" w:space="0" w:color="auto"/>
          </w:divBdr>
        </w:div>
        <w:div w:id="709650480">
          <w:marLeft w:val="640"/>
          <w:marRight w:val="0"/>
          <w:marTop w:val="0"/>
          <w:marBottom w:val="0"/>
          <w:divBdr>
            <w:top w:val="none" w:sz="0" w:space="0" w:color="auto"/>
            <w:left w:val="none" w:sz="0" w:space="0" w:color="auto"/>
            <w:bottom w:val="none" w:sz="0" w:space="0" w:color="auto"/>
            <w:right w:val="none" w:sz="0" w:space="0" w:color="auto"/>
          </w:divBdr>
        </w:div>
        <w:div w:id="295642670">
          <w:marLeft w:val="640"/>
          <w:marRight w:val="0"/>
          <w:marTop w:val="0"/>
          <w:marBottom w:val="0"/>
          <w:divBdr>
            <w:top w:val="none" w:sz="0" w:space="0" w:color="auto"/>
            <w:left w:val="none" w:sz="0" w:space="0" w:color="auto"/>
            <w:bottom w:val="none" w:sz="0" w:space="0" w:color="auto"/>
            <w:right w:val="none" w:sz="0" w:space="0" w:color="auto"/>
          </w:divBdr>
        </w:div>
        <w:div w:id="1321931391">
          <w:marLeft w:val="640"/>
          <w:marRight w:val="0"/>
          <w:marTop w:val="0"/>
          <w:marBottom w:val="0"/>
          <w:divBdr>
            <w:top w:val="none" w:sz="0" w:space="0" w:color="auto"/>
            <w:left w:val="none" w:sz="0" w:space="0" w:color="auto"/>
            <w:bottom w:val="none" w:sz="0" w:space="0" w:color="auto"/>
            <w:right w:val="none" w:sz="0" w:space="0" w:color="auto"/>
          </w:divBdr>
        </w:div>
        <w:div w:id="297421994">
          <w:marLeft w:val="640"/>
          <w:marRight w:val="0"/>
          <w:marTop w:val="0"/>
          <w:marBottom w:val="0"/>
          <w:divBdr>
            <w:top w:val="none" w:sz="0" w:space="0" w:color="auto"/>
            <w:left w:val="none" w:sz="0" w:space="0" w:color="auto"/>
            <w:bottom w:val="none" w:sz="0" w:space="0" w:color="auto"/>
            <w:right w:val="none" w:sz="0" w:space="0" w:color="auto"/>
          </w:divBdr>
        </w:div>
        <w:div w:id="943266839">
          <w:marLeft w:val="640"/>
          <w:marRight w:val="0"/>
          <w:marTop w:val="0"/>
          <w:marBottom w:val="0"/>
          <w:divBdr>
            <w:top w:val="none" w:sz="0" w:space="0" w:color="auto"/>
            <w:left w:val="none" w:sz="0" w:space="0" w:color="auto"/>
            <w:bottom w:val="none" w:sz="0" w:space="0" w:color="auto"/>
            <w:right w:val="none" w:sz="0" w:space="0" w:color="auto"/>
          </w:divBdr>
        </w:div>
        <w:div w:id="679356202">
          <w:marLeft w:val="640"/>
          <w:marRight w:val="0"/>
          <w:marTop w:val="0"/>
          <w:marBottom w:val="0"/>
          <w:divBdr>
            <w:top w:val="none" w:sz="0" w:space="0" w:color="auto"/>
            <w:left w:val="none" w:sz="0" w:space="0" w:color="auto"/>
            <w:bottom w:val="none" w:sz="0" w:space="0" w:color="auto"/>
            <w:right w:val="none" w:sz="0" w:space="0" w:color="auto"/>
          </w:divBdr>
        </w:div>
        <w:div w:id="50737506">
          <w:marLeft w:val="640"/>
          <w:marRight w:val="0"/>
          <w:marTop w:val="0"/>
          <w:marBottom w:val="0"/>
          <w:divBdr>
            <w:top w:val="none" w:sz="0" w:space="0" w:color="auto"/>
            <w:left w:val="none" w:sz="0" w:space="0" w:color="auto"/>
            <w:bottom w:val="none" w:sz="0" w:space="0" w:color="auto"/>
            <w:right w:val="none" w:sz="0" w:space="0" w:color="auto"/>
          </w:divBdr>
        </w:div>
        <w:div w:id="522984212">
          <w:marLeft w:val="640"/>
          <w:marRight w:val="0"/>
          <w:marTop w:val="0"/>
          <w:marBottom w:val="0"/>
          <w:divBdr>
            <w:top w:val="none" w:sz="0" w:space="0" w:color="auto"/>
            <w:left w:val="none" w:sz="0" w:space="0" w:color="auto"/>
            <w:bottom w:val="none" w:sz="0" w:space="0" w:color="auto"/>
            <w:right w:val="none" w:sz="0" w:space="0" w:color="auto"/>
          </w:divBdr>
        </w:div>
        <w:div w:id="1763725082">
          <w:marLeft w:val="640"/>
          <w:marRight w:val="0"/>
          <w:marTop w:val="0"/>
          <w:marBottom w:val="0"/>
          <w:divBdr>
            <w:top w:val="none" w:sz="0" w:space="0" w:color="auto"/>
            <w:left w:val="none" w:sz="0" w:space="0" w:color="auto"/>
            <w:bottom w:val="none" w:sz="0" w:space="0" w:color="auto"/>
            <w:right w:val="none" w:sz="0" w:space="0" w:color="auto"/>
          </w:divBdr>
        </w:div>
        <w:div w:id="1203784282">
          <w:marLeft w:val="640"/>
          <w:marRight w:val="0"/>
          <w:marTop w:val="0"/>
          <w:marBottom w:val="0"/>
          <w:divBdr>
            <w:top w:val="none" w:sz="0" w:space="0" w:color="auto"/>
            <w:left w:val="none" w:sz="0" w:space="0" w:color="auto"/>
            <w:bottom w:val="none" w:sz="0" w:space="0" w:color="auto"/>
            <w:right w:val="none" w:sz="0" w:space="0" w:color="auto"/>
          </w:divBdr>
        </w:div>
        <w:div w:id="2092465116">
          <w:marLeft w:val="640"/>
          <w:marRight w:val="0"/>
          <w:marTop w:val="0"/>
          <w:marBottom w:val="0"/>
          <w:divBdr>
            <w:top w:val="none" w:sz="0" w:space="0" w:color="auto"/>
            <w:left w:val="none" w:sz="0" w:space="0" w:color="auto"/>
            <w:bottom w:val="none" w:sz="0" w:space="0" w:color="auto"/>
            <w:right w:val="none" w:sz="0" w:space="0" w:color="auto"/>
          </w:divBdr>
        </w:div>
        <w:div w:id="1131048469">
          <w:marLeft w:val="640"/>
          <w:marRight w:val="0"/>
          <w:marTop w:val="0"/>
          <w:marBottom w:val="0"/>
          <w:divBdr>
            <w:top w:val="none" w:sz="0" w:space="0" w:color="auto"/>
            <w:left w:val="none" w:sz="0" w:space="0" w:color="auto"/>
            <w:bottom w:val="none" w:sz="0" w:space="0" w:color="auto"/>
            <w:right w:val="none" w:sz="0" w:space="0" w:color="auto"/>
          </w:divBdr>
        </w:div>
        <w:div w:id="964042476">
          <w:marLeft w:val="640"/>
          <w:marRight w:val="0"/>
          <w:marTop w:val="0"/>
          <w:marBottom w:val="0"/>
          <w:divBdr>
            <w:top w:val="none" w:sz="0" w:space="0" w:color="auto"/>
            <w:left w:val="none" w:sz="0" w:space="0" w:color="auto"/>
            <w:bottom w:val="none" w:sz="0" w:space="0" w:color="auto"/>
            <w:right w:val="none" w:sz="0" w:space="0" w:color="auto"/>
          </w:divBdr>
        </w:div>
        <w:div w:id="1519348205">
          <w:marLeft w:val="640"/>
          <w:marRight w:val="0"/>
          <w:marTop w:val="0"/>
          <w:marBottom w:val="0"/>
          <w:divBdr>
            <w:top w:val="none" w:sz="0" w:space="0" w:color="auto"/>
            <w:left w:val="none" w:sz="0" w:space="0" w:color="auto"/>
            <w:bottom w:val="none" w:sz="0" w:space="0" w:color="auto"/>
            <w:right w:val="none" w:sz="0" w:space="0" w:color="auto"/>
          </w:divBdr>
        </w:div>
        <w:div w:id="1242105082">
          <w:marLeft w:val="640"/>
          <w:marRight w:val="0"/>
          <w:marTop w:val="0"/>
          <w:marBottom w:val="0"/>
          <w:divBdr>
            <w:top w:val="none" w:sz="0" w:space="0" w:color="auto"/>
            <w:left w:val="none" w:sz="0" w:space="0" w:color="auto"/>
            <w:bottom w:val="none" w:sz="0" w:space="0" w:color="auto"/>
            <w:right w:val="none" w:sz="0" w:space="0" w:color="auto"/>
          </w:divBdr>
        </w:div>
        <w:div w:id="1804349132">
          <w:marLeft w:val="640"/>
          <w:marRight w:val="0"/>
          <w:marTop w:val="0"/>
          <w:marBottom w:val="0"/>
          <w:divBdr>
            <w:top w:val="none" w:sz="0" w:space="0" w:color="auto"/>
            <w:left w:val="none" w:sz="0" w:space="0" w:color="auto"/>
            <w:bottom w:val="none" w:sz="0" w:space="0" w:color="auto"/>
            <w:right w:val="none" w:sz="0" w:space="0" w:color="auto"/>
          </w:divBdr>
        </w:div>
        <w:div w:id="1738168538">
          <w:marLeft w:val="640"/>
          <w:marRight w:val="0"/>
          <w:marTop w:val="0"/>
          <w:marBottom w:val="0"/>
          <w:divBdr>
            <w:top w:val="none" w:sz="0" w:space="0" w:color="auto"/>
            <w:left w:val="none" w:sz="0" w:space="0" w:color="auto"/>
            <w:bottom w:val="none" w:sz="0" w:space="0" w:color="auto"/>
            <w:right w:val="none" w:sz="0" w:space="0" w:color="auto"/>
          </w:divBdr>
        </w:div>
        <w:div w:id="1416366030">
          <w:marLeft w:val="640"/>
          <w:marRight w:val="0"/>
          <w:marTop w:val="0"/>
          <w:marBottom w:val="0"/>
          <w:divBdr>
            <w:top w:val="none" w:sz="0" w:space="0" w:color="auto"/>
            <w:left w:val="none" w:sz="0" w:space="0" w:color="auto"/>
            <w:bottom w:val="none" w:sz="0" w:space="0" w:color="auto"/>
            <w:right w:val="none" w:sz="0" w:space="0" w:color="auto"/>
          </w:divBdr>
        </w:div>
        <w:div w:id="1939562210">
          <w:marLeft w:val="640"/>
          <w:marRight w:val="0"/>
          <w:marTop w:val="0"/>
          <w:marBottom w:val="0"/>
          <w:divBdr>
            <w:top w:val="none" w:sz="0" w:space="0" w:color="auto"/>
            <w:left w:val="none" w:sz="0" w:space="0" w:color="auto"/>
            <w:bottom w:val="none" w:sz="0" w:space="0" w:color="auto"/>
            <w:right w:val="none" w:sz="0" w:space="0" w:color="auto"/>
          </w:divBdr>
        </w:div>
        <w:div w:id="634068410">
          <w:marLeft w:val="640"/>
          <w:marRight w:val="0"/>
          <w:marTop w:val="0"/>
          <w:marBottom w:val="0"/>
          <w:divBdr>
            <w:top w:val="none" w:sz="0" w:space="0" w:color="auto"/>
            <w:left w:val="none" w:sz="0" w:space="0" w:color="auto"/>
            <w:bottom w:val="none" w:sz="0" w:space="0" w:color="auto"/>
            <w:right w:val="none" w:sz="0" w:space="0" w:color="auto"/>
          </w:divBdr>
        </w:div>
        <w:div w:id="198670011">
          <w:marLeft w:val="640"/>
          <w:marRight w:val="0"/>
          <w:marTop w:val="0"/>
          <w:marBottom w:val="0"/>
          <w:divBdr>
            <w:top w:val="none" w:sz="0" w:space="0" w:color="auto"/>
            <w:left w:val="none" w:sz="0" w:space="0" w:color="auto"/>
            <w:bottom w:val="none" w:sz="0" w:space="0" w:color="auto"/>
            <w:right w:val="none" w:sz="0" w:space="0" w:color="auto"/>
          </w:divBdr>
        </w:div>
        <w:div w:id="448357085">
          <w:marLeft w:val="640"/>
          <w:marRight w:val="0"/>
          <w:marTop w:val="0"/>
          <w:marBottom w:val="0"/>
          <w:divBdr>
            <w:top w:val="none" w:sz="0" w:space="0" w:color="auto"/>
            <w:left w:val="none" w:sz="0" w:space="0" w:color="auto"/>
            <w:bottom w:val="none" w:sz="0" w:space="0" w:color="auto"/>
            <w:right w:val="none" w:sz="0" w:space="0" w:color="auto"/>
          </w:divBdr>
        </w:div>
        <w:div w:id="1419600675">
          <w:marLeft w:val="640"/>
          <w:marRight w:val="0"/>
          <w:marTop w:val="0"/>
          <w:marBottom w:val="0"/>
          <w:divBdr>
            <w:top w:val="none" w:sz="0" w:space="0" w:color="auto"/>
            <w:left w:val="none" w:sz="0" w:space="0" w:color="auto"/>
            <w:bottom w:val="none" w:sz="0" w:space="0" w:color="auto"/>
            <w:right w:val="none" w:sz="0" w:space="0" w:color="auto"/>
          </w:divBdr>
        </w:div>
        <w:div w:id="1735081821">
          <w:marLeft w:val="640"/>
          <w:marRight w:val="0"/>
          <w:marTop w:val="0"/>
          <w:marBottom w:val="0"/>
          <w:divBdr>
            <w:top w:val="none" w:sz="0" w:space="0" w:color="auto"/>
            <w:left w:val="none" w:sz="0" w:space="0" w:color="auto"/>
            <w:bottom w:val="none" w:sz="0" w:space="0" w:color="auto"/>
            <w:right w:val="none" w:sz="0" w:space="0" w:color="auto"/>
          </w:divBdr>
        </w:div>
        <w:div w:id="2011055270">
          <w:marLeft w:val="640"/>
          <w:marRight w:val="0"/>
          <w:marTop w:val="0"/>
          <w:marBottom w:val="0"/>
          <w:divBdr>
            <w:top w:val="none" w:sz="0" w:space="0" w:color="auto"/>
            <w:left w:val="none" w:sz="0" w:space="0" w:color="auto"/>
            <w:bottom w:val="none" w:sz="0" w:space="0" w:color="auto"/>
            <w:right w:val="none" w:sz="0" w:space="0" w:color="auto"/>
          </w:divBdr>
        </w:div>
        <w:div w:id="790977627">
          <w:marLeft w:val="640"/>
          <w:marRight w:val="0"/>
          <w:marTop w:val="0"/>
          <w:marBottom w:val="0"/>
          <w:divBdr>
            <w:top w:val="none" w:sz="0" w:space="0" w:color="auto"/>
            <w:left w:val="none" w:sz="0" w:space="0" w:color="auto"/>
            <w:bottom w:val="none" w:sz="0" w:space="0" w:color="auto"/>
            <w:right w:val="none" w:sz="0" w:space="0" w:color="auto"/>
          </w:divBdr>
        </w:div>
        <w:div w:id="1026950820">
          <w:marLeft w:val="640"/>
          <w:marRight w:val="0"/>
          <w:marTop w:val="0"/>
          <w:marBottom w:val="0"/>
          <w:divBdr>
            <w:top w:val="none" w:sz="0" w:space="0" w:color="auto"/>
            <w:left w:val="none" w:sz="0" w:space="0" w:color="auto"/>
            <w:bottom w:val="none" w:sz="0" w:space="0" w:color="auto"/>
            <w:right w:val="none" w:sz="0" w:space="0" w:color="auto"/>
          </w:divBdr>
        </w:div>
        <w:div w:id="1272399037">
          <w:marLeft w:val="640"/>
          <w:marRight w:val="0"/>
          <w:marTop w:val="0"/>
          <w:marBottom w:val="0"/>
          <w:divBdr>
            <w:top w:val="none" w:sz="0" w:space="0" w:color="auto"/>
            <w:left w:val="none" w:sz="0" w:space="0" w:color="auto"/>
            <w:bottom w:val="none" w:sz="0" w:space="0" w:color="auto"/>
            <w:right w:val="none" w:sz="0" w:space="0" w:color="auto"/>
          </w:divBdr>
        </w:div>
        <w:div w:id="832575049">
          <w:marLeft w:val="640"/>
          <w:marRight w:val="0"/>
          <w:marTop w:val="0"/>
          <w:marBottom w:val="0"/>
          <w:divBdr>
            <w:top w:val="none" w:sz="0" w:space="0" w:color="auto"/>
            <w:left w:val="none" w:sz="0" w:space="0" w:color="auto"/>
            <w:bottom w:val="none" w:sz="0" w:space="0" w:color="auto"/>
            <w:right w:val="none" w:sz="0" w:space="0" w:color="auto"/>
          </w:divBdr>
        </w:div>
        <w:div w:id="201408013">
          <w:marLeft w:val="640"/>
          <w:marRight w:val="0"/>
          <w:marTop w:val="0"/>
          <w:marBottom w:val="0"/>
          <w:divBdr>
            <w:top w:val="none" w:sz="0" w:space="0" w:color="auto"/>
            <w:left w:val="none" w:sz="0" w:space="0" w:color="auto"/>
            <w:bottom w:val="none" w:sz="0" w:space="0" w:color="auto"/>
            <w:right w:val="none" w:sz="0" w:space="0" w:color="auto"/>
          </w:divBdr>
        </w:div>
        <w:div w:id="395708553">
          <w:marLeft w:val="640"/>
          <w:marRight w:val="0"/>
          <w:marTop w:val="0"/>
          <w:marBottom w:val="0"/>
          <w:divBdr>
            <w:top w:val="none" w:sz="0" w:space="0" w:color="auto"/>
            <w:left w:val="none" w:sz="0" w:space="0" w:color="auto"/>
            <w:bottom w:val="none" w:sz="0" w:space="0" w:color="auto"/>
            <w:right w:val="none" w:sz="0" w:space="0" w:color="auto"/>
          </w:divBdr>
        </w:div>
        <w:div w:id="157112589">
          <w:marLeft w:val="640"/>
          <w:marRight w:val="0"/>
          <w:marTop w:val="0"/>
          <w:marBottom w:val="0"/>
          <w:divBdr>
            <w:top w:val="none" w:sz="0" w:space="0" w:color="auto"/>
            <w:left w:val="none" w:sz="0" w:space="0" w:color="auto"/>
            <w:bottom w:val="none" w:sz="0" w:space="0" w:color="auto"/>
            <w:right w:val="none" w:sz="0" w:space="0" w:color="auto"/>
          </w:divBdr>
        </w:div>
        <w:div w:id="1492714092">
          <w:marLeft w:val="640"/>
          <w:marRight w:val="0"/>
          <w:marTop w:val="0"/>
          <w:marBottom w:val="0"/>
          <w:divBdr>
            <w:top w:val="none" w:sz="0" w:space="0" w:color="auto"/>
            <w:left w:val="none" w:sz="0" w:space="0" w:color="auto"/>
            <w:bottom w:val="none" w:sz="0" w:space="0" w:color="auto"/>
            <w:right w:val="none" w:sz="0" w:space="0" w:color="auto"/>
          </w:divBdr>
        </w:div>
        <w:div w:id="1733000555">
          <w:marLeft w:val="640"/>
          <w:marRight w:val="0"/>
          <w:marTop w:val="0"/>
          <w:marBottom w:val="0"/>
          <w:divBdr>
            <w:top w:val="none" w:sz="0" w:space="0" w:color="auto"/>
            <w:left w:val="none" w:sz="0" w:space="0" w:color="auto"/>
            <w:bottom w:val="none" w:sz="0" w:space="0" w:color="auto"/>
            <w:right w:val="none" w:sz="0" w:space="0" w:color="auto"/>
          </w:divBdr>
        </w:div>
        <w:div w:id="593394367">
          <w:marLeft w:val="640"/>
          <w:marRight w:val="0"/>
          <w:marTop w:val="0"/>
          <w:marBottom w:val="0"/>
          <w:divBdr>
            <w:top w:val="none" w:sz="0" w:space="0" w:color="auto"/>
            <w:left w:val="none" w:sz="0" w:space="0" w:color="auto"/>
            <w:bottom w:val="none" w:sz="0" w:space="0" w:color="auto"/>
            <w:right w:val="none" w:sz="0" w:space="0" w:color="auto"/>
          </w:divBdr>
        </w:div>
        <w:div w:id="745954998">
          <w:marLeft w:val="640"/>
          <w:marRight w:val="0"/>
          <w:marTop w:val="0"/>
          <w:marBottom w:val="0"/>
          <w:divBdr>
            <w:top w:val="none" w:sz="0" w:space="0" w:color="auto"/>
            <w:left w:val="none" w:sz="0" w:space="0" w:color="auto"/>
            <w:bottom w:val="none" w:sz="0" w:space="0" w:color="auto"/>
            <w:right w:val="none" w:sz="0" w:space="0" w:color="auto"/>
          </w:divBdr>
        </w:div>
        <w:div w:id="64500198">
          <w:marLeft w:val="640"/>
          <w:marRight w:val="0"/>
          <w:marTop w:val="0"/>
          <w:marBottom w:val="0"/>
          <w:divBdr>
            <w:top w:val="none" w:sz="0" w:space="0" w:color="auto"/>
            <w:left w:val="none" w:sz="0" w:space="0" w:color="auto"/>
            <w:bottom w:val="none" w:sz="0" w:space="0" w:color="auto"/>
            <w:right w:val="none" w:sz="0" w:space="0" w:color="auto"/>
          </w:divBdr>
        </w:div>
        <w:div w:id="1319579926">
          <w:marLeft w:val="640"/>
          <w:marRight w:val="0"/>
          <w:marTop w:val="0"/>
          <w:marBottom w:val="0"/>
          <w:divBdr>
            <w:top w:val="none" w:sz="0" w:space="0" w:color="auto"/>
            <w:left w:val="none" w:sz="0" w:space="0" w:color="auto"/>
            <w:bottom w:val="none" w:sz="0" w:space="0" w:color="auto"/>
            <w:right w:val="none" w:sz="0" w:space="0" w:color="auto"/>
          </w:divBdr>
        </w:div>
        <w:div w:id="1018890736">
          <w:marLeft w:val="640"/>
          <w:marRight w:val="0"/>
          <w:marTop w:val="0"/>
          <w:marBottom w:val="0"/>
          <w:divBdr>
            <w:top w:val="none" w:sz="0" w:space="0" w:color="auto"/>
            <w:left w:val="none" w:sz="0" w:space="0" w:color="auto"/>
            <w:bottom w:val="none" w:sz="0" w:space="0" w:color="auto"/>
            <w:right w:val="none" w:sz="0" w:space="0" w:color="auto"/>
          </w:divBdr>
        </w:div>
        <w:div w:id="1348827055">
          <w:marLeft w:val="640"/>
          <w:marRight w:val="0"/>
          <w:marTop w:val="0"/>
          <w:marBottom w:val="0"/>
          <w:divBdr>
            <w:top w:val="none" w:sz="0" w:space="0" w:color="auto"/>
            <w:left w:val="none" w:sz="0" w:space="0" w:color="auto"/>
            <w:bottom w:val="none" w:sz="0" w:space="0" w:color="auto"/>
            <w:right w:val="none" w:sz="0" w:space="0" w:color="auto"/>
          </w:divBdr>
        </w:div>
        <w:div w:id="612634719">
          <w:marLeft w:val="640"/>
          <w:marRight w:val="0"/>
          <w:marTop w:val="0"/>
          <w:marBottom w:val="0"/>
          <w:divBdr>
            <w:top w:val="none" w:sz="0" w:space="0" w:color="auto"/>
            <w:left w:val="none" w:sz="0" w:space="0" w:color="auto"/>
            <w:bottom w:val="none" w:sz="0" w:space="0" w:color="auto"/>
            <w:right w:val="none" w:sz="0" w:space="0" w:color="auto"/>
          </w:divBdr>
        </w:div>
        <w:div w:id="325399639">
          <w:marLeft w:val="640"/>
          <w:marRight w:val="0"/>
          <w:marTop w:val="0"/>
          <w:marBottom w:val="0"/>
          <w:divBdr>
            <w:top w:val="none" w:sz="0" w:space="0" w:color="auto"/>
            <w:left w:val="none" w:sz="0" w:space="0" w:color="auto"/>
            <w:bottom w:val="none" w:sz="0" w:space="0" w:color="auto"/>
            <w:right w:val="none" w:sz="0" w:space="0" w:color="auto"/>
          </w:divBdr>
        </w:div>
        <w:div w:id="370419230">
          <w:marLeft w:val="640"/>
          <w:marRight w:val="0"/>
          <w:marTop w:val="0"/>
          <w:marBottom w:val="0"/>
          <w:divBdr>
            <w:top w:val="none" w:sz="0" w:space="0" w:color="auto"/>
            <w:left w:val="none" w:sz="0" w:space="0" w:color="auto"/>
            <w:bottom w:val="none" w:sz="0" w:space="0" w:color="auto"/>
            <w:right w:val="none" w:sz="0" w:space="0" w:color="auto"/>
          </w:divBdr>
        </w:div>
        <w:div w:id="1323773335">
          <w:marLeft w:val="640"/>
          <w:marRight w:val="0"/>
          <w:marTop w:val="0"/>
          <w:marBottom w:val="0"/>
          <w:divBdr>
            <w:top w:val="none" w:sz="0" w:space="0" w:color="auto"/>
            <w:left w:val="none" w:sz="0" w:space="0" w:color="auto"/>
            <w:bottom w:val="none" w:sz="0" w:space="0" w:color="auto"/>
            <w:right w:val="none" w:sz="0" w:space="0" w:color="auto"/>
          </w:divBdr>
        </w:div>
        <w:div w:id="313529286">
          <w:marLeft w:val="640"/>
          <w:marRight w:val="0"/>
          <w:marTop w:val="0"/>
          <w:marBottom w:val="0"/>
          <w:divBdr>
            <w:top w:val="none" w:sz="0" w:space="0" w:color="auto"/>
            <w:left w:val="none" w:sz="0" w:space="0" w:color="auto"/>
            <w:bottom w:val="none" w:sz="0" w:space="0" w:color="auto"/>
            <w:right w:val="none" w:sz="0" w:space="0" w:color="auto"/>
          </w:divBdr>
        </w:div>
        <w:div w:id="570623298">
          <w:marLeft w:val="640"/>
          <w:marRight w:val="0"/>
          <w:marTop w:val="0"/>
          <w:marBottom w:val="0"/>
          <w:divBdr>
            <w:top w:val="none" w:sz="0" w:space="0" w:color="auto"/>
            <w:left w:val="none" w:sz="0" w:space="0" w:color="auto"/>
            <w:bottom w:val="none" w:sz="0" w:space="0" w:color="auto"/>
            <w:right w:val="none" w:sz="0" w:space="0" w:color="auto"/>
          </w:divBdr>
        </w:div>
        <w:div w:id="1263731698">
          <w:marLeft w:val="640"/>
          <w:marRight w:val="0"/>
          <w:marTop w:val="0"/>
          <w:marBottom w:val="0"/>
          <w:divBdr>
            <w:top w:val="none" w:sz="0" w:space="0" w:color="auto"/>
            <w:left w:val="none" w:sz="0" w:space="0" w:color="auto"/>
            <w:bottom w:val="none" w:sz="0" w:space="0" w:color="auto"/>
            <w:right w:val="none" w:sz="0" w:space="0" w:color="auto"/>
          </w:divBdr>
        </w:div>
        <w:div w:id="1971587385">
          <w:marLeft w:val="640"/>
          <w:marRight w:val="0"/>
          <w:marTop w:val="0"/>
          <w:marBottom w:val="0"/>
          <w:divBdr>
            <w:top w:val="none" w:sz="0" w:space="0" w:color="auto"/>
            <w:left w:val="none" w:sz="0" w:space="0" w:color="auto"/>
            <w:bottom w:val="none" w:sz="0" w:space="0" w:color="auto"/>
            <w:right w:val="none" w:sz="0" w:space="0" w:color="auto"/>
          </w:divBdr>
        </w:div>
        <w:div w:id="1825076642">
          <w:marLeft w:val="640"/>
          <w:marRight w:val="0"/>
          <w:marTop w:val="0"/>
          <w:marBottom w:val="0"/>
          <w:divBdr>
            <w:top w:val="none" w:sz="0" w:space="0" w:color="auto"/>
            <w:left w:val="none" w:sz="0" w:space="0" w:color="auto"/>
            <w:bottom w:val="none" w:sz="0" w:space="0" w:color="auto"/>
            <w:right w:val="none" w:sz="0" w:space="0" w:color="auto"/>
          </w:divBdr>
        </w:div>
        <w:div w:id="1717779973">
          <w:marLeft w:val="640"/>
          <w:marRight w:val="0"/>
          <w:marTop w:val="0"/>
          <w:marBottom w:val="0"/>
          <w:divBdr>
            <w:top w:val="none" w:sz="0" w:space="0" w:color="auto"/>
            <w:left w:val="none" w:sz="0" w:space="0" w:color="auto"/>
            <w:bottom w:val="none" w:sz="0" w:space="0" w:color="auto"/>
            <w:right w:val="none" w:sz="0" w:space="0" w:color="auto"/>
          </w:divBdr>
        </w:div>
        <w:div w:id="1747875327">
          <w:marLeft w:val="640"/>
          <w:marRight w:val="0"/>
          <w:marTop w:val="0"/>
          <w:marBottom w:val="0"/>
          <w:divBdr>
            <w:top w:val="none" w:sz="0" w:space="0" w:color="auto"/>
            <w:left w:val="none" w:sz="0" w:space="0" w:color="auto"/>
            <w:bottom w:val="none" w:sz="0" w:space="0" w:color="auto"/>
            <w:right w:val="none" w:sz="0" w:space="0" w:color="auto"/>
          </w:divBdr>
        </w:div>
        <w:div w:id="1769807910">
          <w:marLeft w:val="640"/>
          <w:marRight w:val="0"/>
          <w:marTop w:val="0"/>
          <w:marBottom w:val="0"/>
          <w:divBdr>
            <w:top w:val="none" w:sz="0" w:space="0" w:color="auto"/>
            <w:left w:val="none" w:sz="0" w:space="0" w:color="auto"/>
            <w:bottom w:val="none" w:sz="0" w:space="0" w:color="auto"/>
            <w:right w:val="none" w:sz="0" w:space="0" w:color="auto"/>
          </w:divBdr>
        </w:div>
        <w:div w:id="1956598941">
          <w:marLeft w:val="640"/>
          <w:marRight w:val="0"/>
          <w:marTop w:val="0"/>
          <w:marBottom w:val="0"/>
          <w:divBdr>
            <w:top w:val="none" w:sz="0" w:space="0" w:color="auto"/>
            <w:left w:val="none" w:sz="0" w:space="0" w:color="auto"/>
            <w:bottom w:val="none" w:sz="0" w:space="0" w:color="auto"/>
            <w:right w:val="none" w:sz="0" w:space="0" w:color="auto"/>
          </w:divBdr>
        </w:div>
        <w:div w:id="638150577">
          <w:marLeft w:val="640"/>
          <w:marRight w:val="0"/>
          <w:marTop w:val="0"/>
          <w:marBottom w:val="0"/>
          <w:divBdr>
            <w:top w:val="none" w:sz="0" w:space="0" w:color="auto"/>
            <w:left w:val="none" w:sz="0" w:space="0" w:color="auto"/>
            <w:bottom w:val="none" w:sz="0" w:space="0" w:color="auto"/>
            <w:right w:val="none" w:sz="0" w:space="0" w:color="auto"/>
          </w:divBdr>
        </w:div>
        <w:div w:id="605814975">
          <w:marLeft w:val="640"/>
          <w:marRight w:val="0"/>
          <w:marTop w:val="0"/>
          <w:marBottom w:val="0"/>
          <w:divBdr>
            <w:top w:val="none" w:sz="0" w:space="0" w:color="auto"/>
            <w:left w:val="none" w:sz="0" w:space="0" w:color="auto"/>
            <w:bottom w:val="none" w:sz="0" w:space="0" w:color="auto"/>
            <w:right w:val="none" w:sz="0" w:space="0" w:color="auto"/>
          </w:divBdr>
        </w:div>
        <w:div w:id="781611385">
          <w:marLeft w:val="640"/>
          <w:marRight w:val="0"/>
          <w:marTop w:val="0"/>
          <w:marBottom w:val="0"/>
          <w:divBdr>
            <w:top w:val="none" w:sz="0" w:space="0" w:color="auto"/>
            <w:left w:val="none" w:sz="0" w:space="0" w:color="auto"/>
            <w:bottom w:val="none" w:sz="0" w:space="0" w:color="auto"/>
            <w:right w:val="none" w:sz="0" w:space="0" w:color="auto"/>
          </w:divBdr>
        </w:div>
        <w:div w:id="1451510142">
          <w:marLeft w:val="640"/>
          <w:marRight w:val="0"/>
          <w:marTop w:val="0"/>
          <w:marBottom w:val="0"/>
          <w:divBdr>
            <w:top w:val="none" w:sz="0" w:space="0" w:color="auto"/>
            <w:left w:val="none" w:sz="0" w:space="0" w:color="auto"/>
            <w:bottom w:val="none" w:sz="0" w:space="0" w:color="auto"/>
            <w:right w:val="none" w:sz="0" w:space="0" w:color="auto"/>
          </w:divBdr>
        </w:div>
        <w:div w:id="9526905">
          <w:marLeft w:val="640"/>
          <w:marRight w:val="0"/>
          <w:marTop w:val="0"/>
          <w:marBottom w:val="0"/>
          <w:divBdr>
            <w:top w:val="none" w:sz="0" w:space="0" w:color="auto"/>
            <w:left w:val="none" w:sz="0" w:space="0" w:color="auto"/>
            <w:bottom w:val="none" w:sz="0" w:space="0" w:color="auto"/>
            <w:right w:val="none" w:sz="0" w:space="0" w:color="auto"/>
          </w:divBdr>
        </w:div>
        <w:div w:id="1734962877">
          <w:marLeft w:val="640"/>
          <w:marRight w:val="0"/>
          <w:marTop w:val="0"/>
          <w:marBottom w:val="0"/>
          <w:divBdr>
            <w:top w:val="none" w:sz="0" w:space="0" w:color="auto"/>
            <w:left w:val="none" w:sz="0" w:space="0" w:color="auto"/>
            <w:bottom w:val="none" w:sz="0" w:space="0" w:color="auto"/>
            <w:right w:val="none" w:sz="0" w:space="0" w:color="auto"/>
          </w:divBdr>
        </w:div>
        <w:div w:id="1886406933">
          <w:marLeft w:val="640"/>
          <w:marRight w:val="0"/>
          <w:marTop w:val="0"/>
          <w:marBottom w:val="0"/>
          <w:divBdr>
            <w:top w:val="none" w:sz="0" w:space="0" w:color="auto"/>
            <w:left w:val="none" w:sz="0" w:space="0" w:color="auto"/>
            <w:bottom w:val="none" w:sz="0" w:space="0" w:color="auto"/>
            <w:right w:val="none" w:sz="0" w:space="0" w:color="auto"/>
          </w:divBdr>
        </w:div>
        <w:div w:id="1117796296">
          <w:marLeft w:val="640"/>
          <w:marRight w:val="0"/>
          <w:marTop w:val="0"/>
          <w:marBottom w:val="0"/>
          <w:divBdr>
            <w:top w:val="none" w:sz="0" w:space="0" w:color="auto"/>
            <w:left w:val="none" w:sz="0" w:space="0" w:color="auto"/>
            <w:bottom w:val="none" w:sz="0" w:space="0" w:color="auto"/>
            <w:right w:val="none" w:sz="0" w:space="0" w:color="auto"/>
          </w:divBdr>
        </w:div>
        <w:div w:id="2081633260">
          <w:marLeft w:val="640"/>
          <w:marRight w:val="0"/>
          <w:marTop w:val="0"/>
          <w:marBottom w:val="0"/>
          <w:divBdr>
            <w:top w:val="none" w:sz="0" w:space="0" w:color="auto"/>
            <w:left w:val="none" w:sz="0" w:space="0" w:color="auto"/>
            <w:bottom w:val="none" w:sz="0" w:space="0" w:color="auto"/>
            <w:right w:val="none" w:sz="0" w:space="0" w:color="auto"/>
          </w:divBdr>
        </w:div>
        <w:div w:id="10838218">
          <w:marLeft w:val="640"/>
          <w:marRight w:val="0"/>
          <w:marTop w:val="0"/>
          <w:marBottom w:val="0"/>
          <w:divBdr>
            <w:top w:val="none" w:sz="0" w:space="0" w:color="auto"/>
            <w:left w:val="none" w:sz="0" w:space="0" w:color="auto"/>
            <w:bottom w:val="none" w:sz="0" w:space="0" w:color="auto"/>
            <w:right w:val="none" w:sz="0" w:space="0" w:color="auto"/>
          </w:divBdr>
        </w:div>
        <w:div w:id="992945942">
          <w:marLeft w:val="640"/>
          <w:marRight w:val="0"/>
          <w:marTop w:val="0"/>
          <w:marBottom w:val="0"/>
          <w:divBdr>
            <w:top w:val="none" w:sz="0" w:space="0" w:color="auto"/>
            <w:left w:val="none" w:sz="0" w:space="0" w:color="auto"/>
            <w:bottom w:val="none" w:sz="0" w:space="0" w:color="auto"/>
            <w:right w:val="none" w:sz="0" w:space="0" w:color="auto"/>
          </w:divBdr>
        </w:div>
        <w:div w:id="198010461">
          <w:marLeft w:val="640"/>
          <w:marRight w:val="0"/>
          <w:marTop w:val="0"/>
          <w:marBottom w:val="0"/>
          <w:divBdr>
            <w:top w:val="none" w:sz="0" w:space="0" w:color="auto"/>
            <w:left w:val="none" w:sz="0" w:space="0" w:color="auto"/>
            <w:bottom w:val="none" w:sz="0" w:space="0" w:color="auto"/>
            <w:right w:val="none" w:sz="0" w:space="0" w:color="auto"/>
          </w:divBdr>
        </w:div>
        <w:div w:id="568417844">
          <w:marLeft w:val="640"/>
          <w:marRight w:val="0"/>
          <w:marTop w:val="0"/>
          <w:marBottom w:val="0"/>
          <w:divBdr>
            <w:top w:val="none" w:sz="0" w:space="0" w:color="auto"/>
            <w:left w:val="none" w:sz="0" w:space="0" w:color="auto"/>
            <w:bottom w:val="none" w:sz="0" w:space="0" w:color="auto"/>
            <w:right w:val="none" w:sz="0" w:space="0" w:color="auto"/>
          </w:divBdr>
        </w:div>
        <w:div w:id="464347087">
          <w:marLeft w:val="640"/>
          <w:marRight w:val="0"/>
          <w:marTop w:val="0"/>
          <w:marBottom w:val="0"/>
          <w:divBdr>
            <w:top w:val="none" w:sz="0" w:space="0" w:color="auto"/>
            <w:left w:val="none" w:sz="0" w:space="0" w:color="auto"/>
            <w:bottom w:val="none" w:sz="0" w:space="0" w:color="auto"/>
            <w:right w:val="none" w:sz="0" w:space="0" w:color="auto"/>
          </w:divBdr>
        </w:div>
        <w:div w:id="448402181">
          <w:marLeft w:val="640"/>
          <w:marRight w:val="0"/>
          <w:marTop w:val="0"/>
          <w:marBottom w:val="0"/>
          <w:divBdr>
            <w:top w:val="none" w:sz="0" w:space="0" w:color="auto"/>
            <w:left w:val="none" w:sz="0" w:space="0" w:color="auto"/>
            <w:bottom w:val="none" w:sz="0" w:space="0" w:color="auto"/>
            <w:right w:val="none" w:sz="0" w:space="0" w:color="auto"/>
          </w:divBdr>
        </w:div>
        <w:div w:id="868294645">
          <w:marLeft w:val="640"/>
          <w:marRight w:val="0"/>
          <w:marTop w:val="0"/>
          <w:marBottom w:val="0"/>
          <w:divBdr>
            <w:top w:val="none" w:sz="0" w:space="0" w:color="auto"/>
            <w:left w:val="none" w:sz="0" w:space="0" w:color="auto"/>
            <w:bottom w:val="none" w:sz="0" w:space="0" w:color="auto"/>
            <w:right w:val="none" w:sz="0" w:space="0" w:color="auto"/>
          </w:divBdr>
        </w:div>
        <w:div w:id="487329999">
          <w:marLeft w:val="640"/>
          <w:marRight w:val="0"/>
          <w:marTop w:val="0"/>
          <w:marBottom w:val="0"/>
          <w:divBdr>
            <w:top w:val="none" w:sz="0" w:space="0" w:color="auto"/>
            <w:left w:val="none" w:sz="0" w:space="0" w:color="auto"/>
            <w:bottom w:val="none" w:sz="0" w:space="0" w:color="auto"/>
            <w:right w:val="none" w:sz="0" w:space="0" w:color="auto"/>
          </w:divBdr>
        </w:div>
        <w:div w:id="1814834685">
          <w:marLeft w:val="640"/>
          <w:marRight w:val="0"/>
          <w:marTop w:val="0"/>
          <w:marBottom w:val="0"/>
          <w:divBdr>
            <w:top w:val="none" w:sz="0" w:space="0" w:color="auto"/>
            <w:left w:val="none" w:sz="0" w:space="0" w:color="auto"/>
            <w:bottom w:val="none" w:sz="0" w:space="0" w:color="auto"/>
            <w:right w:val="none" w:sz="0" w:space="0" w:color="auto"/>
          </w:divBdr>
        </w:div>
        <w:div w:id="1315527209">
          <w:marLeft w:val="640"/>
          <w:marRight w:val="0"/>
          <w:marTop w:val="0"/>
          <w:marBottom w:val="0"/>
          <w:divBdr>
            <w:top w:val="none" w:sz="0" w:space="0" w:color="auto"/>
            <w:left w:val="none" w:sz="0" w:space="0" w:color="auto"/>
            <w:bottom w:val="none" w:sz="0" w:space="0" w:color="auto"/>
            <w:right w:val="none" w:sz="0" w:space="0" w:color="auto"/>
          </w:divBdr>
        </w:div>
        <w:div w:id="2090033504">
          <w:marLeft w:val="640"/>
          <w:marRight w:val="0"/>
          <w:marTop w:val="0"/>
          <w:marBottom w:val="0"/>
          <w:divBdr>
            <w:top w:val="none" w:sz="0" w:space="0" w:color="auto"/>
            <w:left w:val="none" w:sz="0" w:space="0" w:color="auto"/>
            <w:bottom w:val="none" w:sz="0" w:space="0" w:color="auto"/>
            <w:right w:val="none" w:sz="0" w:space="0" w:color="auto"/>
          </w:divBdr>
        </w:div>
      </w:divsChild>
    </w:div>
    <w:div w:id="1118991000">
      <w:bodyDiv w:val="1"/>
      <w:marLeft w:val="0"/>
      <w:marRight w:val="0"/>
      <w:marTop w:val="0"/>
      <w:marBottom w:val="0"/>
      <w:divBdr>
        <w:top w:val="none" w:sz="0" w:space="0" w:color="auto"/>
        <w:left w:val="none" w:sz="0" w:space="0" w:color="auto"/>
        <w:bottom w:val="none" w:sz="0" w:space="0" w:color="auto"/>
        <w:right w:val="none" w:sz="0" w:space="0" w:color="auto"/>
      </w:divBdr>
      <w:divsChild>
        <w:div w:id="811678249">
          <w:marLeft w:val="-10"/>
          <w:marRight w:val="0"/>
          <w:marTop w:val="0"/>
          <w:marBottom w:val="0"/>
          <w:divBdr>
            <w:top w:val="none" w:sz="0" w:space="0" w:color="auto"/>
            <w:left w:val="none" w:sz="0" w:space="0" w:color="auto"/>
            <w:bottom w:val="none" w:sz="0" w:space="0" w:color="auto"/>
            <w:right w:val="none" w:sz="0" w:space="0" w:color="auto"/>
          </w:divBdr>
        </w:div>
      </w:divsChild>
    </w:div>
    <w:div w:id="1125350886">
      <w:bodyDiv w:val="1"/>
      <w:marLeft w:val="0"/>
      <w:marRight w:val="0"/>
      <w:marTop w:val="0"/>
      <w:marBottom w:val="0"/>
      <w:divBdr>
        <w:top w:val="none" w:sz="0" w:space="0" w:color="auto"/>
        <w:left w:val="none" w:sz="0" w:space="0" w:color="auto"/>
        <w:bottom w:val="none" w:sz="0" w:space="0" w:color="auto"/>
        <w:right w:val="none" w:sz="0" w:space="0" w:color="auto"/>
      </w:divBdr>
    </w:div>
    <w:div w:id="1145469430">
      <w:bodyDiv w:val="1"/>
      <w:marLeft w:val="0"/>
      <w:marRight w:val="0"/>
      <w:marTop w:val="0"/>
      <w:marBottom w:val="0"/>
      <w:divBdr>
        <w:top w:val="none" w:sz="0" w:space="0" w:color="auto"/>
        <w:left w:val="none" w:sz="0" w:space="0" w:color="auto"/>
        <w:bottom w:val="none" w:sz="0" w:space="0" w:color="auto"/>
        <w:right w:val="none" w:sz="0" w:space="0" w:color="auto"/>
      </w:divBdr>
    </w:div>
    <w:div w:id="1154368650">
      <w:bodyDiv w:val="1"/>
      <w:marLeft w:val="0"/>
      <w:marRight w:val="0"/>
      <w:marTop w:val="0"/>
      <w:marBottom w:val="0"/>
      <w:divBdr>
        <w:top w:val="none" w:sz="0" w:space="0" w:color="auto"/>
        <w:left w:val="none" w:sz="0" w:space="0" w:color="auto"/>
        <w:bottom w:val="none" w:sz="0" w:space="0" w:color="auto"/>
        <w:right w:val="none" w:sz="0" w:space="0" w:color="auto"/>
      </w:divBdr>
      <w:divsChild>
        <w:div w:id="1576813680">
          <w:marLeft w:val="640"/>
          <w:marRight w:val="0"/>
          <w:marTop w:val="0"/>
          <w:marBottom w:val="0"/>
          <w:divBdr>
            <w:top w:val="none" w:sz="0" w:space="0" w:color="auto"/>
            <w:left w:val="none" w:sz="0" w:space="0" w:color="auto"/>
            <w:bottom w:val="none" w:sz="0" w:space="0" w:color="auto"/>
            <w:right w:val="none" w:sz="0" w:space="0" w:color="auto"/>
          </w:divBdr>
        </w:div>
        <w:div w:id="558979464">
          <w:marLeft w:val="640"/>
          <w:marRight w:val="0"/>
          <w:marTop w:val="0"/>
          <w:marBottom w:val="0"/>
          <w:divBdr>
            <w:top w:val="none" w:sz="0" w:space="0" w:color="auto"/>
            <w:left w:val="none" w:sz="0" w:space="0" w:color="auto"/>
            <w:bottom w:val="none" w:sz="0" w:space="0" w:color="auto"/>
            <w:right w:val="none" w:sz="0" w:space="0" w:color="auto"/>
          </w:divBdr>
        </w:div>
        <w:div w:id="1283002078">
          <w:marLeft w:val="640"/>
          <w:marRight w:val="0"/>
          <w:marTop w:val="0"/>
          <w:marBottom w:val="0"/>
          <w:divBdr>
            <w:top w:val="none" w:sz="0" w:space="0" w:color="auto"/>
            <w:left w:val="none" w:sz="0" w:space="0" w:color="auto"/>
            <w:bottom w:val="none" w:sz="0" w:space="0" w:color="auto"/>
            <w:right w:val="none" w:sz="0" w:space="0" w:color="auto"/>
          </w:divBdr>
        </w:div>
        <w:div w:id="2013026154">
          <w:marLeft w:val="640"/>
          <w:marRight w:val="0"/>
          <w:marTop w:val="0"/>
          <w:marBottom w:val="0"/>
          <w:divBdr>
            <w:top w:val="none" w:sz="0" w:space="0" w:color="auto"/>
            <w:left w:val="none" w:sz="0" w:space="0" w:color="auto"/>
            <w:bottom w:val="none" w:sz="0" w:space="0" w:color="auto"/>
            <w:right w:val="none" w:sz="0" w:space="0" w:color="auto"/>
          </w:divBdr>
        </w:div>
        <w:div w:id="652952953">
          <w:marLeft w:val="640"/>
          <w:marRight w:val="0"/>
          <w:marTop w:val="0"/>
          <w:marBottom w:val="0"/>
          <w:divBdr>
            <w:top w:val="none" w:sz="0" w:space="0" w:color="auto"/>
            <w:left w:val="none" w:sz="0" w:space="0" w:color="auto"/>
            <w:bottom w:val="none" w:sz="0" w:space="0" w:color="auto"/>
            <w:right w:val="none" w:sz="0" w:space="0" w:color="auto"/>
          </w:divBdr>
        </w:div>
        <w:div w:id="1429153717">
          <w:marLeft w:val="640"/>
          <w:marRight w:val="0"/>
          <w:marTop w:val="0"/>
          <w:marBottom w:val="0"/>
          <w:divBdr>
            <w:top w:val="none" w:sz="0" w:space="0" w:color="auto"/>
            <w:left w:val="none" w:sz="0" w:space="0" w:color="auto"/>
            <w:bottom w:val="none" w:sz="0" w:space="0" w:color="auto"/>
            <w:right w:val="none" w:sz="0" w:space="0" w:color="auto"/>
          </w:divBdr>
        </w:div>
        <w:div w:id="1864704362">
          <w:marLeft w:val="640"/>
          <w:marRight w:val="0"/>
          <w:marTop w:val="0"/>
          <w:marBottom w:val="0"/>
          <w:divBdr>
            <w:top w:val="none" w:sz="0" w:space="0" w:color="auto"/>
            <w:left w:val="none" w:sz="0" w:space="0" w:color="auto"/>
            <w:bottom w:val="none" w:sz="0" w:space="0" w:color="auto"/>
            <w:right w:val="none" w:sz="0" w:space="0" w:color="auto"/>
          </w:divBdr>
        </w:div>
        <w:div w:id="1709910422">
          <w:marLeft w:val="640"/>
          <w:marRight w:val="0"/>
          <w:marTop w:val="0"/>
          <w:marBottom w:val="0"/>
          <w:divBdr>
            <w:top w:val="none" w:sz="0" w:space="0" w:color="auto"/>
            <w:left w:val="none" w:sz="0" w:space="0" w:color="auto"/>
            <w:bottom w:val="none" w:sz="0" w:space="0" w:color="auto"/>
            <w:right w:val="none" w:sz="0" w:space="0" w:color="auto"/>
          </w:divBdr>
        </w:div>
        <w:div w:id="2091342476">
          <w:marLeft w:val="640"/>
          <w:marRight w:val="0"/>
          <w:marTop w:val="0"/>
          <w:marBottom w:val="0"/>
          <w:divBdr>
            <w:top w:val="none" w:sz="0" w:space="0" w:color="auto"/>
            <w:left w:val="none" w:sz="0" w:space="0" w:color="auto"/>
            <w:bottom w:val="none" w:sz="0" w:space="0" w:color="auto"/>
            <w:right w:val="none" w:sz="0" w:space="0" w:color="auto"/>
          </w:divBdr>
        </w:div>
        <w:div w:id="1404985055">
          <w:marLeft w:val="640"/>
          <w:marRight w:val="0"/>
          <w:marTop w:val="0"/>
          <w:marBottom w:val="0"/>
          <w:divBdr>
            <w:top w:val="none" w:sz="0" w:space="0" w:color="auto"/>
            <w:left w:val="none" w:sz="0" w:space="0" w:color="auto"/>
            <w:bottom w:val="none" w:sz="0" w:space="0" w:color="auto"/>
            <w:right w:val="none" w:sz="0" w:space="0" w:color="auto"/>
          </w:divBdr>
        </w:div>
        <w:div w:id="1036853188">
          <w:marLeft w:val="640"/>
          <w:marRight w:val="0"/>
          <w:marTop w:val="0"/>
          <w:marBottom w:val="0"/>
          <w:divBdr>
            <w:top w:val="none" w:sz="0" w:space="0" w:color="auto"/>
            <w:left w:val="none" w:sz="0" w:space="0" w:color="auto"/>
            <w:bottom w:val="none" w:sz="0" w:space="0" w:color="auto"/>
            <w:right w:val="none" w:sz="0" w:space="0" w:color="auto"/>
          </w:divBdr>
        </w:div>
        <w:div w:id="726874162">
          <w:marLeft w:val="640"/>
          <w:marRight w:val="0"/>
          <w:marTop w:val="0"/>
          <w:marBottom w:val="0"/>
          <w:divBdr>
            <w:top w:val="none" w:sz="0" w:space="0" w:color="auto"/>
            <w:left w:val="none" w:sz="0" w:space="0" w:color="auto"/>
            <w:bottom w:val="none" w:sz="0" w:space="0" w:color="auto"/>
            <w:right w:val="none" w:sz="0" w:space="0" w:color="auto"/>
          </w:divBdr>
        </w:div>
        <w:div w:id="2093619849">
          <w:marLeft w:val="640"/>
          <w:marRight w:val="0"/>
          <w:marTop w:val="0"/>
          <w:marBottom w:val="0"/>
          <w:divBdr>
            <w:top w:val="none" w:sz="0" w:space="0" w:color="auto"/>
            <w:left w:val="none" w:sz="0" w:space="0" w:color="auto"/>
            <w:bottom w:val="none" w:sz="0" w:space="0" w:color="auto"/>
            <w:right w:val="none" w:sz="0" w:space="0" w:color="auto"/>
          </w:divBdr>
        </w:div>
        <w:div w:id="455218651">
          <w:marLeft w:val="640"/>
          <w:marRight w:val="0"/>
          <w:marTop w:val="0"/>
          <w:marBottom w:val="0"/>
          <w:divBdr>
            <w:top w:val="none" w:sz="0" w:space="0" w:color="auto"/>
            <w:left w:val="none" w:sz="0" w:space="0" w:color="auto"/>
            <w:bottom w:val="none" w:sz="0" w:space="0" w:color="auto"/>
            <w:right w:val="none" w:sz="0" w:space="0" w:color="auto"/>
          </w:divBdr>
        </w:div>
        <w:div w:id="247152598">
          <w:marLeft w:val="640"/>
          <w:marRight w:val="0"/>
          <w:marTop w:val="0"/>
          <w:marBottom w:val="0"/>
          <w:divBdr>
            <w:top w:val="none" w:sz="0" w:space="0" w:color="auto"/>
            <w:left w:val="none" w:sz="0" w:space="0" w:color="auto"/>
            <w:bottom w:val="none" w:sz="0" w:space="0" w:color="auto"/>
            <w:right w:val="none" w:sz="0" w:space="0" w:color="auto"/>
          </w:divBdr>
        </w:div>
        <w:div w:id="331874944">
          <w:marLeft w:val="640"/>
          <w:marRight w:val="0"/>
          <w:marTop w:val="0"/>
          <w:marBottom w:val="0"/>
          <w:divBdr>
            <w:top w:val="none" w:sz="0" w:space="0" w:color="auto"/>
            <w:left w:val="none" w:sz="0" w:space="0" w:color="auto"/>
            <w:bottom w:val="none" w:sz="0" w:space="0" w:color="auto"/>
            <w:right w:val="none" w:sz="0" w:space="0" w:color="auto"/>
          </w:divBdr>
        </w:div>
        <w:div w:id="1577014985">
          <w:marLeft w:val="640"/>
          <w:marRight w:val="0"/>
          <w:marTop w:val="0"/>
          <w:marBottom w:val="0"/>
          <w:divBdr>
            <w:top w:val="none" w:sz="0" w:space="0" w:color="auto"/>
            <w:left w:val="none" w:sz="0" w:space="0" w:color="auto"/>
            <w:bottom w:val="none" w:sz="0" w:space="0" w:color="auto"/>
            <w:right w:val="none" w:sz="0" w:space="0" w:color="auto"/>
          </w:divBdr>
        </w:div>
        <w:div w:id="110176668">
          <w:marLeft w:val="640"/>
          <w:marRight w:val="0"/>
          <w:marTop w:val="0"/>
          <w:marBottom w:val="0"/>
          <w:divBdr>
            <w:top w:val="none" w:sz="0" w:space="0" w:color="auto"/>
            <w:left w:val="none" w:sz="0" w:space="0" w:color="auto"/>
            <w:bottom w:val="none" w:sz="0" w:space="0" w:color="auto"/>
            <w:right w:val="none" w:sz="0" w:space="0" w:color="auto"/>
          </w:divBdr>
        </w:div>
        <w:div w:id="1535731527">
          <w:marLeft w:val="640"/>
          <w:marRight w:val="0"/>
          <w:marTop w:val="0"/>
          <w:marBottom w:val="0"/>
          <w:divBdr>
            <w:top w:val="none" w:sz="0" w:space="0" w:color="auto"/>
            <w:left w:val="none" w:sz="0" w:space="0" w:color="auto"/>
            <w:bottom w:val="none" w:sz="0" w:space="0" w:color="auto"/>
            <w:right w:val="none" w:sz="0" w:space="0" w:color="auto"/>
          </w:divBdr>
        </w:div>
        <w:div w:id="833646306">
          <w:marLeft w:val="640"/>
          <w:marRight w:val="0"/>
          <w:marTop w:val="0"/>
          <w:marBottom w:val="0"/>
          <w:divBdr>
            <w:top w:val="none" w:sz="0" w:space="0" w:color="auto"/>
            <w:left w:val="none" w:sz="0" w:space="0" w:color="auto"/>
            <w:bottom w:val="none" w:sz="0" w:space="0" w:color="auto"/>
            <w:right w:val="none" w:sz="0" w:space="0" w:color="auto"/>
          </w:divBdr>
        </w:div>
        <w:div w:id="160970769">
          <w:marLeft w:val="640"/>
          <w:marRight w:val="0"/>
          <w:marTop w:val="0"/>
          <w:marBottom w:val="0"/>
          <w:divBdr>
            <w:top w:val="none" w:sz="0" w:space="0" w:color="auto"/>
            <w:left w:val="none" w:sz="0" w:space="0" w:color="auto"/>
            <w:bottom w:val="none" w:sz="0" w:space="0" w:color="auto"/>
            <w:right w:val="none" w:sz="0" w:space="0" w:color="auto"/>
          </w:divBdr>
        </w:div>
        <w:div w:id="2115052124">
          <w:marLeft w:val="640"/>
          <w:marRight w:val="0"/>
          <w:marTop w:val="0"/>
          <w:marBottom w:val="0"/>
          <w:divBdr>
            <w:top w:val="none" w:sz="0" w:space="0" w:color="auto"/>
            <w:left w:val="none" w:sz="0" w:space="0" w:color="auto"/>
            <w:bottom w:val="none" w:sz="0" w:space="0" w:color="auto"/>
            <w:right w:val="none" w:sz="0" w:space="0" w:color="auto"/>
          </w:divBdr>
        </w:div>
        <w:div w:id="1027486274">
          <w:marLeft w:val="640"/>
          <w:marRight w:val="0"/>
          <w:marTop w:val="0"/>
          <w:marBottom w:val="0"/>
          <w:divBdr>
            <w:top w:val="none" w:sz="0" w:space="0" w:color="auto"/>
            <w:left w:val="none" w:sz="0" w:space="0" w:color="auto"/>
            <w:bottom w:val="none" w:sz="0" w:space="0" w:color="auto"/>
            <w:right w:val="none" w:sz="0" w:space="0" w:color="auto"/>
          </w:divBdr>
        </w:div>
        <w:div w:id="331764595">
          <w:marLeft w:val="640"/>
          <w:marRight w:val="0"/>
          <w:marTop w:val="0"/>
          <w:marBottom w:val="0"/>
          <w:divBdr>
            <w:top w:val="none" w:sz="0" w:space="0" w:color="auto"/>
            <w:left w:val="none" w:sz="0" w:space="0" w:color="auto"/>
            <w:bottom w:val="none" w:sz="0" w:space="0" w:color="auto"/>
            <w:right w:val="none" w:sz="0" w:space="0" w:color="auto"/>
          </w:divBdr>
        </w:div>
        <w:div w:id="328799853">
          <w:marLeft w:val="640"/>
          <w:marRight w:val="0"/>
          <w:marTop w:val="0"/>
          <w:marBottom w:val="0"/>
          <w:divBdr>
            <w:top w:val="none" w:sz="0" w:space="0" w:color="auto"/>
            <w:left w:val="none" w:sz="0" w:space="0" w:color="auto"/>
            <w:bottom w:val="none" w:sz="0" w:space="0" w:color="auto"/>
            <w:right w:val="none" w:sz="0" w:space="0" w:color="auto"/>
          </w:divBdr>
        </w:div>
        <w:div w:id="1950042960">
          <w:marLeft w:val="640"/>
          <w:marRight w:val="0"/>
          <w:marTop w:val="0"/>
          <w:marBottom w:val="0"/>
          <w:divBdr>
            <w:top w:val="none" w:sz="0" w:space="0" w:color="auto"/>
            <w:left w:val="none" w:sz="0" w:space="0" w:color="auto"/>
            <w:bottom w:val="none" w:sz="0" w:space="0" w:color="auto"/>
            <w:right w:val="none" w:sz="0" w:space="0" w:color="auto"/>
          </w:divBdr>
        </w:div>
        <w:div w:id="1325550191">
          <w:marLeft w:val="640"/>
          <w:marRight w:val="0"/>
          <w:marTop w:val="0"/>
          <w:marBottom w:val="0"/>
          <w:divBdr>
            <w:top w:val="none" w:sz="0" w:space="0" w:color="auto"/>
            <w:left w:val="none" w:sz="0" w:space="0" w:color="auto"/>
            <w:bottom w:val="none" w:sz="0" w:space="0" w:color="auto"/>
            <w:right w:val="none" w:sz="0" w:space="0" w:color="auto"/>
          </w:divBdr>
        </w:div>
        <w:div w:id="789591545">
          <w:marLeft w:val="640"/>
          <w:marRight w:val="0"/>
          <w:marTop w:val="0"/>
          <w:marBottom w:val="0"/>
          <w:divBdr>
            <w:top w:val="none" w:sz="0" w:space="0" w:color="auto"/>
            <w:left w:val="none" w:sz="0" w:space="0" w:color="auto"/>
            <w:bottom w:val="none" w:sz="0" w:space="0" w:color="auto"/>
            <w:right w:val="none" w:sz="0" w:space="0" w:color="auto"/>
          </w:divBdr>
        </w:div>
        <w:div w:id="573661790">
          <w:marLeft w:val="640"/>
          <w:marRight w:val="0"/>
          <w:marTop w:val="0"/>
          <w:marBottom w:val="0"/>
          <w:divBdr>
            <w:top w:val="none" w:sz="0" w:space="0" w:color="auto"/>
            <w:left w:val="none" w:sz="0" w:space="0" w:color="auto"/>
            <w:bottom w:val="none" w:sz="0" w:space="0" w:color="auto"/>
            <w:right w:val="none" w:sz="0" w:space="0" w:color="auto"/>
          </w:divBdr>
        </w:div>
        <w:div w:id="1260605621">
          <w:marLeft w:val="640"/>
          <w:marRight w:val="0"/>
          <w:marTop w:val="0"/>
          <w:marBottom w:val="0"/>
          <w:divBdr>
            <w:top w:val="none" w:sz="0" w:space="0" w:color="auto"/>
            <w:left w:val="none" w:sz="0" w:space="0" w:color="auto"/>
            <w:bottom w:val="none" w:sz="0" w:space="0" w:color="auto"/>
            <w:right w:val="none" w:sz="0" w:space="0" w:color="auto"/>
          </w:divBdr>
        </w:div>
        <w:div w:id="1552229339">
          <w:marLeft w:val="640"/>
          <w:marRight w:val="0"/>
          <w:marTop w:val="0"/>
          <w:marBottom w:val="0"/>
          <w:divBdr>
            <w:top w:val="none" w:sz="0" w:space="0" w:color="auto"/>
            <w:left w:val="none" w:sz="0" w:space="0" w:color="auto"/>
            <w:bottom w:val="none" w:sz="0" w:space="0" w:color="auto"/>
            <w:right w:val="none" w:sz="0" w:space="0" w:color="auto"/>
          </w:divBdr>
        </w:div>
        <w:div w:id="360976276">
          <w:marLeft w:val="640"/>
          <w:marRight w:val="0"/>
          <w:marTop w:val="0"/>
          <w:marBottom w:val="0"/>
          <w:divBdr>
            <w:top w:val="none" w:sz="0" w:space="0" w:color="auto"/>
            <w:left w:val="none" w:sz="0" w:space="0" w:color="auto"/>
            <w:bottom w:val="none" w:sz="0" w:space="0" w:color="auto"/>
            <w:right w:val="none" w:sz="0" w:space="0" w:color="auto"/>
          </w:divBdr>
        </w:div>
        <w:div w:id="831871947">
          <w:marLeft w:val="640"/>
          <w:marRight w:val="0"/>
          <w:marTop w:val="0"/>
          <w:marBottom w:val="0"/>
          <w:divBdr>
            <w:top w:val="none" w:sz="0" w:space="0" w:color="auto"/>
            <w:left w:val="none" w:sz="0" w:space="0" w:color="auto"/>
            <w:bottom w:val="none" w:sz="0" w:space="0" w:color="auto"/>
            <w:right w:val="none" w:sz="0" w:space="0" w:color="auto"/>
          </w:divBdr>
        </w:div>
        <w:div w:id="557598088">
          <w:marLeft w:val="640"/>
          <w:marRight w:val="0"/>
          <w:marTop w:val="0"/>
          <w:marBottom w:val="0"/>
          <w:divBdr>
            <w:top w:val="none" w:sz="0" w:space="0" w:color="auto"/>
            <w:left w:val="none" w:sz="0" w:space="0" w:color="auto"/>
            <w:bottom w:val="none" w:sz="0" w:space="0" w:color="auto"/>
            <w:right w:val="none" w:sz="0" w:space="0" w:color="auto"/>
          </w:divBdr>
        </w:div>
        <w:div w:id="549613528">
          <w:marLeft w:val="640"/>
          <w:marRight w:val="0"/>
          <w:marTop w:val="0"/>
          <w:marBottom w:val="0"/>
          <w:divBdr>
            <w:top w:val="none" w:sz="0" w:space="0" w:color="auto"/>
            <w:left w:val="none" w:sz="0" w:space="0" w:color="auto"/>
            <w:bottom w:val="none" w:sz="0" w:space="0" w:color="auto"/>
            <w:right w:val="none" w:sz="0" w:space="0" w:color="auto"/>
          </w:divBdr>
        </w:div>
        <w:div w:id="1557932663">
          <w:marLeft w:val="640"/>
          <w:marRight w:val="0"/>
          <w:marTop w:val="0"/>
          <w:marBottom w:val="0"/>
          <w:divBdr>
            <w:top w:val="none" w:sz="0" w:space="0" w:color="auto"/>
            <w:left w:val="none" w:sz="0" w:space="0" w:color="auto"/>
            <w:bottom w:val="none" w:sz="0" w:space="0" w:color="auto"/>
            <w:right w:val="none" w:sz="0" w:space="0" w:color="auto"/>
          </w:divBdr>
        </w:div>
        <w:div w:id="887302759">
          <w:marLeft w:val="640"/>
          <w:marRight w:val="0"/>
          <w:marTop w:val="0"/>
          <w:marBottom w:val="0"/>
          <w:divBdr>
            <w:top w:val="none" w:sz="0" w:space="0" w:color="auto"/>
            <w:left w:val="none" w:sz="0" w:space="0" w:color="auto"/>
            <w:bottom w:val="none" w:sz="0" w:space="0" w:color="auto"/>
            <w:right w:val="none" w:sz="0" w:space="0" w:color="auto"/>
          </w:divBdr>
        </w:div>
        <w:div w:id="1282567250">
          <w:marLeft w:val="640"/>
          <w:marRight w:val="0"/>
          <w:marTop w:val="0"/>
          <w:marBottom w:val="0"/>
          <w:divBdr>
            <w:top w:val="none" w:sz="0" w:space="0" w:color="auto"/>
            <w:left w:val="none" w:sz="0" w:space="0" w:color="auto"/>
            <w:bottom w:val="none" w:sz="0" w:space="0" w:color="auto"/>
            <w:right w:val="none" w:sz="0" w:space="0" w:color="auto"/>
          </w:divBdr>
        </w:div>
        <w:div w:id="976034464">
          <w:marLeft w:val="640"/>
          <w:marRight w:val="0"/>
          <w:marTop w:val="0"/>
          <w:marBottom w:val="0"/>
          <w:divBdr>
            <w:top w:val="none" w:sz="0" w:space="0" w:color="auto"/>
            <w:left w:val="none" w:sz="0" w:space="0" w:color="auto"/>
            <w:bottom w:val="none" w:sz="0" w:space="0" w:color="auto"/>
            <w:right w:val="none" w:sz="0" w:space="0" w:color="auto"/>
          </w:divBdr>
        </w:div>
        <w:div w:id="1983072131">
          <w:marLeft w:val="640"/>
          <w:marRight w:val="0"/>
          <w:marTop w:val="0"/>
          <w:marBottom w:val="0"/>
          <w:divBdr>
            <w:top w:val="none" w:sz="0" w:space="0" w:color="auto"/>
            <w:left w:val="none" w:sz="0" w:space="0" w:color="auto"/>
            <w:bottom w:val="none" w:sz="0" w:space="0" w:color="auto"/>
            <w:right w:val="none" w:sz="0" w:space="0" w:color="auto"/>
          </w:divBdr>
        </w:div>
        <w:div w:id="467210544">
          <w:marLeft w:val="640"/>
          <w:marRight w:val="0"/>
          <w:marTop w:val="0"/>
          <w:marBottom w:val="0"/>
          <w:divBdr>
            <w:top w:val="none" w:sz="0" w:space="0" w:color="auto"/>
            <w:left w:val="none" w:sz="0" w:space="0" w:color="auto"/>
            <w:bottom w:val="none" w:sz="0" w:space="0" w:color="auto"/>
            <w:right w:val="none" w:sz="0" w:space="0" w:color="auto"/>
          </w:divBdr>
        </w:div>
        <w:div w:id="1874535269">
          <w:marLeft w:val="640"/>
          <w:marRight w:val="0"/>
          <w:marTop w:val="0"/>
          <w:marBottom w:val="0"/>
          <w:divBdr>
            <w:top w:val="none" w:sz="0" w:space="0" w:color="auto"/>
            <w:left w:val="none" w:sz="0" w:space="0" w:color="auto"/>
            <w:bottom w:val="none" w:sz="0" w:space="0" w:color="auto"/>
            <w:right w:val="none" w:sz="0" w:space="0" w:color="auto"/>
          </w:divBdr>
        </w:div>
        <w:div w:id="1968899167">
          <w:marLeft w:val="640"/>
          <w:marRight w:val="0"/>
          <w:marTop w:val="0"/>
          <w:marBottom w:val="0"/>
          <w:divBdr>
            <w:top w:val="none" w:sz="0" w:space="0" w:color="auto"/>
            <w:left w:val="none" w:sz="0" w:space="0" w:color="auto"/>
            <w:bottom w:val="none" w:sz="0" w:space="0" w:color="auto"/>
            <w:right w:val="none" w:sz="0" w:space="0" w:color="auto"/>
          </w:divBdr>
        </w:div>
        <w:div w:id="1277638909">
          <w:marLeft w:val="640"/>
          <w:marRight w:val="0"/>
          <w:marTop w:val="0"/>
          <w:marBottom w:val="0"/>
          <w:divBdr>
            <w:top w:val="none" w:sz="0" w:space="0" w:color="auto"/>
            <w:left w:val="none" w:sz="0" w:space="0" w:color="auto"/>
            <w:bottom w:val="none" w:sz="0" w:space="0" w:color="auto"/>
            <w:right w:val="none" w:sz="0" w:space="0" w:color="auto"/>
          </w:divBdr>
        </w:div>
        <w:div w:id="1629312588">
          <w:marLeft w:val="640"/>
          <w:marRight w:val="0"/>
          <w:marTop w:val="0"/>
          <w:marBottom w:val="0"/>
          <w:divBdr>
            <w:top w:val="none" w:sz="0" w:space="0" w:color="auto"/>
            <w:left w:val="none" w:sz="0" w:space="0" w:color="auto"/>
            <w:bottom w:val="none" w:sz="0" w:space="0" w:color="auto"/>
            <w:right w:val="none" w:sz="0" w:space="0" w:color="auto"/>
          </w:divBdr>
        </w:div>
        <w:div w:id="974682455">
          <w:marLeft w:val="640"/>
          <w:marRight w:val="0"/>
          <w:marTop w:val="0"/>
          <w:marBottom w:val="0"/>
          <w:divBdr>
            <w:top w:val="none" w:sz="0" w:space="0" w:color="auto"/>
            <w:left w:val="none" w:sz="0" w:space="0" w:color="auto"/>
            <w:bottom w:val="none" w:sz="0" w:space="0" w:color="auto"/>
            <w:right w:val="none" w:sz="0" w:space="0" w:color="auto"/>
          </w:divBdr>
        </w:div>
        <w:div w:id="926960796">
          <w:marLeft w:val="640"/>
          <w:marRight w:val="0"/>
          <w:marTop w:val="0"/>
          <w:marBottom w:val="0"/>
          <w:divBdr>
            <w:top w:val="none" w:sz="0" w:space="0" w:color="auto"/>
            <w:left w:val="none" w:sz="0" w:space="0" w:color="auto"/>
            <w:bottom w:val="none" w:sz="0" w:space="0" w:color="auto"/>
            <w:right w:val="none" w:sz="0" w:space="0" w:color="auto"/>
          </w:divBdr>
        </w:div>
        <w:div w:id="600069736">
          <w:marLeft w:val="640"/>
          <w:marRight w:val="0"/>
          <w:marTop w:val="0"/>
          <w:marBottom w:val="0"/>
          <w:divBdr>
            <w:top w:val="none" w:sz="0" w:space="0" w:color="auto"/>
            <w:left w:val="none" w:sz="0" w:space="0" w:color="auto"/>
            <w:bottom w:val="none" w:sz="0" w:space="0" w:color="auto"/>
            <w:right w:val="none" w:sz="0" w:space="0" w:color="auto"/>
          </w:divBdr>
        </w:div>
        <w:div w:id="1906254831">
          <w:marLeft w:val="640"/>
          <w:marRight w:val="0"/>
          <w:marTop w:val="0"/>
          <w:marBottom w:val="0"/>
          <w:divBdr>
            <w:top w:val="none" w:sz="0" w:space="0" w:color="auto"/>
            <w:left w:val="none" w:sz="0" w:space="0" w:color="auto"/>
            <w:bottom w:val="none" w:sz="0" w:space="0" w:color="auto"/>
            <w:right w:val="none" w:sz="0" w:space="0" w:color="auto"/>
          </w:divBdr>
        </w:div>
        <w:div w:id="309753493">
          <w:marLeft w:val="640"/>
          <w:marRight w:val="0"/>
          <w:marTop w:val="0"/>
          <w:marBottom w:val="0"/>
          <w:divBdr>
            <w:top w:val="none" w:sz="0" w:space="0" w:color="auto"/>
            <w:left w:val="none" w:sz="0" w:space="0" w:color="auto"/>
            <w:bottom w:val="none" w:sz="0" w:space="0" w:color="auto"/>
            <w:right w:val="none" w:sz="0" w:space="0" w:color="auto"/>
          </w:divBdr>
        </w:div>
        <w:div w:id="1575159150">
          <w:marLeft w:val="640"/>
          <w:marRight w:val="0"/>
          <w:marTop w:val="0"/>
          <w:marBottom w:val="0"/>
          <w:divBdr>
            <w:top w:val="none" w:sz="0" w:space="0" w:color="auto"/>
            <w:left w:val="none" w:sz="0" w:space="0" w:color="auto"/>
            <w:bottom w:val="none" w:sz="0" w:space="0" w:color="auto"/>
            <w:right w:val="none" w:sz="0" w:space="0" w:color="auto"/>
          </w:divBdr>
        </w:div>
        <w:div w:id="1571425839">
          <w:marLeft w:val="640"/>
          <w:marRight w:val="0"/>
          <w:marTop w:val="0"/>
          <w:marBottom w:val="0"/>
          <w:divBdr>
            <w:top w:val="none" w:sz="0" w:space="0" w:color="auto"/>
            <w:left w:val="none" w:sz="0" w:space="0" w:color="auto"/>
            <w:bottom w:val="none" w:sz="0" w:space="0" w:color="auto"/>
            <w:right w:val="none" w:sz="0" w:space="0" w:color="auto"/>
          </w:divBdr>
        </w:div>
        <w:div w:id="508719192">
          <w:marLeft w:val="640"/>
          <w:marRight w:val="0"/>
          <w:marTop w:val="0"/>
          <w:marBottom w:val="0"/>
          <w:divBdr>
            <w:top w:val="none" w:sz="0" w:space="0" w:color="auto"/>
            <w:left w:val="none" w:sz="0" w:space="0" w:color="auto"/>
            <w:bottom w:val="none" w:sz="0" w:space="0" w:color="auto"/>
            <w:right w:val="none" w:sz="0" w:space="0" w:color="auto"/>
          </w:divBdr>
        </w:div>
        <w:div w:id="331375459">
          <w:marLeft w:val="640"/>
          <w:marRight w:val="0"/>
          <w:marTop w:val="0"/>
          <w:marBottom w:val="0"/>
          <w:divBdr>
            <w:top w:val="none" w:sz="0" w:space="0" w:color="auto"/>
            <w:left w:val="none" w:sz="0" w:space="0" w:color="auto"/>
            <w:bottom w:val="none" w:sz="0" w:space="0" w:color="auto"/>
            <w:right w:val="none" w:sz="0" w:space="0" w:color="auto"/>
          </w:divBdr>
        </w:div>
        <w:div w:id="1887254147">
          <w:marLeft w:val="640"/>
          <w:marRight w:val="0"/>
          <w:marTop w:val="0"/>
          <w:marBottom w:val="0"/>
          <w:divBdr>
            <w:top w:val="none" w:sz="0" w:space="0" w:color="auto"/>
            <w:left w:val="none" w:sz="0" w:space="0" w:color="auto"/>
            <w:bottom w:val="none" w:sz="0" w:space="0" w:color="auto"/>
            <w:right w:val="none" w:sz="0" w:space="0" w:color="auto"/>
          </w:divBdr>
        </w:div>
        <w:div w:id="1773011453">
          <w:marLeft w:val="640"/>
          <w:marRight w:val="0"/>
          <w:marTop w:val="0"/>
          <w:marBottom w:val="0"/>
          <w:divBdr>
            <w:top w:val="none" w:sz="0" w:space="0" w:color="auto"/>
            <w:left w:val="none" w:sz="0" w:space="0" w:color="auto"/>
            <w:bottom w:val="none" w:sz="0" w:space="0" w:color="auto"/>
            <w:right w:val="none" w:sz="0" w:space="0" w:color="auto"/>
          </w:divBdr>
        </w:div>
        <w:div w:id="1436704060">
          <w:marLeft w:val="640"/>
          <w:marRight w:val="0"/>
          <w:marTop w:val="0"/>
          <w:marBottom w:val="0"/>
          <w:divBdr>
            <w:top w:val="none" w:sz="0" w:space="0" w:color="auto"/>
            <w:left w:val="none" w:sz="0" w:space="0" w:color="auto"/>
            <w:bottom w:val="none" w:sz="0" w:space="0" w:color="auto"/>
            <w:right w:val="none" w:sz="0" w:space="0" w:color="auto"/>
          </w:divBdr>
        </w:div>
        <w:div w:id="2072340445">
          <w:marLeft w:val="640"/>
          <w:marRight w:val="0"/>
          <w:marTop w:val="0"/>
          <w:marBottom w:val="0"/>
          <w:divBdr>
            <w:top w:val="none" w:sz="0" w:space="0" w:color="auto"/>
            <w:left w:val="none" w:sz="0" w:space="0" w:color="auto"/>
            <w:bottom w:val="none" w:sz="0" w:space="0" w:color="auto"/>
            <w:right w:val="none" w:sz="0" w:space="0" w:color="auto"/>
          </w:divBdr>
        </w:div>
        <w:div w:id="1002003838">
          <w:marLeft w:val="640"/>
          <w:marRight w:val="0"/>
          <w:marTop w:val="0"/>
          <w:marBottom w:val="0"/>
          <w:divBdr>
            <w:top w:val="none" w:sz="0" w:space="0" w:color="auto"/>
            <w:left w:val="none" w:sz="0" w:space="0" w:color="auto"/>
            <w:bottom w:val="none" w:sz="0" w:space="0" w:color="auto"/>
            <w:right w:val="none" w:sz="0" w:space="0" w:color="auto"/>
          </w:divBdr>
        </w:div>
        <w:div w:id="1106190587">
          <w:marLeft w:val="640"/>
          <w:marRight w:val="0"/>
          <w:marTop w:val="0"/>
          <w:marBottom w:val="0"/>
          <w:divBdr>
            <w:top w:val="none" w:sz="0" w:space="0" w:color="auto"/>
            <w:left w:val="none" w:sz="0" w:space="0" w:color="auto"/>
            <w:bottom w:val="none" w:sz="0" w:space="0" w:color="auto"/>
            <w:right w:val="none" w:sz="0" w:space="0" w:color="auto"/>
          </w:divBdr>
        </w:div>
        <w:div w:id="1074665705">
          <w:marLeft w:val="640"/>
          <w:marRight w:val="0"/>
          <w:marTop w:val="0"/>
          <w:marBottom w:val="0"/>
          <w:divBdr>
            <w:top w:val="none" w:sz="0" w:space="0" w:color="auto"/>
            <w:left w:val="none" w:sz="0" w:space="0" w:color="auto"/>
            <w:bottom w:val="none" w:sz="0" w:space="0" w:color="auto"/>
            <w:right w:val="none" w:sz="0" w:space="0" w:color="auto"/>
          </w:divBdr>
        </w:div>
        <w:div w:id="629281542">
          <w:marLeft w:val="640"/>
          <w:marRight w:val="0"/>
          <w:marTop w:val="0"/>
          <w:marBottom w:val="0"/>
          <w:divBdr>
            <w:top w:val="none" w:sz="0" w:space="0" w:color="auto"/>
            <w:left w:val="none" w:sz="0" w:space="0" w:color="auto"/>
            <w:bottom w:val="none" w:sz="0" w:space="0" w:color="auto"/>
            <w:right w:val="none" w:sz="0" w:space="0" w:color="auto"/>
          </w:divBdr>
        </w:div>
        <w:div w:id="1553956596">
          <w:marLeft w:val="640"/>
          <w:marRight w:val="0"/>
          <w:marTop w:val="0"/>
          <w:marBottom w:val="0"/>
          <w:divBdr>
            <w:top w:val="none" w:sz="0" w:space="0" w:color="auto"/>
            <w:left w:val="none" w:sz="0" w:space="0" w:color="auto"/>
            <w:bottom w:val="none" w:sz="0" w:space="0" w:color="auto"/>
            <w:right w:val="none" w:sz="0" w:space="0" w:color="auto"/>
          </w:divBdr>
        </w:div>
        <w:div w:id="174997838">
          <w:marLeft w:val="640"/>
          <w:marRight w:val="0"/>
          <w:marTop w:val="0"/>
          <w:marBottom w:val="0"/>
          <w:divBdr>
            <w:top w:val="none" w:sz="0" w:space="0" w:color="auto"/>
            <w:left w:val="none" w:sz="0" w:space="0" w:color="auto"/>
            <w:bottom w:val="none" w:sz="0" w:space="0" w:color="auto"/>
            <w:right w:val="none" w:sz="0" w:space="0" w:color="auto"/>
          </w:divBdr>
        </w:div>
        <w:div w:id="1919704927">
          <w:marLeft w:val="640"/>
          <w:marRight w:val="0"/>
          <w:marTop w:val="0"/>
          <w:marBottom w:val="0"/>
          <w:divBdr>
            <w:top w:val="none" w:sz="0" w:space="0" w:color="auto"/>
            <w:left w:val="none" w:sz="0" w:space="0" w:color="auto"/>
            <w:bottom w:val="none" w:sz="0" w:space="0" w:color="auto"/>
            <w:right w:val="none" w:sz="0" w:space="0" w:color="auto"/>
          </w:divBdr>
        </w:div>
        <w:div w:id="1820146643">
          <w:marLeft w:val="640"/>
          <w:marRight w:val="0"/>
          <w:marTop w:val="0"/>
          <w:marBottom w:val="0"/>
          <w:divBdr>
            <w:top w:val="none" w:sz="0" w:space="0" w:color="auto"/>
            <w:left w:val="none" w:sz="0" w:space="0" w:color="auto"/>
            <w:bottom w:val="none" w:sz="0" w:space="0" w:color="auto"/>
            <w:right w:val="none" w:sz="0" w:space="0" w:color="auto"/>
          </w:divBdr>
        </w:div>
        <w:div w:id="463697021">
          <w:marLeft w:val="640"/>
          <w:marRight w:val="0"/>
          <w:marTop w:val="0"/>
          <w:marBottom w:val="0"/>
          <w:divBdr>
            <w:top w:val="none" w:sz="0" w:space="0" w:color="auto"/>
            <w:left w:val="none" w:sz="0" w:space="0" w:color="auto"/>
            <w:bottom w:val="none" w:sz="0" w:space="0" w:color="auto"/>
            <w:right w:val="none" w:sz="0" w:space="0" w:color="auto"/>
          </w:divBdr>
        </w:div>
        <w:div w:id="391273809">
          <w:marLeft w:val="640"/>
          <w:marRight w:val="0"/>
          <w:marTop w:val="0"/>
          <w:marBottom w:val="0"/>
          <w:divBdr>
            <w:top w:val="none" w:sz="0" w:space="0" w:color="auto"/>
            <w:left w:val="none" w:sz="0" w:space="0" w:color="auto"/>
            <w:bottom w:val="none" w:sz="0" w:space="0" w:color="auto"/>
            <w:right w:val="none" w:sz="0" w:space="0" w:color="auto"/>
          </w:divBdr>
        </w:div>
        <w:div w:id="372271801">
          <w:marLeft w:val="640"/>
          <w:marRight w:val="0"/>
          <w:marTop w:val="0"/>
          <w:marBottom w:val="0"/>
          <w:divBdr>
            <w:top w:val="none" w:sz="0" w:space="0" w:color="auto"/>
            <w:left w:val="none" w:sz="0" w:space="0" w:color="auto"/>
            <w:bottom w:val="none" w:sz="0" w:space="0" w:color="auto"/>
            <w:right w:val="none" w:sz="0" w:space="0" w:color="auto"/>
          </w:divBdr>
        </w:div>
        <w:div w:id="1408066817">
          <w:marLeft w:val="640"/>
          <w:marRight w:val="0"/>
          <w:marTop w:val="0"/>
          <w:marBottom w:val="0"/>
          <w:divBdr>
            <w:top w:val="none" w:sz="0" w:space="0" w:color="auto"/>
            <w:left w:val="none" w:sz="0" w:space="0" w:color="auto"/>
            <w:bottom w:val="none" w:sz="0" w:space="0" w:color="auto"/>
            <w:right w:val="none" w:sz="0" w:space="0" w:color="auto"/>
          </w:divBdr>
        </w:div>
        <w:div w:id="2092503211">
          <w:marLeft w:val="640"/>
          <w:marRight w:val="0"/>
          <w:marTop w:val="0"/>
          <w:marBottom w:val="0"/>
          <w:divBdr>
            <w:top w:val="none" w:sz="0" w:space="0" w:color="auto"/>
            <w:left w:val="none" w:sz="0" w:space="0" w:color="auto"/>
            <w:bottom w:val="none" w:sz="0" w:space="0" w:color="auto"/>
            <w:right w:val="none" w:sz="0" w:space="0" w:color="auto"/>
          </w:divBdr>
        </w:div>
        <w:div w:id="128331050">
          <w:marLeft w:val="640"/>
          <w:marRight w:val="0"/>
          <w:marTop w:val="0"/>
          <w:marBottom w:val="0"/>
          <w:divBdr>
            <w:top w:val="none" w:sz="0" w:space="0" w:color="auto"/>
            <w:left w:val="none" w:sz="0" w:space="0" w:color="auto"/>
            <w:bottom w:val="none" w:sz="0" w:space="0" w:color="auto"/>
            <w:right w:val="none" w:sz="0" w:space="0" w:color="auto"/>
          </w:divBdr>
        </w:div>
        <w:div w:id="878472592">
          <w:marLeft w:val="640"/>
          <w:marRight w:val="0"/>
          <w:marTop w:val="0"/>
          <w:marBottom w:val="0"/>
          <w:divBdr>
            <w:top w:val="none" w:sz="0" w:space="0" w:color="auto"/>
            <w:left w:val="none" w:sz="0" w:space="0" w:color="auto"/>
            <w:bottom w:val="none" w:sz="0" w:space="0" w:color="auto"/>
            <w:right w:val="none" w:sz="0" w:space="0" w:color="auto"/>
          </w:divBdr>
        </w:div>
        <w:div w:id="1638105029">
          <w:marLeft w:val="640"/>
          <w:marRight w:val="0"/>
          <w:marTop w:val="0"/>
          <w:marBottom w:val="0"/>
          <w:divBdr>
            <w:top w:val="none" w:sz="0" w:space="0" w:color="auto"/>
            <w:left w:val="none" w:sz="0" w:space="0" w:color="auto"/>
            <w:bottom w:val="none" w:sz="0" w:space="0" w:color="auto"/>
            <w:right w:val="none" w:sz="0" w:space="0" w:color="auto"/>
          </w:divBdr>
        </w:div>
        <w:div w:id="1321883680">
          <w:marLeft w:val="640"/>
          <w:marRight w:val="0"/>
          <w:marTop w:val="0"/>
          <w:marBottom w:val="0"/>
          <w:divBdr>
            <w:top w:val="none" w:sz="0" w:space="0" w:color="auto"/>
            <w:left w:val="none" w:sz="0" w:space="0" w:color="auto"/>
            <w:bottom w:val="none" w:sz="0" w:space="0" w:color="auto"/>
            <w:right w:val="none" w:sz="0" w:space="0" w:color="auto"/>
          </w:divBdr>
        </w:div>
        <w:div w:id="1830293522">
          <w:marLeft w:val="640"/>
          <w:marRight w:val="0"/>
          <w:marTop w:val="0"/>
          <w:marBottom w:val="0"/>
          <w:divBdr>
            <w:top w:val="none" w:sz="0" w:space="0" w:color="auto"/>
            <w:left w:val="none" w:sz="0" w:space="0" w:color="auto"/>
            <w:bottom w:val="none" w:sz="0" w:space="0" w:color="auto"/>
            <w:right w:val="none" w:sz="0" w:space="0" w:color="auto"/>
          </w:divBdr>
        </w:div>
        <w:div w:id="535849894">
          <w:marLeft w:val="640"/>
          <w:marRight w:val="0"/>
          <w:marTop w:val="0"/>
          <w:marBottom w:val="0"/>
          <w:divBdr>
            <w:top w:val="none" w:sz="0" w:space="0" w:color="auto"/>
            <w:left w:val="none" w:sz="0" w:space="0" w:color="auto"/>
            <w:bottom w:val="none" w:sz="0" w:space="0" w:color="auto"/>
            <w:right w:val="none" w:sz="0" w:space="0" w:color="auto"/>
          </w:divBdr>
        </w:div>
        <w:div w:id="1536113272">
          <w:marLeft w:val="640"/>
          <w:marRight w:val="0"/>
          <w:marTop w:val="0"/>
          <w:marBottom w:val="0"/>
          <w:divBdr>
            <w:top w:val="none" w:sz="0" w:space="0" w:color="auto"/>
            <w:left w:val="none" w:sz="0" w:space="0" w:color="auto"/>
            <w:bottom w:val="none" w:sz="0" w:space="0" w:color="auto"/>
            <w:right w:val="none" w:sz="0" w:space="0" w:color="auto"/>
          </w:divBdr>
        </w:div>
        <w:div w:id="653485761">
          <w:marLeft w:val="640"/>
          <w:marRight w:val="0"/>
          <w:marTop w:val="0"/>
          <w:marBottom w:val="0"/>
          <w:divBdr>
            <w:top w:val="none" w:sz="0" w:space="0" w:color="auto"/>
            <w:left w:val="none" w:sz="0" w:space="0" w:color="auto"/>
            <w:bottom w:val="none" w:sz="0" w:space="0" w:color="auto"/>
            <w:right w:val="none" w:sz="0" w:space="0" w:color="auto"/>
          </w:divBdr>
        </w:div>
        <w:div w:id="641933861">
          <w:marLeft w:val="640"/>
          <w:marRight w:val="0"/>
          <w:marTop w:val="0"/>
          <w:marBottom w:val="0"/>
          <w:divBdr>
            <w:top w:val="none" w:sz="0" w:space="0" w:color="auto"/>
            <w:left w:val="none" w:sz="0" w:space="0" w:color="auto"/>
            <w:bottom w:val="none" w:sz="0" w:space="0" w:color="auto"/>
            <w:right w:val="none" w:sz="0" w:space="0" w:color="auto"/>
          </w:divBdr>
        </w:div>
        <w:div w:id="138808561">
          <w:marLeft w:val="640"/>
          <w:marRight w:val="0"/>
          <w:marTop w:val="0"/>
          <w:marBottom w:val="0"/>
          <w:divBdr>
            <w:top w:val="none" w:sz="0" w:space="0" w:color="auto"/>
            <w:left w:val="none" w:sz="0" w:space="0" w:color="auto"/>
            <w:bottom w:val="none" w:sz="0" w:space="0" w:color="auto"/>
            <w:right w:val="none" w:sz="0" w:space="0" w:color="auto"/>
          </w:divBdr>
        </w:div>
        <w:div w:id="342130615">
          <w:marLeft w:val="640"/>
          <w:marRight w:val="0"/>
          <w:marTop w:val="0"/>
          <w:marBottom w:val="0"/>
          <w:divBdr>
            <w:top w:val="none" w:sz="0" w:space="0" w:color="auto"/>
            <w:left w:val="none" w:sz="0" w:space="0" w:color="auto"/>
            <w:bottom w:val="none" w:sz="0" w:space="0" w:color="auto"/>
            <w:right w:val="none" w:sz="0" w:space="0" w:color="auto"/>
          </w:divBdr>
        </w:div>
        <w:div w:id="750086379">
          <w:marLeft w:val="640"/>
          <w:marRight w:val="0"/>
          <w:marTop w:val="0"/>
          <w:marBottom w:val="0"/>
          <w:divBdr>
            <w:top w:val="none" w:sz="0" w:space="0" w:color="auto"/>
            <w:left w:val="none" w:sz="0" w:space="0" w:color="auto"/>
            <w:bottom w:val="none" w:sz="0" w:space="0" w:color="auto"/>
            <w:right w:val="none" w:sz="0" w:space="0" w:color="auto"/>
          </w:divBdr>
        </w:div>
        <w:div w:id="832187634">
          <w:marLeft w:val="640"/>
          <w:marRight w:val="0"/>
          <w:marTop w:val="0"/>
          <w:marBottom w:val="0"/>
          <w:divBdr>
            <w:top w:val="none" w:sz="0" w:space="0" w:color="auto"/>
            <w:left w:val="none" w:sz="0" w:space="0" w:color="auto"/>
            <w:bottom w:val="none" w:sz="0" w:space="0" w:color="auto"/>
            <w:right w:val="none" w:sz="0" w:space="0" w:color="auto"/>
          </w:divBdr>
        </w:div>
        <w:div w:id="1191070651">
          <w:marLeft w:val="640"/>
          <w:marRight w:val="0"/>
          <w:marTop w:val="0"/>
          <w:marBottom w:val="0"/>
          <w:divBdr>
            <w:top w:val="none" w:sz="0" w:space="0" w:color="auto"/>
            <w:left w:val="none" w:sz="0" w:space="0" w:color="auto"/>
            <w:bottom w:val="none" w:sz="0" w:space="0" w:color="auto"/>
            <w:right w:val="none" w:sz="0" w:space="0" w:color="auto"/>
          </w:divBdr>
        </w:div>
        <w:div w:id="1760978291">
          <w:marLeft w:val="640"/>
          <w:marRight w:val="0"/>
          <w:marTop w:val="0"/>
          <w:marBottom w:val="0"/>
          <w:divBdr>
            <w:top w:val="none" w:sz="0" w:space="0" w:color="auto"/>
            <w:left w:val="none" w:sz="0" w:space="0" w:color="auto"/>
            <w:bottom w:val="none" w:sz="0" w:space="0" w:color="auto"/>
            <w:right w:val="none" w:sz="0" w:space="0" w:color="auto"/>
          </w:divBdr>
        </w:div>
        <w:div w:id="282271167">
          <w:marLeft w:val="640"/>
          <w:marRight w:val="0"/>
          <w:marTop w:val="0"/>
          <w:marBottom w:val="0"/>
          <w:divBdr>
            <w:top w:val="none" w:sz="0" w:space="0" w:color="auto"/>
            <w:left w:val="none" w:sz="0" w:space="0" w:color="auto"/>
            <w:bottom w:val="none" w:sz="0" w:space="0" w:color="auto"/>
            <w:right w:val="none" w:sz="0" w:space="0" w:color="auto"/>
          </w:divBdr>
        </w:div>
        <w:div w:id="1207909469">
          <w:marLeft w:val="640"/>
          <w:marRight w:val="0"/>
          <w:marTop w:val="0"/>
          <w:marBottom w:val="0"/>
          <w:divBdr>
            <w:top w:val="none" w:sz="0" w:space="0" w:color="auto"/>
            <w:left w:val="none" w:sz="0" w:space="0" w:color="auto"/>
            <w:bottom w:val="none" w:sz="0" w:space="0" w:color="auto"/>
            <w:right w:val="none" w:sz="0" w:space="0" w:color="auto"/>
          </w:divBdr>
        </w:div>
        <w:div w:id="1505827559">
          <w:marLeft w:val="640"/>
          <w:marRight w:val="0"/>
          <w:marTop w:val="0"/>
          <w:marBottom w:val="0"/>
          <w:divBdr>
            <w:top w:val="none" w:sz="0" w:space="0" w:color="auto"/>
            <w:left w:val="none" w:sz="0" w:space="0" w:color="auto"/>
            <w:bottom w:val="none" w:sz="0" w:space="0" w:color="auto"/>
            <w:right w:val="none" w:sz="0" w:space="0" w:color="auto"/>
          </w:divBdr>
        </w:div>
        <w:div w:id="300500738">
          <w:marLeft w:val="640"/>
          <w:marRight w:val="0"/>
          <w:marTop w:val="0"/>
          <w:marBottom w:val="0"/>
          <w:divBdr>
            <w:top w:val="none" w:sz="0" w:space="0" w:color="auto"/>
            <w:left w:val="none" w:sz="0" w:space="0" w:color="auto"/>
            <w:bottom w:val="none" w:sz="0" w:space="0" w:color="auto"/>
            <w:right w:val="none" w:sz="0" w:space="0" w:color="auto"/>
          </w:divBdr>
        </w:div>
        <w:div w:id="584149428">
          <w:marLeft w:val="640"/>
          <w:marRight w:val="0"/>
          <w:marTop w:val="0"/>
          <w:marBottom w:val="0"/>
          <w:divBdr>
            <w:top w:val="none" w:sz="0" w:space="0" w:color="auto"/>
            <w:left w:val="none" w:sz="0" w:space="0" w:color="auto"/>
            <w:bottom w:val="none" w:sz="0" w:space="0" w:color="auto"/>
            <w:right w:val="none" w:sz="0" w:space="0" w:color="auto"/>
          </w:divBdr>
        </w:div>
        <w:div w:id="862212028">
          <w:marLeft w:val="640"/>
          <w:marRight w:val="0"/>
          <w:marTop w:val="0"/>
          <w:marBottom w:val="0"/>
          <w:divBdr>
            <w:top w:val="none" w:sz="0" w:space="0" w:color="auto"/>
            <w:left w:val="none" w:sz="0" w:space="0" w:color="auto"/>
            <w:bottom w:val="none" w:sz="0" w:space="0" w:color="auto"/>
            <w:right w:val="none" w:sz="0" w:space="0" w:color="auto"/>
          </w:divBdr>
        </w:div>
        <w:div w:id="2106655364">
          <w:marLeft w:val="640"/>
          <w:marRight w:val="0"/>
          <w:marTop w:val="0"/>
          <w:marBottom w:val="0"/>
          <w:divBdr>
            <w:top w:val="none" w:sz="0" w:space="0" w:color="auto"/>
            <w:left w:val="none" w:sz="0" w:space="0" w:color="auto"/>
            <w:bottom w:val="none" w:sz="0" w:space="0" w:color="auto"/>
            <w:right w:val="none" w:sz="0" w:space="0" w:color="auto"/>
          </w:divBdr>
        </w:div>
        <w:div w:id="2130732532">
          <w:marLeft w:val="640"/>
          <w:marRight w:val="0"/>
          <w:marTop w:val="0"/>
          <w:marBottom w:val="0"/>
          <w:divBdr>
            <w:top w:val="none" w:sz="0" w:space="0" w:color="auto"/>
            <w:left w:val="none" w:sz="0" w:space="0" w:color="auto"/>
            <w:bottom w:val="none" w:sz="0" w:space="0" w:color="auto"/>
            <w:right w:val="none" w:sz="0" w:space="0" w:color="auto"/>
          </w:divBdr>
        </w:div>
        <w:div w:id="1997568310">
          <w:marLeft w:val="640"/>
          <w:marRight w:val="0"/>
          <w:marTop w:val="0"/>
          <w:marBottom w:val="0"/>
          <w:divBdr>
            <w:top w:val="none" w:sz="0" w:space="0" w:color="auto"/>
            <w:left w:val="none" w:sz="0" w:space="0" w:color="auto"/>
            <w:bottom w:val="none" w:sz="0" w:space="0" w:color="auto"/>
            <w:right w:val="none" w:sz="0" w:space="0" w:color="auto"/>
          </w:divBdr>
        </w:div>
        <w:div w:id="928343842">
          <w:marLeft w:val="640"/>
          <w:marRight w:val="0"/>
          <w:marTop w:val="0"/>
          <w:marBottom w:val="0"/>
          <w:divBdr>
            <w:top w:val="none" w:sz="0" w:space="0" w:color="auto"/>
            <w:left w:val="none" w:sz="0" w:space="0" w:color="auto"/>
            <w:bottom w:val="none" w:sz="0" w:space="0" w:color="auto"/>
            <w:right w:val="none" w:sz="0" w:space="0" w:color="auto"/>
          </w:divBdr>
        </w:div>
        <w:div w:id="486212618">
          <w:marLeft w:val="640"/>
          <w:marRight w:val="0"/>
          <w:marTop w:val="0"/>
          <w:marBottom w:val="0"/>
          <w:divBdr>
            <w:top w:val="none" w:sz="0" w:space="0" w:color="auto"/>
            <w:left w:val="none" w:sz="0" w:space="0" w:color="auto"/>
            <w:bottom w:val="none" w:sz="0" w:space="0" w:color="auto"/>
            <w:right w:val="none" w:sz="0" w:space="0" w:color="auto"/>
          </w:divBdr>
        </w:div>
        <w:div w:id="1794858328">
          <w:marLeft w:val="640"/>
          <w:marRight w:val="0"/>
          <w:marTop w:val="0"/>
          <w:marBottom w:val="0"/>
          <w:divBdr>
            <w:top w:val="none" w:sz="0" w:space="0" w:color="auto"/>
            <w:left w:val="none" w:sz="0" w:space="0" w:color="auto"/>
            <w:bottom w:val="none" w:sz="0" w:space="0" w:color="auto"/>
            <w:right w:val="none" w:sz="0" w:space="0" w:color="auto"/>
          </w:divBdr>
        </w:div>
        <w:div w:id="339357960">
          <w:marLeft w:val="640"/>
          <w:marRight w:val="0"/>
          <w:marTop w:val="0"/>
          <w:marBottom w:val="0"/>
          <w:divBdr>
            <w:top w:val="none" w:sz="0" w:space="0" w:color="auto"/>
            <w:left w:val="none" w:sz="0" w:space="0" w:color="auto"/>
            <w:bottom w:val="none" w:sz="0" w:space="0" w:color="auto"/>
            <w:right w:val="none" w:sz="0" w:space="0" w:color="auto"/>
          </w:divBdr>
        </w:div>
        <w:div w:id="229923291">
          <w:marLeft w:val="640"/>
          <w:marRight w:val="0"/>
          <w:marTop w:val="0"/>
          <w:marBottom w:val="0"/>
          <w:divBdr>
            <w:top w:val="none" w:sz="0" w:space="0" w:color="auto"/>
            <w:left w:val="none" w:sz="0" w:space="0" w:color="auto"/>
            <w:bottom w:val="none" w:sz="0" w:space="0" w:color="auto"/>
            <w:right w:val="none" w:sz="0" w:space="0" w:color="auto"/>
          </w:divBdr>
        </w:div>
        <w:div w:id="1169246470">
          <w:marLeft w:val="640"/>
          <w:marRight w:val="0"/>
          <w:marTop w:val="0"/>
          <w:marBottom w:val="0"/>
          <w:divBdr>
            <w:top w:val="none" w:sz="0" w:space="0" w:color="auto"/>
            <w:left w:val="none" w:sz="0" w:space="0" w:color="auto"/>
            <w:bottom w:val="none" w:sz="0" w:space="0" w:color="auto"/>
            <w:right w:val="none" w:sz="0" w:space="0" w:color="auto"/>
          </w:divBdr>
        </w:div>
        <w:div w:id="379785895">
          <w:marLeft w:val="640"/>
          <w:marRight w:val="0"/>
          <w:marTop w:val="0"/>
          <w:marBottom w:val="0"/>
          <w:divBdr>
            <w:top w:val="none" w:sz="0" w:space="0" w:color="auto"/>
            <w:left w:val="none" w:sz="0" w:space="0" w:color="auto"/>
            <w:bottom w:val="none" w:sz="0" w:space="0" w:color="auto"/>
            <w:right w:val="none" w:sz="0" w:space="0" w:color="auto"/>
          </w:divBdr>
        </w:div>
        <w:div w:id="814032160">
          <w:marLeft w:val="640"/>
          <w:marRight w:val="0"/>
          <w:marTop w:val="0"/>
          <w:marBottom w:val="0"/>
          <w:divBdr>
            <w:top w:val="none" w:sz="0" w:space="0" w:color="auto"/>
            <w:left w:val="none" w:sz="0" w:space="0" w:color="auto"/>
            <w:bottom w:val="none" w:sz="0" w:space="0" w:color="auto"/>
            <w:right w:val="none" w:sz="0" w:space="0" w:color="auto"/>
          </w:divBdr>
        </w:div>
        <w:div w:id="1082214920">
          <w:marLeft w:val="640"/>
          <w:marRight w:val="0"/>
          <w:marTop w:val="0"/>
          <w:marBottom w:val="0"/>
          <w:divBdr>
            <w:top w:val="none" w:sz="0" w:space="0" w:color="auto"/>
            <w:left w:val="none" w:sz="0" w:space="0" w:color="auto"/>
            <w:bottom w:val="none" w:sz="0" w:space="0" w:color="auto"/>
            <w:right w:val="none" w:sz="0" w:space="0" w:color="auto"/>
          </w:divBdr>
        </w:div>
        <w:div w:id="670789723">
          <w:marLeft w:val="640"/>
          <w:marRight w:val="0"/>
          <w:marTop w:val="0"/>
          <w:marBottom w:val="0"/>
          <w:divBdr>
            <w:top w:val="none" w:sz="0" w:space="0" w:color="auto"/>
            <w:left w:val="none" w:sz="0" w:space="0" w:color="auto"/>
            <w:bottom w:val="none" w:sz="0" w:space="0" w:color="auto"/>
            <w:right w:val="none" w:sz="0" w:space="0" w:color="auto"/>
          </w:divBdr>
        </w:div>
        <w:div w:id="1850482504">
          <w:marLeft w:val="640"/>
          <w:marRight w:val="0"/>
          <w:marTop w:val="0"/>
          <w:marBottom w:val="0"/>
          <w:divBdr>
            <w:top w:val="none" w:sz="0" w:space="0" w:color="auto"/>
            <w:left w:val="none" w:sz="0" w:space="0" w:color="auto"/>
            <w:bottom w:val="none" w:sz="0" w:space="0" w:color="auto"/>
            <w:right w:val="none" w:sz="0" w:space="0" w:color="auto"/>
          </w:divBdr>
        </w:div>
        <w:div w:id="737481223">
          <w:marLeft w:val="640"/>
          <w:marRight w:val="0"/>
          <w:marTop w:val="0"/>
          <w:marBottom w:val="0"/>
          <w:divBdr>
            <w:top w:val="none" w:sz="0" w:space="0" w:color="auto"/>
            <w:left w:val="none" w:sz="0" w:space="0" w:color="auto"/>
            <w:bottom w:val="none" w:sz="0" w:space="0" w:color="auto"/>
            <w:right w:val="none" w:sz="0" w:space="0" w:color="auto"/>
          </w:divBdr>
        </w:div>
        <w:div w:id="461340627">
          <w:marLeft w:val="640"/>
          <w:marRight w:val="0"/>
          <w:marTop w:val="0"/>
          <w:marBottom w:val="0"/>
          <w:divBdr>
            <w:top w:val="none" w:sz="0" w:space="0" w:color="auto"/>
            <w:left w:val="none" w:sz="0" w:space="0" w:color="auto"/>
            <w:bottom w:val="none" w:sz="0" w:space="0" w:color="auto"/>
            <w:right w:val="none" w:sz="0" w:space="0" w:color="auto"/>
          </w:divBdr>
        </w:div>
        <w:div w:id="22287349">
          <w:marLeft w:val="640"/>
          <w:marRight w:val="0"/>
          <w:marTop w:val="0"/>
          <w:marBottom w:val="0"/>
          <w:divBdr>
            <w:top w:val="none" w:sz="0" w:space="0" w:color="auto"/>
            <w:left w:val="none" w:sz="0" w:space="0" w:color="auto"/>
            <w:bottom w:val="none" w:sz="0" w:space="0" w:color="auto"/>
            <w:right w:val="none" w:sz="0" w:space="0" w:color="auto"/>
          </w:divBdr>
        </w:div>
        <w:div w:id="435054965">
          <w:marLeft w:val="640"/>
          <w:marRight w:val="0"/>
          <w:marTop w:val="0"/>
          <w:marBottom w:val="0"/>
          <w:divBdr>
            <w:top w:val="none" w:sz="0" w:space="0" w:color="auto"/>
            <w:left w:val="none" w:sz="0" w:space="0" w:color="auto"/>
            <w:bottom w:val="none" w:sz="0" w:space="0" w:color="auto"/>
            <w:right w:val="none" w:sz="0" w:space="0" w:color="auto"/>
          </w:divBdr>
        </w:div>
        <w:div w:id="1597593755">
          <w:marLeft w:val="640"/>
          <w:marRight w:val="0"/>
          <w:marTop w:val="0"/>
          <w:marBottom w:val="0"/>
          <w:divBdr>
            <w:top w:val="none" w:sz="0" w:space="0" w:color="auto"/>
            <w:left w:val="none" w:sz="0" w:space="0" w:color="auto"/>
            <w:bottom w:val="none" w:sz="0" w:space="0" w:color="auto"/>
            <w:right w:val="none" w:sz="0" w:space="0" w:color="auto"/>
          </w:divBdr>
        </w:div>
        <w:div w:id="1424447264">
          <w:marLeft w:val="640"/>
          <w:marRight w:val="0"/>
          <w:marTop w:val="0"/>
          <w:marBottom w:val="0"/>
          <w:divBdr>
            <w:top w:val="none" w:sz="0" w:space="0" w:color="auto"/>
            <w:left w:val="none" w:sz="0" w:space="0" w:color="auto"/>
            <w:bottom w:val="none" w:sz="0" w:space="0" w:color="auto"/>
            <w:right w:val="none" w:sz="0" w:space="0" w:color="auto"/>
          </w:divBdr>
        </w:div>
        <w:div w:id="2039816465">
          <w:marLeft w:val="640"/>
          <w:marRight w:val="0"/>
          <w:marTop w:val="0"/>
          <w:marBottom w:val="0"/>
          <w:divBdr>
            <w:top w:val="none" w:sz="0" w:space="0" w:color="auto"/>
            <w:left w:val="none" w:sz="0" w:space="0" w:color="auto"/>
            <w:bottom w:val="none" w:sz="0" w:space="0" w:color="auto"/>
            <w:right w:val="none" w:sz="0" w:space="0" w:color="auto"/>
          </w:divBdr>
        </w:div>
        <w:div w:id="695158139">
          <w:marLeft w:val="640"/>
          <w:marRight w:val="0"/>
          <w:marTop w:val="0"/>
          <w:marBottom w:val="0"/>
          <w:divBdr>
            <w:top w:val="none" w:sz="0" w:space="0" w:color="auto"/>
            <w:left w:val="none" w:sz="0" w:space="0" w:color="auto"/>
            <w:bottom w:val="none" w:sz="0" w:space="0" w:color="auto"/>
            <w:right w:val="none" w:sz="0" w:space="0" w:color="auto"/>
          </w:divBdr>
        </w:div>
        <w:div w:id="308020554">
          <w:marLeft w:val="640"/>
          <w:marRight w:val="0"/>
          <w:marTop w:val="0"/>
          <w:marBottom w:val="0"/>
          <w:divBdr>
            <w:top w:val="none" w:sz="0" w:space="0" w:color="auto"/>
            <w:left w:val="none" w:sz="0" w:space="0" w:color="auto"/>
            <w:bottom w:val="none" w:sz="0" w:space="0" w:color="auto"/>
            <w:right w:val="none" w:sz="0" w:space="0" w:color="auto"/>
          </w:divBdr>
        </w:div>
        <w:div w:id="1791432470">
          <w:marLeft w:val="640"/>
          <w:marRight w:val="0"/>
          <w:marTop w:val="0"/>
          <w:marBottom w:val="0"/>
          <w:divBdr>
            <w:top w:val="none" w:sz="0" w:space="0" w:color="auto"/>
            <w:left w:val="none" w:sz="0" w:space="0" w:color="auto"/>
            <w:bottom w:val="none" w:sz="0" w:space="0" w:color="auto"/>
            <w:right w:val="none" w:sz="0" w:space="0" w:color="auto"/>
          </w:divBdr>
        </w:div>
        <w:div w:id="708919876">
          <w:marLeft w:val="640"/>
          <w:marRight w:val="0"/>
          <w:marTop w:val="0"/>
          <w:marBottom w:val="0"/>
          <w:divBdr>
            <w:top w:val="none" w:sz="0" w:space="0" w:color="auto"/>
            <w:left w:val="none" w:sz="0" w:space="0" w:color="auto"/>
            <w:bottom w:val="none" w:sz="0" w:space="0" w:color="auto"/>
            <w:right w:val="none" w:sz="0" w:space="0" w:color="auto"/>
          </w:divBdr>
        </w:div>
        <w:div w:id="940263327">
          <w:marLeft w:val="640"/>
          <w:marRight w:val="0"/>
          <w:marTop w:val="0"/>
          <w:marBottom w:val="0"/>
          <w:divBdr>
            <w:top w:val="none" w:sz="0" w:space="0" w:color="auto"/>
            <w:left w:val="none" w:sz="0" w:space="0" w:color="auto"/>
            <w:bottom w:val="none" w:sz="0" w:space="0" w:color="auto"/>
            <w:right w:val="none" w:sz="0" w:space="0" w:color="auto"/>
          </w:divBdr>
        </w:div>
        <w:div w:id="976960312">
          <w:marLeft w:val="640"/>
          <w:marRight w:val="0"/>
          <w:marTop w:val="0"/>
          <w:marBottom w:val="0"/>
          <w:divBdr>
            <w:top w:val="none" w:sz="0" w:space="0" w:color="auto"/>
            <w:left w:val="none" w:sz="0" w:space="0" w:color="auto"/>
            <w:bottom w:val="none" w:sz="0" w:space="0" w:color="auto"/>
            <w:right w:val="none" w:sz="0" w:space="0" w:color="auto"/>
          </w:divBdr>
        </w:div>
        <w:div w:id="1510219869">
          <w:marLeft w:val="640"/>
          <w:marRight w:val="0"/>
          <w:marTop w:val="0"/>
          <w:marBottom w:val="0"/>
          <w:divBdr>
            <w:top w:val="none" w:sz="0" w:space="0" w:color="auto"/>
            <w:left w:val="none" w:sz="0" w:space="0" w:color="auto"/>
            <w:bottom w:val="none" w:sz="0" w:space="0" w:color="auto"/>
            <w:right w:val="none" w:sz="0" w:space="0" w:color="auto"/>
          </w:divBdr>
        </w:div>
        <w:div w:id="253560061">
          <w:marLeft w:val="640"/>
          <w:marRight w:val="0"/>
          <w:marTop w:val="0"/>
          <w:marBottom w:val="0"/>
          <w:divBdr>
            <w:top w:val="none" w:sz="0" w:space="0" w:color="auto"/>
            <w:left w:val="none" w:sz="0" w:space="0" w:color="auto"/>
            <w:bottom w:val="none" w:sz="0" w:space="0" w:color="auto"/>
            <w:right w:val="none" w:sz="0" w:space="0" w:color="auto"/>
          </w:divBdr>
        </w:div>
        <w:div w:id="1471938935">
          <w:marLeft w:val="640"/>
          <w:marRight w:val="0"/>
          <w:marTop w:val="0"/>
          <w:marBottom w:val="0"/>
          <w:divBdr>
            <w:top w:val="none" w:sz="0" w:space="0" w:color="auto"/>
            <w:left w:val="none" w:sz="0" w:space="0" w:color="auto"/>
            <w:bottom w:val="none" w:sz="0" w:space="0" w:color="auto"/>
            <w:right w:val="none" w:sz="0" w:space="0" w:color="auto"/>
          </w:divBdr>
        </w:div>
      </w:divsChild>
    </w:div>
    <w:div w:id="1171725623">
      <w:bodyDiv w:val="1"/>
      <w:marLeft w:val="0"/>
      <w:marRight w:val="0"/>
      <w:marTop w:val="0"/>
      <w:marBottom w:val="0"/>
      <w:divBdr>
        <w:top w:val="none" w:sz="0" w:space="0" w:color="auto"/>
        <w:left w:val="none" w:sz="0" w:space="0" w:color="auto"/>
        <w:bottom w:val="none" w:sz="0" w:space="0" w:color="auto"/>
        <w:right w:val="none" w:sz="0" w:space="0" w:color="auto"/>
      </w:divBdr>
    </w:div>
    <w:div w:id="1194197084">
      <w:bodyDiv w:val="1"/>
      <w:marLeft w:val="0"/>
      <w:marRight w:val="0"/>
      <w:marTop w:val="0"/>
      <w:marBottom w:val="0"/>
      <w:divBdr>
        <w:top w:val="none" w:sz="0" w:space="0" w:color="auto"/>
        <w:left w:val="none" w:sz="0" w:space="0" w:color="auto"/>
        <w:bottom w:val="none" w:sz="0" w:space="0" w:color="auto"/>
        <w:right w:val="none" w:sz="0" w:space="0" w:color="auto"/>
      </w:divBdr>
    </w:div>
    <w:div w:id="1250843799">
      <w:bodyDiv w:val="1"/>
      <w:marLeft w:val="0"/>
      <w:marRight w:val="0"/>
      <w:marTop w:val="0"/>
      <w:marBottom w:val="0"/>
      <w:divBdr>
        <w:top w:val="none" w:sz="0" w:space="0" w:color="auto"/>
        <w:left w:val="none" w:sz="0" w:space="0" w:color="auto"/>
        <w:bottom w:val="none" w:sz="0" w:space="0" w:color="auto"/>
        <w:right w:val="none" w:sz="0" w:space="0" w:color="auto"/>
      </w:divBdr>
    </w:div>
    <w:div w:id="1252859849">
      <w:bodyDiv w:val="1"/>
      <w:marLeft w:val="0"/>
      <w:marRight w:val="0"/>
      <w:marTop w:val="0"/>
      <w:marBottom w:val="0"/>
      <w:divBdr>
        <w:top w:val="none" w:sz="0" w:space="0" w:color="auto"/>
        <w:left w:val="none" w:sz="0" w:space="0" w:color="auto"/>
        <w:bottom w:val="none" w:sz="0" w:space="0" w:color="auto"/>
        <w:right w:val="none" w:sz="0" w:space="0" w:color="auto"/>
      </w:divBdr>
    </w:div>
    <w:div w:id="1266041765">
      <w:bodyDiv w:val="1"/>
      <w:marLeft w:val="0"/>
      <w:marRight w:val="0"/>
      <w:marTop w:val="0"/>
      <w:marBottom w:val="0"/>
      <w:divBdr>
        <w:top w:val="none" w:sz="0" w:space="0" w:color="auto"/>
        <w:left w:val="none" w:sz="0" w:space="0" w:color="auto"/>
        <w:bottom w:val="none" w:sz="0" w:space="0" w:color="auto"/>
        <w:right w:val="none" w:sz="0" w:space="0" w:color="auto"/>
      </w:divBdr>
    </w:div>
    <w:div w:id="1274052346">
      <w:bodyDiv w:val="1"/>
      <w:marLeft w:val="0"/>
      <w:marRight w:val="0"/>
      <w:marTop w:val="0"/>
      <w:marBottom w:val="0"/>
      <w:divBdr>
        <w:top w:val="none" w:sz="0" w:space="0" w:color="auto"/>
        <w:left w:val="none" w:sz="0" w:space="0" w:color="auto"/>
        <w:bottom w:val="none" w:sz="0" w:space="0" w:color="auto"/>
        <w:right w:val="none" w:sz="0" w:space="0" w:color="auto"/>
      </w:divBdr>
    </w:div>
    <w:div w:id="1287396662">
      <w:bodyDiv w:val="1"/>
      <w:marLeft w:val="0"/>
      <w:marRight w:val="0"/>
      <w:marTop w:val="0"/>
      <w:marBottom w:val="0"/>
      <w:divBdr>
        <w:top w:val="none" w:sz="0" w:space="0" w:color="auto"/>
        <w:left w:val="none" w:sz="0" w:space="0" w:color="auto"/>
        <w:bottom w:val="none" w:sz="0" w:space="0" w:color="auto"/>
        <w:right w:val="none" w:sz="0" w:space="0" w:color="auto"/>
      </w:divBdr>
    </w:div>
    <w:div w:id="1302887819">
      <w:bodyDiv w:val="1"/>
      <w:marLeft w:val="0"/>
      <w:marRight w:val="0"/>
      <w:marTop w:val="0"/>
      <w:marBottom w:val="0"/>
      <w:divBdr>
        <w:top w:val="none" w:sz="0" w:space="0" w:color="auto"/>
        <w:left w:val="none" w:sz="0" w:space="0" w:color="auto"/>
        <w:bottom w:val="none" w:sz="0" w:space="0" w:color="auto"/>
        <w:right w:val="none" w:sz="0" w:space="0" w:color="auto"/>
      </w:divBdr>
    </w:div>
    <w:div w:id="1335377497">
      <w:bodyDiv w:val="1"/>
      <w:marLeft w:val="0"/>
      <w:marRight w:val="0"/>
      <w:marTop w:val="0"/>
      <w:marBottom w:val="0"/>
      <w:divBdr>
        <w:top w:val="none" w:sz="0" w:space="0" w:color="auto"/>
        <w:left w:val="none" w:sz="0" w:space="0" w:color="auto"/>
        <w:bottom w:val="none" w:sz="0" w:space="0" w:color="auto"/>
        <w:right w:val="none" w:sz="0" w:space="0" w:color="auto"/>
      </w:divBdr>
    </w:div>
    <w:div w:id="1347518004">
      <w:bodyDiv w:val="1"/>
      <w:marLeft w:val="0"/>
      <w:marRight w:val="0"/>
      <w:marTop w:val="0"/>
      <w:marBottom w:val="0"/>
      <w:divBdr>
        <w:top w:val="none" w:sz="0" w:space="0" w:color="auto"/>
        <w:left w:val="none" w:sz="0" w:space="0" w:color="auto"/>
        <w:bottom w:val="none" w:sz="0" w:space="0" w:color="auto"/>
        <w:right w:val="none" w:sz="0" w:space="0" w:color="auto"/>
      </w:divBdr>
    </w:div>
    <w:div w:id="1360856662">
      <w:bodyDiv w:val="1"/>
      <w:marLeft w:val="0"/>
      <w:marRight w:val="0"/>
      <w:marTop w:val="0"/>
      <w:marBottom w:val="0"/>
      <w:divBdr>
        <w:top w:val="none" w:sz="0" w:space="0" w:color="auto"/>
        <w:left w:val="none" w:sz="0" w:space="0" w:color="auto"/>
        <w:bottom w:val="none" w:sz="0" w:space="0" w:color="auto"/>
        <w:right w:val="none" w:sz="0" w:space="0" w:color="auto"/>
      </w:divBdr>
    </w:div>
    <w:div w:id="1372922967">
      <w:bodyDiv w:val="1"/>
      <w:marLeft w:val="0"/>
      <w:marRight w:val="0"/>
      <w:marTop w:val="0"/>
      <w:marBottom w:val="0"/>
      <w:divBdr>
        <w:top w:val="none" w:sz="0" w:space="0" w:color="auto"/>
        <w:left w:val="none" w:sz="0" w:space="0" w:color="auto"/>
        <w:bottom w:val="none" w:sz="0" w:space="0" w:color="auto"/>
        <w:right w:val="none" w:sz="0" w:space="0" w:color="auto"/>
      </w:divBdr>
    </w:div>
    <w:div w:id="1388726570">
      <w:bodyDiv w:val="1"/>
      <w:marLeft w:val="0"/>
      <w:marRight w:val="0"/>
      <w:marTop w:val="0"/>
      <w:marBottom w:val="0"/>
      <w:divBdr>
        <w:top w:val="none" w:sz="0" w:space="0" w:color="auto"/>
        <w:left w:val="none" w:sz="0" w:space="0" w:color="auto"/>
        <w:bottom w:val="none" w:sz="0" w:space="0" w:color="auto"/>
        <w:right w:val="none" w:sz="0" w:space="0" w:color="auto"/>
      </w:divBdr>
    </w:div>
    <w:div w:id="1406999049">
      <w:bodyDiv w:val="1"/>
      <w:marLeft w:val="0"/>
      <w:marRight w:val="0"/>
      <w:marTop w:val="0"/>
      <w:marBottom w:val="0"/>
      <w:divBdr>
        <w:top w:val="none" w:sz="0" w:space="0" w:color="auto"/>
        <w:left w:val="none" w:sz="0" w:space="0" w:color="auto"/>
        <w:bottom w:val="none" w:sz="0" w:space="0" w:color="auto"/>
        <w:right w:val="none" w:sz="0" w:space="0" w:color="auto"/>
      </w:divBdr>
    </w:div>
    <w:div w:id="1426993633">
      <w:bodyDiv w:val="1"/>
      <w:marLeft w:val="0"/>
      <w:marRight w:val="0"/>
      <w:marTop w:val="0"/>
      <w:marBottom w:val="0"/>
      <w:divBdr>
        <w:top w:val="none" w:sz="0" w:space="0" w:color="auto"/>
        <w:left w:val="none" w:sz="0" w:space="0" w:color="auto"/>
        <w:bottom w:val="none" w:sz="0" w:space="0" w:color="auto"/>
        <w:right w:val="none" w:sz="0" w:space="0" w:color="auto"/>
      </w:divBdr>
    </w:div>
    <w:div w:id="1456291343">
      <w:bodyDiv w:val="1"/>
      <w:marLeft w:val="0"/>
      <w:marRight w:val="0"/>
      <w:marTop w:val="0"/>
      <w:marBottom w:val="0"/>
      <w:divBdr>
        <w:top w:val="none" w:sz="0" w:space="0" w:color="auto"/>
        <w:left w:val="none" w:sz="0" w:space="0" w:color="auto"/>
        <w:bottom w:val="none" w:sz="0" w:space="0" w:color="auto"/>
        <w:right w:val="none" w:sz="0" w:space="0" w:color="auto"/>
      </w:divBdr>
      <w:divsChild>
        <w:div w:id="86970767">
          <w:marLeft w:val="640"/>
          <w:marRight w:val="0"/>
          <w:marTop w:val="0"/>
          <w:marBottom w:val="0"/>
          <w:divBdr>
            <w:top w:val="none" w:sz="0" w:space="0" w:color="auto"/>
            <w:left w:val="none" w:sz="0" w:space="0" w:color="auto"/>
            <w:bottom w:val="none" w:sz="0" w:space="0" w:color="auto"/>
            <w:right w:val="none" w:sz="0" w:space="0" w:color="auto"/>
          </w:divBdr>
        </w:div>
        <w:div w:id="528226093">
          <w:marLeft w:val="640"/>
          <w:marRight w:val="0"/>
          <w:marTop w:val="0"/>
          <w:marBottom w:val="0"/>
          <w:divBdr>
            <w:top w:val="none" w:sz="0" w:space="0" w:color="auto"/>
            <w:left w:val="none" w:sz="0" w:space="0" w:color="auto"/>
            <w:bottom w:val="none" w:sz="0" w:space="0" w:color="auto"/>
            <w:right w:val="none" w:sz="0" w:space="0" w:color="auto"/>
          </w:divBdr>
        </w:div>
        <w:div w:id="799759826">
          <w:marLeft w:val="640"/>
          <w:marRight w:val="0"/>
          <w:marTop w:val="0"/>
          <w:marBottom w:val="0"/>
          <w:divBdr>
            <w:top w:val="none" w:sz="0" w:space="0" w:color="auto"/>
            <w:left w:val="none" w:sz="0" w:space="0" w:color="auto"/>
            <w:bottom w:val="none" w:sz="0" w:space="0" w:color="auto"/>
            <w:right w:val="none" w:sz="0" w:space="0" w:color="auto"/>
          </w:divBdr>
        </w:div>
        <w:div w:id="1606503725">
          <w:marLeft w:val="640"/>
          <w:marRight w:val="0"/>
          <w:marTop w:val="0"/>
          <w:marBottom w:val="0"/>
          <w:divBdr>
            <w:top w:val="none" w:sz="0" w:space="0" w:color="auto"/>
            <w:left w:val="none" w:sz="0" w:space="0" w:color="auto"/>
            <w:bottom w:val="none" w:sz="0" w:space="0" w:color="auto"/>
            <w:right w:val="none" w:sz="0" w:space="0" w:color="auto"/>
          </w:divBdr>
        </w:div>
        <w:div w:id="1271739022">
          <w:marLeft w:val="640"/>
          <w:marRight w:val="0"/>
          <w:marTop w:val="0"/>
          <w:marBottom w:val="0"/>
          <w:divBdr>
            <w:top w:val="none" w:sz="0" w:space="0" w:color="auto"/>
            <w:left w:val="none" w:sz="0" w:space="0" w:color="auto"/>
            <w:bottom w:val="none" w:sz="0" w:space="0" w:color="auto"/>
            <w:right w:val="none" w:sz="0" w:space="0" w:color="auto"/>
          </w:divBdr>
        </w:div>
        <w:div w:id="133377670">
          <w:marLeft w:val="640"/>
          <w:marRight w:val="0"/>
          <w:marTop w:val="0"/>
          <w:marBottom w:val="0"/>
          <w:divBdr>
            <w:top w:val="none" w:sz="0" w:space="0" w:color="auto"/>
            <w:left w:val="none" w:sz="0" w:space="0" w:color="auto"/>
            <w:bottom w:val="none" w:sz="0" w:space="0" w:color="auto"/>
            <w:right w:val="none" w:sz="0" w:space="0" w:color="auto"/>
          </w:divBdr>
        </w:div>
        <w:div w:id="1512836570">
          <w:marLeft w:val="640"/>
          <w:marRight w:val="0"/>
          <w:marTop w:val="0"/>
          <w:marBottom w:val="0"/>
          <w:divBdr>
            <w:top w:val="none" w:sz="0" w:space="0" w:color="auto"/>
            <w:left w:val="none" w:sz="0" w:space="0" w:color="auto"/>
            <w:bottom w:val="none" w:sz="0" w:space="0" w:color="auto"/>
            <w:right w:val="none" w:sz="0" w:space="0" w:color="auto"/>
          </w:divBdr>
        </w:div>
        <w:div w:id="2132625708">
          <w:marLeft w:val="640"/>
          <w:marRight w:val="0"/>
          <w:marTop w:val="0"/>
          <w:marBottom w:val="0"/>
          <w:divBdr>
            <w:top w:val="none" w:sz="0" w:space="0" w:color="auto"/>
            <w:left w:val="none" w:sz="0" w:space="0" w:color="auto"/>
            <w:bottom w:val="none" w:sz="0" w:space="0" w:color="auto"/>
            <w:right w:val="none" w:sz="0" w:space="0" w:color="auto"/>
          </w:divBdr>
        </w:div>
        <w:div w:id="792597790">
          <w:marLeft w:val="640"/>
          <w:marRight w:val="0"/>
          <w:marTop w:val="0"/>
          <w:marBottom w:val="0"/>
          <w:divBdr>
            <w:top w:val="none" w:sz="0" w:space="0" w:color="auto"/>
            <w:left w:val="none" w:sz="0" w:space="0" w:color="auto"/>
            <w:bottom w:val="none" w:sz="0" w:space="0" w:color="auto"/>
            <w:right w:val="none" w:sz="0" w:space="0" w:color="auto"/>
          </w:divBdr>
        </w:div>
        <w:div w:id="1017387482">
          <w:marLeft w:val="640"/>
          <w:marRight w:val="0"/>
          <w:marTop w:val="0"/>
          <w:marBottom w:val="0"/>
          <w:divBdr>
            <w:top w:val="none" w:sz="0" w:space="0" w:color="auto"/>
            <w:left w:val="none" w:sz="0" w:space="0" w:color="auto"/>
            <w:bottom w:val="none" w:sz="0" w:space="0" w:color="auto"/>
            <w:right w:val="none" w:sz="0" w:space="0" w:color="auto"/>
          </w:divBdr>
        </w:div>
        <w:div w:id="1596553687">
          <w:marLeft w:val="640"/>
          <w:marRight w:val="0"/>
          <w:marTop w:val="0"/>
          <w:marBottom w:val="0"/>
          <w:divBdr>
            <w:top w:val="none" w:sz="0" w:space="0" w:color="auto"/>
            <w:left w:val="none" w:sz="0" w:space="0" w:color="auto"/>
            <w:bottom w:val="none" w:sz="0" w:space="0" w:color="auto"/>
            <w:right w:val="none" w:sz="0" w:space="0" w:color="auto"/>
          </w:divBdr>
        </w:div>
        <w:div w:id="1658268542">
          <w:marLeft w:val="640"/>
          <w:marRight w:val="0"/>
          <w:marTop w:val="0"/>
          <w:marBottom w:val="0"/>
          <w:divBdr>
            <w:top w:val="none" w:sz="0" w:space="0" w:color="auto"/>
            <w:left w:val="none" w:sz="0" w:space="0" w:color="auto"/>
            <w:bottom w:val="none" w:sz="0" w:space="0" w:color="auto"/>
            <w:right w:val="none" w:sz="0" w:space="0" w:color="auto"/>
          </w:divBdr>
        </w:div>
        <w:div w:id="649945014">
          <w:marLeft w:val="640"/>
          <w:marRight w:val="0"/>
          <w:marTop w:val="0"/>
          <w:marBottom w:val="0"/>
          <w:divBdr>
            <w:top w:val="none" w:sz="0" w:space="0" w:color="auto"/>
            <w:left w:val="none" w:sz="0" w:space="0" w:color="auto"/>
            <w:bottom w:val="none" w:sz="0" w:space="0" w:color="auto"/>
            <w:right w:val="none" w:sz="0" w:space="0" w:color="auto"/>
          </w:divBdr>
        </w:div>
        <w:div w:id="1961910240">
          <w:marLeft w:val="640"/>
          <w:marRight w:val="0"/>
          <w:marTop w:val="0"/>
          <w:marBottom w:val="0"/>
          <w:divBdr>
            <w:top w:val="none" w:sz="0" w:space="0" w:color="auto"/>
            <w:left w:val="none" w:sz="0" w:space="0" w:color="auto"/>
            <w:bottom w:val="none" w:sz="0" w:space="0" w:color="auto"/>
            <w:right w:val="none" w:sz="0" w:space="0" w:color="auto"/>
          </w:divBdr>
        </w:div>
        <w:div w:id="1224677753">
          <w:marLeft w:val="640"/>
          <w:marRight w:val="0"/>
          <w:marTop w:val="0"/>
          <w:marBottom w:val="0"/>
          <w:divBdr>
            <w:top w:val="none" w:sz="0" w:space="0" w:color="auto"/>
            <w:left w:val="none" w:sz="0" w:space="0" w:color="auto"/>
            <w:bottom w:val="none" w:sz="0" w:space="0" w:color="auto"/>
            <w:right w:val="none" w:sz="0" w:space="0" w:color="auto"/>
          </w:divBdr>
        </w:div>
        <w:div w:id="1419250335">
          <w:marLeft w:val="640"/>
          <w:marRight w:val="0"/>
          <w:marTop w:val="0"/>
          <w:marBottom w:val="0"/>
          <w:divBdr>
            <w:top w:val="none" w:sz="0" w:space="0" w:color="auto"/>
            <w:left w:val="none" w:sz="0" w:space="0" w:color="auto"/>
            <w:bottom w:val="none" w:sz="0" w:space="0" w:color="auto"/>
            <w:right w:val="none" w:sz="0" w:space="0" w:color="auto"/>
          </w:divBdr>
        </w:div>
        <w:div w:id="2023119914">
          <w:marLeft w:val="640"/>
          <w:marRight w:val="0"/>
          <w:marTop w:val="0"/>
          <w:marBottom w:val="0"/>
          <w:divBdr>
            <w:top w:val="none" w:sz="0" w:space="0" w:color="auto"/>
            <w:left w:val="none" w:sz="0" w:space="0" w:color="auto"/>
            <w:bottom w:val="none" w:sz="0" w:space="0" w:color="auto"/>
            <w:right w:val="none" w:sz="0" w:space="0" w:color="auto"/>
          </w:divBdr>
        </w:div>
        <w:div w:id="1308977047">
          <w:marLeft w:val="640"/>
          <w:marRight w:val="0"/>
          <w:marTop w:val="0"/>
          <w:marBottom w:val="0"/>
          <w:divBdr>
            <w:top w:val="none" w:sz="0" w:space="0" w:color="auto"/>
            <w:left w:val="none" w:sz="0" w:space="0" w:color="auto"/>
            <w:bottom w:val="none" w:sz="0" w:space="0" w:color="auto"/>
            <w:right w:val="none" w:sz="0" w:space="0" w:color="auto"/>
          </w:divBdr>
        </w:div>
        <w:div w:id="1163470055">
          <w:marLeft w:val="640"/>
          <w:marRight w:val="0"/>
          <w:marTop w:val="0"/>
          <w:marBottom w:val="0"/>
          <w:divBdr>
            <w:top w:val="none" w:sz="0" w:space="0" w:color="auto"/>
            <w:left w:val="none" w:sz="0" w:space="0" w:color="auto"/>
            <w:bottom w:val="none" w:sz="0" w:space="0" w:color="auto"/>
            <w:right w:val="none" w:sz="0" w:space="0" w:color="auto"/>
          </w:divBdr>
        </w:div>
        <w:div w:id="1052146350">
          <w:marLeft w:val="640"/>
          <w:marRight w:val="0"/>
          <w:marTop w:val="0"/>
          <w:marBottom w:val="0"/>
          <w:divBdr>
            <w:top w:val="none" w:sz="0" w:space="0" w:color="auto"/>
            <w:left w:val="none" w:sz="0" w:space="0" w:color="auto"/>
            <w:bottom w:val="none" w:sz="0" w:space="0" w:color="auto"/>
            <w:right w:val="none" w:sz="0" w:space="0" w:color="auto"/>
          </w:divBdr>
        </w:div>
        <w:div w:id="402027280">
          <w:marLeft w:val="640"/>
          <w:marRight w:val="0"/>
          <w:marTop w:val="0"/>
          <w:marBottom w:val="0"/>
          <w:divBdr>
            <w:top w:val="none" w:sz="0" w:space="0" w:color="auto"/>
            <w:left w:val="none" w:sz="0" w:space="0" w:color="auto"/>
            <w:bottom w:val="none" w:sz="0" w:space="0" w:color="auto"/>
            <w:right w:val="none" w:sz="0" w:space="0" w:color="auto"/>
          </w:divBdr>
        </w:div>
        <w:div w:id="1415319377">
          <w:marLeft w:val="640"/>
          <w:marRight w:val="0"/>
          <w:marTop w:val="0"/>
          <w:marBottom w:val="0"/>
          <w:divBdr>
            <w:top w:val="none" w:sz="0" w:space="0" w:color="auto"/>
            <w:left w:val="none" w:sz="0" w:space="0" w:color="auto"/>
            <w:bottom w:val="none" w:sz="0" w:space="0" w:color="auto"/>
            <w:right w:val="none" w:sz="0" w:space="0" w:color="auto"/>
          </w:divBdr>
        </w:div>
        <w:div w:id="367531432">
          <w:marLeft w:val="640"/>
          <w:marRight w:val="0"/>
          <w:marTop w:val="0"/>
          <w:marBottom w:val="0"/>
          <w:divBdr>
            <w:top w:val="none" w:sz="0" w:space="0" w:color="auto"/>
            <w:left w:val="none" w:sz="0" w:space="0" w:color="auto"/>
            <w:bottom w:val="none" w:sz="0" w:space="0" w:color="auto"/>
            <w:right w:val="none" w:sz="0" w:space="0" w:color="auto"/>
          </w:divBdr>
        </w:div>
        <w:div w:id="1346862994">
          <w:marLeft w:val="640"/>
          <w:marRight w:val="0"/>
          <w:marTop w:val="0"/>
          <w:marBottom w:val="0"/>
          <w:divBdr>
            <w:top w:val="none" w:sz="0" w:space="0" w:color="auto"/>
            <w:left w:val="none" w:sz="0" w:space="0" w:color="auto"/>
            <w:bottom w:val="none" w:sz="0" w:space="0" w:color="auto"/>
            <w:right w:val="none" w:sz="0" w:space="0" w:color="auto"/>
          </w:divBdr>
        </w:div>
        <w:div w:id="1078819389">
          <w:marLeft w:val="640"/>
          <w:marRight w:val="0"/>
          <w:marTop w:val="0"/>
          <w:marBottom w:val="0"/>
          <w:divBdr>
            <w:top w:val="none" w:sz="0" w:space="0" w:color="auto"/>
            <w:left w:val="none" w:sz="0" w:space="0" w:color="auto"/>
            <w:bottom w:val="none" w:sz="0" w:space="0" w:color="auto"/>
            <w:right w:val="none" w:sz="0" w:space="0" w:color="auto"/>
          </w:divBdr>
        </w:div>
        <w:div w:id="527958909">
          <w:marLeft w:val="640"/>
          <w:marRight w:val="0"/>
          <w:marTop w:val="0"/>
          <w:marBottom w:val="0"/>
          <w:divBdr>
            <w:top w:val="none" w:sz="0" w:space="0" w:color="auto"/>
            <w:left w:val="none" w:sz="0" w:space="0" w:color="auto"/>
            <w:bottom w:val="none" w:sz="0" w:space="0" w:color="auto"/>
            <w:right w:val="none" w:sz="0" w:space="0" w:color="auto"/>
          </w:divBdr>
        </w:div>
        <w:div w:id="1497261848">
          <w:marLeft w:val="640"/>
          <w:marRight w:val="0"/>
          <w:marTop w:val="0"/>
          <w:marBottom w:val="0"/>
          <w:divBdr>
            <w:top w:val="none" w:sz="0" w:space="0" w:color="auto"/>
            <w:left w:val="none" w:sz="0" w:space="0" w:color="auto"/>
            <w:bottom w:val="none" w:sz="0" w:space="0" w:color="auto"/>
            <w:right w:val="none" w:sz="0" w:space="0" w:color="auto"/>
          </w:divBdr>
        </w:div>
        <w:div w:id="829369127">
          <w:marLeft w:val="640"/>
          <w:marRight w:val="0"/>
          <w:marTop w:val="0"/>
          <w:marBottom w:val="0"/>
          <w:divBdr>
            <w:top w:val="none" w:sz="0" w:space="0" w:color="auto"/>
            <w:left w:val="none" w:sz="0" w:space="0" w:color="auto"/>
            <w:bottom w:val="none" w:sz="0" w:space="0" w:color="auto"/>
            <w:right w:val="none" w:sz="0" w:space="0" w:color="auto"/>
          </w:divBdr>
        </w:div>
        <w:div w:id="439222830">
          <w:marLeft w:val="640"/>
          <w:marRight w:val="0"/>
          <w:marTop w:val="0"/>
          <w:marBottom w:val="0"/>
          <w:divBdr>
            <w:top w:val="none" w:sz="0" w:space="0" w:color="auto"/>
            <w:left w:val="none" w:sz="0" w:space="0" w:color="auto"/>
            <w:bottom w:val="none" w:sz="0" w:space="0" w:color="auto"/>
            <w:right w:val="none" w:sz="0" w:space="0" w:color="auto"/>
          </w:divBdr>
        </w:div>
        <w:div w:id="918058925">
          <w:marLeft w:val="640"/>
          <w:marRight w:val="0"/>
          <w:marTop w:val="0"/>
          <w:marBottom w:val="0"/>
          <w:divBdr>
            <w:top w:val="none" w:sz="0" w:space="0" w:color="auto"/>
            <w:left w:val="none" w:sz="0" w:space="0" w:color="auto"/>
            <w:bottom w:val="none" w:sz="0" w:space="0" w:color="auto"/>
            <w:right w:val="none" w:sz="0" w:space="0" w:color="auto"/>
          </w:divBdr>
        </w:div>
        <w:div w:id="1488131752">
          <w:marLeft w:val="640"/>
          <w:marRight w:val="0"/>
          <w:marTop w:val="0"/>
          <w:marBottom w:val="0"/>
          <w:divBdr>
            <w:top w:val="none" w:sz="0" w:space="0" w:color="auto"/>
            <w:left w:val="none" w:sz="0" w:space="0" w:color="auto"/>
            <w:bottom w:val="none" w:sz="0" w:space="0" w:color="auto"/>
            <w:right w:val="none" w:sz="0" w:space="0" w:color="auto"/>
          </w:divBdr>
        </w:div>
        <w:div w:id="788233860">
          <w:marLeft w:val="640"/>
          <w:marRight w:val="0"/>
          <w:marTop w:val="0"/>
          <w:marBottom w:val="0"/>
          <w:divBdr>
            <w:top w:val="none" w:sz="0" w:space="0" w:color="auto"/>
            <w:left w:val="none" w:sz="0" w:space="0" w:color="auto"/>
            <w:bottom w:val="none" w:sz="0" w:space="0" w:color="auto"/>
            <w:right w:val="none" w:sz="0" w:space="0" w:color="auto"/>
          </w:divBdr>
        </w:div>
        <w:div w:id="875584775">
          <w:marLeft w:val="640"/>
          <w:marRight w:val="0"/>
          <w:marTop w:val="0"/>
          <w:marBottom w:val="0"/>
          <w:divBdr>
            <w:top w:val="none" w:sz="0" w:space="0" w:color="auto"/>
            <w:left w:val="none" w:sz="0" w:space="0" w:color="auto"/>
            <w:bottom w:val="none" w:sz="0" w:space="0" w:color="auto"/>
            <w:right w:val="none" w:sz="0" w:space="0" w:color="auto"/>
          </w:divBdr>
        </w:div>
        <w:div w:id="198402683">
          <w:marLeft w:val="640"/>
          <w:marRight w:val="0"/>
          <w:marTop w:val="0"/>
          <w:marBottom w:val="0"/>
          <w:divBdr>
            <w:top w:val="none" w:sz="0" w:space="0" w:color="auto"/>
            <w:left w:val="none" w:sz="0" w:space="0" w:color="auto"/>
            <w:bottom w:val="none" w:sz="0" w:space="0" w:color="auto"/>
            <w:right w:val="none" w:sz="0" w:space="0" w:color="auto"/>
          </w:divBdr>
        </w:div>
        <w:div w:id="564100253">
          <w:marLeft w:val="640"/>
          <w:marRight w:val="0"/>
          <w:marTop w:val="0"/>
          <w:marBottom w:val="0"/>
          <w:divBdr>
            <w:top w:val="none" w:sz="0" w:space="0" w:color="auto"/>
            <w:left w:val="none" w:sz="0" w:space="0" w:color="auto"/>
            <w:bottom w:val="none" w:sz="0" w:space="0" w:color="auto"/>
            <w:right w:val="none" w:sz="0" w:space="0" w:color="auto"/>
          </w:divBdr>
        </w:div>
        <w:div w:id="1091974163">
          <w:marLeft w:val="640"/>
          <w:marRight w:val="0"/>
          <w:marTop w:val="0"/>
          <w:marBottom w:val="0"/>
          <w:divBdr>
            <w:top w:val="none" w:sz="0" w:space="0" w:color="auto"/>
            <w:left w:val="none" w:sz="0" w:space="0" w:color="auto"/>
            <w:bottom w:val="none" w:sz="0" w:space="0" w:color="auto"/>
            <w:right w:val="none" w:sz="0" w:space="0" w:color="auto"/>
          </w:divBdr>
        </w:div>
        <w:div w:id="1370186727">
          <w:marLeft w:val="640"/>
          <w:marRight w:val="0"/>
          <w:marTop w:val="0"/>
          <w:marBottom w:val="0"/>
          <w:divBdr>
            <w:top w:val="none" w:sz="0" w:space="0" w:color="auto"/>
            <w:left w:val="none" w:sz="0" w:space="0" w:color="auto"/>
            <w:bottom w:val="none" w:sz="0" w:space="0" w:color="auto"/>
            <w:right w:val="none" w:sz="0" w:space="0" w:color="auto"/>
          </w:divBdr>
        </w:div>
        <w:div w:id="918641012">
          <w:marLeft w:val="640"/>
          <w:marRight w:val="0"/>
          <w:marTop w:val="0"/>
          <w:marBottom w:val="0"/>
          <w:divBdr>
            <w:top w:val="none" w:sz="0" w:space="0" w:color="auto"/>
            <w:left w:val="none" w:sz="0" w:space="0" w:color="auto"/>
            <w:bottom w:val="none" w:sz="0" w:space="0" w:color="auto"/>
            <w:right w:val="none" w:sz="0" w:space="0" w:color="auto"/>
          </w:divBdr>
        </w:div>
        <w:div w:id="1431317234">
          <w:marLeft w:val="640"/>
          <w:marRight w:val="0"/>
          <w:marTop w:val="0"/>
          <w:marBottom w:val="0"/>
          <w:divBdr>
            <w:top w:val="none" w:sz="0" w:space="0" w:color="auto"/>
            <w:left w:val="none" w:sz="0" w:space="0" w:color="auto"/>
            <w:bottom w:val="none" w:sz="0" w:space="0" w:color="auto"/>
            <w:right w:val="none" w:sz="0" w:space="0" w:color="auto"/>
          </w:divBdr>
        </w:div>
        <w:div w:id="505174117">
          <w:marLeft w:val="640"/>
          <w:marRight w:val="0"/>
          <w:marTop w:val="0"/>
          <w:marBottom w:val="0"/>
          <w:divBdr>
            <w:top w:val="none" w:sz="0" w:space="0" w:color="auto"/>
            <w:left w:val="none" w:sz="0" w:space="0" w:color="auto"/>
            <w:bottom w:val="none" w:sz="0" w:space="0" w:color="auto"/>
            <w:right w:val="none" w:sz="0" w:space="0" w:color="auto"/>
          </w:divBdr>
        </w:div>
        <w:div w:id="913272563">
          <w:marLeft w:val="640"/>
          <w:marRight w:val="0"/>
          <w:marTop w:val="0"/>
          <w:marBottom w:val="0"/>
          <w:divBdr>
            <w:top w:val="none" w:sz="0" w:space="0" w:color="auto"/>
            <w:left w:val="none" w:sz="0" w:space="0" w:color="auto"/>
            <w:bottom w:val="none" w:sz="0" w:space="0" w:color="auto"/>
            <w:right w:val="none" w:sz="0" w:space="0" w:color="auto"/>
          </w:divBdr>
        </w:div>
        <w:div w:id="150753681">
          <w:marLeft w:val="640"/>
          <w:marRight w:val="0"/>
          <w:marTop w:val="0"/>
          <w:marBottom w:val="0"/>
          <w:divBdr>
            <w:top w:val="none" w:sz="0" w:space="0" w:color="auto"/>
            <w:left w:val="none" w:sz="0" w:space="0" w:color="auto"/>
            <w:bottom w:val="none" w:sz="0" w:space="0" w:color="auto"/>
            <w:right w:val="none" w:sz="0" w:space="0" w:color="auto"/>
          </w:divBdr>
        </w:div>
        <w:div w:id="1064570084">
          <w:marLeft w:val="640"/>
          <w:marRight w:val="0"/>
          <w:marTop w:val="0"/>
          <w:marBottom w:val="0"/>
          <w:divBdr>
            <w:top w:val="none" w:sz="0" w:space="0" w:color="auto"/>
            <w:left w:val="none" w:sz="0" w:space="0" w:color="auto"/>
            <w:bottom w:val="none" w:sz="0" w:space="0" w:color="auto"/>
            <w:right w:val="none" w:sz="0" w:space="0" w:color="auto"/>
          </w:divBdr>
        </w:div>
        <w:div w:id="317999032">
          <w:marLeft w:val="640"/>
          <w:marRight w:val="0"/>
          <w:marTop w:val="0"/>
          <w:marBottom w:val="0"/>
          <w:divBdr>
            <w:top w:val="none" w:sz="0" w:space="0" w:color="auto"/>
            <w:left w:val="none" w:sz="0" w:space="0" w:color="auto"/>
            <w:bottom w:val="none" w:sz="0" w:space="0" w:color="auto"/>
            <w:right w:val="none" w:sz="0" w:space="0" w:color="auto"/>
          </w:divBdr>
        </w:div>
        <w:div w:id="12653139">
          <w:marLeft w:val="640"/>
          <w:marRight w:val="0"/>
          <w:marTop w:val="0"/>
          <w:marBottom w:val="0"/>
          <w:divBdr>
            <w:top w:val="none" w:sz="0" w:space="0" w:color="auto"/>
            <w:left w:val="none" w:sz="0" w:space="0" w:color="auto"/>
            <w:bottom w:val="none" w:sz="0" w:space="0" w:color="auto"/>
            <w:right w:val="none" w:sz="0" w:space="0" w:color="auto"/>
          </w:divBdr>
        </w:div>
        <w:div w:id="55322838">
          <w:marLeft w:val="640"/>
          <w:marRight w:val="0"/>
          <w:marTop w:val="0"/>
          <w:marBottom w:val="0"/>
          <w:divBdr>
            <w:top w:val="none" w:sz="0" w:space="0" w:color="auto"/>
            <w:left w:val="none" w:sz="0" w:space="0" w:color="auto"/>
            <w:bottom w:val="none" w:sz="0" w:space="0" w:color="auto"/>
            <w:right w:val="none" w:sz="0" w:space="0" w:color="auto"/>
          </w:divBdr>
        </w:div>
        <w:div w:id="649286899">
          <w:marLeft w:val="640"/>
          <w:marRight w:val="0"/>
          <w:marTop w:val="0"/>
          <w:marBottom w:val="0"/>
          <w:divBdr>
            <w:top w:val="none" w:sz="0" w:space="0" w:color="auto"/>
            <w:left w:val="none" w:sz="0" w:space="0" w:color="auto"/>
            <w:bottom w:val="none" w:sz="0" w:space="0" w:color="auto"/>
            <w:right w:val="none" w:sz="0" w:space="0" w:color="auto"/>
          </w:divBdr>
        </w:div>
        <w:div w:id="582691521">
          <w:marLeft w:val="640"/>
          <w:marRight w:val="0"/>
          <w:marTop w:val="0"/>
          <w:marBottom w:val="0"/>
          <w:divBdr>
            <w:top w:val="none" w:sz="0" w:space="0" w:color="auto"/>
            <w:left w:val="none" w:sz="0" w:space="0" w:color="auto"/>
            <w:bottom w:val="none" w:sz="0" w:space="0" w:color="auto"/>
            <w:right w:val="none" w:sz="0" w:space="0" w:color="auto"/>
          </w:divBdr>
        </w:div>
        <w:div w:id="827676985">
          <w:marLeft w:val="640"/>
          <w:marRight w:val="0"/>
          <w:marTop w:val="0"/>
          <w:marBottom w:val="0"/>
          <w:divBdr>
            <w:top w:val="none" w:sz="0" w:space="0" w:color="auto"/>
            <w:left w:val="none" w:sz="0" w:space="0" w:color="auto"/>
            <w:bottom w:val="none" w:sz="0" w:space="0" w:color="auto"/>
            <w:right w:val="none" w:sz="0" w:space="0" w:color="auto"/>
          </w:divBdr>
        </w:div>
        <w:div w:id="270861550">
          <w:marLeft w:val="640"/>
          <w:marRight w:val="0"/>
          <w:marTop w:val="0"/>
          <w:marBottom w:val="0"/>
          <w:divBdr>
            <w:top w:val="none" w:sz="0" w:space="0" w:color="auto"/>
            <w:left w:val="none" w:sz="0" w:space="0" w:color="auto"/>
            <w:bottom w:val="none" w:sz="0" w:space="0" w:color="auto"/>
            <w:right w:val="none" w:sz="0" w:space="0" w:color="auto"/>
          </w:divBdr>
        </w:div>
        <w:div w:id="893392348">
          <w:marLeft w:val="640"/>
          <w:marRight w:val="0"/>
          <w:marTop w:val="0"/>
          <w:marBottom w:val="0"/>
          <w:divBdr>
            <w:top w:val="none" w:sz="0" w:space="0" w:color="auto"/>
            <w:left w:val="none" w:sz="0" w:space="0" w:color="auto"/>
            <w:bottom w:val="none" w:sz="0" w:space="0" w:color="auto"/>
            <w:right w:val="none" w:sz="0" w:space="0" w:color="auto"/>
          </w:divBdr>
        </w:div>
        <w:div w:id="626737885">
          <w:marLeft w:val="640"/>
          <w:marRight w:val="0"/>
          <w:marTop w:val="0"/>
          <w:marBottom w:val="0"/>
          <w:divBdr>
            <w:top w:val="none" w:sz="0" w:space="0" w:color="auto"/>
            <w:left w:val="none" w:sz="0" w:space="0" w:color="auto"/>
            <w:bottom w:val="none" w:sz="0" w:space="0" w:color="auto"/>
            <w:right w:val="none" w:sz="0" w:space="0" w:color="auto"/>
          </w:divBdr>
        </w:div>
        <w:div w:id="635140567">
          <w:marLeft w:val="640"/>
          <w:marRight w:val="0"/>
          <w:marTop w:val="0"/>
          <w:marBottom w:val="0"/>
          <w:divBdr>
            <w:top w:val="none" w:sz="0" w:space="0" w:color="auto"/>
            <w:left w:val="none" w:sz="0" w:space="0" w:color="auto"/>
            <w:bottom w:val="none" w:sz="0" w:space="0" w:color="auto"/>
            <w:right w:val="none" w:sz="0" w:space="0" w:color="auto"/>
          </w:divBdr>
        </w:div>
        <w:div w:id="1694841034">
          <w:marLeft w:val="640"/>
          <w:marRight w:val="0"/>
          <w:marTop w:val="0"/>
          <w:marBottom w:val="0"/>
          <w:divBdr>
            <w:top w:val="none" w:sz="0" w:space="0" w:color="auto"/>
            <w:left w:val="none" w:sz="0" w:space="0" w:color="auto"/>
            <w:bottom w:val="none" w:sz="0" w:space="0" w:color="auto"/>
            <w:right w:val="none" w:sz="0" w:space="0" w:color="auto"/>
          </w:divBdr>
        </w:div>
        <w:div w:id="922762160">
          <w:marLeft w:val="640"/>
          <w:marRight w:val="0"/>
          <w:marTop w:val="0"/>
          <w:marBottom w:val="0"/>
          <w:divBdr>
            <w:top w:val="none" w:sz="0" w:space="0" w:color="auto"/>
            <w:left w:val="none" w:sz="0" w:space="0" w:color="auto"/>
            <w:bottom w:val="none" w:sz="0" w:space="0" w:color="auto"/>
            <w:right w:val="none" w:sz="0" w:space="0" w:color="auto"/>
          </w:divBdr>
        </w:div>
        <w:div w:id="1929266432">
          <w:marLeft w:val="640"/>
          <w:marRight w:val="0"/>
          <w:marTop w:val="0"/>
          <w:marBottom w:val="0"/>
          <w:divBdr>
            <w:top w:val="none" w:sz="0" w:space="0" w:color="auto"/>
            <w:left w:val="none" w:sz="0" w:space="0" w:color="auto"/>
            <w:bottom w:val="none" w:sz="0" w:space="0" w:color="auto"/>
            <w:right w:val="none" w:sz="0" w:space="0" w:color="auto"/>
          </w:divBdr>
        </w:div>
        <w:div w:id="529034164">
          <w:marLeft w:val="640"/>
          <w:marRight w:val="0"/>
          <w:marTop w:val="0"/>
          <w:marBottom w:val="0"/>
          <w:divBdr>
            <w:top w:val="none" w:sz="0" w:space="0" w:color="auto"/>
            <w:left w:val="none" w:sz="0" w:space="0" w:color="auto"/>
            <w:bottom w:val="none" w:sz="0" w:space="0" w:color="auto"/>
            <w:right w:val="none" w:sz="0" w:space="0" w:color="auto"/>
          </w:divBdr>
        </w:div>
        <w:div w:id="231475897">
          <w:marLeft w:val="640"/>
          <w:marRight w:val="0"/>
          <w:marTop w:val="0"/>
          <w:marBottom w:val="0"/>
          <w:divBdr>
            <w:top w:val="none" w:sz="0" w:space="0" w:color="auto"/>
            <w:left w:val="none" w:sz="0" w:space="0" w:color="auto"/>
            <w:bottom w:val="none" w:sz="0" w:space="0" w:color="auto"/>
            <w:right w:val="none" w:sz="0" w:space="0" w:color="auto"/>
          </w:divBdr>
        </w:div>
        <w:div w:id="1776633123">
          <w:marLeft w:val="640"/>
          <w:marRight w:val="0"/>
          <w:marTop w:val="0"/>
          <w:marBottom w:val="0"/>
          <w:divBdr>
            <w:top w:val="none" w:sz="0" w:space="0" w:color="auto"/>
            <w:left w:val="none" w:sz="0" w:space="0" w:color="auto"/>
            <w:bottom w:val="none" w:sz="0" w:space="0" w:color="auto"/>
            <w:right w:val="none" w:sz="0" w:space="0" w:color="auto"/>
          </w:divBdr>
        </w:div>
        <w:div w:id="1905874723">
          <w:marLeft w:val="640"/>
          <w:marRight w:val="0"/>
          <w:marTop w:val="0"/>
          <w:marBottom w:val="0"/>
          <w:divBdr>
            <w:top w:val="none" w:sz="0" w:space="0" w:color="auto"/>
            <w:left w:val="none" w:sz="0" w:space="0" w:color="auto"/>
            <w:bottom w:val="none" w:sz="0" w:space="0" w:color="auto"/>
            <w:right w:val="none" w:sz="0" w:space="0" w:color="auto"/>
          </w:divBdr>
        </w:div>
        <w:div w:id="1814105487">
          <w:marLeft w:val="640"/>
          <w:marRight w:val="0"/>
          <w:marTop w:val="0"/>
          <w:marBottom w:val="0"/>
          <w:divBdr>
            <w:top w:val="none" w:sz="0" w:space="0" w:color="auto"/>
            <w:left w:val="none" w:sz="0" w:space="0" w:color="auto"/>
            <w:bottom w:val="none" w:sz="0" w:space="0" w:color="auto"/>
            <w:right w:val="none" w:sz="0" w:space="0" w:color="auto"/>
          </w:divBdr>
        </w:div>
        <w:div w:id="596208162">
          <w:marLeft w:val="640"/>
          <w:marRight w:val="0"/>
          <w:marTop w:val="0"/>
          <w:marBottom w:val="0"/>
          <w:divBdr>
            <w:top w:val="none" w:sz="0" w:space="0" w:color="auto"/>
            <w:left w:val="none" w:sz="0" w:space="0" w:color="auto"/>
            <w:bottom w:val="none" w:sz="0" w:space="0" w:color="auto"/>
            <w:right w:val="none" w:sz="0" w:space="0" w:color="auto"/>
          </w:divBdr>
        </w:div>
        <w:div w:id="842160951">
          <w:marLeft w:val="640"/>
          <w:marRight w:val="0"/>
          <w:marTop w:val="0"/>
          <w:marBottom w:val="0"/>
          <w:divBdr>
            <w:top w:val="none" w:sz="0" w:space="0" w:color="auto"/>
            <w:left w:val="none" w:sz="0" w:space="0" w:color="auto"/>
            <w:bottom w:val="none" w:sz="0" w:space="0" w:color="auto"/>
            <w:right w:val="none" w:sz="0" w:space="0" w:color="auto"/>
          </w:divBdr>
        </w:div>
        <w:div w:id="1954625249">
          <w:marLeft w:val="640"/>
          <w:marRight w:val="0"/>
          <w:marTop w:val="0"/>
          <w:marBottom w:val="0"/>
          <w:divBdr>
            <w:top w:val="none" w:sz="0" w:space="0" w:color="auto"/>
            <w:left w:val="none" w:sz="0" w:space="0" w:color="auto"/>
            <w:bottom w:val="none" w:sz="0" w:space="0" w:color="auto"/>
            <w:right w:val="none" w:sz="0" w:space="0" w:color="auto"/>
          </w:divBdr>
        </w:div>
        <w:div w:id="1529758118">
          <w:marLeft w:val="640"/>
          <w:marRight w:val="0"/>
          <w:marTop w:val="0"/>
          <w:marBottom w:val="0"/>
          <w:divBdr>
            <w:top w:val="none" w:sz="0" w:space="0" w:color="auto"/>
            <w:left w:val="none" w:sz="0" w:space="0" w:color="auto"/>
            <w:bottom w:val="none" w:sz="0" w:space="0" w:color="auto"/>
            <w:right w:val="none" w:sz="0" w:space="0" w:color="auto"/>
          </w:divBdr>
        </w:div>
        <w:div w:id="105853765">
          <w:marLeft w:val="640"/>
          <w:marRight w:val="0"/>
          <w:marTop w:val="0"/>
          <w:marBottom w:val="0"/>
          <w:divBdr>
            <w:top w:val="none" w:sz="0" w:space="0" w:color="auto"/>
            <w:left w:val="none" w:sz="0" w:space="0" w:color="auto"/>
            <w:bottom w:val="none" w:sz="0" w:space="0" w:color="auto"/>
            <w:right w:val="none" w:sz="0" w:space="0" w:color="auto"/>
          </w:divBdr>
        </w:div>
        <w:div w:id="1763641390">
          <w:marLeft w:val="640"/>
          <w:marRight w:val="0"/>
          <w:marTop w:val="0"/>
          <w:marBottom w:val="0"/>
          <w:divBdr>
            <w:top w:val="none" w:sz="0" w:space="0" w:color="auto"/>
            <w:left w:val="none" w:sz="0" w:space="0" w:color="auto"/>
            <w:bottom w:val="none" w:sz="0" w:space="0" w:color="auto"/>
            <w:right w:val="none" w:sz="0" w:space="0" w:color="auto"/>
          </w:divBdr>
        </w:div>
        <w:div w:id="1415784902">
          <w:marLeft w:val="640"/>
          <w:marRight w:val="0"/>
          <w:marTop w:val="0"/>
          <w:marBottom w:val="0"/>
          <w:divBdr>
            <w:top w:val="none" w:sz="0" w:space="0" w:color="auto"/>
            <w:left w:val="none" w:sz="0" w:space="0" w:color="auto"/>
            <w:bottom w:val="none" w:sz="0" w:space="0" w:color="auto"/>
            <w:right w:val="none" w:sz="0" w:space="0" w:color="auto"/>
          </w:divBdr>
        </w:div>
        <w:div w:id="368527079">
          <w:marLeft w:val="640"/>
          <w:marRight w:val="0"/>
          <w:marTop w:val="0"/>
          <w:marBottom w:val="0"/>
          <w:divBdr>
            <w:top w:val="none" w:sz="0" w:space="0" w:color="auto"/>
            <w:left w:val="none" w:sz="0" w:space="0" w:color="auto"/>
            <w:bottom w:val="none" w:sz="0" w:space="0" w:color="auto"/>
            <w:right w:val="none" w:sz="0" w:space="0" w:color="auto"/>
          </w:divBdr>
        </w:div>
        <w:div w:id="655109884">
          <w:marLeft w:val="640"/>
          <w:marRight w:val="0"/>
          <w:marTop w:val="0"/>
          <w:marBottom w:val="0"/>
          <w:divBdr>
            <w:top w:val="none" w:sz="0" w:space="0" w:color="auto"/>
            <w:left w:val="none" w:sz="0" w:space="0" w:color="auto"/>
            <w:bottom w:val="none" w:sz="0" w:space="0" w:color="auto"/>
            <w:right w:val="none" w:sz="0" w:space="0" w:color="auto"/>
          </w:divBdr>
        </w:div>
        <w:div w:id="60754303">
          <w:marLeft w:val="640"/>
          <w:marRight w:val="0"/>
          <w:marTop w:val="0"/>
          <w:marBottom w:val="0"/>
          <w:divBdr>
            <w:top w:val="none" w:sz="0" w:space="0" w:color="auto"/>
            <w:left w:val="none" w:sz="0" w:space="0" w:color="auto"/>
            <w:bottom w:val="none" w:sz="0" w:space="0" w:color="auto"/>
            <w:right w:val="none" w:sz="0" w:space="0" w:color="auto"/>
          </w:divBdr>
        </w:div>
        <w:div w:id="1183469481">
          <w:marLeft w:val="640"/>
          <w:marRight w:val="0"/>
          <w:marTop w:val="0"/>
          <w:marBottom w:val="0"/>
          <w:divBdr>
            <w:top w:val="none" w:sz="0" w:space="0" w:color="auto"/>
            <w:left w:val="none" w:sz="0" w:space="0" w:color="auto"/>
            <w:bottom w:val="none" w:sz="0" w:space="0" w:color="auto"/>
            <w:right w:val="none" w:sz="0" w:space="0" w:color="auto"/>
          </w:divBdr>
        </w:div>
        <w:div w:id="873419808">
          <w:marLeft w:val="640"/>
          <w:marRight w:val="0"/>
          <w:marTop w:val="0"/>
          <w:marBottom w:val="0"/>
          <w:divBdr>
            <w:top w:val="none" w:sz="0" w:space="0" w:color="auto"/>
            <w:left w:val="none" w:sz="0" w:space="0" w:color="auto"/>
            <w:bottom w:val="none" w:sz="0" w:space="0" w:color="auto"/>
            <w:right w:val="none" w:sz="0" w:space="0" w:color="auto"/>
          </w:divBdr>
        </w:div>
        <w:div w:id="1964848177">
          <w:marLeft w:val="640"/>
          <w:marRight w:val="0"/>
          <w:marTop w:val="0"/>
          <w:marBottom w:val="0"/>
          <w:divBdr>
            <w:top w:val="none" w:sz="0" w:space="0" w:color="auto"/>
            <w:left w:val="none" w:sz="0" w:space="0" w:color="auto"/>
            <w:bottom w:val="none" w:sz="0" w:space="0" w:color="auto"/>
            <w:right w:val="none" w:sz="0" w:space="0" w:color="auto"/>
          </w:divBdr>
        </w:div>
        <w:div w:id="1226529493">
          <w:marLeft w:val="640"/>
          <w:marRight w:val="0"/>
          <w:marTop w:val="0"/>
          <w:marBottom w:val="0"/>
          <w:divBdr>
            <w:top w:val="none" w:sz="0" w:space="0" w:color="auto"/>
            <w:left w:val="none" w:sz="0" w:space="0" w:color="auto"/>
            <w:bottom w:val="none" w:sz="0" w:space="0" w:color="auto"/>
            <w:right w:val="none" w:sz="0" w:space="0" w:color="auto"/>
          </w:divBdr>
        </w:div>
        <w:div w:id="803235558">
          <w:marLeft w:val="640"/>
          <w:marRight w:val="0"/>
          <w:marTop w:val="0"/>
          <w:marBottom w:val="0"/>
          <w:divBdr>
            <w:top w:val="none" w:sz="0" w:space="0" w:color="auto"/>
            <w:left w:val="none" w:sz="0" w:space="0" w:color="auto"/>
            <w:bottom w:val="none" w:sz="0" w:space="0" w:color="auto"/>
            <w:right w:val="none" w:sz="0" w:space="0" w:color="auto"/>
          </w:divBdr>
        </w:div>
        <w:div w:id="557781898">
          <w:marLeft w:val="640"/>
          <w:marRight w:val="0"/>
          <w:marTop w:val="0"/>
          <w:marBottom w:val="0"/>
          <w:divBdr>
            <w:top w:val="none" w:sz="0" w:space="0" w:color="auto"/>
            <w:left w:val="none" w:sz="0" w:space="0" w:color="auto"/>
            <w:bottom w:val="none" w:sz="0" w:space="0" w:color="auto"/>
            <w:right w:val="none" w:sz="0" w:space="0" w:color="auto"/>
          </w:divBdr>
        </w:div>
        <w:div w:id="855116889">
          <w:marLeft w:val="640"/>
          <w:marRight w:val="0"/>
          <w:marTop w:val="0"/>
          <w:marBottom w:val="0"/>
          <w:divBdr>
            <w:top w:val="none" w:sz="0" w:space="0" w:color="auto"/>
            <w:left w:val="none" w:sz="0" w:space="0" w:color="auto"/>
            <w:bottom w:val="none" w:sz="0" w:space="0" w:color="auto"/>
            <w:right w:val="none" w:sz="0" w:space="0" w:color="auto"/>
          </w:divBdr>
        </w:div>
        <w:div w:id="921371130">
          <w:marLeft w:val="640"/>
          <w:marRight w:val="0"/>
          <w:marTop w:val="0"/>
          <w:marBottom w:val="0"/>
          <w:divBdr>
            <w:top w:val="none" w:sz="0" w:space="0" w:color="auto"/>
            <w:left w:val="none" w:sz="0" w:space="0" w:color="auto"/>
            <w:bottom w:val="none" w:sz="0" w:space="0" w:color="auto"/>
            <w:right w:val="none" w:sz="0" w:space="0" w:color="auto"/>
          </w:divBdr>
        </w:div>
        <w:div w:id="1552570682">
          <w:marLeft w:val="640"/>
          <w:marRight w:val="0"/>
          <w:marTop w:val="0"/>
          <w:marBottom w:val="0"/>
          <w:divBdr>
            <w:top w:val="none" w:sz="0" w:space="0" w:color="auto"/>
            <w:left w:val="none" w:sz="0" w:space="0" w:color="auto"/>
            <w:bottom w:val="none" w:sz="0" w:space="0" w:color="auto"/>
            <w:right w:val="none" w:sz="0" w:space="0" w:color="auto"/>
          </w:divBdr>
          <w:divsChild>
            <w:div w:id="1550335197">
              <w:marLeft w:val="0"/>
              <w:marRight w:val="0"/>
              <w:marTop w:val="0"/>
              <w:marBottom w:val="0"/>
              <w:divBdr>
                <w:top w:val="none" w:sz="0" w:space="0" w:color="auto"/>
                <w:left w:val="none" w:sz="0" w:space="0" w:color="auto"/>
                <w:bottom w:val="none" w:sz="0" w:space="0" w:color="auto"/>
                <w:right w:val="none" w:sz="0" w:space="0" w:color="auto"/>
              </w:divBdr>
            </w:div>
            <w:div w:id="1849976406">
              <w:marLeft w:val="0"/>
              <w:marRight w:val="0"/>
              <w:marTop w:val="0"/>
              <w:marBottom w:val="0"/>
              <w:divBdr>
                <w:top w:val="none" w:sz="0" w:space="0" w:color="auto"/>
                <w:left w:val="none" w:sz="0" w:space="0" w:color="auto"/>
                <w:bottom w:val="none" w:sz="0" w:space="0" w:color="auto"/>
                <w:right w:val="none" w:sz="0" w:space="0" w:color="auto"/>
              </w:divBdr>
            </w:div>
          </w:divsChild>
        </w:div>
        <w:div w:id="772675991">
          <w:marLeft w:val="640"/>
          <w:marRight w:val="0"/>
          <w:marTop w:val="0"/>
          <w:marBottom w:val="0"/>
          <w:divBdr>
            <w:top w:val="none" w:sz="0" w:space="0" w:color="auto"/>
            <w:left w:val="none" w:sz="0" w:space="0" w:color="auto"/>
            <w:bottom w:val="none" w:sz="0" w:space="0" w:color="auto"/>
            <w:right w:val="none" w:sz="0" w:space="0" w:color="auto"/>
          </w:divBdr>
        </w:div>
        <w:div w:id="927737030">
          <w:marLeft w:val="640"/>
          <w:marRight w:val="0"/>
          <w:marTop w:val="0"/>
          <w:marBottom w:val="0"/>
          <w:divBdr>
            <w:top w:val="none" w:sz="0" w:space="0" w:color="auto"/>
            <w:left w:val="none" w:sz="0" w:space="0" w:color="auto"/>
            <w:bottom w:val="none" w:sz="0" w:space="0" w:color="auto"/>
            <w:right w:val="none" w:sz="0" w:space="0" w:color="auto"/>
          </w:divBdr>
        </w:div>
        <w:div w:id="1316254826">
          <w:marLeft w:val="640"/>
          <w:marRight w:val="0"/>
          <w:marTop w:val="0"/>
          <w:marBottom w:val="0"/>
          <w:divBdr>
            <w:top w:val="none" w:sz="0" w:space="0" w:color="auto"/>
            <w:left w:val="none" w:sz="0" w:space="0" w:color="auto"/>
            <w:bottom w:val="none" w:sz="0" w:space="0" w:color="auto"/>
            <w:right w:val="none" w:sz="0" w:space="0" w:color="auto"/>
          </w:divBdr>
        </w:div>
        <w:div w:id="891238074">
          <w:marLeft w:val="640"/>
          <w:marRight w:val="0"/>
          <w:marTop w:val="0"/>
          <w:marBottom w:val="0"/>
          <w:divBdr>
            <w:top w:val="none" w:sz="0" w:space="0" w:color="auto"/>
            <w:left w:val="none" w:sz="0" w:space="0" w:color="auto"/>
            <w:bottom w:val="none" w:sz="0" w:space="0" w:color="auto"/>
            <w:right w:val="none" w:sz="0" w:space="0" w:color="auto"/>
          </w:divBdr>
        </w:div>
        <w:div w:id="606234478">
          <w:marLeft w:val="640"/>
          <w:marRight w:val="0"/>
          <w:marTop w:val="0"/>
          <w:marBottom w:val="0"/>
          <w:divBdr>
            <w:top w:val="none" w:sz="0" w:space="0" w:color="auto"/>
            <w:left w:val="none" w:sz="0" w:space="0" w:color="auto"/>
            <w:bottom w:val="none" w:sz="0" w:space="0" w:color="auto"/>
            <w:right w:val="none" w:sz="0" w:space="0" w:color="auto"/>
          </w:divBdr>
        </w:div>
        <w:div w:id="219558016">
          <w:marLeft w:val="640"/>
          <w:marRight w:val="0"/>
          <w:marTop w:val="0"/>
          <w:marBottom w:val="0"/>
          <w:divBdr>
            <w:top w:val="none" w:sz="0" w:space="0" w:color="auto"/>
            <w:left w:val="none" w:sz="0" w:space="0" w:color="auto"/>
            <w:bottom w:val="none" w:sz="0" w:space="0" w:color="auto"/>
            <w:right w:val="none" w:sz="0" w:space="0" w:color="auto"/>
          </w:divBdr>
        </w:div>
        <w:div w:id="998121934">
          <w:marLeft w:val="640"/>
          <w:marRight w:val="0"/>
          <w:marTop w:val="0"/>
          <w:marBottom w:val="0"/>
          <w:divBdr>
            <w:top w:val="none" w:sz="0" w:space="0" w:color="auto"/>
            <w:left w:val="none" w:sz="0" w:space="0" w:color="auto"/>
            <w:bottom w:val="none" w:sz="0" w:space="0" w:color="auto"/>
            <w:right w:val="none" w:sz="0" w:space="0" w:color="auto"/>
          </w:divBdr>
        </w:div>
        <w:div w:id="1666085113">
          <w:marLeft w:val="640"/>
          <w:marRight w:val="0"/>
          <w:marTop w:val="0"/>
          <w:marBottom w:val="0"/>
          <w:divBdr>
            <w:top w:val="none" w:sz="0" w:space="0" w:color="auto"/>
            <w:left w:val="none" w:sz="0" w:space="0" w:color="auto"/>
            <w:bottom w:val="none" w:sz="0" w:space="0" w:color="auto"/>
            <w:right w:val="none" w:sz="0" w:space="0" w:color="auto"/>
          </w:divBdr>
        </w:div>
        <w:div w:id="980425764">
          <w:marLeft w:val="640"/>
          <w:marRight w:val="0"/>
          <w:marTop w:val="0"/>
          <w:marBottom w:val="0"/>
          <w:divBdr>
            <w:top w:val="none" w:sz="0" w:space="0" w:color="auto"/>
            <w:left w:val="none" w:sz="0" w:space="0" w:color="auto"/>
            <w:bottom w:val="none" w:sz="0" w:space="0" w:color="auto"/>
            <w:right w:val="none" w:sz="0" w:space="0" w:color="auto"/>
          </w:divBdr>
        </w:div>
        <w:div w:id="791706349">
          <w:marLeft w:val="640"/>
          <w:marRight w:val="0"/>
          <w:marTop w:val="0"/>
          <w:marBottom w:val="0"/>
          <w:divBdr>
            <w:top w:val="none" w:sz="0" w:space="0" w:color="auto"/>
            <w:left w:val="none" w:sz="0" w:space="0" w:color="auto"/>
            <w:bottom w:val="none" w:sz="0" w:space="0" w:color="auto"/>
            <w:right w:val="none" w:sz="0" w:space="0" w:color="auto"/>
          </w:divBdr>
        </w:div>
        <w:div w:id="1929847758">
          <w:marLeft w:val="640"/>
          <w:marRight w:val="0"/>
          <w:marTop w:val="0"/>
          <w:marBottom w:val="0"/>
          <w:divBdr>
            <w:top w:val="none" w:sz="0" w:space="0" w:color="auto"/>
            <w:left w:val="none" w:sz="0" w:space="0" w:color="auto"/>
            <w:bottom w:val="none" w:sz="0" w:space="0" w:color="auto"/>
            <w:right w:val="none" w:sz="0" w:space="0" w:color="auto"/>
          </w:divBdr>
        </w:div>
        <w:div w:id="749430998">
          <w:marLeft w:val="640"/>
          <w:marRight w:val="0"/>
          <w:marTop w:val="0"/>
          <w:marBottom w:val="0"/>
          <w:divBdr>
            <w:top w:val="none" w:sz="0" w:space="0" w:color="auto"/>
            <w:left w:val="none" w:sz="0" w:space="0" w:color="auto"/>
            <w:bottom w:val="none" w:sz="0" w:space="0" w:color="auto"/>
            <w:right w:val="none" w:sz="0" w:space="0" w:color="auto"/>
          </w:divBdr>
        </w:div>
        <w:div w:id="1929387041">
          <w:marLeft w:val="640"/>
          <w:marRight w:val="0"/>
          <w:marTop w:val="0"/>
          <w:marBottom w:val="0"/>
          <w:divBdr>
            <w:top w:val="none" w:sz="0" w:space="0" w:color="auto"/>
            <w:left w:val="none" w:sz="0" w:space="0" w:color="auto"/>
            <w:bottom w:val="none" w:sz="0" w:space="0" w:color="auto"/>
            <w:right w:val="none" w:sz="0" w:space="0" w:color="auto"/>
          </w:divBdr>
        </w:div>
        <w:div w:id="623393750">
          <w:marLeft w:val="640"/>
          <w:marRight w:val="0"/>
          <w:marTop w:val="0"/>
          <w:marBottom w:val="0"/>
          <w:divBdr>
            <w:top w:val="none" w:sz="0" w:space="0" w:color="auto"/>
            <w:left w:val="none" w:sz="0" w:space="0" w:color="auto"/>
            <w:bottom w:val="none" w:sz="0" w:space="0" w:color="auto"/>
            <w:right w:val="none" w:sz="0" w:space="0" w:color="auto"/>
          </w:divBdr>
        </w:div>
        <w:div w:id="281617233">
          <w:marLeft w:val="640"/>
          <w:marRight w:val="0"/>
          <w:marTop w:val="0"/>
          <w:marBottom w:val="0"/>
          <w:divBdr>
            <w:top w:val="none" w:sz="0" w:space="0" w:color="auto"/>
            <w:left w:val="none" w:sz="0" w:space="0" w:color="auto"/>
            <w:bottom w:val="none" w:sz="0" w:space="0" w:color="auto"/>
            <w:right w:val="none" w:sz="0" w:space="0" w:color="auto"/>
          </w:divBdr>
        </w:div>
        <w:div w:id="2023511663">
          <w:marLeft w:val="640"/>
          <w:marRight w:val="0"/>
          <w:marTop w:val="0"/>
          <w:marBottom w:val="0"/>
          <w:divBdr>
            <w:top w:val="none" w:sz="0" w:space="0" w:color="auto"/>
            <w:left w:val="none" w:sz="0" w:space="0" w:color="auto"/>
            <w:bottom w:val="none" w:sz="0" w:space="0" w:color="auto"/>
            <w:right w:val="none" w:sz="0" w:space="0" w:color="auto"/>
          </w:divBdr>
        </w:div>
        <w:div w:id="1981840229">
          <w:marLeft w:val="640"/>
          <w:marRight w:val="0"/>
          <w:marTop w:val="0"/>
          <w:marBottom w:val="0"/>
          <w:divBdr>
            <w:top w:val="none" w:sz="0" w:space="0" w:color="auto"/>
            <w:left w:val="none" w:sz="0" w:space="0" w:color="auto"/>
            <w:bottom w:val="none" w:sz="0" w:space="0" w:color="auto"/>
            <w:right w:val="none" w:sz="0" w:space="0" w:color="auto"/>
          </w:divBdr>
        </w:div>
        <w:div w:id="248781565">
          <w:marLeft w:val="640"/>
          <w:marRight w:val="0"/>
          <w:marTop w:val="0"/>
          <w:marBottom w:val="0"/>
          <w:divBdr>
            <w:top w:val="none" w:sz="0" w:space="0" w:color="auto"/>
            <w:left w:val="none" w:sz="0" w:space="0" w:color="auto"/>
            <w:bottom w:val="none" w:sz="0" w:space="0" w:color="auto"/>
            <w:right w:val="none" w:sz="0" w:space="0" w:color="auto"/>
          </w:divBdr>
        </w:div>
        <w:div w:id="1620530659">
          <w:marLeft w:val="640"/>
          <w:marRight w:val="0"/>
          <w:marTop w:val="0"/>
          <w:marBottom w:val="0"/>
          <w:divBdr>
            <w:top w:val="none" w:sz="0" w:space="0" w:color="auto"/>
            <w:left w:val="none" w:sz="0" w:space="0" w:color="auto"/>
            <w:bottom w:val="none" w:sz="0" w:space="0" w:color="auto"/>
            <w:right w:val="none" w:sz="0" w:space="0" w:color="auto"/>
          </w:divBdr>
        </w:div>
        <w:div w:id="268899092">
          <w:marLeft w:val="640"/>
          <w:marRight w:val="0"/>
          <w:marTop w:val="0"/>
          <w:marBottom w:val="0"/>
          <w:divBdr>
            <w:top w:val="none" w:sz="0" w:space="0" w:color="auto"/>
            <w:left w:val="none" w:sz="0" w:space="0" w:color="auto"/>
            <w:bottom w:val="none" w:sz="0" w:space="0" w:color="auto"/>
            <w:right w:val="none" w:sz="0" w:space="0" w:color="auto"/>
          </w:divBdr>
        </w:div>
        <w:div w:id="2056195430">
          <w:marLeft w:val="640"/>
          <w:marRight w:val="0"/>
          <w:marTop w:val="0"/>
          <w:marBottom w:val="0"/>
          <w:divBdr>
            <w:top w:val="none" w:sz="0" w:space="0" w:color="auto"/>
            <w:left w:val="none" w:sz="0" w:space="0" w:color="auto"/>
            <w:bottom w:val="none" w:sz="0" w:space="0" w:color="auto"/>
            <w:right w:val="none" w:sz="0" w:space="0" w:color="auto"/>
          </w:divBdr>
        </w:div>
        <w:div w:id="129373142">
          <w:marLeft w:val="640"/>
          <w:marRight w:val="0"/>
          <w:marTop w:val="0"/>
          <w:marBottom w:val="0"/>
          <w:divBdr>
            <w:top w:val="none" w:sz="0" w:space="0" w:color="auto"/>
            <w:left w:val="none" w:sz="0" w:space="0" w:color="auto"/>
            <w:bottom w:val="none" w:sz="0" w:space="0" w:color="auto"/>
            <w:right w:val="none" w:sz="0" w:space="0" w:color="auto"/>
          </w:divBdr>
        </w:div>
        <w:div w:id="238446000">
          <w:marLeft w:val="640"/>
          <w:marRight w:val="0"/>
          <w:marTop w:val="0"/>
          <w:marBottom w:val="0"/>
          <w:divBdr>
            <w:top w:val="none" w:sz="0" w:space="0" w:color="auto"/>
            <w:left w:val="none" w:sz="0" w:space="0" w:color="auto"/>
            <w:bottom w:val="none" w:sz="0" w:space="0" w:color="auto"/>
            <w:right w:val="none" w:sz="0" w:space="0" w:color="auto"/>
          </w:divBdr>
        </w:div>
        <w:div w:id="901792649">
          <w:marLeft w:val="640"/>
          <w:marRight w:val="0"/>
          <w:marTop w:val="0"/>
          <w:marBottom w:val="0"/>
          <w:divBdr>
            <w:top w:val="none" w:sz="0" w:space="0" w:color="auto"/>
            <w:left w:val="none" w:sz="0" w:space="0" w:color="auto"/>
            <w:bottom w:val="none" w:sz="0" w:space="0" w:color="auto"/>
            <w:right w:val="none" w:sz="0" w:space="0" w:color="auto"/>
          </w:divBdr>
        </w:div>
        <w:div w:id="2097051289">
          <w:marLeft w:val="640"/>
          <w:marRight w:val="0"/>
          <w:marTop w:val="0"/>
          <w:marBottom w:val="0"/>
          <w:divBdr>
            <w:top w:val="none" w:sz="0" w:space="0" w:color="auto"/>
            <w:left w:val="none" w:sz="0" w:space="0" w:color="auto"/>
            <w:bottom w:val="none" w:sz="0" w:space="0" w:color="auto"/>
            <w:right w:val="none" w:sz="0" w:space="0" w:color="auto"/>
          </w:divBdr>
        </w:div>
        <w:div w:id="1887832766">
          <w:marLeft w:val="640"/>
          <w:marRight w:val="0"/>
          <w:marTop w:val="0"/>
          <w:marBottom w:val="0"/>
          <w:divBdr>
            <w:top w:val="none" w:sz="0" w:space="0" w:color="auto"/>
            <w:left w:val="none" w:sz="0" w:space="0" w:color="auto"/>
            <w:bottom w:val="none" w:sz="0" w:space="0" w:color="auto"/>
            <w:right w:val="none" w:sz="0" w:space="0" w:color="auto"/>
          </w:divBdr>
        </w:div>
        <w:div w:id="880092258">
          <w:marLeft w:val="640"/>
          <w:marRight w:val="0"/>
          <w:marTop w:val="0"/>
          <w:marBottom w:val="0"/>
          <w:divBdr>
            <w:top w:val="none" w:sz="0" w:space="0" w:color="auto"/>
            <w:left w:val="none" w:sz="0" w:space="0" w:color="auto"/>
            <w:bottom w:val="none" w:sz="0" w:space="0" w:color="auto"/>
            <w:right w:val="none" w:sz="0" w:space="0" w:color="auto"/>
          </w:divBdr>
        </w:div>
        <w:div w:id="1187672957">
          <w:marLeft w:val="640"/>
          <w:marRight w:val="0"/>
          <w:marTop w:val="0"/>
          <w:marBottom w:val="0"/>
          <w:divBdr>
            <w:top w:val="none" w:sz="0" w:space="0" w:color="auto"/>
            <w:left w:val="none" w:sz="0" w:space="0" w:color="auto"/>
            <w:bottom w:val="none" w:sz="0" w:space="0" w:color="auto"/>
            <w:right w:val="none" w:sz="0" w:space="0" w:color="auto"/>
          </w:divBdr>
        </w:div>
        <w:div w:id="688028138">
          <w:marLeft w:val="640"/>
          <w:marRight w:val="0"/>
          <w:marTop w:val="0"/>
          <w:marBottom w:val="0"/>
          <w:divBdr>
            <w:top w:val="none" w:sz="0" w:space="0" w:color="auto"/>
            <w:left w:val="none" w:sz="0" w:space="0" w:color="auto"/>
            <w:bottom w:val="none" w:sz="0" w:space="0" w:color="auto"/>
            <w:right w:val="none" w:sz="0" w:space="0" w:color="auto"/>
          </w:divBdr>
        </w:div>
        <w:div w:id="902258789">
          <w:marLeft w:val="640"/>
          <w:marRight w:val="0"/>
          <w:marTop w:val="0"/>
          <w:marBottom w:val="0"/>
          <w:divBdr>
            <w:top w:val="none" w:sz="0" w:space="0" w:color="auto"/>
            <w:left w:val="none" w:sz="0" w:space="0" w:color="auto"/>
            <w:bottom w:val="none" w:sz="0" w:space="0" w:color="auto"/>
            <w:right w:val="none" w:sz="0" w:space="0" w:color="auto"/>
          </w:divBdr>
        </w:div>
        <w:div w:id="375085450">
          <w:marLeft w:val="640"/>
          <w:marRight w:val="0"/>
          <w:marTop w:val="0"/>
          <w:marBottom w:val="0"/>
          <w:divBdr>
            <w:top w:val="none" w:sz="0" w:space="0" w:color="auto"/>
            <w:left w:val="none" w:sz="0" w:space="0" w:color="auto"/>
            <w:bottom w:val="none" w:sz="0" w:space="0" w:color="auto"/>
            <w:right w:val="none" w:sz="0" w:space="0" w:color="auto"/>
          </w:divBdr>
        </w:div>
        <w:div w:id="358943054">
          <w:marLeft w:val="640"/>
          <w:marRight w:val="0"/>
          <w:marTop w:val="0"/>
          <w:marBottom w:val="0"/>
          <w:divBdr>
            <w:top w:val="none" w:sz="0" w:space="0" w:color="auto"/>
            <w:left w:val="none" w:sz="0" w:space="0" w:color="auto"/>
            <w:bottom w:val="none" w:sz="0" w:space="0" w:color="auto"/>
            <w:right w:val="none" w:sz="0" w:space="0" w:color="auto"/>
          </w:divBdr>
        </w:div>
        <w:div w:id="2140758585">
          <w:marLeft w:val="640"/>
          <w:marRight w:val="0"/>
          <w:marTop w:val="0"/>
          <w:marBottom w:val="0"/>
          <w:divBdr>
            <w:top w:val="none" w:sz="0" w:space="0" w:color="auto"/>
            <w:left w:val="none" w:sz="0" w:space="0" w:color="auto"/>
            <w:bottom w:val="none" w:sz="0" w:space="0" w:color="auto"/>
            <w:right w:val="none" w:sz="0" w:space="0" w:color="auto"/>
          </w:divBdr>
        </w:div>
        <w:div w:id="1461994114">
          <w:marLeft w:val="640"/>
          <w:marRight w:val="0"/>
          <w:marTop w:val="0"/>
          <w:marBottom w:val="0"/>
          <w:divBdr>
            <w:top w:val="none" w:sz="0" w:space="0" w:color="auto"/>
            <w:left w:val="none" w:sz="0" w:space="0" w:color="auto"/>
            <w:bottom w:val="none" w:sz="0" w:space="0" w:color="auto"/>
            <w:right w:val="none" w:sz="0" w:space="0" w:color="auto"/>
          </w:divBdr>
        </w:div>
        <w:div w:id="133569167">
          <w:marLeft w:val="640"/>
          <w:marRight w:val="0"/>
          <w:marTop w:val="0"/>
          <w:marBottom w:val="0"/>
          <w:divBdr>
            <w:top w:val="none" w:sz="0" w:space="0" w:color="auto"/>
            <w:left w:val="none" w:sz="0" w:space="0" w:color="auto"/>
            <w:bottom w:val="none" w:sz="0" w:space="0" w:color="auto"/>
            <w:right w:val="none" w:sz="0" w:space="0" w:color="auto"/>
          </w:divBdr>
        </w:div>
        <w:div w:id="1880627894">
          <w:marLeft w:val="640"/>
          <w:marRight w:val="0"/>
          <w:marTop w:val="0"/>
          <w:marBottom w:val="0"/>
          <w:divBdr>
            <w:top w:val="none" w:sz="0" w:space="0" w:color="auto"/>
            <w:left w:val="none" w:sz="0" w:space="0" w:color="auto"/>
            <w:bottom w:val="none" w:sz="0" w:space="0" w:color="auto"/>
            <w:right w:val="none" w:sz="0" w:space="0" w:color="auto"/>
          </w:divBdr>
        </w:div>
        <w:div w:id="989797211">
          <w:marLeft w:val="640"/>
          <w:marRight w:val="0"/>
          <w:marTop w:val="0"/>
          <w:marBottom w:val="0"/>
          <w:divBdr>
            <w:top w:val="none" w:sz="0" w:space="0" w:color="auto"/>
            <w:left w:val="none" w:sz="0" w:space="0" w:color="auto"/>
            <w:bottom w:val="none" w:sz="0" w:space="0" w:color="auto"/>
            <w:right w:val="none" w:sz="0" w:space="0" w:color="auto"/>
          </w:divBdr>
        </w:div>
        <w:div w:id="2088921164">
          <w:marLeft w:val="640"/>
          <w:marRight w:val="0"/>
          <w:marTop w:val="0"/>
          <w:marBottom w:val="0"/>
          <w:divBdr>
            <w:top w:val="none" w:sz="0" w:space="0" w:color="auto"/>
            <w:left w:val="none" w:sz="0" w:space="0" w:color="auto"/>
            <w:bottom w:val="none" w:sz="0" w:space="0" w:color="auto"/>
            <w:right w:val="none" w:sz="0" w:space="0" w:color="auto"/>
          </w:divBdr>
        </w:div>
        <w:div w:id="1631206401">
          <w:marLeft w:val="640"/>
          <w:marRight w:val="0"/>
          <w:marTop w:val="0"/>
          <w:marBottom w:val="0"/>
          <w:divBdr>
            <w:top w:val="none" w:sz="0" w:space="0" w:color="auto"/>
            <w:left w:val="none" w:sz="0" w:space="0" w:color="auto"/>
            <w:bottom w:val="none" w:sz="0" w:space="0" w:color="auto"/>
            <w:right w:val="none" w:sz="0" w:space="0" w:color="auto"/>
          </w:divBdr>
        </w:div>
        <w:div w:id="437063006">
          <w:marLeft w:val="640"/>
          <w:marRight w:val="0"/>
          <w:marTop w:val="0"/>
          <w:marBottom w:val="0"/>
          <w:divBdr>
            <w:top w:val="none" w:sz="0" w:space="0" w:color="auto"/>
            <w:left w:val="none" w:sz="0" w:space="0" w:color="auto"/>
            <w:bottom w:val="none" w:sz="0" w:space="0" w:color="auto"/>
            <w:right w:val="none" w:sz="0" w:space="0" w:color="auto"/>
          </w:divBdr>
        </w:div>
        <w:div w:id="1560558474">
          <w:marLeft w:val="640"/>
          <w:marRight w:val="0"/>
          <w:marTop w:val="0"/>
          <w:marBottom w:val="0"/>
          <w:divBdr>
            <w:top w:val="none" w:sz="0" w:space="0" w:color="auto"/>
            <w:left w:val="none" w:sz="0" w:space="0" w:color="auto"/>
            <w:bottom w:val="none" w:sz="0" w:space="0" w:color="auto"/>
            <w:right w:val="none" w:sz="0" w:space="0" w:color="auto"/>
          </w:divBdr>
        </w:div>
        <w:div w:id="978649425">
          <w:marLeft w:val="640"/>
          <w:marRight w:val="0"/>
          <w:marTop w:val="0"/>
          <w:marBottom w:val="0"/>
          <w:divBdr>
            <w:top w:val="none" w:sz="0" w:space="0" w:color="auto"/>
            <w:left w:val="none" w:sz="0" w:space="0" w:color="auto"/>
            <w:bottom w:val="none" w:sz="0" w:space="0" w:color="auto"/>
            <w:right w:val="none" w:sz="0" w:space="0" w:color="auto"/>
          </w:divBdr>
        </w:div>
        <w:div w:id="1973437069">
          <w:marLeft w:val="640"/>
          <w:marRight w:val="0"/>
          <w:marTop w:val="0"/>
          <w:marBottom w:val="0"/>
          <w:divBdr>
            <w:top w:val="none" w:sz="0" w:space="0" w:color="auto"/>
            <w:left w:val="none" w:sz="0" w:space="0" w:color="auto"/>
            <w:bottom w:val="none" w:sz="0" w:space="0" w:color="auto"/>
            <w:right w:val="none" w:sz="0" w:space="0" w:color="auto"/>
          </w:divBdr>
        </w:div>
        <w:div w:id="917665600">
          <w:marLeft w:val="640"/>
          <w:marRight w:val="0"/>
          <w:marTop w:val="0"/>
          <w:marBottom w:val="0"/>
          <w:divBdr>
            <w:top w:val="none" w:sz="0" w:space="0" w:color="auto"/>
            <w:left w:val="none" w:sz="0" w:space="0" w:color="auto"/>
            <w:bottom w:val="none" w:sz="0" w:space="0" w:color="auto"/>
            <w:right w:val="none" w:sz="0" w:space="0" w:color="auto"/>
          </w:divBdr>
        </w:div>
        <w:div w:id="2101679531">
          <w:marLeft w:val="640"/>
          <w:marRight w:val="0"/>
          <w:marTop w:val="0"/>
          <w:marBottom w:val="0"/>
          <w:divBdr>
            <w:top w:val="none" w:sz="0" w:space="0" w:color="auto"/>
            <w:left w:val="none" w:sz="0" w:space="0" w:color="auto"/>
            <w:bottom w:val="none" w:sz="0" w:space="0" w:color="auto"/>
            <w:right w:val="none" w:sz="0" w:space="0" w:color="auto"/>
          </w:divBdr>
        </w:div>
      </w:divsChild>
    </w:div>
    <w:div w:id="1463622181">
      <w:bodyDiv w:val="1"/>
      <w:marLeft w:val="0"/>
      <w:marRight w:val="0"/>
      <w:marTop w:val="0"/>
      <w:marBottom w:val="0"/>
      <w:divBdr>
        <w:top w:val="none" w:sz="0" w:space="0" w:color="auto"/>
        <w:left w:val="none" w:sz="0" w:space="0" w:color="auto"/>
        <w:bottom w:val="none" w:sz="0" w:space="0" w:color="auto"/>
        <w:right w:val="none" w:sz="0" w:space="0" w:color="auto"/>
      </w:divBdr>
    </w:div>
    <w:div w:id="1496187589">
      <w:bodyDiv w:val="1"/>
      <w:marLeft w:val="0"/>
      <w:marRight w:val="0"/>
      <w:marTop w:val="0"/>
      <w:marBottom w:val="0"/>
      <w:divBdr>
        <w:top w:val="none" w:sz="0" w:space="0" w:color="auto"/>
        <w:left w:val="none" w:sz="0" w:space="0" w:color="auto"/>
        <w:bottom w:val="none" w:sz="0" w:space="0" w:color="auto"/>
        <w:right w:val="none" w:sz="0" w:space="0" w:color="auto"/>
      </w:divBdr>
    </w:div>
    <w:div w:id="1501459910">
      <w:bodyDiv w:val="1"/>
      <w:marLeft w:val="0"/>
      <w:marRight w:val="0"/>
      <w:marTop w:val="0"/>
      <w:marBottom w:val="0"/>
      <w:divBdr>
        <w:top w:val="none" w:sz="0" w:space="0" w:color="auto"/>
        <w:left w:val="none" w:sz="0" w:space="0" w:color="auto"/>
        <w:bottom w:val="none" w:sz="0" w:space="0" w:color="auto"/>
        <w:right w:val="none" w:sz="0" w:space="0" w:color="auto"/>
      </w:divBdr>
    </w:div>
    <w:div w:id="1501896511">
      <w:bodyDiv w:val="1"/>
      <w:marLeft w:val="0"/>
      <w:marRight w:val="0"/>
      <w:marTop w:val="0"/>
      <w:marBottom w:val="0"/>
      <w:divBdr>
        <w:top w:val="none" w:sz="0" w:space="0" w:color="auto"/>
        <w:left w:val="none" w:sz="0" w:space="0" w:color="auto"/>
        <w:bottom w:val="none" w:sz="0" w:space="0" w:color="auto"/>
        <w:right w:val="none" w:sz="0" w:space="0" w:color="auto"/>
      </w:divBdr>
      <w:divsChild>
        <w:div w:id="1469392676">
          <w:marLeft w:val="640"/>
          <w:marRight w:val="0"/>
          <w:marTop w:val="0"/>
          <w:marBottom w:val="0"/>
          <w:divBdr>
            <w:top w:val="none" w:sz="0" w:space="0" w:color="auto"/>
            <w:left w:val="none" w:sz="0" w:space="0" w:color="auto"/>
            <w:bottom w:val="none" w:sz="0" w:space="0" w:color="auto"/>
            <w:right w:val="none" w:sz="0" w:space="0" w:color="auto"/>
          </w:divBdr>
        </w:div>
        <w:div w:id="582570790">
          <w:marLeft w:val="640"/>
          <w:marRight w:val="0"/>
          <w:marTop w:val="0"/>
          <w:marBottom w:val="0"/>
          <w:divBdr>
            <w:top w:val="none" w:sz="0" w:space="0" w:color="auto"/>
            <w:left w:val="none" w:sz="0" w:space="0" w:color="auto"/>
            <w:bottom w:val="none" w:sz="0" w:space="0" w:color="auto"/>
            <w:right w:val="none" w:sz="0" w:space="0" w:color="auto"/>
          </w:divBdr>
        </w:div>
        <w:div w:id="66541040">
          <w:marLeft w:val="640"/>
          <w:marRight w:val="0"/>
          <w:marTop w:val="0"/>
          <w:marBottom w:val="0"/>
          <w:divBdr>
            <w:top w:val="none" w:sz="0" w:space="0" w:color="auto"/>
            <w:left w:val="none" w:sz="0" w:space="0" w:color="auto"/>
            <w:bottom w:val="none" w:sz="0" w:space="0" w:color="auto"/>
            <w:right w:val="none" w:sz="0" w:space="0" w:color="auto"/>
          </w:divBdr>
        </w:div>
        <w:div w:id="1956786757">
          <w:marLeft w:val="640"/>
          <w:marRight w:val="0"/>
          <w:marTop w:val="0"/>
          <w:marBottom w:val="0"/>
          <w:divBdr>
            <w:top w:val="none" w:sz="0" w:space="0" w:color="auto"/>
            <w:left w:val="none" w:sz="0" w:space="0" w:color="auto"/>
            <w:bottom w:val="none" w:sz="0" w:space="0" w:color="auto"/>
            <w:right w:val="none" w:sz="0" w:space="0" w:color="auto"/>
          </w:divBdr>
        </w:div>
        <w:div w:id="511259249">
          <w:marLeft w:val="640"/>
          <w:marRight w:val="0"/>
          <w:marTop w:val="0"/>
          <w:marBottom w:val="0"/>
          <w:divBdr>
            <w:top w:val="none" w:sz="0" w:space="0" w:color="auto"/>
            <w:left w:val="none" w:sz="0" w:space="0" w:color="auto"/>
            <w:bottom w:val="none" w:sz="0" w:space="0" w:color="auto"/>
            <w:right w:val="none" w:sz="0" w:space="0" w:color="auto"/>
          </w:divBdr>
        </w:div>
        <w:div w:id="1127166693">
          <w:marLeft w:val="640"/>
          <w:marRight w:val="0"/>
          <w:marTop w:val="0"/>
          <w:marBottom w:val="0"/>
          <w:divBdr>
            <w:top w:val="none" w:sz="0" w:space="0" w:color="auto"/>
            <w:left w:val="none" w:sz="0" w:space="0" w:color="auto"/>
            <w:bottom w:val="none" w:sz="0" w:space="0" w:color="auto"/>
            <w:right w:val="none" w:sz="0" w:space="0" w:color="auto"/>
          </w:divBdr>
        </w:div>
        <w:div w:id="454103270">
          <w:marLeft w:val="640"/>
          <w:marRight w:val="0"/>
          <w:marTop w:val="0"/>
          <w:marBottom w:val="0"/>
          <w:divBdr>
            <w:top w:val="none" w:sz="0" w:space="0" w:color="auto"/>
            <w:left w:val="none" w:sz="0" w:space="0" w:color="auto"/>
            <w:bottom w:val="none" w:sz="0" w:space="0" w:color="auto"/>
            <w:right w:val="none" w:sz="0" w:space="0" w:color="auto"/>
          </w:divBdr>
        </w:div>
        <w:div w:id="1370295800">
          <w:marLeft w:val="640"/>
          <w:marRight w:val="0"/>
          <w:marTop w:val="0"/>
          <w:marBottom w:val="0"/>
          <w:divBdr>
            <w:top w:val="none" w:sz="0" w:space="0" w:color="auto"/>
            <w:left w:val="none" w:sz="0" w:space="0" w:color="auto"/>
            <w:bottom w:val="none" w:sz="0" w:space="0" w:color="auto"/>
            <w:right w:val="none" w:sz="0" w:space="0" w:color="auto"/>
          </w:divBdr>
        </w:div>
        <w:div w:id="1761485653">
          <w:marLeft w:val="640"/>
          <w:marRight w:val="0"/>
          <w:marTop w:val="0"/>
          <w:marBottom w:val="0"/>
          <w:divBdr>
            <w:top w:val="none" w:sz="0" w:space="0" w:color="auto"/>
            <w:left w:val="none" w:sz="0" w:space="0" w:color="auto"/>
            <w:bottom w:val="none" w:sz="0" w:space="0" w:color="auto"/>
            <w:right w:val="none" w:sz="0" w:space="0" w:color="auto"/>
          </w:divBdr>
        </w:div>
        <w:div w:id="229586519">
          <w:marLeft w:val="640"/>
          <w:marRight w:val="0"/>
          <w:marTop w:val="0"/>
          <w:marBottom w:val="0"/>
          <w:divBdr>
            <w:top w:val="none" w:sz="0" w:space="0" w:color="auto"/>
            <w:left w:val="none" w:sz="0" w:space="0" w:color="auto"/>
            <w:bottom w:val="none" w:sz="0" w:space="0" w:color="auto"/>
            <w:right w:val="none" w:sz="0" w:space="0" w:color="auto"/>
          </w:divBdr>
        </w:div>
        <w:div w:id="1358627704">
          <w:marLeft w:val="640"/>
          <w:marRight w:val="0"/>
          <w:marTop w:val="0"/>
          <w:marBottom w:val="0"/>
          <w:divBdr>
            <w:top w:val="none" w:sz="0" w:space="0" w:color="auto"/>
            <w:left w:val="none" w:sz="0" w:space="0" w:color="auto"/>
            <w:bottom w:val="none" w:sz="0" w:space="0" w:color="auto"/>
            <w:right w:val="none" w:sz="0" w:space="0" w:color="auto"/>
          </w:divBdr>
        </w:div>
        <w:div w:id="426659507">
          <w:marLeft w:val="640"/>
          <w:marRight w:val="0"/>
          <w:marTop w:val="0"/>
          <w:marBottom w:val="0"/>
          <w:divBdr>
            <w:top w:val="none" w:sz="0" w:space="0" w:color="auto"/>
            <w:left w:val="none" w:sz="0" w:space="0" w:color="auto"/>
            <w:bottom w:val="none" w:sz="0" w:space="0" w:color="auto"/>
            <w:right w:val="none" w:sz="0" w:space="0" w:color="auto"/>
          </w:divBdr>
        </w:div>
        <w:div w:id="1514102922">
          <w:marLeft w:val="640"/>
          <w:marRight w:val="0"/>
          <w:marTop w:val="0"/>
          <w:marBottom w:val="0"/>
          <w:divBdr>
            <w:top w:val="none" w:sz="0" w:space="0" w:color="auto"/>
            <w:left w:val="none" w:sz="0" w:space="0" w:color="auto"/>
            <w:bottom w:val="none" w:sz="0" w:space="0" w:color="auto"/>
            <w:right w:val="none" w:sz="0" w:space="0" w:color="auto"/>
          </w:divBdr>
        </w:div>
        <w:div w:id="872812727">
          <w:marLeft w:val="640"/>
          <w:marRight w:val="0"/>
          <w:marTop w:val="0"/>
          <w:marBottom w:val="0"/>
          <w:divBdr>
            <w:top w:val="none" w:sz="0" w:space="0" w:color="auto"/>
            <w:left w:val="none" w:sz="0" w:space="0" w:color="auto"/>
            <w:bottom w:val="none" w:sz="0" w:space="0" w:color="auto"/>
            <w:right w:val="none" w:sz="0" w:space="0" w:color="auto"/>
          </w:divBdr>
        </w:div>
        <w:div w:id="1481000736">
          <w:marLeft w:val="640"/>
          <w:marRight w:val="0"/>
          <w:marTop w:val="0"/>
          <w:marBottom w:val="0"/>
          <w:divBdr>
            <w:top w:val="none" w:sz="0" w:space="0" w:color="auto"/>
            <w:left w:val="none" w:sz="0" w:space="0" w:color="auto"/>
            <w:bottom w:val="none" w:sz="0" w:space="0" w:color="auto"/>
            <w:right w:val="none" w:sz="0" w:space="0" w:color="auto"/>
          </w:divBdr>
        </w:div>
        <w:div w:id="811024085">
          <w:marLeft w:val="640"/>
          <w:marRight w:val="0"/>
          <w:marTop w:val="0"/>
          <w:marBottom w:val="0"/>
          <w:divBdr>
            <w:top w:val="none" w:sz="0" w:space="0" w:color="auto"/>
            <w:left w:val="none" w:sz="0" w:space="0" w:color="auto"/>
            <w:bottom w:val="none" w:sz="0" w:space="0" w:color="auto"/>
            <w:right w:val="none" w:sz="0" w:space="0" w:color="auto"/>
          </w:divBdr>
        </w:div>
        <w:div w:id="2037920448">
          <w:marLeft w:val="640"/>
          <w:marRight w:val="0"/>
          <w:marTop w:val="0"/>
          <w:marBottom w:val="0"/>
          <w:divBdr>
            <w:top w:val="none" w:sz="0" w:space="0" w:color="auto"/>
            <w:left w:val="none" w:sz="0" w:space="0" w:color="auto"/>
            <w:bottom w:val="none" w:sz="0" w:space="0" w:color="auto"/>
            <w:right w:val="none" w:sz="0" w:space="0" w:color="auto"/>
          </w:divBdr>
        </w:div>
        <w:div w:id="235746103">
          <w:marLeft w:val="640"/>
          <w:marRight w:val="0"/>
          <w:marTop w:val="0"/>
          <w:marBottom w:val="0"/>
          <w:divBdr>
            <w:top w:val="none" w:sz="0" w:space="0" w:color="auto"/>
            <w:left w:val="none" w:sz="0" w:space="0" w:color="auto"/>
            <w:bottom w:val="none" w:sz="0" w:space="0" w:color="auto"/>
            <w:right w:val="none" w:sz="0" w:space="0" w:color="auto"/>
          </w:divBdr>
        </w:div>
        <w:div w:id="1540320104">
          <w:marLeft w:val="640"/>
          <w:marRight w:val="0"/>
          <w:marTop w:val="0"/>
          <w:marBottom w:val="0"/>
          <w:divBdr>
            <w:top w:val="none" w:sz="0" w:space="0" w:color="auto"/>
            <w:left w:val="none" w:sz="0" w:space="0" w:color="auto"/>
            <w:bottom w:val="none" w:sz="0" w:space="0" w:color="auto"/>
            <w:right w:val="none" w:sz="0" w:space="0" w:color="auto"/>
          </w:divBdr>
        </w:div>
        <w:div w:id="559904247">
          <w:marLeft w:val="640"/>
          <w:marRight w:val="0"/>
          <w:marTop w:val="0"/>
          <w:marBottom w:val="0"/>
          <w:divBdr>
            <w:top w:val="none" w:sz="0" w:space="0" w:color="auto"/>
            <w:left w:val="none" w:sz="0" w:space="0" w:color="auto"/>
            <w:bottom w:val="none" w:sz="0" w:space="0" w:color="auto"/>
            <w:right w:val="none" w:sz="0" w:space="0" w:color="auto"/>
          </w:divBdr>
        </w:div>
        <w:div w:id="1106775017">
          <w:marLeft w:val="640"/>
          <w:marRight w:val="0"/>
          <w:marTop w:val="0"/>
          <w:marBottom w:val="0"/>
          <w:divBdr>
            <w:top w:val="none" w:sz="0" w:space="0" w:color="auto"/>
            <w:left w:val="none" w:sz="0" w:space="0" w:color="auto"/>
            <w:bottom w:val="none" w:sz="0" w:space="0" w:color="auto"/>
            <w:right w:val="none" w:sz="0" w:space="0" w:color="auto"/>
          </w:divBdr>
        </w:div>
        <w:div w:id="1871188366">
          <w:marLeft w:val="640"/>
          <w:marRight w:val="0"/>
          <w:marTop w:val="0"/>
          <w:marBottom w:val="0"/>
          <w:divBdr>
            <w:top w:val="none" w:sz="0" w:space="0" w:color="auto"/>
            <w:left w:val="none" w:sz="0" w:space="0" w:color="auto"/>
            <w:bottom w:val="none" w:sz="0" w:space="0" w:color="auto"/>
            <w:right w:val="none" w:sz="0" w:space="0" w:color="auto"/>
          </w:divBdr>
        </w:div>
        <w:div w:id="1899246293">
          <w:marLeft w:val="640"/>
          <w:marRight w:val="0"/>
          <w:marTop w:val="0"/>
          <w:marBottom w:val="0"/>
          <w:divBdr>
            <w:top w:val="none" w:sz="0" w:space="0" w:color="auto"/>
            <w:left w:val="none" w:sz="0" w:space="0" w:color="auto"/>
            <w:bottom w:val="none" w:sz="0" w:space="0" w:color="auto"/>
            <w:right w:val="none" w:sz="0" w:space="0" w:color="auto"/>
          </w:divBdr>
        </w:div>
        <w:div w:id="630943841">
          <w:marLeft w:val="640"/>
          <w:marRight w:val="0"/>
          <w:marTop w:val="0"/>
          <w:marBottom w:val="0"/>
          <w:divBdr>
            <w:top w:val="none" w:sz="0" w:space="0" w:color="auto"/>
            <w:left w:val="none" w:sz="0" w:space="0" w:color="auto"/>
            <w:bottom w:val="none" w:sz="0" w:space="0" w:color="auto"/>
            <w:right w:val="none" w:sz="0" w:space="0" w:color="auto"/>
          </w:divBdr>
        </w:div>
        <w:div w:id="1385373103">
          <w:marLeft w:val="640"/>
          <w:marRight w:val="0"/>
          <w:marTop w:val="0"/>
          <w:marBottom w:val="0"/>
          <w:divBdr>
            <w:top w:val="none" w:sz="0" w:space="0" w:color="auto"/>
            <w:left w:val="none" w:sz="0" w:space="0" w:color="auto"/>
            <w:bottom w:val="none" w:sz="0" w:space="0" w:color="auto"/>
            <w:right w:val="none" w:sz="0" w:space="0" w:color="auto"/>
          </w:divBdr>
        </w:div>
        <w:div w:id="1159032416">
          <w:marLeft w:val="640"/>
          <w:marRight w:val="0"/>
          <w:marTop w:val="0"/>
          <w:marBottom w:val="0"/>
          <w:divBdr>
            <w:top w:val="none" w:sz="0" w:space="0" w:color="auto"/>
            <w:left w:val="none" w:sz="0" w:space="0" w:color="auto"/>
            <w:bottom w:val="none" w:sz="0" w:space="0" w:color="auto"/>
            <w:right w:val="none" w:sz="0" w:space="0" w:color="auto"/>
          </w:divBdr>
        </w:div>
        <w:div w:id="2025552777">
          <w:marLeft w:val="640"/>
          <w:marRight w:val="0"/>
          <w:marTop w:val="0"/>
          <w:marBottom w:val="0"/>
          <w:divBdr>
            <w:top w:val="none" w:sz="0" w:space="0" w:color="auto"/>
            <w:left w:val="none" w:sz="0" w:space="0" w:color="auto"/>
            <w:bottom w:val="none" w:sz="0" w:space="0" w:color="auto"/>
            <w:right w:val="none" w:sz="0" w:space="0" w:color="auto"/>
          </w:divBdr>
        </w:div>
        <w:div w:id="1868178527">
          <w:marLeft w:val="640"/>
          <w:marRight w:val="0"/>
          <w:marTop w:val="0"/>
          <w:marBottom w:val="0"/>
          <w:divBdr>
            <w:top w:val="none" w:sz="0" w:space="0" w:color="auto"/>
            <w:left w:val="none" w:sz="0" w:space="0" w:color="auto"/>
            <w:bottom w:val="none" w:sz="0" w:space="0" w:color="auto"/>
            <w:right w:val="none" w:sz="0" w:space="0" w:color="auto"/>
          </w:divBdr>
        </w:div>
        <w:div w:id="1801923613">
          <w:marLeft w:val="640"/>
          <w:marRight w:val="0"/>
          <w:marTop w:val="0"/>
          <w:marBottom w:val="0"/>
          <w:divBdr>
            <w:top w:val="none" w:sz="0" w:space="0" w:color="auto"/>
            <w:left w:val="none" w:sz="0" w:space="0" w:color="auto"/>
            <w:bottom w:val="none" w:sz="0" w:space="0" w:color="auto"/>
            <w:right w:val="none" w:sz="0" w:space="0" w:color="auto"/>
          </w:divBdr>
        </w:div>
        <w:div w:id="1794984364">
          <w:marLeft w:val="640"/>
          <w:marRight w:val="0"/>
          <w:marTop w:val="0"/>
          <w:marBottom w:val="0"/>
          <w:divBdr>
            <w:top w:val="none" w:sz="0" w:space="0" w:color="auto"/>
            <w:left w:val="none" w:sz="0" w:space="0" w:color="auto"/>
            <w:bottom w:val="none" w:sz="0" w:space="0" w:color="auto"/>
            <w:right w:val="none" w:sz="0" w:space="0" w:color="auto"/>
          </w:divBdr>
        </w:div>
        <w:div w:id="1789664573">
          <w:marLeft w:val="640"/>
          <w:marRight w:val="0"/>
          <w:marTop w:val="0"/>
          <w:marBottom w:val="0"/>
          <w:divBdr>
            <w:top w:val="none" w:sz="0" w:space="0" w:color="auto"/>
            <w:left w:val="none" w:sz="0" w:space="0" w:color="auto"/>
            <w:bottom w:val="none" w:sz="0" w:space="0" w:color="auto"/>
            <w:right w:val="none" w:sz="0" w:space="0" w:color="auto"/>
          </w:divBdr>
        </w:div>
        <w:div w:id="1010524163">
          <w:marLeft w:val="640"/>
          <w:marRight w:val="0"/>
          <w:marTop w:val="0"/>
          <w:marBottom w:val="0"/>
          <w:divBdr>
            <w:top w:val="none" w:sz="0" w:space="0" w:color="auto"/>
            <w:left w:val="none" w:sz="0" w:space="0" w:color="auto"/>
            <w:bottom w:val="none" w:sz="0" w:space="0" w:color="auto"/>
            <w:right w:val="none" w:sz="0" w:space="0" w:color="auto"/>
          </w:divBdr>
        </w:div>
        <w:div w:id="1836261821">
          <w:marLeft w:val="640"/>
          <w:marRight w:val="0"/>
          <w:marTop w:val="0"/>
          <w:marBottom w:val="0"/>
          <w:divBdr>
            <w:top w:val="none" w:sz="0" w:space="0" w:color="auto"/>
            <w:left w:val="none" w:sz="0" w:space="0" w:color="auto"/>
            <w:bottom w:val="none" w:sz="0" w:space="0" w:color="auto"/>
            <w:right w:val="none" w:sz="0" w:space="0" w:color="auto"/>
          </w:divBdr>
        </w:div>
        <w:div w:id="1705671783">
          <w:marLeft w:val="640"/>
          <w:marRight w:val="0"/>
          <w:marTop w:val="0"/>
          <w:marBottom w:val="0"/>
          <w:divBdr>
            <w:top w:val="none" w:sz="0" w:space="0" w:color="auto"/>
            <w:left w:val="none" w:sz="0" w:space="0" w:color="auto"/>
            <w:bottom w:val="none" w:sz="0" w:space="0" w:color="auto"/>
            <w:right w:val="none" w:sz="0" w:space="0" w:color="auto"/>
          </w:divBdr>
        </w:div>
        <w:div w:id="790442366">
          <w:marLeft w:val="640"/>
          <w:marRight w:val="0"/>
          <w:marTop w:val="0"/>
          <w:marBottom w:val="0"/>
          <w:divBdr>
            <w:top w:val="none" w:sz="0" w:space="0" w:color="auto"/>
            <w:left w:val="none" w:sz="0" w:space="0" w:color="auto"/>
            <w:bottom w:val="none" w:sz="0" w:space="0" w:color="auto"/>
            <w:right w:val="none" w:sz="0" w:space="0" w:color="auto"/>
          </w:divBdr>
        </w:div>
        <w:div w:id="999382654">
          <w:marLeft w:val="640"/>
          <w:marRight w:val="0"/>
          <w:marTop w:val="0"/>
          <w:marBottom w:val="0"/>
          <w:divBdr>
            <w:top w:val="none" w:sz="0" w:space="0" w:color="auto"/>
            <w:left w:val="none" w:sz="0" w:space="0" w:color="auto"/>
            <w:bottom w:val="none" w:sz="0" w:space="0" w:color="auto"/>
            <w:right w:val="none" w:sz="0" w:space="0" w:color="auto"/>
          </w:divBdr>
        </w:div>
        <w:div w:id="1042098274">
          <w:marLeft w:val="640"/>
          <w:marRight w:val="0"/>
          <w:marTop w:val="0"/>
          <w:marBottom w:val="0"/>
          <w:divBdr>
            <w:top w:val="none" w:sz="0" w:space="0" w:color="auto"/>
            <w:left w:val="none" w:sz="0" w:space="0" w:color="auto"/>
            <w:bottom w:val="none" w:sz="0" w:space="0" w:color="auto"/>
            <w:right w:val="none" w:sz="0" w:space="0" w:color="auto"/>
          </w:divBdr>
        </w:div>
        <w:div w:id="1276711497">
          <w:marLeft w:val="640"/>
          <w:marRight w:val="0"/>
          <w:marTop w:val="0"/>
          <w:marBottom w:val="0"/>
          <w:divBdr>
            <w:top w:val="none" w:sz="0" w:space="0" w:color="auto"/>
            <w:left w:val="none" w:sz="0" w:space="0" w:color="auto"/>
            <w:bottom w:val="none" w:sz="0" w:space="0" w:color="auto"/>
            <w:right w:val="none" w:sz="0" w:space="0" w:color="auto"/>
          </w:divBdr>
        </w:div>
        <w:div w:id="2437913">
          <w:marLeft w:val="640"/>
          <w:marRight w:val="0"/>
          <w:marTop w:val="0"/>
          <w:marBottom w:val="0"/>
          <w:divBdr>
            <w:top w:val="none" w:sz="0" w:space="0" w:color="auto"/>
            <w:left w:val="none" w:sz="0" w:space="0" w:color="auto"/>
            <w:bottom w:val="none" w:sz="0" w:space="0" w:color="auto"/>
            <w:right w:val="none" w:sz="0" w:space="0" w:color="auto"/>
          </w:divBdr>
        </w:div>
        <w:div w:id="1471940777">
          <w:marLeft w:val="640"/>
          <w:marRight w:val="0"/>
          <w:marTop w:val="0"/>
          <w:marBottom w:val="0"/>
          <w:divBdr>
            <w:top w:val="none" w:sz="0" w:space="0" w:color="auto"/>
            <w:left w:val="none" w:sz="0" w:space="0" w:color="auto"/>
            <w:bottom w:val="none" w:sz="0" w:space="0" w:color="auto"/>
            <w:right w:val="none" w:sz="0" w:space="0" w:color="auto"/>
          </w:divBdr>
        </w:div>
        <w:div w:id="1492140396">
          <w:marLeft w:val="640"/>
          <w:marRight w:val="0"/>
          <w:marTop w:val="0"/>
          <w:marBottom w:val="0"/>
          <w:divBdr>
            <w:top w:val="none" w:sz="0" w:space="0" w:color="auto"/>
            <w:left w:val="none" w:sz="0" w:space="0" w:color="auto"/>
            <w:bottom w:val="none" w:sz="0" w:space="0" w:color="auto"/>
            <w:right w:val="none" w:sz="0" w:space="0" w:color="auto"/>
          </w:divBdr>
        </w:div>
        <w:div w:id="1777870786">
          <w:marLeft w:val="640"/>
          <w:marRight w:val="0"/>
          <w:marTop w:val="0"/>
          <w:marBottom w:val="0"/>
          <w:divBdr>
            <w:top w:val="none" w:sz="0" w:space="0" w:color="auto"/>
            <w:left w:val="none" w:sz="0" w:space="0" w:color="auto"/>
            <w:bottom w:val="none" w:sz="0" w:space="0" w:color="auto"/>
            <w:right w:val="none" w:sz="0" w:space="0" w:color="auto"/>
          </w:divBdr>
        </w:div>
        <w:div w:id="1457530466">
          <w:marLeft w:val="640"/>
          <w:marRight w:val="0"/>
          <w:marTop w:val="0"/>
          <w:marBottom w:val="0"/>
          <w:divBdr>
            <w:top w:val="none" w:sz="0" w:space="0" w:color="auto"/>
            <w:left w:val="none" w:sz="0" w:space="0" w:color="auto"/>
            <w:bottom w:val="none" w:sz="0" w:space="0" w:color="auto"/>
            <w:right w:val="none" w:sz="0" w:space="0" w:color="auto"/>
          </w:divBdr>
        </w:div>
        <w:div w:id="179589336">
          <w:marLeft w:val="640"/>
          <w:marRight w:val="0"/>
          <w:marTop w:val="0"/>
          <w:marBottom w:val="0"/>
          <w:divBdr>
            <w:top w:val="none" w:sz="0" w:space="0" w:color="auto"/>
            <w:left w:val="none" w:sz="0" w:space="0" w:color="auto"/>
            <w:bottom w:val="none" w:sz="0" w:space="0" w:color="auto"/>
            <w:right w:val="none" w:sz="0" w:space="0" w:color="auto"/>
          </w:divBdr>
        </w:div>
        <w:div w:id="371613608">
          <w:marLeft w:val="640"/>
          <w:marRight w:val="0"/>
          <w:marTop w:val="0"/>
          <w:marBottom w:val="0"/>
          <w:divBdr>
            <w:top w:val="none" w:sz="0" w:space="0" w:color="auto"/>
            <w:left w:val="none" w:sz="0" w:space="0" w:color="auto"/>
            <w:bottom w:val="none" w:sz="0" w:space="0" w:color="auto"/>
            <w:right w:val="none" w:sz="0" w:space="0" w:color="auto"/>
          </w:divBdr>
        </w:div>
        <w:div w:id="1683848585">
          <w:marLeft w:val="640"/>
          <w:marRight w:val="0"/>
          <w:marTop w:val="0"/>
          <w:marBottom w:val="0"/>
          <w:divBdr>
            <w:top w:val="none" w:sz="0" w:space="0" w:color="auto"/>
            <w:left w:val="none" w:sz="0" w:space="0" w:color="auto"/>
            <w:bottom w:val="none" w:sz="0" w:space="0" w:color="auto"/>
            <w:right w:val="none" w:sz="0" w:space="0" w:color="auto"/>
          </w:divBdr>
        </w:div>
        <w:div w:id="497506627">
          <w:marLeft w:val="640"/>
          <w:marRight w:val="0"/>
          <w:marTop w:val="0"/>
          <w:marBottom w:val="0"/>
          <w:divBdr>
            <w:top w:val="none" w:sz="0" w:space="0" w:color="auto"/>
            <w:left w:val="none" w:sz="0" w:space="0" w:color="auto"/>
            <w:bottom w:val="none" w:sz="0" w:space="0" w:color="auto"/>
            <w:right w:val="none" w:sz="0" w:space="0" w:color="auto"/>
          </w:divBdr>
        </w:div>
        <w:div w:id="2037735994">
          <w:marLeft w:val="640"/>
          <w:marRight w:val="0"/>
          <w:marTop w:val="0"/>
          <w:marBottom w:val="0"/>
          <w:divBdr>
            <w:top w:val="none" w:sz="0" w:space="0" w:color="auto"/>
            <w:left w:val="none" w:sz="0" w:space="0" w:color="auto"/>
            <w:bottom w:val="none" w:sz="0" w:space="0" w:color="auto"/>
            <w:right w:val="none" w:sz="0" w:space="0" w:color="auto"/>
          </w:divBdr>
        </w:div>
        <w:div w:id="1672180595">
          <w:marLeft w:val="640"/>
          <w:marRight w:val="0"/>
          <w:marTop w:val="0"/>
          <w:marBottom w:val="0"/>
          <w:divBdr>
            <w:top w:val="none" w:sz="0" w:space="0" w:color="auto"/>
            <w:left w:val="none" w:sz="0" w:space="0" w:color="auto"/>
            <w:bottom w:val="none" w:sz="0" w:space="0" w:color="auto"/>
            <w:right w:val="none" w:sz="0" w:space="0" w:color="auto"/>
          </w:divBdr>
        </w:div>
        <w:div w:id="726270419">
          <w:marLeft w:val="640"/>
          <w:marRight w:val="0"/>
          <w:marTop w:val="0"/>
          <w:marBottom w:val="0"/>
          <w:divBdr>
            <w:top w:val="none" w:sz="0" w:space="0" w:color="auto"/>
            <w:left w:val="none" w:sz="0" w:space="0" w:color="auto"/>
            <w:bottom w:val="none" w:sz="0" w:space="0" w:color="auto"/>
            <w:right w:val="none" w:sz="0" w:space="0" w:color="auto"/>
          </w:divBdr>
        </w:div>
        <w:div w:id="1970819872">
          <w:marLeft w:val="640"/>
          <w:marRight w:val="0"/>
          <w:marTop w:val="0"/>
          <w:marBottom w:val="0"/>
          <w:divBdr>
            <w:top w:val="none" w:sz="0" w:space="0" w:color="auto"/>
            <w:left w:val="none" w:sz="0" w:space="0" w:color="auto"/>
            <w:bottom w:val="none" w:sz="0" w:space="0" w:color="auto"/>
            <w:right w:val="none" w:sz="0" w:space="0" w:color="auto"/>
          </w:divBdr>
        </w:div>
        <w:div w:id="441733065">
          <w:marLeft w:val="640"/>
          <w:marRight w:val="0"/>
          <w:marTop w:val="0"/>
          <w:marBottom w:val="0"/>
          <w:divBdr>
            <w:top w:val="none" w:sz="0" w:space="0" w:color="auto"/>
            <w:left w:val="none" w:sz="0" w:space="0" w:color="auto"/>
            <w:bottom w:val="none" w:sz="0" w:space="0" w:color="auto"/>
            <w:right w:val="none" w:sz="0" w:space="0" w:color="auto"/>
          </w:divBdr>
        </w:div>
        <w:div w:id="1910000097">
          <w:marLeft w:val="640"/>
          <w:marRight w:val="0"/>
          <w:marTop w:val="0"/>
          <w:marBottom w:val="0"/>
          <w:divBdr>
            <w:top w:val="none" w:sz="0" w:space="0" w:color="auto"/>
            <w:left w:val="none" w:sz="0" w:space="0" w:color="auto"/>
            <w:bottom w:val="none" w:sz="0" w:space="0" w:color="auto"/>
            <w:right w:val="none" w:sz="0" w:space="0" w:color="auto"/>
          </w:divBdr>
        </w:div>
        <w:div w:id="1579636751">
          <w:marLeft w:val="640"/>
          <w:marRight w:val="0"/>
          <w:marTop w:val="0"/>
          <w:marBottom w:val="0"/>
          <w:divBdr>
            <w:top w:val="none" w:sz="0" w:space="0" w:color="auto"/>
            <w:left w:val="none" w:sz="0" w:space="0" w:color="auto"/>
            <w:bottom w:val="none" w:sz="0" w:space="0" w:color="auto"/>
            <w:right w:val="none" w:sz="0" w:space="0" w:color="auto"/>
          </w:divBdr>
        </w:div>
        <w:div w:id="1795444452">
          <w:marLeft w:val="640"/>
          <w:marRight w:val="0"/>
          <w:marTop w:val="0"/>
          <w:marBottom w:val="0"/>
          <w:divBdr>
            <w:top w:val="none" w:sz="0" w:space="0" w:color="auto"/>
            <w:left w:val="none" w:sz="0" w:space="0" w:color="auto"/>
            <w:bottom w:val="none" w:sz="0" w:space="0" w:color="auto"/>
            <w:right w:val="none" w:sz="0" w:space="0" w:color="auto"/>
          </w:divBdr>
        </w:div>
        <w:div w:id="367605745">
          <w:marLeft w:val="640"/>
          <w:marRight w:val="0"/>
          <w:marTop w:val="0"/>
          <w:marBottom w:val="0"/>
          <w:divBdr>
            <w:top w:val="none" w:sz="0" w:space="0" w:color="auto"/>
            <w:left w:val="none" w:sz="0" w:space="0" w:color="auto"/>
            <w:bottom w:val="none" w:sz="0" w:space="0" w:color="auto"/>
            <w:right w:val="none" w:sz="0" w:space="0" w:color="auto"/>
          </w:divBdr>
        </w:div>
        <w:div w:id="967274861">
          <w:marLeft w:val="640"/>
          <w:marRight w:val="0"/>
          <w:marTop w:val="0"/>
          <w:marBottom w:val="0"/>
          <w:divBdr>
            <w:top w:val="none" w:sz="0" w:space="0" w:color="auto"/>
            <w:left w:val="none" w:sz="0" w:space="0" w:color="auto"/>
            <w:bottom w:val="none" w:sz="0" w:space="0" w:color="auto"/>
            <w:right w:val="none" w:sz="0" w:space="0" w:color="auto"/>
          </w:divBdr>
        </w:div>
        <w:div w:id="343166444">
          <w:marLeft w:val="640"/>
          <w:marRight w:val="0"/>
          <w:marTop w:val="0"/>
          <w:marBottom w:val="0"/>
          <w:divBdr>
            <w:top w:val="none" w:sz="0" w:space="0" w:color="auto"/>
            <w:left w:val="none" w:sz="0" w:space="0" w:color="auto"/>
            <w:bottom w:val="none" w:sz="0" w:space="0" w:color="auto"/>
            <w:right w:val="none" w:sz="0" w:space="0" w:color="auto"/>
          </w:divBdr>
        </w:div>
        <w:div w:id="2024624423">
          <w:marLeft w:val="640"/>
          <w:marRight w:val="0"/>
          <w:marTop w:val="0"/>
          <w:marBottom w:val="0"/>
          <w:divBdr>
            <w:top w:val="none" w:sz="0" w:space="0" w:color="auto"/>
            <w:left w:val="none" w:sz="0" w:space="0" w:color="auto"/>
            <w:bottom w:val="none" w:sz="0" w:space="0" w:color="auto"/>
            <w:right w:val="none" w:sz="0" w:space="0" w:color="auto"/>
          </w:divBdr>
        </w:div>
        <w:div w:id="1849832594">
          <w:marLeft w:val="640"/>
          <w:marRight w:val="0"/>
          <w:marTop w:val="0"/>
          <w:marBottom w:val="0"/>
          <w:divBdr>
            <w:top w:val="none" w:sz="0" w:space="0" w:color="auto"/>
            <w:left w:val="none" w:sz="0" w:space="0" w:color="auto"/>
            <w:bottom w:val="none" w:sz="0" w:space="0" w:color="auto"/>
            <w:right w:val="none" w:sz="0" w:space="0" w:color="auto"/>
          </w:divBdr>
        </w:div>
        <w:div w:id="1468472209">
          <w:marLeft w:val="640"/>
          <w:marRight w:val="0"/>
          <w:marTop w:val="0"/>
          <w:marBottom w:val="0"/>
          <w:divBdr>
            <w:top w:val="none" w:sz="0" w:space="0" w:color="auto"/>
            <w:left w:val="none" w:sz="0" w:space="0" w:color="auto"/>
            <w:bottom w:val="none" w:sz="0" w:space="0" w:color="auto"/>
            <w:right w:val="none" w:sz="0" w:space="0" w:color="auto"/>
          </w:divBdr>
        </w:div>
        <w:div w:id="670059142">
          <w:marLeft w:val="640"/>
          <w:marRight w:val="0"/>
          <w:marTop w:val="0"/>
          <w:marBottom w:val="0"/>
          <w:divBdr>
            <w:top w:val="none" w:sz="0" w:space="0" w:color="auto"/>
            <w:left w:val="none" w:sz="0" w:space="0" w:color="auto"/>
            <w:bottom w:val="none" w:sz="0" w:space="0" w:color="auto"/>
            <w:right w:val="none" w:sz="0" w:space="0" w:color="auto"/>
          </w:divBdr>
        </w:div>
        <w:div w:id="295530741">
          <w:marLeft w:val="640"/>
          <w:marRight w:val="0"/>
          <w:marTop w:val="0"/>
          <w:marBottom w:val="0"/>
          <w:divBdr>
            <w:top w:val="none" w:sz="0" w:space="0" w:color="auto"/>
            <w:left w:val="none" w:sz="0" w:space="0" w:color="auto"/>
            <w:bottom w:val="none" w:sz="0" w:space="0" w:color="auto"/>
            <w:right w:val="none" w:sz="0" w:space="0" w:color="auto"/>
          </w:divBdr>
        </w:div>
        <w:div w:id="271791561">
          <w:marLeft w:val="640"/>
          <w:marRight w:val="0"/>
          <w:marTop w:val="0"/>
          <w:marBottom w:val="0"/>
          <w:divBdr>
            <w:top w:val="none" w:sz="0" w:space="0" w:color="auto"/>
            <w:left w:val="none" w:sz="0" w:space="0" w:color="auto"/>
            <w:bottom w:val="none" w:sz="0" w:space="0" w:color="auto"/>
            <w:right w:val="none" w:sz="0" w:space="0" w:color="auto"/>
          </w:divBdr>
        </w:div>
        <w:div w:id="120079751">
          <w:marLeft w:val="640"/>
          <w:marRight w:val="0"/>
          <w:marTop w:val="0"/>
          <w:marBottom w:val="0"/>
          <w:divBdr>
            <w:top w:val="none" w:sz="0" w:space="0" w:color="auto"/>
            <w:left w:val="none" w:sz="0" w:space="0" w:color="auto"/>
            <w:bottom w:val="none" w:sz="0" w:space="0" w:color="auto"/>
            <w:right w:val="none" w:sz="0" w:space="0" w:color="auto"/>
          </w:divBdr>
        </w:div>
        <w:div w:id="1907259476">
          <w:marLeft w:val="640"/>
          <w:marRight w:val="0"/>
          <w:marTop w:val="0"/>
          <w:marBottom w:val="0"/>
          <w:divBdr>
            <w:top w:val="none" w:sz="0" w:space="0" w:color="auto"/>
            <w:left w:val="none" w:sz="0" w:space="0" w:color="auto"/>
            <w:bottom w:val="none" w:sz="0" w:space="0" w:color="auto"/>
            <w:right w:val="none" w:sz="0" w:space="0" w:color="auto"/>
          </w:divBdr>
        </w:div>
        <w:div w:id="1583684359">
          <w:marLeft w:val="640"/>
          <w:marRight w:val="0"/>
          <w:marTop w:val="0"/>
          <w:marBottom w:val="0"/>
          <w:divBdr>
            <w:top w:val="none" w:sz="0" w:space="0" w:color="auto"/>
            <w:left w:val="none" w:sz="0" w:space="0" w:color="auto"/>
            <w:bottom w:val="none" w:sz="0" w:space="0" w:color="auto"/>
            <w:right w:val="none" w:sz="0" w:space="0" w:color="auto"/>
          </w:divBdr>
        </w:div>
        <w:div w:id="1905213270">
          <w:marLeft w:val="640"/>
          <w:marRight w:val="0"/>
          <w:marTop w:val="0"/>
          <w:marBottom w:val="0"/>
          <w:divBdr>
            <w:top w:val="none" w:sz="0" w:space="0" w:color="auto"/>
            <w:left w:val="none" w:sz="0" w:space="0" w:color="auto"/>
            <w:bottom w:val="none" w:sz="0" w:space="0" w:color="auto"/>
            <w:right w:val="none" w:sz="0" w:space="0" w:color="auto"/>
          </w:divBdr>
        </w:div>
        <w:div w:id="1912886112">
          <w:marLeft w:val="640"/>
          <w:marRight w:val="0"/>
          <w:marTop w:val="0"/>
          <w:marBottom w:val="0"/>
          <w:divBdr>
            <w:top w:val="none" w:sz="0" w:space="0" w:color="auto"/>
            <w:left w:val="none" w:sz="0" w:space="0" w:color="auto"/>
            <w:bottom w:val="none" w:sz="0" w:space="0" w:color="auto"/>
            <w:right w:val="none" w:sz="0" w:space="0" w:color="auto"/>
          </w:divBdr>
        </w:div>
        <w:div w:id="457456245">
          <w:marLeft w:val="640"/>
          <w:marRight w:val="0"/>
          <w:marTop w:val="0"/>
          <w:marBottom w:val="0"/>
          <w:divBdr>
            <w:top w:val="none" w:sz="0" w:space="0" w:color="auto"/>
            <w:left w:val="none" w:sz="0" w:space="0" w:color="auto"/>
            <w:bottom w:val="none" w:sz="0" w:space="0" w:color="auto"/>
            <w:right w:val="none" w:sz="0" w:space="0" w:color="auto"/>
          </w:divBdr>
        </w:div>
        <w:div w:id="623657627">
          <w:marLeft w:val="640"/>
          <w:marRight w:val="0"/>
          <w:marTop w:val="0"/>
          <w:marBottom w:val="0"/>
          <w:divBdr>
            <w:top w:val="none" w:sz="0" w:space="0" w:color="auto"/>
            <w:left w:val="none" w:sz="0" w:space="0" w:color="auto"/>
            <w:bottom w:val="none" w:sz="0" w:space="0" w:color="auto"/>
            <w:right w:val="none" w:sz="0" w:space="0" w:color="auto"/>
          </w:divBdr>
        </w:div>
        <w:div w:id="1210335733">
          <w:marLeft w:val="640"/>
          <w:marRight w:val="0"/>
          <w:marTop w:val="0"/>
          <w:marBottom w:val="0"/>
          <w:divBdr>
            <w:top w:val="none" w:sz="0" w:space="0" w:color="auto"/>
            <w:left w:val="none" w:sz="0" w:space="0" w:color="auto"/>
            <w:bottom w:val="none" w:sz="0" w:space="0" w:color="auto"/>
            <w:right w:val="none" w:sz="0" w:space="0" w:color="auto"/>
          </w:divBdr>
        </w:div>
        <w:div w:id="1599408022">
          <w:marLeft w:val="640"/>
          <w:marRight w:val="0"/>
          <w:marTop w:val="0"/>
          <w:marBottom w:val="0"/>
          <w:divBdr>
            <w:top w:val="none" w:sz="0" w:space="0" w:color="auto"/>
            <w:left w:val="none" w:sz="0" w:space="0" w:color="auto"/>
            <w:bottom w:val="none" w:sz="0" w:space="0" w:color="auto"/>
            <w:right w:val="none" w:sz="0" w:space="0" w:color="auto"/>
          </w:divBdr>
        </w:div>
        <w:div w:id="536239950">
          <w:marLeft w:val="640"/>
          <w:marRight w:val="0"/>
          <w:marTop w:val="0"/>
          <w:marBottom w:val="0"/>
          <w:divBdr>
            <w:top w:val="none" w:sz="0" w:space="0" w:color="auto"/>
            <w:left w:val="none" w:sz="0" w:space="0" w:color="auto"/>
            <w:bottom w:val="none" w:sz="0" w:space="0" w:color="auto"/>
            <w:right w:val="none" w:sz="0" w:space="0" w:color="auto"/>
          </w:divBdr>
        </w:div>
        <w:div w:id="1425494449">
          <w:marLeft w:val="640"/>
          <w:marRight w:val="0"/>
          <w:marTop w:val="0"/>
          <w:marBottom w:val="0"/>
          <w:divBdr>
            <w:top w:val="none" w:sz="0" w:space="0" w:color="auto"/>
            <w:left w:val="none" w:sz="0" w:space="0" w:color="auto"/>
            <w:bottom w:val="none" w:sz="0" w:space="0" w:color="auto"/>
            <w:right w:val="none" w:sz="0" w:space="0" w:color="auto"/>
          </w:divBdr>
        </w:div>
        <w:div w:id="32459652">
          <w:marLeft w:val="640"/>
          <w:marRight w:val="0"/>
          <w:marTop w:val="0"/>
          <w:marBottom w:val="0"/>
          <w:divBdr>
            <w:top w:val="none" w:sz="0" w:space="0" w:color="auto"/>
            <w:left w:val="none" w:sz="0" w:space="0" w:color="auto"/>
            <w:bottom w:val="none" w:sz="0" w:space="0" w:color="auto"/>
            <w:right w:val="none" w:sz="0" w:space="0" w:color="auto"/>
          </w:divBdr>
        </w:div>
        <w:div w:id="527454255">
          <w:marLeft w:val="640"/>
          <w:marRight w:val="0"/>
          <w:marTop w:val="0"/>
          <w:marBottom w:val="0"/>
          <w:divBdr>
            <w:top w:val="none" w:sz="0" w:space="0" w:color="auto"/>
            <w:left w:val="none" w:sz="0" w:space="0" w:color="auto"/>
            <w:bottom w:val="none" w:sz="0" w:space="0" w:color="auto"/>
            <w:right w:val="none" w:sz="0" w:space="0" w:color="auto"/>
          </w:divBdr>
        </w:div>
        <w:div w:id="951133923">
          <w:marLeft w:val="640"/>
          <w:marRight w:val="0"/>
          <w:marTop w:val="0"/>
          <w:marBottom w:val="0"/>
          <w:divBdr>
            <w:top w:val="none" w:sz="0" w:space="0" w:color="auto"/>
            <w:left w:val="none" w:sz="0" w:space="0" w:color="auto"/>
            <w:bottom w:val="none" w:sz="0" w:space="0" w:color="auto"/>
            <w:right w:val="none" w:sz="0" w:space="0" w:color="auto"/>
          </w:divBdr>
        </w:div>
        <w:div w:id="1650865452">
          <w:marLeft w:val="640"/>
          <w:marRight w:val="0"/>
          <w:marTop w:val="0"/>
          <w:marBottom w:val="0"/>
          <w:divBdr>
            <w:top w:val="none" w:sz="0" w:space="0" w:color="auto"/>
            <w:left w:val="none" w:sz="0" w:space="0" w:color="auto"/>
            <w:bottom w:val="none" w:sz="0" w:space="0" w:color="auto"/>
            <w:right w:val="none" w:sz="0" w:space="0" w:color="auto"/>
          </w:divBdr>
        </w:div>
        <w:div w:id="2070885933">
          <w:marLeft w:val="640"/>
          <w:marRight w:val="0"/>
          <w:marTop w:val="0"/>
          <w:marBottom w:val="0"/>
          <w:divBdr>
            <w:top w:val="none" w:sz="0" w:space="0" w:color="auto"/>
            <w:left w:val="none" w:sz="0" w:space="0" w:color="auto"/>
            <w:bottom w:val="none" w:sz="0" w:space="0" w:color="auto"/>
            <w:right w:val="none" w:sz="0" w:space="0" w:color="auto"/>
          </w:divBdr>
        </w:div>
        <w:div w:id="1927419502">
          <w:marLeft w:val="640"/>
          <w:marRight w:val="0"/>
          <w:marTop w:val="0"/>
          <w:marBottom w:val="0"/>
          <w:divBdr>
            <w:top w:val="none" w:sz="0" w:space="0" w:color="auto"/>
            <w:left w:val="none" w:sz="0" w:space="0" w:color="auto"/>
            <w:bottom w:val="none" w:sz="0" w:space="0" w:color="auto"/>
            <w:right w:val="none" w:sz="0" w:space="0" w:color="auto"/>
          </w:divBdr>
        </w:div>
        <w:div w:id="227961006">
          <w:marLeft w:val="640"/>
          <w:marRight w:val="0"/>
          <w:marTop w:val="0"/>
          <w:marBottom w:val="0"/>
          <w:divBdr>
            <w:top w:val="none" w:sz="0" w:space="0" w:color="auto"/>
            <w:left w:val="none" w:sz="0" w:space="0" w:color="auto"/>
            <w:bottom w:val="none" w:sz="0" w:space="0" w:color="auto"/>
            <w:right w:val="none" w:sz="0" w:space="0" w:color="auto"/>
          </w:divBdr>
        </w:div>
        <w:div w:id="193156215">
          <w:marLeft w:val="640"/>
          <w:marRight w:val="0"/>
          <w:marTop w:val="0"/>
          <w:marBottom w:val="0"/>
          <w:divBdr>
            <w:top w:val="none" w:sz="0" w:space="0" w:color="auto"/>
            <w:left w:val="none" w:sz="0" w:space="0" w:color="auto"/>
            <w:bottom w:val="none" w:sz="0" w:space="0" w:color="auto"/>
            <w:right w:val="none" w:sz="0" w:space="0" w:color="auto"/>
          </w:divBdr>
        </w:div>
        <w:div w:id="1842355243">
          <w:marLeft w:val="640"/>
          <w:marRight w:val="0"/>
          <w:marTop w:val="0"/>
          <w:marBottom w:val="0"/>
          <w:divBdr>
            <w:top w:val="none" w:sz="0" w:space="0" w:color="auto"/>
            <w:left w:val="none" w:sz="0" w:space="0" w:color="auto"/>
            <w:bottom w:val="none" w:sz="0" w:space="0" w:color="auto"/>
            <w:right w:val="none" w:sz="0" w:space="0" w:color="auto"/>
          </w:divBdr>
        </w:div>
        <w:div w:id="716975916">
          <w:marLeft w:val="640"/>
          <w:marRight w:val="0"/>
          <w:marTop w:val="0"/>
          <w:marBottom w:val="0"/>
          <w:divBdr>
            <w:top w:val="none" w:sz="0" w:space="0" w:color="auto"/>
            <w:left w:val="none" w:sz="0" w:space="0" w:color="auto"/>
            <w:bottom w:val="none" w:sz="0" w:space="0" w:color="auto"/>
            <w:right w:val="none" w:sz="0" w:space="0" w:color="auto"/>
          </w:divBdr>
        </w:div>
        <w:div w:id="1343819632">
          <w:marLeft w:val="640"/>
          <w:marRight w:val="0"/>
          <w:marTop w:val="0"/>
          <w:marBottom w:val="0"/>
          <w:divBdr>
            <w:top w:val="none" w:sz="0" w:space="0" w:color="auto"/>
            <w:left w:val="none" w:sz="0" w:space="0" w:color="auto"/>
            <w:bottom w:val="none" w:sz="0" w:space="0" w:color="auto"/>
            <w:right w:val="none" w:sz="0" w:space="0" w:color="auto"/>
          </w:divBdr>
        </w:div>
        <w:div w:id="1146698461">
          <w:marLeft w:val="640"/>
          <w:marRight w:val="0"/>
          <w:marTop w:val="0"/>
          <w:marBottom w:val="0"/>
          <w:divBdr>
            <w:top w:val="none" w:sz="0" w:space="0" w:color="auto"/>
            <w:left w:val="none" w:sz="0" w:space="0" w:color="auto"/>
            <w:bottom w:val="none" w:sz="0" w:space="0" w:color="auto"/>
            <w:right w:val="none" w:sz="0" w:space="0" w:color="auto"/>
          </w:divBdr>
        </w:div>
        <w:div w:id="1349064596">
          <w:marLeft w:val="640"/>
          <w:marRight w:val="0"/>
          <w:marTop w:val="0"/>
          <w:marBottom w:val="0"/>
          <w:divBdr>
            <w:top w:val="none" w:sz="0" w:space="0" w:color="auto"/>
            <w:left w:val="none" w:sz="0" w:space="0" w:color="auto"/>
            <w:bottom w:val="none" w:sz="0" w:space="0" w:color="auto"/>
            <w:right w:val="none" w:sz="0" w:space="0" w:color="auto"/>
          </w:divBdr>
        </w:div>
        <w:div w:id="355160790">
          <w:marLeft w:val="640"/>
          <w:marRight w:val="0"/>
          <w:marTop w:val="0"/>
          <w:marBottom w:val="0"/>
          <w:divBdr>
            <w:top w:val="none" w:sz="0" w:space="0" w:color="auto"/>
            <w:left w:val="none" w:sz="0" w:space="0" w:color="auto"/>
            <w:bottom w:val="none" w:sz="0" w:space="0" w:color="auto"/>
            <w:right w:val="none" w:sz="0" w:space="0" w:color="auto"/>
          </w:divBdr>
        </w:div>
        <w:div w:id="117916026">
          <w:marLeft w:val="640"/>
          <w:marRight w:val="0"/>
          <w:marTop w:val="0"/>
          <w:marBottom w:val="0"/>
          <w:divBdr>
            <w:top w:val="none" w:sz="0" w:space="0" w:color="auto"/>
            <w:left w:val="none" w:sz="0" w:space="0" w:color="auto"/>
            <w:bottom w:val="none" w:sz="0" w:space="0" w:color="auto"/>
            <w:right w:val="none" w:sz="0" w:space="0" w:color="auto"/>
          </w:divBdr>
        </w:div>
        <w:div w:id="300185835">
          <w:marLeft w:val="640"/>
          <w:marRight w:val="0"/>
          <w:marTop w:val="0"/>
          <w:marBottom w:val="0"/>
          <w:divBdr>
            <w:top w:val="none" w:sz="0" w:space="0" w:color="auto"/>
            <w:left w:val="none" w:sz="0" w:space="0" w:color="auto"/>
            <w:bottom w:val="none" w:sz="0" w:space="0" w:color="auto"/>
            <w:right w:val="none" w:sz="0" w:space="0" w:color="auto"/>
          </w:divBdr>
        </w:div>
        <w:div w:id="121972081">
          <w:marLeft w:val="640"/>
          <w:marRight w:val="0"/>
          <w:marTop w:val="0"/>
          <w:marBottom w:val="0"/>
          <w:divBdr>
            <w:top w:val="none" w:sz="0" w:space="0" w:color="auto"/>
            <w:left w:val="none" w:sz="0" w:space="0" w:color="auto"/>
            <w:bottom w:val="none" w:sz="0" w:space="0" w:color="auto"/>
            <w:right w:val="none" w:sz="0" w:space="0" w:color="auto"/>
          </w:divBdr>
        </w:div>
        <w:div w:id="1790783226">
          <w:marLeft w:val="640"/>
          <w:marRight w:val="0"/>
          <w:marTop w:val="0"/>
          <w:marBottom w:val="0"/>
          <w:divBdr>
            <w:top w:val="none" w:sz="0" w:space="0" w:color="auto"/>
            <w:left w:val="none" w:sz="0" w:space="0" w:color="auto"/>
            <w:bottom w:val="none" w:sz="0" w:space="0" w:color="auto"/>
            <w:right w:val="none" w:sz="0" w:space="0" w:color="auto"/>
          </w:divBdr>
        </w:div>
        <w:div w:id="1421874989">
          <w:marLeft w:val="640"/>
          <w:marRight w:val="0"/>
          <w:marTop w:val="0"/>
          <w:marBottom w:val="0"/>
          <w:divBdr>
            <w:top w:val="none" w:sz="0" w:space="0" w:color="auto"/>
            <w:left w:val="none" w:sz="0" w:space="0" w:color="auto"/>
            <w:bottom w:val="none" w:sz="0" w:space="0" w:color="auto"/>
            <w:right w:val="none" w:sz="0" w:space="0" w:color="auto"/>
          </w:divBdr>
        </w:div>
        <w:div w:id="792135006">
          <w:marLeft w:val="640"/>
          <w:marRight w:val="0"/>
          <w:marTop w:val="0"/>
          <w:marBottom w:val="0"/>
          <w:divBdr>
            <w:top w:val="none" w:sz="0" w:space="0" w:color="auto"/>
            <w:left w:val="none" w:sz="0" w:space="0" w:color="auto"/>
            <w:bottom w:val="none" w:sz="0" w:space="0" w:color="auto"/>
            <w:right w:val="none" w:sz="0" w:space="0" w:color="auto"/>
          </w:divBdr>
        </w:div>
        <w:div w:id="2019457313">
          <w:marLeft w:val="640"/>
          <w:marRight w:val="0"/>
          <w:marTop w:val="0"/>
          <w:marBottom w:val="0"/>
          <w:divBdr>
            <w:top w:val="none" w:sz="0" w:space="0" w:color="auto"/>
            <w:left w:val="none" w:sz="0" w:space="0" w:color="auto"/>
            <w:bottom w:val="none" w:sz="0" w:space="0" w:color="auto"/>
            <w:right w:val="none" w:sz="0" w:space="0" w:color="auto"/>
          </w:divBdr>
        </w:div>
        <w:div w:id="299116427">
          <w:marLeft w:val="640"/>
          <w:marRight w:val="0"/>
          <w:marTop w:val="0"/>
          <w:marBottom w:val="0"/>
          <w:divBdr>
            <w:top w:val="none" w:sz="0" w:space="0" w:color="auto"/>
            <w:left w:val="none" w:sz="0" w:space="0" w:color="auto"/>
            <w:bottom w:val="none" w:sz="0" w:space="0" w:color="auto"/>
            <w:right w:val="none" w:sz="0" w:space="0" w:color="auto"/>
          </w:divBdr>
        </w:div>
        <w:div w:id="573324280">
          <w:marLeft w:val="640"/>
          <w:marRight w:val="0"/>
          <w:marTop w:val="0"/>
          <w:marBottom w:val="0"/>
          <w:divBdr>
            <w:top w:val="none" w:sz="0" w:space="0" w:color="auto"/>
            <w:left w:val="none" w:sz="0" w:space="0" w:color="auto"/>
            <w:bottom w:val="none" w:sz="0" w:space="0" w:color="auto"/>
            <w:right w:val="none" w:sz="0" w:space="0" w:color="auto"/>
          </w:divBdr>
        </w:div>
        <w:div w:id="703288263">
          <w:marLeft w:val="640"/>
          <w:marRight w:val="0"/>
          <w:marTop w:val="0"/>
          <w:marBottom w:val="0"/>
          <w:divBdr>
            <w:top w:val="none" w:sz="0" w:space="0" w:color="auto"/>
            <w:left w:val="none" w:sz="0" w:space="0" w:color="auto"/>
            <w:bottom w:val="none" w:sz="0" w:space="0" w:color="auto"/>
            <w:right w:val="none" w:sz="0" w:space="0" w:color="auto"/>
          </w:divBdr>
        </w:div>
        <w:div w:id="417139363">
          <w:marLeft w:val="640"/>
          <w:marRight w:val="0"/>
          <w:marTop w:val="0"/>
          <w:marBottom w:val="0"/>
          <w:divBdr>
            <w:top w:val="none" w:sz="0" w:space="0" w:color="auto"/>
            <w:left w:val="none" w:sz="0" w:space="0" w:color="auto"/>
            <w:bottom w:val="none" w:sz="0" w:space="0" w:color="auto"/>
            <w:right w:val="none" w:sz="0" w:space="0" w:color="auto"/>
          </w:divBdr>
        </w:div>
        <w:div w:id="305623876">
          <w:marLeft w:val="640"/>
          <w:marRight w:val="0"/>
          <w:marTop w:val="0"/>
          <w:marBottom w:val="0"/>
          <w:divBdr>
            <w:top w:val="none" w:sz="0" w:space="0" w:color="auto"/>
            <w:left w:val="none" w:sz="0" w:space="0" w:color="auto"/>
            <w:bottom w:val="none" w:sz="0" w:space="0" w:color="auto"/>
            <w:right w:val="none" w:sz="0" w:space="0" w:color="auto"/>
          </w:divBdr>
        </w:div>
        <w:div w:id="611085055">
          <w:marLeft w:val="640"/>
          <w:marRight w:val="0"/>
          <w:marTop w:val="0"/>
          <w:marBottom w:val="0"/>
          <w:divBdr>
            <w:top w:val="none" w:sz="0" w:space="0" w:color="auto"/>
            <w:left w:val="none" w:sz="0" w:space="0" w:color="auto"/>
            <w:bottom w:val="none" w:sz="0" w:space="0" w:color="auto"/>
            <w:right w:val="none" w:sz="0" w:space="0" w:color="auto"/>
          </w:divBdr>
        </w:div>
        <w:div w:id="1879661539">
          <w:marLeft w:val="640"/>
          <w:marRight w:val="0"/>
          <w:marTop w:val="0"/>
          <w:marBottom w:val="0"/>
          <w:divBdr>
            <w:top w:val="none" w:sz="0" w:space="0" w:color="auto"/>
            <w:left w:val="none" w:sz="0" w:space="0" w:color="auto"/>
            <w:bottom w:val="none" w:sz="0" w:space="0" w:color="auto"/>
            <w:right w:val="none" w:sz="0" w:space="0" w:color="auto"/>
          </w:divBdr>
        </w:div>
        <w:div w:id="1224680795">
          <w:marLeft w:val="640"/>
          <w:marRight w:val="0"/>
          <w:marTop w:val="0"/>
          <w:marBottom w:val="0"/>
          <w:divBdr>
            <w:top w:val="none" w:sz="0" w:space="0" w:color="auto"/>
            <w:left w:val="none" w:sz="0" w:space="0" w:color="auto"/>
            <w:bottom w:val="none" w:sz="0" w:space="0" w:color="auto"/>
            <w:right w:val="none" w:sz="0" w:space="0" w:color="auto"/>
          </w:divBdr>
        </w:div>
        <w:div w:id="549652063">
          <w:marLeft w:val="640"/>
          <w:marRight w:val="0"/>
          <w:marTop w:val="0"/>
          <w:marBottom w:val="0"/>
          <w:divBdr>
            <w:top w:val="none" w:sz="0" w:space="0" w:color="auto"/>
            <w:left w:val="none" w:sz="0" w:space="0" w:color="auto"/>
            <w:bottom w:val="none" w:sz="0" w:space="0" w:color="auto"/>
            <w:right w:val="none" w:sz="0" w:space="0" w:color="auto"/>
          </w:divBdr>
        </w:div>
        <w:div w:id="1991207716">
          <w:marLeft w:val="640"/>
          <w:marRight w:val="0"/>
          <w:marTop w:val="0"/>
          <w:marBottom w:val="0"/>
          <w:divBdr>
            <w:top w:val="none" w:sz="0" w:space="0" w:color="auto"/>
            <w:left w:val="none" w:sz="0" w:space="0" w:color="auto"/>
            <w:bottom w:val="none" w:sz="0" w:space="0" w:color="auto"/>
            <w:right w:val="none" w:sz="0" w:space="0" w:color="auto"/>
          </w:divBdr>
        </w:div>
        <w:div w:id="1844582758">
          <w:marLeft w:val="640"/>
          <w:marRight w:val="0"/>
          <w:marTop w:val="0"/>
          <w:marBottom w:val="0"/>
          <w:divBdr>
            <w:top w:val="none" w:sz="0" w:space="0" w:color="auto"/>
            <w:left w:val="none" w:sz="0" w:space="0" w:color="auto"/>
            <w:bottom w:val="none" w:sz="0" w:space="0" w:color="auto"/>
            <w:right w:val="none" w:sz="0" w:space="0" w:color="auto"/>
          </w:divBdr>
        </w:div>
        <w:div w:id="1973048695">
          <w:marLeft w:val="640"/>
          <w:marRight w:val="0"/>
          <w:marTop w:val="0"/>
          <w:marBottom w:val="0"/>
          <w:divBdr>
            <w:top w:val="none" w:sz="0" w:space="0" w:color="auto"/>
            <w:left w:val="none" w:sz="0" w:space="0" w:color="auto"/>
            <w:bottom w:val="none" w:sz="0" w:space="0" w:color="auto"/>
            <w:right w:val="none" w:sz="0" w:space="0" w:color="auto"/>
          </w:divBdr>
        </w:div>
        <w:div w:id="1778669620">
          <w:marLeft w:val="640"/>
          <w:marRight w:val="0"/>
          <w:marTop w:val="0"/>
          <w:marBottom w:val="0"/>
          <w:divBdr>
            <w:top w:val="none" w:sz="0" w:space="0" w:color="auto"/>
            <w:left w:val="none" w:sz="0" w:space="0" w:color="auto"/>
            <w:bottom w:val="none" w:sz="0" w:space="0" w:color="auto"/>
            <w:right w:val="none" w:sz="0" w:space="0" w:color="auto"/>
          </w:divBdr>
        </w:div>
        <w:div w:id="1636788490">
          <w:marLeft w:val="640"/>
          <w:marRight w:val="0"/>
          <w:marTop w:val="0"/>
          <w:marBottom w:val="0"/>
          <w:divBdr>
            <w:top w:val="none" w:sz="0" w:space="0" w:color="auto"/>
            <w:left w:val="none" w:sz="0" w:space="0" w:color="auto"/>
            <w:bottom w:val="none" w:sz="0" w:space="0" w:color="auto"/>
            <w:right w:val="none" w:sz="0" w:space="0" w:color="auto"/>
          </w:divBdr>
        </w:div>
        <w:div w:id="1399667456">
          <w:marLeft w:val="640"/>
          <w:marRight w:val="0"/>
          <w:marTop w:val="0"/>
          <w:marBottom w:val="0"/>
          <w:divBdr>
            <w:top w:val="none" w:sz="0" w:space="0" w:color="auto"/>
            <w:left w:val="none" w:sz="0" w:space="0" w:color="auto"/>
            <w:bottom w:val="none" w:sz="0" w:space="0" w:color="auto"/>
            <w:right w:val="none" w:sz="0" w:space="0" w:color="auto"/>
          </w:divBdr>
        </w:div>
        <w:div w:id="388696529">
          <w:marLeft w:val="640"/>
          <w:marRight w:val="0"/>
          <w:marTop w:val="0"/>
          <w:marBottom w:val="0"/>
          <w:divBdr>
            <w:top w:val="none" w:sz="0" w:space="0" w:color="auto"/>
            <w:left w:val="none" w:sz="0" w:space="0" w:color="auto"/>
            <w:bottom w:val="none" w:sz="0" w:space="0" w:color="auto"/>
            <w:right w:val="none" w:sz="0" w:space="0" w:color="auto"/>
          </w:divBdr>
        </w:div>
        <w:div w:id="474490337">
          <w:marLeft w:val="640"/>
          <w:marRight w:val="0"/>
          <w:marTop w:val="0"/>
          <w:marBottom w:val="0"/>
          <w:divBdr>
            <w:top w:val="none" w:sz="0" w:space="0" w:color="auto"/>
            <w:left w:val="none" w:sz="0" w:space="0" w:color="auto"/>
            <w:bottom w:val="none" w:sz="0" w:space="0" w:color="auto"/>
            <w:right w:val="none" w:sz="0" w:space="0" w:color="auto"/>
          </w:divBdr>
        </w:div>
        <w:div w:id="1047752813">
          <w:marLeft w:val="640"/>
          <w:marRight w:val="0"/>
          <w:marTop w:val="0"/>
          <w:marBottom w:val="0"/>
          <w:divBdr>
            <w:top w:val="none" w:sz="0" w:space="0" w:color="auto"/>
            <w:left w:val="none" w:sz="0" w:space="0" w:color="auto"/>
            <w:bottom w:val="none" w:sz="0" w:space="0" w:color="auto"/>
            <w:right w:val="none" w:sz="0" w:space="0" w:color="auto"/>
          </w:divBdr>
        </w:div>
        <w:div w:id="494151010">
          <w:marLeft w:val="640"/>
          <w:marRight w:val="0"/>
          <w:marTop w:val="0"/>
          <w:marBottom w:val="0"/>
          <w:divBdr>
            <w:top w:val="none" w:sz="0" w:space="0" w:color="auto"/>
            <w:left w:val="none" w:sz="0" w:space="0" w:color="auto"/>
            <w:bottom w:val="none" w:sz="0" w:space="0" w:color="auto"/>
            <w:right w:val="none" w:sz="0" w:space="0" w:color="auto"/>
          </w:divBdr>
        </w:div>
        <w:div w:id="726614446">
          <w:marLeft w:val="640"/>
          <w:marRight w:val="0"/>
          <w:marTop w:val="0"/>
          <w:marBottom w:val="0"/>
          <w:divBdr>
            <w:top w:val="none" w:sz="0" w:space="0" w:color="auto"/>
            <w:left w:val="none" w:sz="0" w:space="0" w:color="auto"/>
            <w:bottom w:val="none" w:sz="0" w:space="0" w:color="auto"/>
            <w:right w:val="none" w:sz="0" w:space="0" w:color="auto"/>
          </w:divBdr>
        </w:div>
        <w:div w:id="1005790126">
          <w:marLeft w:val="640"/>
          <w:marRight w:val="0"/>
          <w:marTop w:val="0"/>
          <w:marBottom w:val="0"/>
          <w:divBdr>
            <w:top w:val="none" w:sz="0" w:space="0" w:color="auto"/>
            <w:left w:val="none" w:sz="0" w:space="0" w:color="auto"/>
            <w:bottom w:val="none" w:sz="0" w:space="0" w:color="auto"/>
            <w:right w:val="none" w:sz="0" w:space="0" w:color="auto"/>
          </w:divBdr>
        </w:div>
        <w:div w:id="1543859645">
          <w:marLeft w:val="640"/>
          <w:marRight w:val="0"/>
          <w:marTop w:val="0"/>
          <w:marBottom w:val="0"/>
          <w:divBdr>
            <w:top w:val="none" w:sz="0" w:space="0" w:color="auto"/>
            <w:left w:val="none" w:sz="0" w:space="0" w:color="auto"/>
            <w:bottom w:val="none" w:sz="0" w:space="0" w:color="auto"/>
            <w:right w:val="none" w:sz="0" w:space="0" w:color="auto"/>
          </w:divBdr>
        </w:div>
        <w:div w:id="559167881">
          <w:marLeft w:val="640"/>
          <w:marRight w:val="0"/>
          <w:marTop w:val="0"/>
          <w:marBottom w:val="0"/>
          <w:divBdr>
            <w:top w:val="none" w:sz="0" w:space="0" w:color="auto"/>
            <w:left w:val="none" w:sz="0" w:space="0" w:color="auto"/>
            <w:bottom w:val="none" w:sz="0" w:space="0" w:color="auto"/>
            <w:right w:val="none" w:sz="0" w:space="0" w:color="auto"/>
          </w:divBdr>
        </w:div>
        <w:div w:id="1513447740">
          <w:marLeft w:val="640"/>
          <w:marRight w:val="0"/>
          <w:marTop w:val="0"/>
          <w:marBottom w:val="0"/>
          <w:divBdr>
            <w:top w:val="none" w:sz="0" w:space="0" w:color="auto"/>
            <w:left w:val="none" w:sz="0" w:space="0" w:color="auto"/>
            <w:bottom w:val="none" w:sz="0" w:space="0" w:color="auto"/>
            <w:right w:val="none" w:sz="0" w:space="0" w:color="auto"/>
          </w:divBdr>
        </w:div>
        <w:div w:id="1493794264">
          <w:marLeft w:val="640"/>
          <w:marRight w:val="0"/>
          <w:marTop w:val="0"/>
          <w:marBottom w:val="0"/>
          <w:divBdr>
            <w:top w:val="none" w:sz="0" w:space="0" w:color="auto"/>
            <w:left w:val="none" w:sz="0" w:space="0" w:color="auto"/>
            <w:bottom w:val="none" w:sz="0" w:space="0" w:color="auto"/>
            <w:right w:val="none" w:sz="0" w:space="0" w:color="auto"/>
          </w:divBdr>
        </w:div>
        <w:div w:id="1789659749">
          <w:marLeft w:val="640"/>
          <w:marRight w:val="0"/>
          <w:marTop w:val="0"/>
          <w:marBottom w:val="0"/>
          <w:divBdr>
            <w:top w:val="none" w:sz="0" w:space="0" w:color="auto"/>
            <w:left w:val="none" w:sz="0" w:space="0" w:color="auto"/>
            <w:bottom w:val="none" w:sz="0" w:space="0" w:color="auto"/>
            <w:right w:val="none" w:sz="0" w:space="0" w:color="auto"/>
          </w:divBdr>
        </w:div>
      </w:divsChild>
    </w:div>
    <w:div w:id="1515656710">
      <w:bodyDiv w:val="1"/>
      <w:marLeft w:val="0"/>
      <w:marRight w:val="0"/>
      <w:marTop w:val="0"/>
      <w:marBottom w:val="0"/>
      <w:divBdr>
        <w:top w:val="none" w:sz="0" w:space="0" w:color="auto"/>
        <w:left w:val="none" w:sz="0" w:space="0" w:color="auto"/>
        <w:bottom w:val="none" w:sz="0" w:space="0" w:color="auto"/>
        <w:right w:val="none" w:sz="0" w:space="0" w:color="auto"/>
      </w:divBdr>
    </w:div>
    <w:div w:id="1533305019">
      <w:bodyDiv w:val="1"/>
      <w:marLeft w:val="0"/>
      <w:marRight w:val="0"/>
      <w:marTop w:val="0"/>
      <w:marBottom w:val="0"/>
      <w:divBdr>
        <w:top w:val="none" w:sz="0" w:space="0" w:color="auto"/>
        <w:left w:val="none" w:sz="0" w:space="0" w:color="auto"/>
        <w:bottom w:val="none" w:sz="0" w:space="0" w:color="auto"/>
        <w:right w:val="none" w:sz="0" w:space="0" w:color="auto"/>
      </w:divBdr>
    </w:div>
    <w:div w:id="1570766900">
      <w:bodyDiv w:val="1"/>
      <w:marLeft w:val="0"/>
      <w:marRight w:val="0"/>
      <w:marTop w:val="0"/>
      <w:marBottom w:val="0"/>
      <w:divBdr>
        <w:top w:val="none" w:sz="0" w:space="0" w:color="auto"/>
        <w:left w:val="none" w:sz="0" w:space="0" w:color="auto"/>
        <w:bottom w:val="none" w:sz="0" w:space="0" w:color="auto"/>
        <w:right w:val="none" w:sz="0" w:space="0" w:color="auto"/>
      </w:divBdr>
    </w:div>
    <w:div w:id="1591815765">
      <w:bodyDiv w:val="1"/>
      <w:marLeft w:val="0"/>
      <w:marRight w:val="0"/>
      <w:marTop w:val="0"/>
      <w:marBottom w:val="0"/>
      <w:divBdr>
        <w:top w:val="none" w:sz="0" w:space="0" w:color="auto"/>
        <w:left w:val="none" w:sz="0" w:space="0" w:color="auto"/>
        <w:bottom w:val="none" w:sz="0" w:space="0" w:color="auto"/>
        <w:right w:val="none" w:sz="0" w:space="0" w:color="auto"/>
      </w:divBdr>
      <w:divsChild>
        <w:div w:id="516314694">
          <w:marLeft w:val="640"/>
          <w:marRight w:val="0"/>
          <w:marTop w:val="0"/>
          <w:marBottom w:val="0"/>
          <w:divBdr>
            <w:top w:val="none" w:sz="0" w:space="0" w:color="auto"/>
            <w:left w:val="none" w:sz="0" w:space="0" w:color="auto"/>
            <w:bottom w:val="none" w:sz="0" w:space="0" w:color="auto"/>
            <w:right w:val="none" w:sz="0" w:space="0" w:color="auto"/>
          </w:divBdr>
        </w:div>
        <w:div w:id="1837841284">
          <w:marLeft w:val="640"/>
          <w:marRight w:val="0"/>
          <w:marTop w:val="0"/>
          <w:marBottom w:val="0"/>
          <w:divBdr>
            <w:top w:val="none" w:sz="0" w:space="0" w:color="auto"/>
            <w:left w:val="none" w:sz="0" w:space="0" w:color="auto"/>
            <w:bottom w:val="none" w:sz="0" w:space="0" w:color="auto"/>
            <w:right w:val="none" w:sz="0" w:space="0" w:color="auto"/>
          </w:divBdr>
        </w:div>
        <w:div w:id="1323237674">
          <w:marLeft w:val="640"/>
          <w:marRight w:val="0"/>
          <w:marTop w:val="0"/>
          <w:marBottom w:val="0"/>
          <w:divBdr>
            <w:top w:val="none" w:sz="0" w:space="0" w:color="auto"/>
            <w:left w:val="none" w:sz="0" w:space="0" w:color="auto"/>
            <w:bottom w:val="none" w:sz="0" w:space="0" w:color="auto"/>
            <w:right w:val="none" w:sz="0" w:space="0" w:color="auto"/>
          </w:divBdr>
        </w:div>
        <w:div w:id="930967257">
          <w:marLeft w:val="640"/>
          <w:marRight w:val="0"/>
          <w:marTop w:val="0"/>
          <w:marBottom w:val="0"/>
          <w:divBdr>
            <w:top w:val="none" w:sz="0" w:space="0" w:color="auto"/>
            <w:left w:val="none" w:sz="0" w:space="0" w:color="auto"/>
            <w:bottom w:val="none" w:sz="0" w:space="0" w:color="auto"/>
            <w:right w:val="none" w:sz="0" w:space="0" w:color="auto"/>
          </w:divBdr>
        </w:div>
        <w:div w:id="626131693">
          <w:marLeft w:val="640"/>
          <w:marRight w:val="0"/>
          <w:marTop w:val="0"/>
          <w:marBottom w:val="0"/>
          <w:divBdr>
            <w:top w:val="none" w:sz="0" w:space="0" w:color="auto"/>
            <w:left w:val="none" w:sz="0" w:space="0" w:color="auto"/>
            <w:bottom w:val="none" w:sz="0" w:space="0" w:color="auto"/>
            <w:right w:val="none" w:sz="0" w:space="0" w:color="auto"/>
          </w:divBdr>
        </w:div>
        <w:div w:id="1061832773">
          <w:marLeft w:val="640"/>
          <w:marRight w:val="0"/>
          <w:marTop w:val="0"/>
          <w:marBottom w:val="0"/>
          <w:divBdr>
            <w:top w:val="none" w:sz="0" w:space="0" w:color="auto"/>
            <w:left w:val="none" w:sz="0" w:space="0" w:color="auto"/>
            <w:bottom w:val="none" w:sz="0" w:space="0" w:color="auto"/>
            <w:right w:val="none" w:sz="0" w:space="0" w:color="auto"/>
          </w:divBdr>
        </w:div>
        <w:div w:id="449277543">
          <w:marLeft w:val="640"/>
          <w:marRight w:val="0"/>
          <w:marTop w:val="0"/>
          <w:marBottom w:val="0"/>
          <w:divBdr>
            <w:top w:val="none" w:sz="0" w:space="0" w:color="auto"/>
            <w:left w:val="none" w:sz="0" w:space="0" w:color="auto"/>
            <w:bottom w:val="none" w:sz="0" w:space="0" w:color="auto"/>
            <w:right w:val="none" w:sz="0" w:space="0" w:color="auto"/>
          </w:divBdr>
        </w:div>
        <w:div w:id="163739307">
          <w:marLeft w:val="640"/>
          <w:marRight w:val="0"/>
          <w:marTop w:val="0"/>
          <w:marBottom w:val="0"/>
          <w:divBdr>
            <w:top w:val="none" w:sz="0" w:space="0" w:color="auto"/>
            <w:left w:val="none" w:sz="0" w:space="0" w:color="auto"/>
            <w:bottom w:val="none" w:sz="0" w:space="0" w:color="auto"/>
            <w:right w:val="none" w:sz="0" w:space="0" w:color="auto"/>
          </w:divBdr>
        </w:div>
        <w:div w:id="911354128">
          <w:marLeft w:val="640"/>
          <w:marRight w:val="0"/>
          <w:marTop w:val="0"/>
          <w:marBottom w:val="0"/>
          <w:divBdr>
            <w:top w:val="none" w:sz="0" w:space="0" w:color="auto"/>
            <w:left w:val="none" w:sz="0" w:space="0" w:color="auto"/>
            <w:bottom w:val="none" w:sz="0" w:space="0" w:color="auto"/>
            <w:right w:val="none" w:sz="0" w:space="0" w:color="auto"/>
          </w:divBdr>
        </w:div>
        <w:div w:id="1317145330">
          <w:marLeft w:val="640"/>
          <w:marRight w:val="0"/>
          <w:marTop w:val="0"/>
          <w:marBottom w:val="0"/>
          <w:divBdr>
            <w:top w:val="none" w:sz="0" w:space="0" w:color="auto"/>
            <w:left w:val="none" w:sz="0" w:space="0" w:color="auto"/>
            <w:bottom w:val="none" w:sz="0" w:space="0" w:color="auto"/>
            <w:right w:val="none" w:sz="0" w:space="0" w:color="auto"/>
          </w:divBdr>
        </w:div>
        <w:div w:id="1895966290">
          <w:marLeft w:val="640"/>
          <w:marRight w:val="0"/>
          <w:marTop w:val="0"/>
          <w:marBottom w:val="0"/>
          <w:divBdr>
            <w:top w:val="none" w:sz="0" w:space="0" w:color="auto"/>
            <w:left w:val="none" w:sz="0" w:space="0" w:color="auto"/>
            <w:bottom w:val="none" w:sz="0" w:space="0" w:color="auto"/>
            <w:right w:val="none" w:sz="0" w:space="0" w:color="auto"/>
          </w:divBdr>
        </w:div>
        <w:div w:id="498883195">
          <w:marLeft w:val="640"/>
          <w:marRight w:val="0"/>
          <w:marTop w:val="0"/>
          <w:marBottom w:val="0"/>
          <w:divBdr>
            <w:top w:val="none" w:sz="0" w:space="0" w:color="auto"/>
            <w:left w:val="none" w:sz="0" w:space="0" w:color="auto"/>
            <w:bottom w:val="none" w:sz="0" w:space="0" w:color="auto"/>
            <w:right w:val="none" w:sz="0" w:space="0" w:color="auto"/>
          </w:divBdr>
        </w:div>
        <w:div w:id="815336470">
          <w:marLeft w:val="640"/>
          <w:marRight w:val="0"/>
          <w:marTop w:val="0"/>
          <w:marBottom w:val="0"/>
          <w:divBdr>
            <w:top w:val="none" w:sz="0" w:space="0" w:color="auto"/>
            <w:left w:val="none" w:sz="0" w:space="0" w:color="auto"/>
            <w:bottom w:val="none" w:sz="0" w:space="0" w:color="auto"/>
            <w:right w:val="none" w:sz="0" w:space="0" w:color="auto"/>
          </w:divBdr>
        </w:div>
        <w:div w:id="674499144">
          <w:marLeft w:val="640"/>
          <w:marRight w:val="0"/>
          <w:marTop w:val="0"/>
          <w:marBottom w:val="0"/>
          <w:divBdr>
            <w:top w:val="none" w:sz="0" w:space="0" w:color="auto"/>
            <w:left w:val="none" w:sz="0" w:space="0" w:color="auto"/>
            <w:bottom w:val="none" w:sz="0" w:space="0" w:color="auto"/>
            <w:right w:val="none" w:sz="0" w:space="0" w:color="auto"/>
          </w:divBdr>
        </w:div>
        <w:div w:id="1722436923">
          <w:marLeft w:val="640"/>
          <w:marRight w:val="0"/>
          <w:marTop w:val="0"/>
          <w:marBottom w:val="0"/>
          <w:divBdr>
            <w:top w:val="none" w:sz="0" w:space="0" w:color="auto"/>
            <w:left w:val="none" w:sz="0" w:space="0" w:color="auto"/>
            <w:bottom w:val="none" w:sz="0" w:space="0" w:color="auto"/>
            <w:right w:val="none" w:sz="0" w:space="0" w:color="auto"/>
          </w:divBdr>
        </w:div>
        <w:div w:id="1945578168">
          <w:marLeft w:val="640"/>
          <w:marRight w:val="0"/>
          <w:marTop w:val="0"/>
          <w:marBottom w:val="0"/>
          <w:divBdr>
            <w:top w:val="none" w:sz="0" w:space="0" w:color="auto"/>
            <w:left w:val="none" w:sz="0" w:space="0" w:color="auto"/>
            <w:bottom w:val="none" w:sz="0" w:space="0" w:color="auto"/>
            <w:right w:val="none" w:sz="0" w:space="0" w:color="auto"/>
          </w:divBdr>
        </w:div>
        <w:div w:id="1475367351">
          <w:marLeft w:val="640"/>
          <w:marRight w:val="0"/>
          <w:marTop w:val="0"/>
          <w:marBottom w:val="0"/>
          <w:divBdr>
            <w:top w:val="none" w:sz="0" w:space="0" w:color="auto"/>
            <w:left w:val="none" w:sz="0" w:space="0" w:color="auto"/>
            <w:bottom w:val="none" w:sz="0" w:space="0" w:color="auto"/>
            <w:right w:val="none" w:sz="0" w:space="0" w:color="auto"/>
          </w:divBdr>
        </w:div>
        <w:div w:id="1955671839">
          <w:marLeft w:val="640"/>
          <w:marRight w:val="0"/>
          <w:marTop w:val="0"/>
          <w:marBottom w:val="0"/>
          <w:divBdr>
            <w:top w:val="none" w:sz="0" w:space="0" w:color="auto"/>
            <w:left w:val="none" w:sz="0" w:space="0" w:color="auto"/>
            <w:bottom w:val="none" w:sz="0" w:space="0" w:color="auto"/>
            <w:right w:val="none" w:sz="0" w:space="0" w:color="auto"/>
          </w:divBdr>
        </w:div>
        <w:div w:id="1350523124">
          <w:marLeft w:val="640"/>
          <w:marRight w:val="0"/>
          <w:marTop w:val="0"/>
          <w:marBottom w:val="0"/>
          <w:divBdr>
            <w:top w:val="none" w:sz="0" w:space="0" w:color="auto"/>
            <w:left w:val="none" w:sz="0" w:space="0" w:color="auto"/>
            <w:bottom w:val="none" w:sz="0" w:space="0" w:color="auto"/>
            <w:right w:val="none" w:sz="0" w:space="0" w:color="auto"/>
          </w:divBdr>
        </w:div>
        <w:div w:id="828132437">
          <w:marLeft w:val="640"/>
          <w:marRight w:val="0"/>
          <w:marTop w:val="0"/>
          <w:marBottom w:val="0"/>
          <w:divBdr>
            <w:top w:val="none" w:sz="0" w:space="0" w:color="auto"/>
            <w:left w:val="none" w:sz="0" w:space="0" w:color="auto"/>
            <w:bottom w:val="none" w:sz="0" w:space="0" w:color="auto"/>
            <w:right w:val="none" w:sz="0" w:space="0" w:color="auto"/>
          </w:divBdr>
        </w:div>
        <w:div w:id="1878542087">
          <w:marLeft w:val="640"/>
          <w:marRight w:val="0"/>
          <w:marTop w:val="0"/>
          <w:marBottom w:val="0"/>
          <w:divBdr>
            <w:top w:val="none" w:sz="0" w:space="0" w:color="auto"/>
            <w:left w:val="none" w:sz="0" w:space="0" w:color="auto"/>
            <w:bottom w:val="none" w:sz="0" w:space="0" w:color="auto"/>
            <w:right w:val="none" w:sz="0" w:space="0" w:color="auto"/>
          </w:divBdr>
        </w:div>
        <w:div w:id="2027318661">
          <w:marLeft w:val="640"/>
          <w:marRight w:val="0"/>
          <w:marTop w:val="0"/>
          <w:marBottom w:val="0"/>
          <w:divBdr>
            <w:top w:val="none" w:sz="0" w:space="0" w:color="auto"/>
            <w:left w:val="none" w:sz="0" w:space="0" w:color="auto"/>
            <w:bottom w:val="none" w:sz="0" w:space="0" w:color="auto"/>
            <w:right w:val="none" w:sz="0" w:space="0" w:color="auto"/>
          </w:divBdr>
        </w:div>
        <w:div w:id="988438744">
          <w:marLeft w:val="640"/>
          <w:marRight w:val="0"/>
          <w:marTop w:val="0"/>
          <w:marBottom w:val="0"/>
          <w:divBdr>
            <w:top w:val="none" w:sz="0" w:space="0" w:color="auto"/>
            <w:left w:val="none" w:sz="0" w:space="0" w:color="auto"/>
            <w:bottom w:val="none" w:sz="0" w:space="0" w:color="auto"/>
            <w:right w:val="none" w:sz="0" w:space="0" w:color="auto"/>
          </w:divBdr>
        </w:div>
        <w:div w:id="1755123291">
          <w:marLeft w:val="640"/>
          <w:marRight w:val="0"/>
          <w:marTop w:val="0"/>
          <w:marBottom w:val="0"/>
          <w:divBdr>
            <w:top w:val="none" w:sz="0" w:space="0" w:color="auto"/>
            <w:left w:val="none" w:sz="0" w:space="0" w:color="auto"/>
            <w:bottom w:val="none" w:sz="0" w:space="0" w:color="auto"/>
            <w:right w:val="none" w:sz="0" w:space="0" w:color="auto"/>
          </w:divBdr>
        </w:div>
        <w:div w:id="999381955">
          <w:marLeft w:val="640"/>
          <w:marRight w:val="0"/>
          <w:marTop w:val="0"/>
          <w:marBottom w:val="0"/>
          <w:divBdr>
            <w:top w:val="none" w:sz="0" w:space="0" w:color="auto"/>
            <w:left w:val="none" w:sz="0" w:space="0" w:color="auto"/>
            <w:bottom w:val="none" w:sz="0" w:space="0" w:color="auto"/>
            <w:right w:val="none" w:sz="0" w:space="0" w:color="auto"/>
          </w:divBdr>
        </w:div>
        <w:div w:id="1903635896">
          <w:marLeft w:val="640"/>
          <w:marRight w:val="0"/>
          <w:marTop w:val="0"/>
          <w:marBottom w:val="0"/>
          <w:divBdr>
            <w:top w:val="none" w:sz="0" w:space="0" w:color="auto"/>
            <w:left w:val="none" w:sz="0" w:space="0" w:color="auto"/>
            <w:bottom w:val="none" w:sz="0" w:space="0" w:color="auto"/>
            <w:right w:val="none" w:sz="0" w:space="0" w:color="auto"/>
          </w:divBdr>
        </w:div>
        <w:div w:id="32079690">
          <w:marLeft w:val="640"/>
          <w:marRight w:val="0"/>
          <w:marTop w:val="0"/>
          <w:marBottom w:val="0"/>
          <w:divBdr>
            <w:top w:val="none" w:sz="0" w:space="0" w:color="auto"/>
            <w:left w:val="none" w:sz="0" w:space="0" w:color="auto"/>
            <w:bottom w:val="none" w:sz="0" w:space="0" w:color="auto"/>
            <w:right w:val="none" w:sz="0" w:space="0" w:color="auto"/>
          </w:divBdr>
        </w:div>
        <w:div w:id="1712219617">
          <w:marLeft w:val="640"/>
          <w:marRight w:val="0"/>
          <w:marTop w:val="0"/>
          <w:marBottom w:val="0"/>
          <w:divBdr>
            <w:top w:val="none" w:sz="0" w:space="0" w:color="auto"/>
            <w:left w:val="none" w:sz="0" w:space="0" w:color="auto"/>
            <w:bottom w:val="none" w:sz="0" w:space="0" w:color="auto"/>
            <w:right w:val="none" w:sz="0" w:space="0" w:color="auto"/>
          </w:divBdr>
        </w:div>
        <w:div w:id="422144466">
          <w:marLeft w:val="640"/>
          <w:marRight w:val="0"/>
          <w:marTop w:val="0"/>
          <w:marBottom w:val="0"/>
          <w:divBdr>
            <w:top w:val="none" w:sz="0" w:space="0" w:color="auto"/>
            <w:left w:val="none" w:sz="0" w:space="0" w:color="auto"/>
            <w:bottom w:val="none" w:sz="0" w:space="0" w:color="auto"/>
            <w:right w:val="none" w:sz="0" w:space="0" w:color="auto"/>
          </w:divBdr>
        </w:div>
        <w:div w:id="1027757314">
          <w:marLeft w:val="640"/>
          <w:marRight w:val="0"/>
          <w:marTop w:val="0"/>
          <w:marBottom w:val="0"/>
          <w:divBdr>
            <w:top w:val="none" w:sz="0" w:space="0" w:color="auto"/>
            <w:left w:val="none" w:sz="0" w:space="0" w:color="auto"/>
            <w:bottom w:val="none" w:sz="0" w:space="0" w:color="auto"/>
            <w:right w:val="none" w:sz="0" w:space="0" w:color="auto"/>
          </w:divBdr>
        </w:div>
        <w:div w:id="1018964265">
          <w:marLeft w:val="640"/>
          <w:marRight w:val="0"/>
          <w:marTop w:val="0"/>
          <w:marBottom w:val="0"/>
          <w:divBdr>
            <w:top w:val="none" w:sz="0" w:space="0" w:color="auto"/>
            <w:left w:val="none" w:sz="0" w:space="0" w:color="auto"/>
            <w:bottom w:val="none" w:sz="0" w:space="0" w:color="auto"/>
            <w:right w:val="none" w:sz="0" w:space="0" w:color="auto"/>
          </w:divBdr>
        </w:div>
        <w:div w:id="458962633">
          <w:marLeft w:val="640"/>
          <w:marRight w:val="0"/>
          <w:marTop w:val="0"/>
          <w:marBottom w:val="0"/>
          <w:divBdr>
            <w:top w:val="none" w:sz="0" w:space="0" w:color="auto"/>
            <w:left w:val="none" w:sz="0" w:space="0" w:color="auto"/>
            <w:bottom w:val="none" w:sz="0" w:space="0" w:color="auto"/>
            <w:right w:val="none" w:sz="0" w:space="0" w:color="auto"/>
          </w:divBdr>
        </w:div>
        <w:div w:id="1272473905">
          <w:marLeft w:val="640"/>
          <w:marRight w:val="0"/>
          <w:marTop w:val="0"/>
          <w:marBottom w:val="0"/>
          <w:divBdr>
            <w:top w:val="none" w:sz="0" w:space="0" w:color="auto"/>
            <w:left w:val="none" w:sz="0" w:space="0" w:color="auto"/>
            <w:bottom w:val="none" w:sz="0" w:space="0" w:color="auto"/>
            <w:right w:val="none" w:sz="0" w:space="0" w:color="auto"/>
          </w:divBdr>
        </w:div>
        <w:div w:id="505291673">
          <w:marLeft w:val="640"/>
          <w:marRight w:val="0"/>
          <w:marTop w:val="0"/>
          <w:marBottom w:val="0"/>
          <w:divBdr>
            <w:top w:val="none" w:sz="0" w:space="0" w:color="auto"/>
            <w:left w:val="none" w:sz="0" w:space="0" w:color="auto"/>
            <w:bottom w:val="none" w:sz="0" w:space="0" w:color="auto"/>
            <w:right w:val="none" w:sz="0" w:space="0" w:color="auto"/>
          </w:divBdr>
        </w:div>
        <w:div w:id="834301977">
          <w:marLeft w:val="640"/>
          <w:marRight w:val="0"/>
          <w:marTop w:val="0"/>
          <w:marBottom w:val="0"/>
          <w:divBdr>
            <w:top w:val="none" w:sz="0" w:space="0" w:color="auto"/>
            <w:left w:val="none" w:sz="0" w:space="0" w:color="auto"/>
            <w:bottom w:val="none" w:sz="0" w:space="0" w:color="auto"/>
            <w:right w:val="none" w:sz="0" w:space="0" w:color="auto"/>
          </w:divBdr>
        </w:div>
        <w:div w:id="305205127">
          <w:marLeft w:val="640"/>
          <w:marRight w:val="0"/>
          <w:marTop w:val="0"/>
          <w:marBottom w:val="0"/>
          <w:divBdr>
            <w:top w:val="none" w:sz="0" w:space="0" w:color="auto"/>
            <w:left w:val="none" w:sz="0" w:space="0" w:color="auto"/>
            <w:bottom w:val="none" w:sz="0" w:space="0" w:color="auto"/>
            <w:right w:val="none" w:sz="0" w:space="0" w:color="auto"/>
          </w:divBdr>
        </w:div>
        <w:div w:id="1013874131">
          <w:marLeft w:val="640"/>
          <w:marRight w:val="0"/>
          <w:marTop w:val="0"/>
          <w:marBottom w:val="0"/>
          <w:divBdr>
            <w:top w:val="none" w:sz="0" w:space="0" w:color="auto"/>
            <w:left w:val="none" w:sz="0" w:space="0" w:color="auto"/>
            <w:bottom w:val="none" w:sz="0" w:space="0" w:color="auto"/>
            <w:right w:val="none" w:sz="0" w:space="0" w:color="auto"/>
          </w:divBdr>
        </w:div>
        <w:div w:id="716248097">
          <w:marLeft w:val="640"/>
          <w:marRight w:val="0"/>
          <w:marTop w:val="0"/>
          <w:marBottom w:val="0"/>
          <w:divBdr>
            <w:top w:val="none" w:sz="0" w:space="0" w:color="auto"/>
            <w:left w:val="none" w:sz="0" w:space="0" w:color="auto"/>
            <w:bottom w:val="none" w:sz="0" w:space="0" w:color="auto"/>
            <w:right w:val="none" w:sz="0" w:space="0" w:color="auto"/>
          </w:divBdr>
        </w:div>
        <w:div w:id="1123379341">
          <w:marLeft w:val="640"/>
          <w:marRight w:val="0"/>
          <w:marTop w:val="0"/>
          <w:marBottom w:val="0"/>
          <w:divBdr>
            <w:top w:val="none" w:sz="0" w:space="0" w:color="auto"/>
            <w:left w:val="none" w:sz="0" w:space="0" w:color="auto"/>
            <w:bottom w:val="none" w:sz="0" w:space="0" w:color="auto"/>
            <w:right w:val="none" w:sz="0" w:space="0" w:color="auto"/>
          </w:divBdr>
        </w:div>
        <w:div w:id="180364977">
          <w:marLeft w:val="640"/>
          <w:marRight w:val="0"/>
          <w:marTop w:val="0"/>
          <w:marBottom w:val="0"/>
          <w:divBdr>
            <w:top w:val="none" w:sz="0" w:space="0" w:color="auto"/>
            <w:left w:val="none" w:sz="0" w:space="0" w:color="auto"/>
            <w:bottom w:val="none" w:sz="0" w:space="0" w:color="auto"/>
            <w:right w:val="none" w:sz="0" w:space="0" w:color="auto"/>
          </w:divBdr>
        </w:div>
        <w:div w:id="1657609422">
          <w:marLeft w:val="640"/>
          <w:marRight w:val="0"/>
          <w:marTop w:val="0"/>
          <w:marBottom w:val="0"/>
          <w:divBdr>
            <w:top w:val="none" w:sz="0" w:space="0" w:color="auto"/>
            <w:left w:val="none" w:sz="0" w:space="0" w:color="auto"/>
            <w:bottom w:val="none" w:sz="0" w:space="0" w:color="auto"/>
            <w:right w:val="none" w:sz="0" w:space="0" w:color="auto"/>
          </w:divBdr>
        </w:div>
        <w:div w:id="142432967">
          <w:marLeft w:val="640"/>
          <w:marRight w:val="0"/>
          <w:marTop w:val="0"/>
          <w:marBottom w:val="0"/>
          <w:divBdr>
            <w:top w:val="none" w:sz="0" w:space="0" w:color="auto"/>
            <w:left w:val="none" w:sz="0" w:space="0" w:color="auto"/>
            <w:bottom w:val="none" w:sz="0" w:space="0" w:color="auto"/>
            <w:right w:val="none" w:sz="0" w:space="0" w:color="auto"/>
          </w:divBdr>
        </w:div>
        <w:div w:id="561020570">
          <w:marLeft w:val="640"/>
          <w:marRight w:val="0"/>
          <w:marTop w:val="0"/>
          <w:marBottom w:val="0"/>
          <w:divBdr>
            <w:top w:val="none" w:sz="0" w:space="0" w:color="auto"/>
            <w:left w:val="none" w:sz="0" w:space="0" w:color="auto"/>
            <w:bottom w:val="none" w:sz="0" w:space="0" w:color="auto"/>
            <w:right w:val="none" w:sz="0" w:space="0" w:color="auto"/>
          </w:divBdr>
        </w:div>
        <w:div w:id="304939698">
          <w:marLeft w:val="640"/>
          <w:marRight w:val="0"/>
          <w:marTop w:val="0"/>
          <w:marBottom w:val="0"/>
          <w:divBdr>
            <w:top w:val="none" w:sz="0" w:space="0" w:color="auto"/>
            <w:left w:val="none" w:sz="0" w:space="0" w:color="auto"/>
            <w:bottom w:val="none" w:sz="0" w:space="0" w:color="auto"/>
            <w:right w:val="none" w:sz="0" w:space="0" w:color="auto"/>
          </w:divBdr>
        </w:div>
        <w:div w:id="1786732050">
          <w:marLeft w:val="640"/>
          <w:marRight w:val="0"/>
          <w:marTop w:val="0"/>
          <w:marBottom w:val="0"/>
          <w:divBdr>
            <w:top w:val="none" w:sz="0" w:space="0" w:color="auto"/>
            <w:left w:val="none" w:sz="0" w:space="0" w:color="auto"/>
            <w:bottom w:val="none" w:sz="0" w:space="0" w:color="auto"/>
            <w:right w:val="none" w:sz="0" w:space="0" w:color="auto"/>
          </w:divBdr>
        </w:div>
        <w:div w:id="110243849">
          <w:marLeft w:val="640"/>
          <w:marRight w:val="0"/>
          <w:marTop w:val="0"/>
          <w:marBottom w:val="0"/>
          <w:divBdr>
            <w:top w:val="none" w:sz="0" w:space="0" w:color="auto"/>
            <w:left w:val="none" w:sz="0" w:space="0" w:color="auto"/>
            <w:bottom w:val="none" w:sz="0" w:space="0" w:color="auto"/>
            <w:right w:val="none" w:sz="0" w:space="0" w:color="auto"/>
          </w:divBdr>
        </w:div>
        <w:div w:id="1833716781">
          <w:marLeft w:val="640"/>
          <w:marRight w:val="0"/>
          <w:marTop w:val="0"/>
          <w:marBottom w:val="0"/>
          <w:divBdr>
            <w:top w:val="none" w:sz="0" w:space="0" w:color="auto"/>
            <w:left w:val="none" w:sz="0" w:space="0" w:color="auto"/>
            <w:bottom w:val="none" w:sz="0" w:space="0" w:color="auto"/>
            <w:right w:val="none" w:sz="0" w:space="0" w:color="auto"/>
          </w:divBdr>
        </w:div>
        <w:div w:id="2074355585">
          <w:marLeft w:val="640"/>
          <w:marRight w:val="0"/>
          <w:marTop w:val="0"/>
          <w:marBottom w:val="0"/>
          <w:divBdr>
            <w:top w:val="none" w:sz="0" w:space="0" w:color="auto"/>
            <w:left w:val="none" w:sz="0" w:space="0" w:color="auto"/>
            <w:bottom w:val="none" w:sz="0" w:space="0" w:color="auto"/>
            <w:right w:val="none" w:sz="0" w:space="0" w:color="auto"/>
          </w:divBdr>
        </w:div>
        <w:div w:id="547186395">
          <w:marLeft w:val="640"/>
          <w:marRight w:val="0"/>
          <w:marTop w:val="0"/>
          <w:marBottom w:val="0"/>
          <w:divBdr>
            <w:top w:val="none" w:sz="0" w:space="0" w:color="auto"/>
            <w:left w:val="none" w:sz="0" w:space="0" w:color="auto"/>
            <w:bottom w:val="none" w:sz="0" w:space="0" w:color="auto"/>
            <w:right w:val="none" w:sz="0" w:space="0" w:color="auto"/>
          </w:divBdr>
        </w:div>
        <w:div w:id="58481661">
          <w:marLeft w:val="640"/>
          <w:marRight w:val="0"/>
          <w:marTop w:val="0"/>
          <w:marBottom w:val="0"/>
          <w:divBdr>
            <w:top w:val="none" w:sz="0" w:space="0" w:color="auto"/>
            <w:left w:val="none" w:sz="0" w:space="0" w:color="auto"/>
            <w:bottom w:val="none" w:sz="0" w:space="0" w:color="auto"/>
            <w:right w:val="none" w:sz="0" w:space="0" w:color="auto"/>
          </w:divBdr>
        </w:div>
        <w:div w:id="631910091">
          <w:marLeft w:val="640"/>
          <w:marRight w:val="0"/>
          <w:marTop w:val="0"/>
          <w:marBottom w:val="0"/>
          <w:divBdr>
            <w:top w:val="none" w:sz="0" w:space="0" w:color="auto"/>
            <w:left w:val="none" w:sz="0" w:space="0" w:color="auto"/>
            <w:bottom w:val="none" w:sz="0" w:space="0" w:color="auto"/>
            <w:right w:val="none" w:sz="0" w:space="0" w:color="auto"/>
          </w:divBdr>
        </w:div>
        <w:div w:id="735666119">
          <w:marLeft w:val="640"/>
          <w:marRight w:val="0"/>
          <w:marTop w:val="0"/>
          <w:marBottom w:val="0"/>
          <w:divBdr>
            <w:top w:val="none" w:sz="0" w:space="0" w:color="auto"/>
            <w:left w:val="none" w:sz="0" w:space="0" w:color="auto"/>
            <w:bottom w:val="none" w:sz="0" w:space="0" w:color="auto"/>
            <w:right w:val="none" w:sz="0" w:space="0" w:color="auto"/>
          </w:divBdr>
        </w:div>
        <w:div w:id="1869681573">
          <w:marLeft w:val="640"/>
          <w:marRight w:val="0"/>
          <w:marTop w:val="0"/>
          <w:marBottom w:val="0"/>
          <w:divBdr>
            <w:top w:val="none" w:sz="0" w:space="0" w:color="auto"/>
            <w:left w:val="none" w:sz="0" w:space="0" w:color="auto"/>
            <w:bottom w:val="none" w:sz="0" w:space="0" w:color="auto"/>
            <w:right w:val="none" w:sz="0" w:space="0" w:color="auto"/>
          </w:divBdr>
        </w:div>
        <w:div w:id="597102644">
          <w:marLeft w:val="640"/>
          <w:marRight w:val="0"/>
          <w:marTop w:val="0"/>
          <w:marBottom w:val="0"/>
          <w:divBdr>
            <w:top w:val="none" w:sz="0" w:space="0" w:color="auto"/>
            <w:left w:val="none" w:sz="0" w:space="0" w:color="auto"/>
            <w:bottom w:val="none" w:sz="0" w:space="0" w:color="auto"/>
            <w:right w:val="none" w:sz="0" w:space="0" w:color="auto"/>
          </w:divBdr>
        </w:div>
        <w:div w:id="639503803">
          <w:marLeft w:val="640"/>
          <w:marRight w:val="0"/>
          <w:marTop w:val="0"/>
          <w:marBottom w:val="0"/>
          <w:divBdr>
            <w:top w:val="none" w:sz="0" w:space="0" w:color="auto"/>
            <w:left w:val="none" w:sz="0" w:space="0" w:color="auto"/>
            <w:bottom w:val="none" w:sz="0" w:space="0" w:color="auto"/>
            <w:right w:val="none" w:sz="0" w:space="0" w:color="auto"/>
          </w:divBdr>
        </w:div>
        <w:div w:id="1297368727">
          <w:marLeft w:val="640"/>
          <w:marRight w:val="0"/>
          <w:marTop w:val="0"/>
          <w:marBottom w:val="0"/>
          <w:divBdr>
            <w:top w:val="none" w:sz="0" w:space="0" w:color="auto"/>
            <w:left w:val="none" w:sz="0" w:space="0" w:color="auto"/>
            <w:bottom w:val="none" w:sz="0" w:space="0" w:color="auto"/>
            <w:right w:val="none" w:sz="0" w:space="0" w:color="auto"/>
          </w:divBdr>
        </w:div>
        <w:div w:id="752514223">
          <w:marLeft w:val="640"/>
          <w:marRight w:val="0"/>
          <w:marTop w:val="0"/>
          <w:marBottom w:val="0"/>
          <w:divBdr>
            <w:top w:val="none" w:sz="0" w:space="0" w:color="auto"/>
            <w:left w:val="none" w:sz="0" w:space="0" w:color="auto"/>
            <w:bottom w:val="none" w:sz="0" w:space="0" w:color="auto"/>
            <w:right w:val="none" w:sz="0" w:space="0" w:color="auto"/>
          </w:divBdr>
        </w:div>
        <w:div w:id="620613">
          <w:marLeft w:val="640"/>
          <w:marRight w:val="0"/>
          <w:marTop w:val="0"/>
          <w:marBottom w:val="0"/>
          <w:divBdr>
            <w:top w:val="none" w:sz="0" w:space="0" w:color="auto"/>
            <w:left w:val="none" w:sz="0" w:space="0" w:color="auto"/>
            <w:bottom w:val="none" w:sz="0" w:space="0" w:color="auto"/>
            <w:right w:val="none" w:sz="0" w:space="0" w:color="auto"/>
          </w:divBdr>
        </w:div>
        <w:div w:id="312834990">
          <w:marLeft w:val="640"/>
          <w:marRight w:val="0"/>
          <w:marTop w:val="0"/>
          <w:marBottom w:val="0"/>
          <w:divBdr>
            <w:top w:val="none" w:sz="0" w:space="0" w:color="auto"/>
            <w:left w:val="none" w:sz="0" w:space="0" w:color="auto"/>
            <w:bottom w:val="none" w:sz="0" w:space="0" w:color="auto"/>
            <w:right w:val="none" w:sz="0" w:space="0" w:color="auto"/>
          </w:divBdr>
        </w:div>
        <w:div w:id="1985037269">
          <w:marLeft w:val="640"/>
          <w:marRight w:val="0"/>
          <w:marTop w:val="0"/>
          <w:marBottom w:val="0"/>
          <w:divBdr>
            <w:top w:val="none" w:sz="0" w:space="0" w:color="auto"/>
            <w:left w:val="none" w:sz="0" w:space="0" w:color="auto"/>
            <w:bottom w:val="none" w:sz="0" w:space="0" w:color="auto"/>
            <w:right w:val="none" w:sz="0" w:space="0" w:color="auto"/>
          </w:divBdr>
        </w:div>
        <w:div w:id="1685395931">
          <w:marLeft w:val="640"/>
          <w:marRight w:val="0"/>
          <w:marTop w:val="0"/>
          <w:marBottom w:val="0"/>
          <w:divBdr>
            <w:top w:val="none" w:sz="0" w:space="0" w:color="auto"/>
            <w:left w:val="none" w:sz="0" w:space="0" w:color="auto"/>
            <w:bottom w:val="none" w:sz="0" w:space="0" w:color="auto"/>
            <w:right w:val="none" w:sz="0" w:space="0" w:color="auto"/>
          </w:divBdr>
        </w:div>
        <w:div w:id="1855267755">
          <w:marLeft w:val="640"/>
          <w:marRight w:val="0"/>
          <w:marTop w:val="0"/>
          <w:marBottom w:val="0"/>
          <w:divBdr>
            <w:top w:val="none" w:sz="0" w:space="0" w:color="auto"/>
            <w:left w:val="none" w:sz="0" w:space="0" w:color="auto"/>
            <w:bottom w:val="none" w:sz="0" w:space="0" w:color="auto"/>
            <w:right w:val="none" w:sz="0" w:space="0" w:color="auto"/>
          </w:divBdr>
        </w:div>
        <w:div w:id="1513060244">
          <w:marLeft w:val="640"/>
          <w:marRight w:val="0"/>
          <w:marTop w:val="0"/>
          <w:marBottom w:val="0"/>
          <w:divBdr>
            <w:top w:val="none" w:sz="0" w:space="0" w:color="auto"/>
            <w:left w:val="none" w:sz="0" w:space="0" w:color="auto"/>
            <w:bottom w:val="none" w:sz="0" w:space="0" w:color="auto"/>
            <w:right w:val="none" w:sz="0" w:space="0" w:color="auto"/>
          </w:divBdr>
        </w:div>
        <w:div w:id="408309075">
          <w:marLeft w:val="640"/>
          <w:marRight w:val="0"/>
          <w:marTop w:val="0"/>
          <w:marBottom w:val="0"/>
          <w:divBdr>
            <w:top w:val="none" w:sz="0" w:space="0" w:color="auto"/>
            <w:left w:val="none" w:sz="0" w:space="0" w:color="auto"/>
            <w:bottom w:val="none" w:sz="0" w:space="0" w:color="auto"/>
            <w:right w:val="none" w:sz="0" w:space="0" w:color="auto"/>
          </w:divBdr>
        </w:div>
        <w:div w:id="2007895554">
          <w:marLeft w:val="640"/>
          <w:marRight w:val="0"/>
          <w:marTop w:val="0"/>
          <w:marBottom w:val="0"/>
          <w:divBdr>
            <w:top w:val="none" w:sz="0" w:space="0" w:color="auto"/>
            <w:left w:val="none" w:sz="0" w:space="0" w:color="auto"/>
            <w:bottom w:val="none" w:sz="0" w:space="0" w:color="auto"/>
            <w:right w:val="none" w:sz="0" w:space="0" w:color="auto"/>
          </w:divBdr>
        </w:div>
        <w:div w:id="1708333763">
          <w:marLeft w:val="640"/>
          <w:marRight w:val="0"/>
          <w:marTop w:val="0"/>
          <w:marBottom w:val="0"/>
          <w:divBdr>
            <w:top w:val="none" w:sz="0" w:space="0" w:color="auto"/>
            <w:left w:val="none" w:sz="0" w:space="0" w:color="auto"/>
            <w:bottom w:val="none" w:sz="0" w:space="0" w:color="auto"/>
            <w:right w:val="none" w:sz="0" w:space="0" w:color="auto"/>
          </w:divBdr>
        </w:div>
        <w:div w:id="1014190714">
          <w:marLeft w:val="640"/>
          <w:marRight w:val="0"/>
          <w:marTop w:val="0"/>
          <w:marBottom w:val="0"/>
          <w:divBdr>
            <w:top w:val="none" w:sz="0" w:space="0" w:color="auto"/>
            <w:left w:val="none" w:sz="0" w:space="0" w:color="auto"/>
            <w:bottom w:val="none" w:sz="0" w:space="0" w:color="auto"/>
            <w:right w:val="none" w:sz="0" w:space="0" w:color="auto"/>
          </w:divBdr>
        </w:div>
        <w:div w:id="1050614777">
          <w:marLeft w:val="640"/>
          <w:marRight w:val="0"/>
          <w:marTop w:val="0"/>
          <w:marBottom w:val="0"/>
          <w:divBdr>
            <w:top w:val="none" w:sz="0" w:space="0" w:color="auto"/>
            <w:left w:val="none" w:sz="0" w:space="0" w:color="auto"/>
            <w:bottom w:val="none" w:sz="0" w:space="0" w:color="auto"/>
            <w:right w:val="none" w:sz="0" w:space="0" w:color="auto"/>
          </w:divBdr>
        </w:div>
        <w:div w:id="888692283">
          <w:marLeft w:val="640"/>
          <w:marRight w:val="0"/>
          <w:marTop w:val="0"/>
          <w:marBottom w:val="0"/>
          <w:divBdr>
            <w:top w:val="none" w:sz="0" w:space="0" w:color="auto"/>
            <w:left w:val="none" w:sz="0" w:space="0" w:color="auto"/>
            <w:bottom w:val="none" w:sz="0" w:space="0" w:color="auto"/>
            <w:right w:val="none" w:sz="0" w:space="0" w:color="auto"/>
          </w:divBdr>
        </w:div>
        <w:div w:id="691226978">
          <w:marLeft w:val="640"/>
          <w:marRight w:val="0"/>
          <w:marTop w:val="0"/>
          <w:marBottom w:val="0"/>
          <w:divBdr>
            <w:top w:val="none" w:sz="0" w:space="0" w:color="auto"/>
            <w:left w:val="none" w:sz="0" w:space="0" w:color="auto"/>
            <w:bottom w:val="none" w:sz="0" w:space="0" w:color="auto"/>
            <w:right w:val="none" w:sz="0" w:space="0" w:color="auto"/>
          </w:divBdr>
        </w:div>
        <w:div w:id="1286741735">
          <w:marLeft w:val="640"/>
          <w:marRight w:val="0"/>
          <w:marTop w:val="0"/>
          <w:marBottom w:val="0"/>
          <w:divBdr>
            <w:top w:val="none" w:sz="0" w:space="0" w:color="auto"/>
            <w:left w:val="none" w:sz="0" w:space="0" w:color="auto"/>
            <w:bottom w:val="none" w:sz="0" w:space="0" w:color="auto"/>
            <w:right w:val="none" w:sz="0" w:space="0" w:color="auto"/>
          </w:divBdr>
        </w:div>
        <w:div w:id="376974144">
          <w:marLeft w:val="640"/>
          <w:marRight w:val="0"/>
          <w:marTop w:val="0"/>
          <w:marBottom w:val="0"/>
          <w:divBdr>
            <w:top w:val="none" w:sz="0" w:space="0" w:color="auto"/>
            <w:left w:val="none" w:sz="0" w:space="0" w:color="auto"/>
            <w:bottom w:val="none" w:sz="0" w:space="0" w:color="auto"/>
            <w:right w:val="none" w:sz="0" w:space="0" w:color="auto"/>
          </w:divBdr>
        </w:div>
        <w:div w:id="953173287">
          <w:marLeft w:val="640"/>
          <w:marRight w:val="0"/>
          <w:marTop w:val="0"/>
          <w:marBottom w:val="0"/>
          <w:divBdr>
            <w:top w:val="none" w:sz="0" w:space="0" w:color="auto"/>
            <w:left w:val="none" w:sz="0" w:space="0" w:color="auto"/>
            <w:bottom w:val="none" w:sz="0" w:space="0" w:color="auto"/>
            <w:right w:val="none" w:sz="0" w:space="0" w:color="auto"/>
          </w:divBdr>
        </w:div>
        <w:div w:id="2321667">
          <w:marLeft w:val="640"/>
          <w:marRight w:val="0"/>
          <w:marTop w:val="0"/>
          <w:marBottom w:val="0"/>
          <w:divBdr>
            <w:top w:val="none" w:sz="0" w:space="0" w:color="auto"/>
            <w:left w:val="none" w:sz="0" w:space="0" w:color="auto"/>
            <w:bottom w:val="none" w:sz="0" w:space="0" w:color="auto"/>
            <w:right w:val="none" w:sz="0" w:space="0" w:color="auto"/>
          </w:divBdr>
        </w:div>
        <w:div w:id="600069168">
          <w:marLeft w:val="640"/>
          <w:marRight w:val="0"/>
          <w:marTop w:val="0"/>
          <w:marBottom w:val="0"/>
          <w:divBdr>
            <w:top w:val="none" w:sz="0" w:space="0" w:color="auto"/>
            <w:left w:val="none" w:sz="0" w:space="0" w:color="auto"/>
            <w:bottom w:val="none" w:sz="0" w:space="0" w:color="auto"/>
            <w:right w:val="none" w:sz="0" w:space="0" w:color="auto"/>
          </w:divBdr>
        </w:div>
        <w:div w:id="1741295134">
          <w:marLeft w:val="640"/>
          <w:marRight w:val="0"/>
          <w:marTop w:val="0"/>
          <w:marBottom w:val="0"/>
          <w:divBdr>
            <w:top w:val="none" w:sz="0" w:space="0" w:color="auto"/>
            <w:left w:val="none" w:sz="0" w:space="0" w:color="auto"/>
            <w:bottom w:val="none" w:sz="0" w:space="0" w:color="auto"/>
            <w:right w:val="none" w:sz="0" w:space="0" w:color="auto"/>
          </w:divBdr>
        </w:div>
        <w:div w:id="434864101">
          <w:marLeft w:val="640"/>
          <w:marRight w:val="0"/>
          <w:marTop w:val="0"/>
          <w:marBottom w:val="0"/>
          <w:divBdr>
            <w:top w:val="none" w:sz="0" w:space="0" w:color="auto"/>
            <w:left w:val="none" w:sz="0" w:space="0" w:color="auto"/>
            <w:bottom w:val="none" w:sz="0" w:space="0" w:color="auto"/>
            <w:right w:val="none" w:sz="0" w:space="0" w:color="auto"/>
          </w:divBdr>
        </w:div>
        <w:div w:id="416832146">
          <w:marLeft w:val="640"/>
          <w:marRight w:val="0"/>
          <w:marTop w:val="0"/>
          <w:marBottom w:val="0"/>
          <w:divBdr>
            <w:top w:val="none" w:sz="0" w:space="0" w:color="auto"/>
            <w:left w:val="none" w:sz="0" w:space="0" w:color="auto"/>
            <w:bottom w:val="none" w:sz="0" w:space="0" w:color="auto"/>
            <w:right w:val="none" w:sz="0" w:space="0" w:color="auto"/>
          </w:divBdr>
        </w:div>
        <w:div w:id="866214976">
          <w:marLeft w:val="640"/>
          <w:marRight w:val="0"/>
          <w:marTop w:val="0"/>
          <w:marBottom w:val="0"/>
          <w:divBdr>
            <w:top w:val="none" w:sz="0" w:space="0" w:color="auto"/>
            <w:left w:val="none" w:sz="0" w:space="0" w:color="auto"/>
            <w:bottom w:val="none" w:sz="0" w:space="0" w:color="auto"/>
            <w:right w:val="none" w:sz="0" w:space="0" w:color="auto"/>
          </w:divBdr>
        </w:div>
        <w:div w:id="272904655">
          <w:marLeft w:val="640"/>
          <w:marRight w:val="0"/>
          <w:marTop w:val="0"/>
          <w:marBottom w:val="0"/>
          <w:divBdr>
            <w:top w:val="none" w:sz="0" w:space="0" w:color="auto"/>
            <w:left w:val="none" w:sz="0" w:space="0" w:color="auto"/>
            <w:bottom w:val="none" w:sz="0" w:space="0" w:color="auto"/>
            <w:right w:val="none" w:sz="0" w:space="0" w:color="auto"/>
          </w:divBdr>
        </w:div>
        <w:div w:id="1820996164">
          <w:marLeft w:val="640"/>
          <w:marRight w:val="0"/>
          <w:marTop w:val="0"/>
          <w:marBottom w:val="0"/>
          <w:divBdr>
            <w:top w:val="none" w:sz="0" w:space="0" w:color="auto"/>
            <w:left w:val="none" w:sz="0" w:space="0" w:color="auto"/>
            <w:bottom w:val="none" w:sz="0" w:space="0" w:color="auto"/>
            <w:right w:val="none" w:sz="0" w:space="0" w:color="auto"/>
          </w:divBdr>
        </w:div>
        <w:div w:id="1873033302">
          <w:marLeft w:val="640"/>
          <w:marRight w:val="0"/>
          <w:marTop w:val="0"/>
          <w:marBottom w:val="0"/>
          <w:divBdr>
            <w:top w:val="none" w:sz="0" w:space="0" w:color="auto"/>
            <w:left w:val="none" w:sz="0" w:space="0" w:color="auto"/>
            <w:bottom w:val="none" w:sz="0" w:space="0" w:color="auto"/>
            <w:right w:val="none" w:sz="0" w:space="0" w:color="auto"/>
          </w:divBdr>
        </w:div>
        <w:div w:id="1501892455">
          <w:marLeft w:val="640"/>
          <w:marRight w:val="0"/>
          <w:marTop w:val="0"/>
          <w:marBottom w:val="0"/>
          <w:divBdr>
            <w:top w:val="none" w:sz="0" w:space="0" w:color="auto"/>
            <w:left w:val="none" w:sz="0" w:space="0" w:color="auto"/>
            <w:bottom w:val="none" w:sz="0" w:space="0" w:color="auto"/>
            <w:right w:val="none" w:sz="0" w:space="0" w:color="auto"/>
          </w:divBdr>
        </w:div>
        <w:div w:id="1612400065">
          <w:marLeft w:val="640"/>
          <w:marRight w:val="0"/>
          <w:marTop w:val="0"/>
          <w:marBottom w:val="0"/>
          <w:divBdr>
            <w:top w:val="none" w:sz="0" w:space="0" w:color="auto"/>
            <w:left w:val="none" w:sz="0" w:space="0" w:color="auto"/>
            <w:bottom w:val="none" w:sz="0" w:space="0" w:color="auto"/>
            <w:right w:val="none" w:sz="0" w:space="0" w:color="auto"/>
          </w:divBdr>
        </w:div>
        <w:div w:id="624193510">
          <w:marLeft w:val="640"/>
          <w:marRight w:val="0"/>
          <w:marTop w:val="0"/>
          <w:marBottom w:val="0"/>
          <w:divBdr>
            <w:top w:val="none" w:sz="0" w:space="0" w:color="auto"/>
            <w:left w:val="none" w:sz="0" w:space="0" w:color="auto"/>
            <w:bottom w:val="none" w:sz="0" w:space="0" w:color="auto"/>
            <w:right w:val="none" w:sz="0" w:space="0" w:color="auto"/>
          </w:divBdr>
        </w:div>
        <w:div w:id="1780298986">
          <w:marLeft w:val="640"/>
          <w:marRight w:val="0"/>
          <w:marTop w:val="0"/>
          <w:marBottom w:val="0"/>
          <w:divBdr>
            <w:top w:val="none" w:sz="0" w:space="0" w:color="auto"/>
            <w:left w:val="none" w:sz="0" w:space="0" w:color="auto"/>
            <w:bottom w:val="none" w:sz="0" w:space="0" w:color="auto"/>
            <w:right w:val="none" w:sz="0" w:space="0" w:color="auto"/>
          </w:divBdr>
        </w:div>
        <w:div w:id="86271231">
          <w:marLeft w:val="640"/>
          <w:marRight w:val="0"/>
          <w:marTop w:val="0"/>
          <w:marBottom w:val="0"/>
          <w:divBdr>
            <w:top w:val="none" w:sz="0" w:space="0" w:color="auto"/>
            <w:left w:val="none" w:sz="0" w:space="0" w:color="auto"/>
            <w:bottom w:val="none" w:sz="0" w:space="0" w:color="auto"/>
            <w:right w:val="none" w:sz="0" w:space="0" w:color="auto"/>
          </w:divBdr>
        </w:div>
        <w:div w:id="1115517740">
          <w:marLeft w:val="640"/>
          <w:marRight w:val="0"/>
          <w:marTop w:val="0"/>
          <w:marBottom w:val="0"/>
          <w:divBdr>
            <w:top w:val="none" w:sz="0" w:space="0" w:color="auto"/>
            <w:left w:val="none" w:sz="0" w:space="0" w:color="auto"/>
            <w:bottom w:val="none" w:sz="0" w:space="0" w:color="auto"/>
            <w:right w:val="none" w:sz="0" w:space="0" w:color="auto"/>
          </w:divBdr>
        </w:div>
        <w:div w:id="1991206202">
          <w:marLeft w:val="640"/>
          <w:marRight w:val="0"/>
          <w:marTop w:val="0"/>
          <w:marBottom w:val="0"/>
          <w:divBdr>
            <w:top w:val="none" w:sz="0" w:space="0" w:color="auto"/>
            <w:left w:val="none" w:sz="0" w:space="0" w:color="auto"/>
            <w:bottom w:val="none" w:sz="0" w:space="0" w:color="auto"/>
            <w:right w:val="none" w:sz="0" w:space="0" w:color="auto"/>
          </w:divBdr>
        </w:div>
        <w:div w:id="347604323">
          <w:marLeft w:val="640"/>
          <w:marRight w:val="0"/>
          <w:marTop w:val="0"/>
          <w:marBottom w:val="0"/>
          <w:divBdr>
            <w:top w:val="none" w:sz="0" w:space="0" w:color="auto"/>
            <w:left w:val="none" w:sz="0" w:space="0" w:color="auto"/>
            <w:bottom w:val="none" w:sz="0" w:space="0" w:color="auto"/>
            <w:right w:val="none" w:sz="0" w:space="0" w:color="auto"/>
          </w:divBdr>
        </w:div>
        <w:div w:id="1106382869">
          <w:marLeft w:val="640"/>
          <w:marRight w:val="0"/>
          <w:marTop w:val="0"/>
          <w:marBottom w:val="0"/>
          <w:divBdr>
            <w:top w:val="none" w:sz="0" w:space="0" w:color="auto"/>
            <w:left w:val="none" w:sz="0" w:space="0" w:color="auto"/>
            <w:bottom w:val="none" w:sz="0" w:space="0" w:color="auto"/>
            <w:right w:val="none" w:sz="0" w:space="0" w:color="auto"/>
          </w:divBdr>
        </w:div>
        <w:div w:id="2121996747">
          <w:marLeft w:val="640"/>
          <w:marRight w:val="0"/>
          <w:marTop w:val="0"/>
          <w:marBottom w:val="0"/>
          <w:divBdr>
            <w:top w:val="none" w:sz="0" w:space="0" w:color="auto"/>
            <w:left w:val="none" w:sz="0" w:space="0" w:color="auto"/>
            <w:bottom w:val="none" w:sz="0" w:space="0" w:color="auto"/>
            <w:right w:val="none" w:sz="0" w:space="0" w:color="auto"/>
          </w:divBdr>
        </w:div>
        <w:div w:id="590554859">
          <w:marLeft w:val="640"/>
          <w:marRight w:val="0"/>
          <w:marTop w:val="0"/>
          <w:marBottom w:val="0"/>
          <w:divBdr>
            <w:top w:val="none" w:sz="0" w:space="0" w:color="auto"/>
            <w:left w:val="none" w:sz="0" w:space="0" w:color="auto"/>
            <w:bottom w:val="none" w:sz="0" w:space="0" w:color="auto"/>
            <w:right w:val="none" w:sz="0" w:space="0" w:color="auto"/>
          </w:divBdr>
        </w:div>
        <w:div w:id="336003774">
          <w:marLeft w:val="640"/>
          <w:marRight w:val="0"/>
          <w:marTop w:val="0"/>
          <w:marBottom w:val="0"/>
          <w:divBdr>
            <w:top w:val="none" w:sz="0" w:space="0" w:color="auto"/>
            <w:left w:val="none" w:sz="0" w:space="0" w:color="auto"/>
            <w:bottom w:val="none" w:sz="0" w:space="0" w:color="auto"/>
            <w:right w:val="none" w:sz="0" w:space="0" w:color="auto"/>
          </w:divBdr>
        </w:div>
        <w:div w:id="1248418787">
          <w:marLeft w:val="640"/>
          <w:marRight w:val="0"/>
          <w:marTop w:val="0"/>
          <w:marBottom w:val="0"/>
          <w:divBdr>
            <w:top w:val="none" w:sz="0" w:space="0" w:color="auto"/>
            <w:left w:val="none" w:sz="0" w:space="0" w:color="auto"/>
            <w:bottom w:val="none" w:sz="0" w:space="0" w:color="auto"/>
            <w:right w:val="none" w:sz="0" w:space="0" w:color="auto"/>
          </w:divBdr>
        </w:div>
        <w:div w:id="1125082333">
          <w:marLeft w:val="640"/>
          <w:marRight w:val="0"/>
          <w:marTop w:val="0"/>
          <w:marBottom w:val="0"/>
          <w:divBdr>
            <w:top w:val="none" w:sz="0" w:space="0" w:color="auto"/>
            <w:left w:val="none" w:sz="0" w:space="0" w:color="auto"/>
            <w:bottom w:val="none" w:sz="0" w:space="0" w:color="auto"/>
            <w:right w:val="none" w:sz="0" w:space="0" w:color="auto"/>
          </w:divBdr>
        </w:div>
        <w:div w:id="331639131">
          <w:marLeft w:val="640"/>
          <w:marRight w:val="0"/>
          <w:marTop w:val="0"/>
          <w:marBottom w:val="0"/>
          <w:divBdr>
            <w:top w:val="none" w:sz="0" w:space="0" w:color="auto"/>
            <w:left w:val="none" w:sz="0" w:space="0" w:color="auto"/>
            <w:bottom w:val="none" w:sz="0" w:space="0" w:color="auto"/>
            <w:right w:val="none" w:sz="0" w:space="0" w:color="auto"/>
          </w:divBdr>
        </w:div>
        <w:div w:id="1588802705">
          <w:marLeft w:val="640"/>
          <w:marRight w:val="0"/>
          <w:marTop w:val="0"/>
          <w:marBottom w:val="0"/>
          <w:divBdr>
            <w:top w:val="none" w:sz="0" w:space="0" w:color="auto"/>
            <w:left w:val="none" w:sz="0" w:space="0" w:color="auto"/>
            <w:bottom w:val="none" w:sz="0" w:space="0" w:color="auto"/>
            <w:right w:val="none" w:sz="0" w:space="0" w:color="auto"/>
          </w:divBdr>
        </w:div>
        <w:div w:id="1081022601">
          <w:marLeft w:val="640"/>
          <w:marRight w:val="0"/>
          <w:marTop w:val="0"/>
          <w:marBottom w:val="0"/>
          <w:divBdr>
            <w:top w:val="none" w:sz="0" w:space="0" w:color="auto"/>
            <w:left w:val="none" w:sz="0" w:space="0" w:color="auto"/>
            <w:bottom w:val="none" w:sz="0" w:space="0" w:color="auto"/>
            <w:right w:val="none" w:sz="0" w:space="0" w:color="auto"/>
          </w:divBdr>
        </w:div>
        <w:div w:id="1512063207">
          <w:marLeft w:val="640"/>
          <w:marRight w:val="0"/>
          <w:marTop w:val="0"/>
          <w:marBottom w:val="0"/>
          <w:divBdr>
            <w:top w:val="none" w:sz="0" w:space="0" w:color="auto"/>
            <w:left w:val="none" w:sz="0" w:space="0" w:color="auto"/>
            <w:bottom w:val="none" w:sz="0" w:space="0" w:color="auto"/>
            <w:right w:val="none" w:sz="0" w:space="0" w:color="auto"/>
          </w:divBdr>
        </w:div>
        <w:div w:id="1968466743">
          <w:marLeft w:val="640"/>
          <w:marRight w:val="0"/>
          <w:marTop w:val="0"/>
          <w:marBottom w:val="0"/>
          <w:divBdr>
            <w:top w:val="none" w:sz="0" w:space="0" w:color="auto"/>
            <w:left w:val="none" w:sz="0" w:space="0" w:color="auto"/>
            <w:bottom w:val="none" w:sz="0" w:space="0" w:color="auto"/>
            <w:right w:val="none" w:sz="0" w:space="0" w:color="auto"/>
          </w:divBdr>
        </w:div>
        <w:div w:id="1143892661">
          <w:marLeft w:val="640"/>
          <w:marRight w:val="0"/>
          <w:marTop w:val="0"/>
          <w:marBottom w:val="0"/>
          <w:divBdr>
            <w:top w:val="none" w:sz="0" w:space="0" w:color="auto"/>
            <w:left w:val="none" w:sz="0" w:space="0" w:color="auto"/>
            <w:bottom w:val="none" w:sz="0" w:space="0" w:color="auto"/>
            <w:right w:val="none" w:sz="0" w:space="0" w:color="auto"/>
          </w:divBdr>
        </w:div>
        <w:div w:id="1371228737">
          <w:marLeft w:val="640"/>
          <w:marRight w:val="0"/>
          <w:marTop w:val="0"/>
          <w:marBottom w:val="0"/>
          <w:divBdr>
            <w:top w:val="none" w:sz="0" w:space="0" w:color="auto"/>
            <w:left w:val="none" w:sz="0" w:space="0" w:color="auto"/>
            <w:bottom w:val="none" w:sz="0" w:space="0" w:color="auto"/>
            <w:right w:val="none" w:sz="0" w:space="0" w:color="auto"/>
          </w:divBdr>
        </w:div>
        <w:div w:id="1061051576">
          <w:marLeft w:val="640"/>
          <w:marRight w:val="0"/>
          <w:marTop w:val="0"/>
          <w:marBottom w:val="0"/>
          <w:divBdr>
            <w:top w:val="none" w:sz="0" w:space="0" w:color="auto"/>
            <w:left w:val="none" w:sz="0" w:space="0" w:color="auto"/>
            <w:bottom w:val="none" w:sz="0" w:space="0" w:color="auto"/>
            <w:right w:val="none" w:sz="0" w:space="0" w:color="auto"/>
          </w:divBdr>
        </w:div>
        <w:div w:id="411900239">
          <w:marLeft w:val="640"/>
          <w:marRight w:val="0"/>
          <w:marTop w:val="0"/>
          <w:marBottom w:val="0"/>
          <w:divBdr>
            <w:top w:val="none" w:sz="0" w:space="0" w:color="auto"/>
            <w:left w:val="none" w:sz="0" w:space="0" w:color="auto"/>
            <w:bottom w:val="none" w:sz="0" w:space="0" w:color="auto"/>
            <w:right w:val="none" w:sz="0" w:space="0" w:color="auto"/>
          </w:divBdr>
        </w:div>
        <w:div w:id="1980108136">
          <w:marLeft w:val="640"/>
          <w:marRight w:val="0"/>
          <w:marTop w:val="0"/>
          <w:marBottom w:val="0"/>
          <w:divBdr>
            <w:top w:val="none" w:sz="0" w:space="0" w:color="auto"/>
            <w:left w:val="none" w:sz="0" w:space="0" w:color="auto"/>
            <w:bottom w:val="none" w:sz="0" w:space="0" w:color="auto"/>
            <w:right w:val="none" w:sz="0" w:space="0" w:color="auto"/>
          </w:divBdr>
        </w:div>
        <w:div w:id="1693341342">
          <w:marLeft w:val="640"/>
          <w:marRight w:val="0"/>
          <w:marTop w:val="0"/>
          <w:marBottom w:val="0"/>
          <w:divBdr>
            <w:top w:val="none" w:sz="0" w:space="0" w:color="auto"/>
            <w:left w:val="none" w:sz="0" w:space="0" w:color="auto"/>
            <w:bottom w:val="none" w:sz="0" w:space="0" w:color="auto"/>
            <w:right w:val="none" w:sz="0" w:space="0" w:color="auto"/>
          </w:divBdr>
        </w:div>
        <w:div w:id="261258202">
          <w:marLeft w:val="640"/>
          <w:marRight w:val="0"/>
          <w:marTop w:val="0"/>
          <w:marBottom w:val="0"/>
          <w:divBdr>
            <w:top w:val="none" w:sz="0" w:space="0" w:color="auto"/>
            <w:left w:val="none" w:sz="0" w:space="0" w:color="auto"/>
            <w:bottom w:val="none" w:sz="0" w:space="0" w:color="auto"/>
            <w:right w:val="none" w:sz="0" w:space="0" w:color="auto"/>
          </w:divBdr>
        </w:div>
        <w:div w:id="359865534">
          <w:marLeft w:val="640"/>
          <w:marRight w:val="0"/>
          <w:marTop w:val="0"/>
          <w:marBottom w:val="0"/>
          <w:divBdr>
            <w:top w:val="none" w:sz="0" w:space="0" w:color="auto"/>
            <w:left w:val="none" w:sz="0" w:space="0" w:color="auto"/>
            <w:bottom w:val="none" w:sz="0" w:space="0" w:color="auto"/>
            <w:right w:val="none" w:sz="0" w:space="0" w:color="auto"/>
          </w:divBdr>
        </w:div>
        <w:div w:id="815609015">
          <w:marLeft w:val="640"/>
          <w:marRight w:val="0"/>
          <w:marTop w:val="0"/>
          <w:marBottom w:val="0"/>
          <w:divBdr>
            <w:top w:val="none" w:sz="0" w:space="0" w:color="auto"/>
            <w:left w:val="none" w:sz="0" w:space="0" w:color="auto"/>
            <w:bottom w:val="none" w:sz="0" w:space="0" w:color="auto"/>
            <w:right w:val="none" w:sz="0" w:space="0" w:color="auto"/>
          </w:divBdr>
        </w:div>
        <w:div w:id="1430419863">
          <w:marLeft w:val="640"/>
          <w:marRight w:val="0"/>
          <w:marTop w:val="0"/>
          <w:marBottom w:val="0"/>
          <w:divBdr>
            <w:top w:val="none" w:sz="0" w:space="0" w:color="auto"/>
            <w:left w:val="none" w:sz="0" w:space="0" w:color="auto"/>
            <w:bottom w:val="none" w:sz="0" w:space="0" w:color="auto"/>
            <w:right w:val="none" w:sz="0" w:space="0" w:color="auto"/>
          </w:divBdr>
        </w:div>
        <w:div w:id="1279337325">
          <w:marLeft w:val="640"/>
          <w:marRight w:val="0"/>
          <w:marTop w:val="0"/>
          <w:marBottom w:val="0"/>
          <w:divBdr>
            <w:top w:val="none" w:sz="0" w:space="0" w:color="auto"/>
            <w:left w:val="none" w:sz="0" w:space="0" w:color="auto"/>
            <w:bottom w:val="none" w:sz="0" w:space="0" w:color="auto"/>
            <w:right w:val="none" w:sz="0" w:space="0" w:color="auto"/>
          </w:divBdr>
        </w:div>
        <w:div w:id="787969808">
          <w:marLeft w:val="640"/>
          <w:marRight w:val="0"/>
          <w:marTop w:val="0"/>
          <w:marBottom w:val="0"/>
          <w:divBdr>
            <w:top w:val="none" w:sz="0" w:space="0" w:color="auto"/>
            <w:left w:val="none" w:sz="0" w:space="0" w:color="auto"/>
            <w:bottom w:val="none" w:sz="0" w:space="0" w:color="auto"/>
            <w:right w:val="none" w:sz="0" w:space="0" w:color="auto"/>
          </w:divBdr>
        </w:div>
        <w:div w:id="1265766191">
          <w:marLeft w:val="640"/>
          <w:marRight w:val="0"/>
          <w:marTop w:val="0"/>
          <w:marBottom w:val="0"/>
          <w:divBdr>
            <w:top w:val="none" w:sz="0" w:space="0" w:color="auto"/>
            <w:left w:val="none" w:sz="0" w:space="0" w:color="auto"/>
            <w:bottom w:val="none" w:sz="0" w:space="0" w:color="auto"/>
            <w:right w:val="none" w:sz="0" w:space="0" w:color="auto"/>
          </w:divBdr>
        </w:div>
        <w:div w:id="463693643">
          <w:marLeft w:val="640"/>
          <w:marRight w:val="0"/>
          <w:marTop w:val="0"/>
          <w:marBottom w:val="0"/>
          <w:divBdr>
            <w:top w:val="none" w:sz="0" w:space="0" w:color="auto"/>
            <w:left w:val="none" w:sz="0" w:space="0" w:color="auto"/>
            <w:bottom w:val="none" w:sz="0" w:space="0" w:color="auto"/>
            <w:right w:val="none" w:sz="0" w:space="0" w:color="auto"/>
          </w:divBdr>
        </w:div>
        <w:div w:id="1580600860">
          <w:marLeft w:val="640"/>
          <w:marRight w:val="0"/>
          <w:marTop w:val="0"/>
          <w:marBottom w:val="0"/>
          <w:divBdr>
            <w:top w:val="none" w:sz="0" w:space="0" w:color="auto"/>
            <w:left w:val="none" w:sz="0" w:space="0" w:color="auto"/>
            <w:bottom w:val="none" w:sz="0" w:space="0" w:color="auto"/>
            <w:right w:val="none" w:sz="0" w:space="0" w:color="auto"/>
          </w:divBdr>
        </w:div>
        <w:div w:id="1327317121">
          <w:marLeft w:val="640"/>
          <w:marRight w:val="0"/>
          <w:marTop w:val="0"/>
          <w:marBottom w:val="0"/>
          <w:divBdr>
            <w:top w:val="none" w:sz="0" w:space="0" w:color="auto"/>
            <w:left w:val="none" w:sz="0" w:space="0" w:color="auto"/>
            <w:bottom w:val="none" w:sz="0" w:space="0" w:color="auto"/>
            <w:right w:val="none" w:sz="0" w:space="0" w:color="auto"/>
          </w:divBdr>
        </w:div>
        <w:div w:id="801075106">
          <w:marLeft w:val="640"/>
          <w:marRight w:val="0"/>
          <w:marTop w:val="0"/>
          <w:marBottom w:val="0"/>
          <w:divBdr>
            <w:top w:val="none" w:sz="0" w:space="0" w:color="auto"/>
            <w:left w:val="none" w:sz="0" w:space="0" w:color="auto"/>
            <w:bottom w:val="none" w:sz="0" w:space="0" w:color="auto"/>
            <w:right w:val="none" w:sz="0" w:space="0" w:color="auto"/>
          </w:divBdr>
        </w:div>
        <w:div w:id="995109886">
          <w:marLeft w:val="640"/>
          <w:marRight w:val="0"/>
          <w:marTop w:val="0"/>
          <w:marBottom w:val="0"/>
          <w:divBdr>
            <w:top w:val="none" w:sz="0" w:space="0" w:color="auto"/>
            <w:left w:val="none" w:sz="0" w:space="0" w:color="auto"/>
            <w:bottom w:val="none" w:sz="0" w:space="0" w:color="auto"/>
            <w:right w:val="none" w:sz="0" w:space="0" w:color="auto"/>
          </w:divBdr>
        </w:div>
        <w:div w:id="1389039246">
          <w:marLeft w:val="640"/>
          <w:marRight w:val="0"/>
          <w:marTop w:val="0"/>
          <w:marBottom w:val="0"/>
          <w:divBdr>
            <w:top w:val="none" w:sz="0" w:space="0" w:color="auto"/>
            <w:left w:val="none" w:sz="0" w:space="0" w:color="auto"/>
            <w:bottom w:val="none" w:sz="0" w:space="0" w:color="auto"/>
            <w:right w:val="none" w:sz="0" w:space="0" w:color="auto"/>
          </w:divBdr>
        </w:div>
        <w:div w:id="2024823525">
          <w:marLeft w:val="640"/>
          <w:marRight w:val="0"/>
          <w:marTop w:val="0"/>
          <w:marBottom w:val="0"/>
          <w:divBdr>
            <w:top w:val="none" w:sz="0" w:space="0" w:color="auto"/>
            <w:left w:val="none" w:sz="0" w:space="0" w:color="auto"/>
            <w:bottom w:val="none" w:sz="0" w:space="0" w:color="auto"/>
            <w:right w:val="none" w:sz="0" w:space="0" w:color="auto"/>
          </w:divBdr>
        </w:div>
        <w:div w:id="388191200">
          <w:marLeft w:val="640"/>
          <w:marRight w:val="0"/>
          <w:marTop w:val="0"/>
          <w:marBottom w:val="0"/>
          <w:divBdr>
            <w:top w:val="none" w:sz="0" w:space="0" w:color="auto"/>
            <w:left w:val="none" w:sz="0" w:space="0" w:color="auto"/>
            <w:bottom w:val="none" w:sz="0" w:space="0" w:color="auto"/>
            <w:right w:val="none" w:sz="0" w:space="0" w:color="auto"/>
          </w:divBdr>
        </w:div>
      </w:divsChild>
    </w:div>
    <w:div w:id="1607542354">
      <w:bodyDiv w:val="1"/>
      <w:marLeft w:val="0"/>
      <w:marRight w:val="0"/>
      <w:marTop w:val="0"/>
      <w:marBottom w:val="0"/>
      <w:divBdr>
        <w:top w:val="none" w:sz="0" w:space="0" w:color="auto"/>
        <w:left w:val="none" w:sz="0" w:space="0" w:color="auto"/>
        <w:bottom w:val="none" w:sz="0" w:space="0" w:color="auto"/>
        <w:right w:val="none" w:sz="0" w:space="0" w:color="auto"/>
      </w:divBdr>
    </w:div>
    <w:div w:id="1670673499">
      <w:bodyDiv w:val="1"/>
      <w:marLeft w:val="0"/>
      <w:marRight w:val="0"/>
      <w:marTop w:val="0"/>
      <w:marBottom w:val="0"/>
      <w:divBdr>
        <w:top w:val="none" w:sz="0" w:space="0" w:color="auto"/>
        <w:left w:val="none" w:sz="0" w:space="0" w:color="auto"/>
        <w:bottom w:val="none" w:sz="0" w:space="0" w:color="auto"/>
        <w:right w:val="none" w:sz="0" w:space="0" w:color="auto"/>
      </w:divBdr>
    </w:div>
    <w:div w:id="1674600994">
      <w:bodyDiv w:val="1"/>
      <w:marLeft w:val="0"/>
      <w:marRight w:val="0"/>
      <w:marTop w:val="0"/>
      <w:marBottom w:val="0"/>
      <w:divBdr>
        <w:top w:val="none" w:sz="0" w:space="0" w:color="auto"/>
        <w:left w:val="none" w:sz="0" w:space="0" w:color="auto"/>
        <w:bottom w:val="none" w:sz="0" w:space="0" w:color="auto"/>
        <w:right w:val="none" w:sz="0" w:space="0" w:color="auto"/>
      </w:divBdr>
    </w:div>
    <w:div w:id="1678534739">
      <w:bodyDiv w:val="1"/>
      <w:marLeft w:val="0"/>
      <w:marRight w:val="0"/>
      <w:marTop w:val="0"/>
      <w:marBottom w:val="0"/>
      <w:divBdr>
        <w:top w:val="none" w:sz="0" w:space="0" w:color="auto"/>
        <w:left w:val="none" w:sz="0" w:space="0" w:color="auto"/>
        <w:bottom w:val="none" w:sz="0" w:space="0" w:color="auto"/>
        <w:right w:val="none" w:sz="0" w:space="0" w:color="auto"/>
      </w:divBdr>
    </w:div>
    <w:div w:id="1730179997">
      <w:bodyDiv w:val="1"/>
      <w:marLeft w:val="0"/>
      <w:marRight w:val="0"/>
      <w:marTop w:val="0"/>
      <w:marBottom w:val="0"/>
      <w:divBdr>
        <w:top w:val="none" w:sz="0" w:space="0" w:color="auto"/>
        <w:left w:val="none" w:sz="0" w:space="0" w:color="auto"/>
        <w:bottom w:val="none" w:sz="0" w:space="0" w:color="auto"/>
        <w:right w:val="none" w:sz="0" w:space="0" w:color="auto"/>
      </w:divBdr>
    </w:div>
    <w:div w:id="1748651958">
      <w:bodyDiv w:val="1"/>
      <w:marLeft w:val="0"/>
      <w:marRight w:val="0"/>
      <w:marTop w:val="0"/>
      <w:marBottom w:val="0"/>
      <w:divBdr>
        <w:top w:val="none" w:sz="0" w:space="0" w:color="auto"/>
        <w:left w:val="none" w:sz="0" w:space="0" w:color="auto"/>
        <w:bottom w:val="none" w:sz="0" w:space="0" w:color="auto"/>
        <w:right w:val="none" w:sz="0" w:space="0" w:color="auto"/>
      </w:divBdr>
    </w:div>
    <w:div w:id="1784036030">
      <w:bodyDiv w:val="1"/>
      <w:marLeft w:val="0"/>
      <w:marRight w:val="0"/>
      <w:marTop w:val="0"/>
      <w:marBottom w:val="0"/>
      <w:divBdr>
        <w:top w:val="none" w:sz="0" w:space="0" w:color="auto"/>
        <w:left w:val="none" w:sz="0" w:space="0" w:color="auto"/>
        <w:bottom w:val="none" w:sz="0" w:space="0" w:color="auto"/>
        <w:right w:val="none" w:sz="0" w:space="0" w:color="auto"/>
      </w:divBdr>
    </w:div>
    <w:div w:id="1794247104">
      <w:bodyDiv w:val="1"/>
      <w:marLeft w:val="0"/>
      <w:marRight w:val="0"/>
      <w:marTop w:val="0"/>
      <w:marBottom w:val="0"/>
      <w:divBdr>
        <w:top w:val="none" w:sz="0" w:space="0" w:color="auto"/>
        <w:left w:val="none" w:sz="0" w:space="0" w:color="auto"/>
        <w:bottom w:val="none" w:sz="0" w:space="0" w:color="auto"/>
        <w:right w:val="none" w:sz="0" w:space="0" w:color="auto"/>
      </w:divBdr>
    </w:div>
    <w:div w:id="1796025180">
      <w:bodyDiv w:val="1"/>
      <w:marLeft w:val="0"/>
      <w:marRight w:val="0"/>
      <w:marTop w:val="0"/>
      <w:marBottom w:val="0"/>
      <w:divBdr>
        <w:top w:val="none" w:sz="0" w:space="0" w:color="auto"/>
        <w:left w:val="none" w:sz="0" w:space="0" w:color="auto"/>
        <w:bottom w:val="none" w:sz="0" w:space="0" w:color="auto"/>
        <w:right w:val="none" w:sz="0" w:space="0" w:color="auto"/>
      </w:divBdr>
      <w:divsChild>
        <w:div w:id="1260216803">
          <w:marLeft w:val="-10"/>
          <w:marRight w:val="0"/>
          <w:marTop w:val="0"/>
          <w:marBottom w:val="0"/>
          <w:divBdr>
            <w:top w:val="none" w:sz="0" w:space="0" w:color="auto"/>
            <w:left w:val="none" w:sz="0" w:space="0" w:color="auto"/>
            <w:bottom w:val="none" w:sz="0" w:space="0" w:color="auto"/>
            <w:right w:val="none" w:sz="0" w:space="0" w:color="auto"/>
          </w:divBdr>
        </w:div>
      </w:divsChild>
    </w:div>
    <w:div w:id="1812168258">
      <w:bodyDiv w:val="1"/>
      <w:marLeft w:val="0"/>
      <w:marRight w:val="0"/>
      <w:marTop w:val="0"/>
      <w:marBottom w:val="0"/>
      <w:divBdr>
        <w:top w:val="none" w:sz="0" w:space="0" w:color="auto"/>
        <w:left w:val="none" w:sz="0" w:space="0" w:color="auto"/>
        <w:bottom w:val="none" w:sz="0" w:space="0" w:color="auto"/>
        <w:right w:val="none" w:sz="0" w:space="0" w:color="auto"/>
      </w:divBdr>
    </w:div>
    <w:div w:id="1863737261">
      <w:bodyDiv w:val="1"/>
      <w:marLeft w:val="0"/>
      <w:marRight w:val="0"/>
      <w:marTop w:val="0"/>
      <w:marBottom w:val="0"/>
      <w:divBdr>
        <w:top w:val="none" w:sz="0" w:space="0" w:color="auto"/>
        <w:left w:val="none" w:sz="0" w:space="0" w:color="auto"/>
        <w:bottom w:val="none" w:sz="0" w:space="0" w:color="auto"/>
        <w:right w:val="none" w:sz="0" w:space="0" w:color="auto"/>
      </w:divBdr>
    </w:div>
    <w:div w:id="1867211379">
      <w:bodyDiv w:val="1"/>
      <w:marLeft w:val="0"/>
      <w:marRight w:val="0"/>
      <w:marTop w:val="0"/>
      <w:marBottom w:val="0"/>
      <w:divBdr>
        <w:top w:val="none" w:sz="0" w:space="0" w:color="auto"/>
        <w:left w:val="none" w:sz="0" w:space="0" w:color="auto"/>
        <w:bottom w:val="none" w:sz="0" w:space="0" w:color="auto"/>
        <w:right w:val="none" w:sz="0" w:space="0" w:color="auto"/>
      </w:divBdr>
    </w:div>
    <w:div w:id="1901749501">
      <w:bodyDiv w:val="1"/>
      <w:marLeft w:val="0"/>
      <w:marRight w:val="0"/>
      <w:marTop w:val="0"/>
      <w:marBottom w:val="0"/>
      <w:divBdr>
        <w:top w:val="none" w:sz="0" w:space="0" w:color="auto"/>
        <w:left w:val="none" w:sz="0" w:space="0" w:color="auto"/>
        <w:bottom w:val="none" w:sz="0" w:space="0" w:color="auto"/>
        <w:right w:val="none" w:sz="0" w:space="0" w:color="auto"/>
      </w:divBdr>
      <w:divsChild>
        <w:div w:id="391346756">
          <w:marLeft w:val="640"/>
          <w:marRight w:val="0"/>
          <w:marTop w:val="0"/>
          <w:marBottom w:val="0"/>
          <w:divBdr>
            <w:top w:val="none" w:sz="0" w:space="0" w:color="auto"/>
            <w:left w:val="none" w:sz="0" w:space="0" w:color="auto"/>
            <w:bottom w:val="none" w:sz="0" w:space="0" w:color="auto"/>
            <w:right w:val="none" w:sz="0" w:space="0" w:color="auto"/>
          </w:divBdr>
        </w:div>
        <w:div w:id="476609771">
          <w:marLeft w:val="640"/>
          <w:marRight w:val="0"/>
          <w:marTop w:val="0"/>
          <w:marBottom w:val="0"/>
          <w:divBdr>
            <w:top w:val="none" w:sz="0" w:space="0" w:color="auto"/>
            <w:left w:val="none" w:sz="0" w:space="0" w:color="auto"/>
            <w:bottom w:val="none" w:sz="0" w:space="0" w:color="auto"/>
            <w:right w:val="none" w:sz="0" w:space="0" w:color="auto"/>
          </w:divBdr>
        </w:div>
        <w:div w:id="1994604086">
          <w:marLeft w:val="640"/>
          <w:marRight w:val="0"/>
          <w:marTop w:val="0"/>
          <w:marBottom w:val="0"/>
          <w:divBdr>
            <w:top w:val="none" w:sz="0" w:space="0" w:color="auto"/>
            <w:left w:val="none" w:sz="0" w:space="0" w:color="auto"/>
            <w:bottom w:val="none" w:sz="0" w:space="0" w:color="auto"/>
            <w:right w:val="none" w:sz="0" w:space="0" w:color="auto"/>
          </w:divBdr>
        </w:div>
        <w:div w:id="898633666">
          <w:marLeft w:val="640"/>
          <w:marRight w:val="0"/>
          <w:marTop w:val="0"/>
          <w:marBottom w:val="0"/>
          <w:divBdr>
            <w:top w:val="none" w:sz="0" w:space="0" w:color="auto"/>
            <w:left w:val="none" w:sz="0" w:space="0" w:color="auto"/>
            <w:bottom w:val="none" w:sz="0" w:space="0" w:color="auto"/>
            <w:right w:val="none" w:sz="0" w:space="0" w:color="auto"/>
          </w:divBdr>
        </w:div>
        <w:div w:id="459887121">
          <w:marLeft w:val="640"/>
          <w:marRight w:val="0"/>
          <w:marTop w:val="0"/>
          <w:marBottom w:val="0"/>
          <w:divBdr>
            <w:top w:val="none" w:sz="0" w:space="0" w:color="auto"/>
            <w:left w:val="none" w:sz="0" w:space="0" w:color="auto"/>
            <w:bottom w:val="none" w:sz="0" w:space="0" w:color="auto"/>
            <w:right w:val="none" w:sz="0" w:space="0" w:color="auto"/>
          </w:divBdr>
        </w:div>
        <w:div w:id="1862888220">
          <w:marLeft w:val="640"/>
          <w:marRight w:val="0"/>
          <w:marTop w:val="0"/>
          <w:marBottom w:val="0"/>
          <w:divBdr>
            <w:top w:val="none" w:sz="0" w:space="0" w:color="auto"/>
            <w:left w:val="none" w:sz="0" w:space="0" w:color="auto"/>
            <w:bottom w:val="none" w:sz="0" w:space="0" w:color="auto"/>
            <w:right w:val="none" w:sz="0" w:space="0" w:color="auto"/>
          </w:divBdr>
        </w:div>
        <w:div w:id="925965045">
          <w:marLeft w:val="640"/>
          <w:marRight w:val="0"/>
          <w:marTop w:val="0"/>
          <w:marBottom w:val="0"/>
          <w:divBdr>
            <w:top w:val="none" w:sz="0" w:space="0" w:color="auto"/>
            <w:left w:val="none" w:sz="0" w:space="0" w:color="auto"/>
            <w:bottom w:val="none" w:sz="0" w:space="0" w:color="auto"/>
            <w:right w:val="none" w:sz="0" w:space="0" w:color="auto"/>
          </w:divBdr>
        </w:div>
        <w:div w:id="812940688">
          <w:marLeft w:val="640"/>
          <w:marRight w:val="0"/>
          <w:marTop w:val="0"/>
          <w:marBottom w:val="0"/>
          <w:divBdr>
            <w:top w:val="none" w:sz="0" w:space="0" w:color="auto"/>
            <w:left w:val="none" w:sz="0" w:space="0" w:color="auto"/>
            <w:bottom w:val="none" w:sz="0" w:space="0" w:color="auto"/>
            <w:right w:val="none" w:sz="0" w:space="0" w:color="auto"/>
          </w:divBdr>
        </w:div>
        <w:div w:id="759985504">
          <w:marLeft w:val="640"/>
          <w:marRight w:val="0"/>
          <w:marTop w:val="0"/>
          <w:marBottom w:val="0"/>
          <w:divBdr>
            <w:top w:val="none" w:sz="0" w:space="0" w:color="auto"/>
            <w:left w:val="none" w:sz="0" w:space="0" w:color="auto"/>
            <w:bottom w:val="none" w:sz="0" w:space="0" w:color="auto"/>
            <w:right w:val="none" w:sz="0" w:space="0" w:color="auto"/>
          </w:divBdr>
        </w:div>
        <w:div w:id="9066571">
          <w:marLeft w:val="640"/>
          <w:marRight w:val="0"/>
          <w:marTop w:val="0"/>
          <w:marBottom w:val="0"/>
          <w:divBdr>
            <w:top w:val="none" w:sz="0" w:space="0" w:color="auto"/>
            <w:left w:val="none" w:sz="0" w:space="0" w:color="auto"/>
            <w:bottom w:val="none" w:sz="0" w:space="0" w:color="auto"/>
            <w:right w:val="none" w:sz="0" w:space="0" w:color="auto"/>
          </w:divBdr>
        </w:div>
        <w:div w:id="1490364369">
          <w:marLeft w:val="640"/>
          <w:marRight w:val="0"/>
          <w:marTop w:val="0"/>
          <w:marBottom w:val="0"/>
          <w:divBdr>
            <w:top w:val="none" w:sz="0" w:space="0" w:color="auto"/>
            <w:left w:val="none" w:sz="0" w:space="0" w:color="auto"/>
            <w:bottom w:val="none" w:sz="0" w:space="0" w:color="auto"/>
            <w:right w:val="none" w:sz="0" w:space="0" w:color="auto"/>
          </w:divBdr>
        </w:div>
        <w:div w:id="480006723">
          <w:marLeft w:val="640"/>
          <w:marRight w:val="0"/>
          <w:marTop w:val="0"/>
          <w:marBottom w:val="0"/>
          <w:divBdr>
            <w:top w:val="none" w:sz="0" w:space="0" w:color="auto"/>
            <w:left w:val="none" w:sz="0" w:space="0" w:color="auto"/>
            <w:bottom w:val="none" w:sz="0" w:space="0" w:color="auto"/>
            <w:right w:val="none" w:sz="0" w:space="0" w:color="auto"/>
          </w:divBdr>
        </w:div>
        <w:div w:id="2138135101">
          <w:marLeft w:val="640"/>
          <w:marRight w:val="0"/>
          <w:marTop w:val="0"/>
          <w:marBottom w:val="0"/>
          <w:divBdr>
            <w:top w:val="none" w:sz="0" w:space="0" w:color="auto"/>
            <w:left w:val="none" w:sz="0" w:space="0" w:color="auto"/>
            <w:bottom w:val="none" w:sz="0" w:space="0" w:color="auto"/>
            <w:right w:val="none" w:sz="0" w:space="0" w:color="auto"/>
          </w:divBdr>
        </w:div>
        <w:div w:id="1878345806">
          <w:marLeft w:val="640"/>
          <w:marRight w:val="0"/>
          <w:marTop w:val="0"/>
          <w:marBottom w:val="0"/>
          <w:divBdr>
            <w:top w:val="none" w:sz="0" w:space="0" w:color="auto"/>
            <w:left w:val="none" w:sz="0" w:space="0" w:color="auto"/>
            <w:bottom w:val="none" w:sz="0" w:space="0" w:color="auto"/>
            <w:right w:val="none" w:sz="0" w:space="0" w:color="auto"/>
          </w:divBdr>
        </w:div>
        <w:div w:id="1981767888">
          <w:marLeft w:val="640"/>
          <w:marRight w:val="0"/>
          <w:marTop w:val="0"/>
          <w:marBottom w:val="0"/>
          <w:divBdr>
            <w:top w:val="none" w:sz="0" w:space="0" w:color="auto"/>
            <w:left w:val="none" w:sz="0" w:space="0" w:color="auto"/>
            <w:bottom w:val="none" w:sz="0" w:space="0" w:color="auto"/>
            <w:right w:val="none" w:sz="0" w:space="0" w:color="auto"/>
          </w:divBdr>
        </w:div>
        <w:div w:id="599066097">
          <w:marLeft w:val="640"/>
          <w:marRight w:val="0"/>
          <w:marTop w:val="0"/>
          <w:marBottom w:val="0"/>
          <w:divBdr>
            <w:top w:val="none" w:sz="0" w:space="0" w:color="auto"/>
            <w:left w:val="none" w:sz="0" w:space="0" w:color="auto"/>
            <w:bottom w:val="none" w:sz="0" w:space="0" w:color="auto"/>
            <w:right w:val="none" w:sz="0" w:space="0" w:color="auto"/>
          </w:divBdr>
        </w:div>
        <w:div w:id="62879646">
          <w:marLeft w:val="640"/>
          <w:marRight w:val="0"/>
          <w:marTop w:val="0"/>
          <w:marBottom w:val="0"/>
          <w:divBdr>
            <w:top w:val="none" w:sz="0" w:space="0" w:color="auto"/>
            <w:left w:val="none" w:sz="0" w:space="0" w:color="auto"/>
            <w:bottom w:val="none" w:sz="0" w:space="0" w:color="auto"/>
            <w:right w:val="none" w:sz="0" w:space="0" w:color="auto"/>
          </w:divBdr>
        </w:div>
        <w:div w:id="644816876">
          <w:marLeft w:val="640"/>
          <w:marRight w:val="0"/>
          <w:marTop w:val="0"/>
          <w:marBottom w:val="0"/>
          <w:divBdr>
            <w:top w:val="none" w:sz="0" w:space="0" w:color="auto"/>
            <w:left w:val="none" w:sz="0" w:space="0" w:color="auto"/>
            <w:bottom w:val="none" w:sz="0" w:space="0" w:color="auto"/>
            <w:right w:val="none" w:sz="0" w:space="0" w:color="auto"/>
          </w:divBdr>
        </w:div>
        <w:div w:id="1115439154">
          <w:marLeft w:val="640"/>
          <w:marRight w:val="0"/>
          <w:marTop w:val="0"/>
          <w:marBottom w:val="0"/>
          <w:divBdr>
            <w:top w:val="none" w:sz="0" w:space="0" w:color="auto"/>
            <w:left w:val="none" w:sz="0" w:space="0" w:color="auto"/>
            <w:bottom w:val="none" w:sz="0" w:space="0" w:color="auto"/>
            <w:right w:val="none" w:sz="0" w:space="0" w:color="auto"/>
          </w:divBdr>
        </w:div>
        <w:div w:id="1600793560">
          <w:marLeft w:val="640"/>
          <w:marRight w:val="0"/>
          <w:marTop w:val="0"/>
          <w:marBottom w:val="0"/>
          <w:divBdr>
            <w:top w:val="none" w:sz="0" w:space="0" w:color="auto"/>
            <w:left w:val="none" w:sz="0" w:space="0" w:color="auto"/>
            <w:bottom w:val="none" w:sz="0" w:space="0" w:color="auto"/>
            <w:right w:val="none" w:sz="0" w:space="0" w:color="auto"/>
          </w:divBdr>
        </w:div>
        <w:div w:id="337926514">
          <w:marLeft w:val="640"/>
          <w:marRight w:val="0"/>
          <w:marTop w:val="0"/>
          <w:marBottom w:val="0"/>
          <w:divBdr>
            <w:top w:val="none" w:sz="0" w:space="0" w:color="auto"/>
            <w:left w:val="none" w:sz="0" w:space="0" w:color="auto"/>
            <w:bottom w:val="none" w:sz="0" w:space="0" w:color="auto"/>
            <w:right w:val="none" w:sz="0" w:space="0" w:color="auto"/>
          </w:divBdr>
        </w:div>
        <w:div w:id="490372329">
          <w:marLeft w:val="640"/>
          <w:marRight w:val="0"/>
          <w:marTop w:val="0"/>
          <w:marBottom w:val="0"/>
          <w:divBdr>
            <w:top w:val="none" w:sz="0" w:space="0" w:color="auto"/>
            <w:left w:val="none" w:sz="0" w:space="0" w:color="auto"/>
            <w:bottom w:val="none" w:sz="0" w:space="0" w:color="auto"/>
            <w:right w:val="none" w:sz="0" w:space="0" w:color="auto"/>
          </w:divBdr>
        </w:div>
        <w:div w:id="598177803">
          <w:marLeft w:val="640"/>
          <w:marRight w:val="0"/>
          <w:marTop w:val="0"/>
          <w:marBottom w:val="0"/>
          <w:divBdr>
            <w:top w:val="none" w:sz="0" w:space="0" w:color="auto"/>
            <w:left w:val="none" w:sz="0" w:space="0" w:color="auto"/>
            <w:bottom w:val="none" w:sz="0" w:space="0" w:color="auto"/>
            <w:right w:val="none" w:sz="0" w:space="0" w:color="auto"/>
          </w:divBdr>
        </w:div>
        <w:div w:id="1769739038">
          <w:marLeft w:val="640"/>
          <w:marRight w:val="0"/>
          <w:marTop w:val="0"/>
          <w:marBottom w:val="0"/>
          <w:divBdr>
            <w:top w:val="none" w:sz="0" w:space="0" w:color="auto"/>
            <w:left w:val="none" w:sz="0" w:space="0" w:color="auto"/>
            <w:bottom w:val="none" w:sz="0" w:space="0" w:color="auto"/>
            <w:right w:val="none" w:sz="0" w:space="0" w:color="auto"/>
          </w:divBdr>
        </w:div>
        <w:div w:id="2137553993">
          <w:marLeft w:val="640"/>
          <w:marRight w:val="0"/>
          <w:marTop w:val="0"/>
          <w:marBottom w:val="0"/>
          <w:divBdr>
            <w:top w:val="none" w:sz="0" w:space="0" w:color="auto"/>
            <w:left w:val="none" w:sz="0" w:space="0" w:color="auto"/>
            <w:bottom w:val="none" w:sz="0" w:space="0" w:color="auto"/>
            <w:right w:val="none" w:sz="0" w:space="0" w:color="auto"/>
          </w:divBdr>
        </w:div>
        <w:div w:id="515117770">
          <w:marLeft w:val="640"/>
          <w:marRight w:val="0"/>
          <w:marTop w:val="0"/>
          <w:marBottom w:val="0"/>
          <w:divBdr>
            <w:top w:val="none" w:sz="0" w:space="0" w:color="auto"/>
            <w:left w:val="none" w:sz="0" w:space="0" w:color="auto"/>
            <w:bottom w:val="none" w:sz="0" w:space="0" w:color="auto"/>
            <w:right w:val="none" w:sz="0" w:space="0" w:color="auto"/>
          </w:divBdr>
        </w:div>
        <w:div w:id="1850170764">
          <w:marLeft w:val="640"/>
          <w:marRight w:val="0"/>
          <w:marTop w:val="0"/>
          <w:marBottom w:val="0"/>
          <w:divBdr>
            <w:top w:val="none" w:sz="0" w:space="0" w:color="auto"/>
            <w:left w:val="none" w:sz="0" w:space="0" w:color="auto"/>
            <w:bottom w:val="none" w:sz="0" w:space="0" w:color="auto"/>
            <w:right w:val="none" w:sz="0" w:space="0" w:color="auto"/>
          </w:divBdr>
        </w:div>
        <w:div w:id="1448894686">
          <w:marLeft w:val="640"/>
          <w:marRight w:val="0"/>
          <w:marTop w:val="0"/>
          <w:marBottom w:val="0"/>
          <w:divBdr>
            <w:top w:val="none" w:sz="0" w:space="0" w:color="auto"/>
            <w:left w:val="none" w:sz="0" w:space="0" w:color="auto"/>
            <w:bottom w:val="none" w:sz="0" w:space="0" w:color="auto"/>
            <w:right w:val="none" w:sz="0" w:space="0" w:color="auto"/>
          </w:divBdr>
        </w:div>
        <w:div w:id="1074740471">
          <w:marLeft w:val="640"/>
          <w:marRight w:val="0"/>
          <w:marTop w:val="0"/>
          <w:marBottom w:val="0"/>
          <w:divBdr>
            <w:top w:val="none" w:sz="0" w:space="0" w:color="auto"/>
            <w:left w:val="none" w:sz="0" w:space="0" w:color="auto"/>
            <w:bottom w:val="none" w:sz="0" w:space="0" w:color="auto"/>
            <w:right w:val="none" w:sz="0" w:space="0" w:color="auto"/>
          </w:divBdr>
        </w:div>
        <w:div w:id="1804735606">
          <w:marLeft w:val="640"/>
          <w:marRight w:val="0"/>
          <w:marTop w:val="0"/>
          <w:marBottom w:val="0"/>
          <w:divBdr>
            <w:top w:val="none" w:sz="0" w:space="0" w:color="auto"/>
            <w:left w:val="none" w:sz="0" w:space="0" w:color="auto"/>
            <w:bottom w:val="none" w:sz="0" w:space="0" w:color="auto"/>
            <w:right w:val="none" w:sz="0" w:space="0" w:color="auto"/>
          </w:divBdr>
        </w:div>
        <w:div w:id="156726091">
          <w:marLeft w:val="640"/>
          <w:marRight w:val="0"/>
          <w:marTop w:val="0"/>
          <w:marBottom w:val="0"/>
          <w:divBdr>
            <w:top w:val="none" w:sz="0" w:space="0" w:color="auto"/>
            <w:left w:val="none" w:sz="0" w:space="0" w:color="auto"/>
            <w:bottom w:val="none" w:sz="0" w:space="0" w:color="auto"/>
            <w:right w:val="none" w:sz="0" w:space="0" w:color="auto"/>
          </w:divBdr>
        </w:div>
        <w:div w:id="554513936">
          <w:marLeft w:val="640"/>
          <w:marRight w:val="0"/>
          <w:marTop w:val="0"/>
          <w:marBottom w:val="0"/>
          <w:divBdr>
            <w:top w:val="none" w:sz="0" w:space="0" w:color="auto"/>
            <w:left w:val="none" w:sz="0" w:space="0" w:color="auto"/>
            <w:bottom w:val="none" w:sz="0" w:space="0" w:color="auto"/>
            <w:right w:val="none" w:sz="0" w:space="0" w:color="auto"/>
          </w:divBdr>
        </w:div>
        <w:div w:id="159777250">
          <w:marLeft w:val="640"/>
          <w:marRight w:val="0"/>
          <w:marTop w:val="0"/>
          <w:marBottom w:val="0"/>
          <w:divBdr>
            <w:top w:val="none" w:sz="0" w:space="0" w:color="auto"/>
            <w:left w:val="none" w:sz="0" w:space="0" w:color="auto"/>
            <w:bottom w:val="none" w:sz="0" w:space="0" w:color="auto"/>
            <w:right w:val="none" w:sz="0" w:space="0" w:color="auto"/>
          </w:divBdr>
        </w:div>
        <w:div w:id="1450856020">
          <w:marLeft w:val="640"/>
          <w:marRight w:val="0"/>
          <w:marTop w:val="0"/>
          <w:marBottom w:val="0"/>
          <w:divBdr>
            <w:top w:val="none" w:sz="0" w:space="0" w:color="auto"/>
            <w:left w:val="none" w:sz="0" w:space="0" w:color="auto"/>
            <w:bottom w:val="none" w:sz="0" w:space="0" w:color="auto"/>
            <w:right w:val="none" w:sz="0" w:space="0" w:color="auto"/>
          </w:divBdr>
        </w:div>
        <w:div w:id="99617628">
          <w:marLeft w:val="640"/>
          <w:marRight w:val="0"/>
          <w:marTop w:val="0"/>
          <w:marBottom w:val="0"/>
          <w:divBdr>
            <w:top w:val="none" w:sz="0" w:space="0" w:color="auto"/>
            <w:left w:val="none" w:sz="0" w:space="0" w:color="auto"/>
            <w:bottom w:val="none" w:sz="0" w:space="0" w:color="auto"/>
            <w:right w:val="none" w:sz="0" w:space="0" w:color="auto"/>
          </w:divBdr>
        </w:div>
        <w:div w:id="1377854291">
          <w:marLeft w:val="640"/>
          <w:marRight w:val="0"/>
          <w:marTop w:val="0"/>
          <w:marBottom w:val="0"/>
          <w:divBdr>
            <w:top w:val="none" w:sz="0" w:space="0" w:color="auto"/>
            <w:left w:val="none" w:sz="0" w:space="0" w:color="auto"/>
            <w:bottom w:val="none" w:sz="0" w:space="0" w:color="auto"/>
            <w:right w:val="none" w:sz="0" w:space="0" w:color="auto"/>
          </w:divBdr>
        </w:div>
        <w:div w:id="184559353">
          <w:marLeft w:val="640"/>
          <w:marRight w:val="0"/>
          <w:marTop w:val="0"/>
          <w:marBottom w:val="0"/>
          <w:divBdr>
            <w:top w:val="none" w:sz="0" w:space="0" w:color="auto"/>
            <w:left w:val="none" w:sz="0" w:space="0" w:color="auto"/>
            <w:bottom w:val="none" w:sz="0" w:space="0" w:color="auto"/>
            <w:right w:val="none" w:sz="0" w:space="0" w:color="auto"/>
          </w:divBdr>
        </w:div>
        <w:div w:id="700979565">
          <w:marLeft w:val="640"/>
          <w:marRight w:val="0"/>
          <w:marTop w:val="0"/>
          <w:marBottom w:val="0"/>
          <w:divBdr>
            <w:top w:val="none" w:sz="0" w:space="0" w:color="auto"/>
            <w:left w:val="none" w:sz="0" w:space="0" w:color="auto"/>
            <w:bottom w:val="none" w:sz="0" w:space="0" w:color="auto"/>
            <w:right w:val="none" w:sz="0" w:space="0" w:color="auto"/>
          </w:divBdr>
        </w:div>
        <w:div w:id="1758280727">
          <w:marLeft w:val="640"/>
          <w:marRight w:val="0"/>
          <w:marTop w:val="0"/>
          <w:marBottom w:val="0"/>
          <w:divBdr>
            <w:top w:val="none" w:sz="0" w:space="0" w:color="auto"/>
            <w:left w:val="none" w:sz="0" w:space="0" w:color="auto"/>
            <w:bottom w:val="none" w:sz="0" w:space="0" w:color="auto"/>
            <w:right w:val="none" w:sz="0" w:space="0" w:color="auto"/>
          </w:divBdr>
        </w:div>
        <w:div w:id="1257402753">
          <w:marLeft w:val="640"/>
          <w:marRight w:val="0"/>
          <w:marTop w:val="0"/>
          <w:marBottom w:val="0"/>
          <w:divBdr>
            <w:top w:val="none" w:sz="0" w:space="0" w:color="auto"/>
            <w:left w:val="none" w:sz="0" w:space="0" w:color="auto"/>
            <w:bottom w:val="none" w:sz="0" w:space="0" w:color="auto"/>
            <w:right w:val="none" w:sz="0" w:space="0" w:color="auto"/>
          </w:divBdr>
        </w:div>
        <w:div w:id="471867574">
          <w:marLeft w:val="640"/>
          <w:marRight w:val="0"/>
          <w:marTop w:val="0"/>
          <w:marBottom w:val="0"/>
          <w:divBdr>
            <w:top w:val="none" w:sz="0" w:space="0" w:color="auto"/>
            <w:left w:val="none" w:sz="0" w:space="0" w:color="auto"/>
            <w:bottom w:val="none" w:sz="0" w:space="0" w:color="auto"/>
            <w:right w:val="none" w:sz="0" w:space="0" w:color="auto"/>
          </w:divBdr>
        </w:div>
        <w:div w:id="2024895135">
          <w:marLeft w:val="640"/>
          <w:marRight w:val="0"/>
          <w:marTop w:val="0"/>
          <w:marBottom w:val="0"/>
          <w:divBdr>
            <w:top w:val="none" w:sz="0" w:space="0" w:color="auto"/>
            <w:left w:val="none" w:sz="0" w:space="0" w:color="auto"/>
            <w:bottom w:val="none" w:sz="0" w:space="0" w:color="auto"/>
            <w:right w:val="none" w:sz="0" w:space="0" w:color="auto"/>
          </w:divBdr>
        </w:div>
        <w:div w:id="1535731818">
          <w:marLeft w:val="640"/>
          <w:marRight w:val="0"/>
          <w:marTop w:val="0"/>
          <w:marBottom w:val="0"/>
          <w:divBdr>
            <w:top w:val="none" w:sz="0" w:space="0" w:color="auto"/>
            <w:left w:val="none" w:sz="0" w:space="0" w:color="auto"/>
            <w:bottom w:val="none" w:sz="0" w:space="0" w:color="auto"/>
            <w:right w:val="none" w:sz="0" w:space="0" w:color="auto"/>
          </w:divBdr>
        </w:div>
        <w:div w:id="1416782291">
          <w:marLeft w:val="640"/>
          <w:marRight w:val="0"/>
          <w:marTop w:val="0"/>
          <w:marBottom w:val="0"/>
          <w:divBdr>
            <w:top w:val="none" w:sz="0" w:space="0" w:color="auto"/>
            <w:left w:val="none" w:sz="0" w:space="0" w:color="auto"/>
            <w:bottom w:val="none" w:sz="0" w:space="0" w:color="auto"/>
            <w:right w:val="none" w:sz="0" w:space="0" w:color="auto"/>
          </w:divBdr>
        </w:div>
        <w:div w:id="2106610608">
          <w:marLeft w:val="640"/>
          <w:marRight w:val="0"/>
          <w:marTop w:val="0"/>
          <w:marBottom w:val="0"/>
          <w:divBdr>
            <w:top w:val="none" w:sz="0" w:space="0" w:color="auto"/>
            <w:left w:val="none" w:sz="0" w:space="0" w:color="auto"/>
            <w:bottom w:val="none" w:sz="0" w:space="0" w:color="auto"/>
            <w:right w:val="none" w:sz="0" w:space="0" w:color="auto"/>
          </w:divBdr>
        </w:div>
        <w:div w:id="712462494">
          <w:marLeft w:val="640"/>
          <w:marRight w:val="0"/>
          <w:marTop w:val="0"/>
          <w:marBottom w:val="0"/>
          <w:divBdr>
            <w:top w:val="none" w:sz="0" w:space="0" w:color="auto"/>
            <w:left w:val="none" w:sz="0" w:space="0" w:color="auto"/>
            <w:bottom w:val="none" w:sz="0" w:space="0" w:color="auto"/>
            <w:right w:val="none" w:sz="0" w:space="0" w:color="auto"/>
          </w:divBdr>
        </w:div>
        <w:div w:id="1862425867">
          <w:marLeft w:val="640"/>
          <w:marRight w:val="0"/>
          <w:marTop w:val="0"/>
          <w:marBottom w:val="0"/>
          <w:divBdr>
            <w:top w:val="none" w:sz="0" w:space="0" w:color="auto"/>
            <w:left w:val="none" w:sz="0" w:space="0" w:color="auto"/>
            <w:bottom w:val="none" w:sz="0" w:space="0" w:color="auto"/>
            <w:right w:val="none" w:sz="0" w:space="0" w:color="auto"/>
          </w:divBdr>
        </w:div>
        <w:div w:id="135297045">
          <w:marLeft w:val="640"/>
          <w:marRight w:val="0"/>
          <w:marTop w:val="0"/>
          <w:marBottom w:val="0"/>
          <w:divBdr>
            <w:top w:val="none" w:sz="0" w:space="0" w:color="auto"/>
            <w:left w:val="none" w:sz="0" w:space="0" w:color="auto"/>
            <w:bottom w:val="none" w:sz="0" w:space="0" w:color="auto"/>
            <w:right w:val="none" w:sz="0" w:space="0" w:color="auto"/>
          </w:divBdr>
        </w:div>
        <w:div w:id="1959948453">
          <w:marLeft w:val="640"/>
          <w:marRight w:val="0"/>
          <w:marTop w:val="0"/>
          <w:marBottom w:val="0"/>
          <w:divBdr>
            <w:top w:val="none" w:sz="0" w:space="0" w:color="auto"/>
            <w:left w:val="none" w:sz="0" w:space="0" w:color="auto"/>
            <w:bottom w:val="none" w:sz="0" w:space="0" w:color="auto"/>
            <w:right w:val="none" w:sz="0" w:space="0" w:color="auto"/>
          </w:divBdr>
        </w:div>
        <w:div w:id="543710084">
          <w:marLeft w:val="640"/>
          <w:marRight w:val="0"/>
          <w:marTop w:val="0"/>
          <w:marBottom w:val="0"/>
          <w:divBdr>
            <w:top w:val="none" w:sz="0" w:space="0" w:color="auto"/>
            <w:left w:val="none" w:sz="0" w:space="0" w:color="auto"/>
            <w:bottom w:val="none" w:sz="0" w:space="0" w:color="auto"/>
            <w:right w:val="none" w:sz="0" w:space="0" w:color="auto"/>
          </w:divBdr>
        </w:div>
        <w:div w:id="1814371623">
          <w:marLeft w:val="640"/>
          <w:marRight w:val="0"/>
          <w:marTop w:val="0"/>
          <w:marBottom w:val="0"/>
          <w:divBdr>
            <w:top w:val="none" w:sz="0" w:space="0" w:color="auto"/>
            <w:left w:val="none" w:sz="0" w:space="0" w:color="auto"/>
            <w:bottom w:val="none" w:sz="0" w:space="0" w:color="auto"/>
            <w:right w:val="none" w:sz="0" w:space="0" w:color="auto"/>
          </w:divBdr>
        </w:div>
        <w:div w:id="1982077971">
          <w:marLeft w:val="640"/>
          <w:marRight w:val="0"/>
          <w:marTop w:val="0"/>
          <w:marBottom w:val="0"/>
          <w:divBdr>
            <w:top w:val="none" w:sz="0" w:space="0" w:color="auto"/>
            <w:left w:val="none" w:sz="0" w:space="0" w:color="auto"/>
            <w:bottom w:val="none" w:sz="0" w:space="0" w:color="auto"/>
            <w:right w:val="none" w:sz="0" w:space="0" w:color="auto"/>
          </w:divBdr>
        </w:div>
        <w:div w:id="519707715">
          <w:marLeft w:val="640"/>
          <w:marRight w:val="0"/>
          <w:marTop w:val="0"/>
          <w:marBottom w:val="0"/>
          <w:divBdr>
            <w:top w:val="none" w:sz="0" w:space="0" w:color="auto"/>
            <w:left w:val="none" w:sz="0" w:space="0" w:color="auto"/>
            <w:bottom w:val="none" w:sz="0" w:space="0" w:color="auto"/>
            <w:right w:val="none" w:sz="0" w:space="0" w:color="auto"/>
          </w:divBdr>
        </w:div>
        <w:div w:id="1027291422">
          <w:marLeft w:val="640"/>
          <w:marRight w:val="0"/>
          <w:marTop w:val="0"/>
          <w:marBottom w:val="0"/>
          <w:divBdr>
            <w:top w:val="none" w:sz="0" w:space="0" w:color="auto"/>
            <w:left w:val="none" w:sz="0" w:space="0" w:color="auto"/>
            <w:bottom w:val="none" w:sz="0" w:space="0" w:color="auto"/>
            <w:right w:val="none" w:sz="0" w:space="0" w:color="auto"/>
          </w:divBdr>
        </w:div>
        <w:div w:id="1254701514">
          <w:marLeft w:val="640"/>
          <w:marRight w:val="0"/>
          <w:marTop w:val="0"/>
          <w:marBottom w:val="0"/>
          <w:divBdr>
            <w:top w:val="none" w:sz="0" w:space="0" w:color="auto"/>
            <w:left w:val="none" w:sz="0" w:space="0" w:color="auto"/>
            <w:bottom w:val="none" w:sz="0" w:space="0" w:color="auto"/>
            <w:right w:val="none" w:sz="0" w:space="0" w:color="auto"/>
          </w:divBdr>
        </w:div>
        <w:div w:id="158010286">
          <w:marLeft w:val="640"/>
          <w:marRight w:val="0"/>
          <w:marTop w:val="0"/>
          <w:marBottom w:val="0"/>
          <w:divBdr>
            <w:top w:val="none" w:sz="0" w:space="0" w:color="auto"/>
            <w:left w:val="none" w:sz="0" w:space="0" w:color="auto"/>
            <w:bottom w:val="none" w:sz="0" w:space="0" w:color="auto"/>
            <w:right w:val="none" w:sz="0" w:space="0" w:color="auto"/>
          </w:divBdr>
        </w:div>
        <w:div w:id="412315162">
          <w:marLeft w:val="640"/>
          <w:marRight w:val="0"/>
          <w:marTop w:val="0"/>
          <w:marBottom w:val="0"/>
          <w:divBdr>
            <w:top w:val="none" w:sz="0" w:space="0" w:color="auto"/>
            <w:left w:val="none" w:sz="0" w:space="0" w:color="auto"/>
            <w:bottom w:val="none" w:sz="0" w:space="0" w:color="auto"/>
            <w:right w:val="none" w:sz="0" w:space="0" w:color="auto"/>
          </w:divBdr>
        </w:div>
        <w:div w:id="226690751">
          <w:marLeft w:val="640"/>
          <w:marRight w:val="0"/>
          <w:marTop w:val="0"/>
          <w:marBottom w:val="0"/>
          <w:divBdr>
            <w:top w:val="none" w:sz="0" w:space="0" w:color="auto"/>
            <w:left w:val="none" w:sz="0" w:space="0" w:color="auto"/>
            <w:bottom w:val="none" w:sz="0" w:space="0" w:color="auto"/>
            <w:right w:val="none" w:sz="0" w:space="0" w:color="auto"/>
          </w:divBdr>
        </w:div>
        <w:div w:id="1770856880">
          <w:marLeft w:val="640"/>
          <w:marRight w:val="0"/>
          <w:marTop w:val="0"/>
          <w:marBottom w:val="0"/>
          <w:divBdr>
            <w:top w:val="none" w:sz="0" w:space="0" w:color="auto"/>
            <w:left w:val="none" w:sz="0" w:space="0" w:color="auto"/>
            <w:bottom w:val="none" w:sz="0" w:space="0" w:color="auto"/>
            <w:right w:val="none" w:sz="0" w:space="0" w:color="auto"/>
          </w:divBdr>
        </w:div>
        <w:div w:id="1807818681">
          <w:marLeft w:val="640"/>
          <w:marRight w:val="0"/>
          <w:marTop w:val="0"/>
          <w:marBottom w:val="0"/>
          <w:divBdr>
            <w:top w:val="none" w:sz="0" w:space="0" w:color="auto"/>
            <w:left w:val="none" w:sz="0" w:space="0" w:color="auto"/>
            <w:bottom w:val="none" w:sz="0" w:space="0" w:color="auto"/>
            <w:right w:val="none" w:sz="0" w:space="0" w:color="auto"/>
          </w:divBdr>
        </w:div>
        <w:div w:id="46269462">
          <w:marLeft w:val="640"/>
          <w:marRight w:val="0"/>
          <w:marTop w:val="0"/>
          <w:marBottom w:val="0"/>
          <w:divBdr>
            <w:top w:val="none" w:sz="0" w:space="0" w:color="auto"/>
            <w:left w:val="none" w:sz="0" w:space="0" w:color="auto"/>
            <w:bottom w:val="none" w:sz="0" w:space="0" w:color="auto"/>
            <w:right w:val="none" w:sz="0" w:space="0" w:color="auto"/>
          </w:divBdr>
        </w:div>
        <w:div w:id="1270896237">
          <w:marLeft w:val="640"/>
          <w:marRight w:val="0"/>
          <w:marTop w:val="0"/>
          <w:marBottom w:val="0"/>
          <w:divBdr>
            <w:top w:val="none" w:sz="0" w:space="0" w:color="auto"/>
            <w:left w:val="none" w:sz="0" w:space="0" w:color="auto"/>
            <w:bottom w:val="none" w:sz="0" w:space="0" w:color="auto"/>
            <w:right w:val="none" w:sz="0" w:space="0" w:color="auto"/>
          </w:divBdr>
        </w:div>
        <w:div w:id="1115102180">
          <w:marLeft w:val="640"/>
          <w:marRight w:val="0"/>
          <w:marTop w:val="0"/>
          <w:marBottom w:val="0"/>
          <w:divBdr>
            <w:top w:val="none" w:sz="0" w:space="0" w:color="auto"/>
            <w:left w:val="none" w:sz="0" w:space="0" w:color="auto"/>
            <w:bottom w:val="none" w:sz="0" w:space="0" w:color="auto"/>
            <w:right w:val="none" w:sz="0" w:space="0" w:color="auto"/>
          </w:divBdr>
        </w:div>
        <w:div w:id="209803598">
          <w:marLeft w:val="640"/>
          <w:marRight w:val="0"/>
          <w:marTop w:val="0"/>
          <w:marBottom w:val="0"/>
          <w:divBdr>
            <w:top w:val="none" w:sz="0" w:space="0" w:color="auto"/>
            <w:left w:val="none" w:sz="0" w:space="0" w:color="auto"/>
            <w:bottom w:val="none" w:sz="0" w:space="0" w:color="auto"/>
            <w:right w:val="none" w:sz="0" w:space="0" w:color="auto"/>
          </w:divBdr>
        </w:div>
        <w:div w:id="974066356">
          <w:marLeft w:val="640"/>
          <w:marRight w:val="0"/>
          <w:marTop w:val="0"/>
          <w:marBottom w:val="0"/>
          <w:divBdr>
            <w:top w:val="none" w:sz="0" w:space="0" w:color="auto"/>
            <w:left w:val="none" w:sz="0" w:space="0" w:color="auto"/>
            <w:bottom w:val="none" w:sz="0" w:space="0" w:color="auto"/>
            <w:right w:val="none" w:sz="0" w:space="0" w:color="auto"/>
          </w:divBdr>
        </w:div>
        <w:div w:id="206912346">
          <w:marLeft w:val="640"/>
          <w:marRight w:val="0"/>
          <w:marTop w:val="0"/>
          <w:marBottom w:val="0"/>
          <w:divBdr>
            <w:top w:val="none" w:sz="0" w:space="0" w:color="auto"/>
            <w:left w:val="none" w:sz="0" w:space="0" w:color="auto"/>
            <w:bottom w:val="none" w:sz="0" w:space="0" w:color="auto"/>
            <w:right w:val="none" w:sz="0" w:space="0" w:color="auto"/>
          </w:divBdr>
        </w:div>
        <w:div w:id="2014916784">
          <w:marLeft w:val="640"/>
          <w:marRight w:val="0"/>
          <w:marTop w:val="0"/>
          <w:marBottom w:val="0"/>
          <w:divBdr>
            <w:top w:val="none" w:sz="0" w:space="0" w:color="auto"/>
            <w:left w:val="none" w:sz="0" w:space="0" w:color="auto"/>
            <w:bottom w:val="none" w:sz="0" w:space="0" w:color="auto"/>
            <w:right w:val="none" w:sz="0" w:space="0" w:color="auto"/>
          </w:divBdr>
        </w:div>
        <w:div w:id="1573470500">
          <w:marLeft w:val="640"/>
          <w:marRight w:val="0"/>
          <w:marTop w:val="0"/>
          <w:marBottom w:val="0"/>
          <w:divBdr>
            <w:top w:val="none" w:sz="0" w:space="0" w:color="auto"/>
            <w:left w:val="none" w:sz="0" w:space="0" w:color="auto"/>
            <w:bottom w:val="none" w:sz="0" w:space="0" w:color="auto"/>
            <w:right w:val="none" w:sz="0" w:space="0" w:color="auto"/>
          </w:divBdr>
        </w:div>
        <w:div w:id="285624763">
          <w:marLeft w:val="640"/>
          <w:marRight w:val="0"/>
          <w:marTop w:val="0"/>
          <w:marBottom w:val="0"/>
          <w:divBdr>
            <w:top w:val="none" w:sz="0" w:space="0" w:color="auto"/>
            <w:left w:val="none" w:sz="0" w:space="0" w:color="auto"/>
            <w:bottom w:val="none" w:sz="0" w:space="0" w:color="auto"/>
            <w:right w:val="none" w:sz="0" w:space="0" w:color="auto"/>
          </w:divBdr>
        </w:div>
        <w:div w:id="627666639">
          <w:marLeft w:val="640"/>
          <w:marRight w:val="0"/>
          <w:marTop w:val="0"/>
          <w:marBottom w:val="0"/>
          <w:divBdr>
            <w:top w:val="none" w:sz="0" w:space="0" w:color="auto"/>
            <w:left w:val="none" w:sz="0" w:space="0" w:color="auto"/>
            <w:bottom w:val="none" w:sz="0" w:space="0" w:color="auto"/>
            <w:right w:val="none" w:sz="0" w:space="0" w:color="auto"/>
          </w:divBdr>
        </w:div>
        <w:div w:id="435641918">
          <w:marLeft w:val="640"/>
          <w:marRight w:val="0"/>
          <w:marTop w:val="0"/>
          <w:marBottom w:val="0"/>
          <w:divBdr>
            <w:top w:val="none" w:sz="0" w:space="0" w:color="auto"/>
            <w:left w:val="none" w:sz="0" w:space="0" w:color="auto"/>
            <w:bottom w:val="none" w:sz="0" w:space="0" w:color="auto"/>
            <w:right w:val="none" w:sz="0" w:space="0" w:color="auto"/>
          </w:divBdr>
        </w:div>
        <w:div w:id="536046072">
          <w:marLeft w:val="640"/>
          <w:marRight w:val="0"/>
          <w:marTop w:val="0"/>
          <w:marBottom w:val="0"/>
          <w:divBdr>
            <w:top w:val="none" w:sz="0" w:space="0" w:color="auto"/>
            <w:left w:val="none" w:sz="0" w:space="0" w:color="auto"/>
            <w:bottom w:val="none" w:sz="0" w:space="0" w:color="auto"/>
            <w:right w:val="none" w:sz="0" w:space="0" w:color="auto"/>
          </w:divBdr>
        </w:div>
        <w:div w:id="72705372">
          <w:marLeft w:val="640"/>
          <w:marRight w:val="0"/>
          <w:marTop w:val="0"/>
          <w:marBottom w:val="0"/>
          <w:divBdr>
            <w:top w:val="none" w:sz="0" w:space="0" w:color="auto"/>
            <w:left w:val="none" w:sz="0" w:space="0" w:color="auto"/>
            <w:bottom w:val="none" w:sz="0" w:space="0" w:color="auto"/>
            <w:right w:val="none" w:sz="0" w:space="0" w:color="auto"/>
          </w:divBdr>
        </w:div>
        <w:div w:id="695618323">
          <w:marLeft w:val="640"/>
          <w:marRight w:val="0"/>
          <w:marTop w:val="0"/>
          <w:marBottom w:val="0"/>
          <w:divBdr>
            <w:top w:val="none" w:sz="0" w:space="0" w:color="auto"/>
            <w:left w:val="none" w:sz="0" w:space="0" w:color="auto"/>
            <w:bottom w:val="none" w:sz="0" w:space="0" w:color="auto"/>
            <w:right w:val="none" w:sz="0" w:space="0" w:color="auto"/>
          </w:divBdr>
        </w:div>
        <w:div w:id="1049842496">
          <w:marLeft w:val="640"/>
          <w:marRight w:val="0"/>
          <w:marTop w:val="0"/>
          <w:marBottom w:val="0"/>
          <w:divBdr>
            <w:top w:val="none" w:sz="0" w:space="0" w:color="auto"/>
            <w:left w:val="none" w:sz="0" w:space="0" w:color="auto"/>
            <w:bottom w:val="none" w:sz="0" w:space="0" w:color="auto"/>
            <w:right w:val="none" w:sz="0" w:space="0" w:color="auto"/>
          </w:divBdr>
        </w:div>
        <w:div w:id="1804693416">
          <w:marLeft w:val="640"/>
          <w:marRight w:val="0"/>
          <w:marTop w:val="0"/>
          <w:marBottom w:val="0"/>
          <w:divBdr>
            <w:top w:val="none" w:sz="0" w:space="0" w:color="auto"/>
            <w:left w:val="none" w:sz="0" w:space="0" w:color="auto"/>
            <w:bottom w:val="none" w:sz="0" w:space="0" w:color="auto"/>
            <w:right w:val="none" w:sz="0" w:space="0" w:color="auto"/>
          </w:divBdr>
        </w:div>
        <w:div w:id="829174726">
          <w:marLeft w:val="640"/>
          <w:marRight w:val="0"/>
          <w:marTop w:val="0"/>
          <w:marBottom w:val="0"/>
          <w:divBdr>
            <w:top w:val="none" w:sz="0" w:space="0" w:color="auto"/>
            <w:left w:val="none" w:sz="0" w:space="0" w:color="auto"/>
            <w:bottom w:val="none" w:sz="0" w:space="0" w:color="auto"/>
            <w:right w:val="none" w:sz="0" w:space="0" w:color="auto"/>
          </w:divBdr>
        </w:div>
        <w:div w:id="1542664969">
          <w:marLeft w:val="640"/>
          <w:marRight w:val="0"/>
          <w:marTop w:val="0"/>
          <w:marBottom w:val="0"/>
          <w:divBdr>
            <w:top w:val="none" w:sz="0" w:space="0" w:color="auto"/>
            <w:left w:val="none" w:sz="0" w:space="0" w:color="auto"/>
            <w:bottom w:val="none" w:sz="0" w:space="0" w:color="auto"/>
            <w:right w:val="none" w:sz="0" w:space="0" w:color="auto"/>
          </w:divBdr>
        </w:div>
        <w:div w:id="48307957">
          <w:marLeft w:val="640"/>
          <w:marRight w:val="0"/>
          <w:marTop w:val="0"/>
          <w:marBottom w:val="0"/>
          <w:divBdr>
            <w:top w:val="none" w:sz="0" w:space="0" w:color="auto"/>
            <w:left w:val="none" w:sz="0" w:space="0" w:color="auto"/>
            <w:bottom w:val="none" w:sz="0" w:space="0" w:color="auto"/>
            <w:right w:val="none" w:sz="0" w:space="0" w:color="auto"/>
          </w:divBdr>
        </w:div>
        <w:div w:id="856432062">
          <w:marLeft w:val="640"/>
          <w:marRight w:val="0"/>
          <w:marTop w:val="0"/>
          <w:marBottom w:val="0"/>
          <w:divBdr>
            <w:top w:val="none" w:sz="0" w:space="0" w:color="auto"/>
            <w:left w:val="none" w:sz="0" w:space="0" w:color="auto"/>
            <w:bottom w:val="none" w:sz="0" w:space="0" w:color="auto"/>
            <w:right w:val="none" w:sz="0" w:space="0" w:color="auto"/>
          </w:divBdr>
        </w:div>
        <w:div w:id="439027616">
          <w:marLeft w:val="640"/>
          <w:marRight w:val="0"/>
          <w:marTop w:val="0"/>
          <w:marBottom w:val="0"/>
          <w:divBdr>
            <w:top w:val="none" w:sz="0" w:space="0" w:color="auto"/>
            <w:left w:val="none" w:sz="0" w:space="0" w:color="auto"/>
            <w:bottom w:val="none" w:sz="0" w:space="0" w:color="auto"/>
            <w:right w:val="none" w:sz="0" w:space="0" w:color="auto"/>
          </w:divBdr>
        </w:div>
        <w:div w:id="443622149">
          <w:marLeft w:val="640"/>
          <w:marRight w:val="0"/>
          <w:marTop w:val="0"/>
          <w:marBottom w:val="0"/>
          <w:divBdr>
            <w:top w:val="none" w:sz="0" w:space="0" w:color="auto"/>
            <w:left w:val="none" w:sz="0" w:space="0" w:color="auto"/>
            <w:bottom w:val="none" w:sz="0" w:space="0" w:color="auto"/>
            <w:right w:val="none" w:sz="0" w:space="0" w:color="auto"/>
          </w:divBdr>
        </w:div>
        <w:div w:id="218056014">
          <w:marLeft w:val="640"/>
          <w:marRight w:val="0"/>
          <w:marTop w:val="0"/>
          <w:marBottom w:val="0"/>
          <w:divBdr>
            <w:top w:val="none" w:sz="0" w:space="0" w:color="auto"/>
            <w:left w:val="none" w:sz="0" w:space="0" w:color="auto"/>
            <w:bottom w:val="none" w:sz="0" w:space="0" w:color="auto"/>
            <w:right w:val="none" w:sz="0" w:space="0" w:color="auto"/>
          </w:divBdr>
        </w:div>
        <w:div w:id="1464035997">
          <w:marLeft w:val="640"/>
          <w:marRight w:val="0"/>
          <w:marTop w:val="0"/>
          <w:marBottom w:val="0"/>
          <w:divBdr>
            <w:top w:val="none" w:sz="0" w:space="0" w:color="auto"/>
            <w:left w:val="none" w:sz="0" w:space="0" w:color="auto"/>
            <w:bottom w:val="none" w:sz="0" w:space="0" w:color="auto"/>
            <w:right w:val="none" w:sz="0" w:space="0" w:color="auto"/>
          </w:divBdr>
        </w:div>
        <w:div w:id="585501102">
          <w:marLeft w:val="640"/>
          <w:marRight w:val="0"/>
          <w:marTop w:val="0"/>
          <w:marBottom w:val="0"/>
          <w:divBdr>
            <w:top w:val="none" w:sz="0" w:space="0" w:color="auto"/>
            <w:left w:val="none" w:sz="0" w:space="0" w:color="auto"/>
            <w:bottom w:val="none" w:sz="0" w:space="0" w:color="auto"/>
            <w:right w:val="none" w:sz="0" w:space="0" w:color="auto"/>
          </w:divBdr>
        </w:div>
        <w:div w:id="1616712035">
          <w:marLeft w:val="640"/>
          <w:marRight w:val="0"/>
          <w:marTop w:val="0"/>
          <w:marBottom w:val="0"/>
          <w:divBdr>
            <w:top w:val="none" w:sz="0" w:space="0" w:color="auto"/>
            <w:left w:val="none" w:sz="0" w:space="0" w:color="auto"/>
            <w:bottom w:val="none" w:sz="0" w:space="0" w:color="auto"/>
            <w:right w:val="none" w:sz="0" w:space="0" w:color="auto"/>
          </w:divBdr>
        </w:div>
        <w:div w:id="177815127">
          <w:marLeft w:val="640"/>
          <w:marRight w:val="0"/>
          <w:marTop w:val="0"/>
          <w:marBottom w:val="0"/>
          <w:divBdr>
            <w:top w:val="none" w:sz="0" w:space="0" w:color="auto"/>
            <w:left w:val="none" w:sz="0" w:space="0" w:color="auto"/>
            <w:bottom w:val="none" w:sz="0" w:space="0" w:color="auto"/>
            <w:right w:val="none" w:sz="0" w:space="0" w:color="auto"/>
          </w:divBdr>
        </w:div>
        <w:div w:id="489685868">
          <w:marLeft w:val="640"/>
          <w:marRight w:val="0"/>
          <w:marTop w:val="0"/>
          <w:marBottom w:val="0"/>
          <w:divBdr>
            <w:top w:val="none" w:sz="0" w:space="0" w:color="auto"/>
            <w:left w:val="none" w:sz="0" w:space="0" w:color="auto"/>
            <w:bottom w:val="none" w:sz="0" w:space="0" w:color="auto"/>
            <w:right w:val="none" w:sz="0" w:space="0" w:color="auto"/>
          </w:divBdr>
        </w:div>
        <w:div w:id="1328511157">
          <w:marLeft w:val="640"/>
          <w:marRight w:val="0"/>
          <w:marTop w:val="0"/>
          <w:marBottom w:val="0"/>
          <w:divBdr>
            <w:top w:val="none" w:sz="0" w:space="0" w:color="auto"/>
            <w:left w:val="none" w:sz="0" w:space="0" w:color="auto"/>
            <w:bottom w:val="none" w:sz="0" w:space="0" w:color="auto"/>
            <w:right w:val="none" w:sz="0" w:space="0" w:color="auto"/>
          </w:divBdr>
        </w:div>
        <w:div w:id="1359741011">
          <w:marLeft w:val="640"/>
          <w:marRight w:val="0"/>
          <w:marTop w:val="0"/>
          <w:marBottom w:val="0"/>
          <w:divBdr>
            <w:top w:val="none" w:sz="0" w:space="0" w:color="auto"/>
            <w:left w:val="none" w:sz="0" w:space="0" w:color="auto"/>
            <w:bottom w:val="none" w:sz="0" w:space="0" w:color="auto"/>
            <w:right w:val="none" w:sz="0" w:space="0" w:color="auto"/>
          </w:divBdr>
        </w:div>
        <w:div w:id="2068528769">
          <w:marLeft w:val="640"/>
          <w:marRight w:val="0"/>
          <w:marTop w:val="0"/>
          <w:marBottom w:val="0"/>
          <w:divBdr>
            <w:top w:val="none" w:sz="0" w:space="0" w:color="auto"/>
            <w:left w:val="none" w:sz="0" w:space="0" w:color="auto"/>
            <w:bottom w:val="none" w:sz="0" w:space="0" w:color="auto"/>
            <w:right w:val="none" w:sz="0" w:space="0" w:color="auto"/>
          </w:divBdr>
        </w:div>
        <w:div w:id="141585438">
          <w:marLeft w:val="640"/>
          <w:marRight w:val="0"/>
          <w:marTop w:val="0"/>
          <w:marBottom w:val="0"/>
          <w:divBdr>
            <w:top w:val="none" w:sz="0" w:space="0" w:color="auto"/>
            <w:left w:val="none" w:sz="0" w:space="0" w:color="auto"/>
            <w:bottom w:val="none" w:sz="0" w:space="0" w:color="auto"/>
            <w:right w:val="none" w:sz="0" w:space="0" w:color="auto"/>
          </w:divBdr>
        </w:div>
        <w:div w:id="1754861290">
          <w:marLeft w:val="640"/>
          <w:marRight w:val="0"/>
          <w:marTop w:val="0"/>
          <w:marBottom w:val="0"/>
          <w:divBdr>
            <w:top w:val="none" w:sz="0" w:space="0" w:color="auto"/>
            <w:left w:val="none" w:sz="0" w:space="0" w:color="auto"/>
            <w:bottom w:val="none" w:sz="0" w:space="0" w:color="auto"/>
            <w:right w:val="none" w:sz="0" w:space="0" w:color="auto"/>
          </w:divBdr>
        </w:div>
        <w:div w:id="889076900">
          <w:marLeft w:val="640"/>
          <w:marRight w:val="0"/>
          <w:marTop w:val="0"/>
          <w:marBottom w:val="0"/>
          <w:divBdr>
            <w:top w:val="none" w:sz="0" w:space="0" w:color="auto"/>
            <w:left w:val="none" w:sz="0" w:space="0" w:color="auto"/>
            <w:bottom w:val="none" w:sz="0" w:space="0" w:color="auto"/>
            <w:right w:val="none" w:sz="0" w:space="0" w:color="auto"/>
          </w:divBdr>
        </w:div>
        <w:div w:id="1995139653">
          <w:marLeft w:val="640"/>
          <w:marRight w:val="0"/>
          <w:marTop w:val="0"/>
          <w:marBottom w:val="0"/>
          <w:divBdr>
            <w:top w:val="none" w:sz="0" w:space="0" w:color="auto"/>
            <w:left w:val="none" w:sz="0" w:space="0" w:color="auto"/>
            <w:bottom w:val="none" w:sz="0" w:space="0" w:color="auto"/>
            <w:right w:val="none" w:sz="0" w:space="0" w:color="auto"/>
          </w:divBdr>
        </w:div>
        <w:div w:id="13504033">
          <w:marLeft w:val="640"/>
          <w:marRight w:val="0"/>
          <w:marTop w:val="0"/>
          <w:marBottom w:val="0"/>
          <w:divBdr>
            <w:top w:val="none" w:sz="0" w:space="0" w:color="auto"/>
            <w:left w:val="none" w:sz="0" w:space="0" w:color="auto"/>
            <w:bottom w:val="none" w:sz="0" w:space="0" w:color="auto"/>
            <w:right w:val="none" w:sz="0" w:space="0" w:color="auto"/>
          </w:divBdr>
        </w:div>
        <w:div w:id="535967203">
          <w:marLeft w:val="640"/>
          <w:marRight w:val="0"/>
          <w:marTop w:val="0"/>
          <w:marBottom w:val="0"/>
          <w:divBdr>
            <w:top w:val="none" w:sz="0" w:space="0" w:color="auto"/>
            <w:left w:val="none" w:sz="0" w:space="0" w:color="auto"/>
            <w:bottom w:val="none" w:sz="0" w:space="0" w:color="auto"/>
            <w:right w:val="none" w:sz="0" w:space="0" w:color="auto"/>
          </w:divBdr>
        </w:div>
        <w:div w:id="1458184192">
          <w:marLeft w:val="640"/>
          <w:marRight w:val="0"/>
          <w:marTop w:val="0"/>
          <w:marBottom w:val="0"/>
          <w:divBdr>
            <w:top w:val="none" w:sz="0" w:space="0" w:color="auto"/>
            <w:left w:val="none" w:sz="0" w:space="0" w:color="auto"/>
            <w:bottom w:val="none" w:sz="0" w:space="0" w:color="auto"/>
            <w:right w:val="none" w:sz="0" w:space="0" w:color="auto"/>
          </w:divBdr>
        </w:div>
        <w:div w:id="665788376">
          <w:marLeft w:val="640"/>
          <w:marRight w:val="0"/>
          <w:marTop w:val="0"/>
          <w:marBottom w:val="0"/>
          <w:divBdr>
            <w:top w:val="none" w:sz="0" w:space="0" w:color="auto"/>
            <w:left w:val="none" w:sz="0" w:space="0" w:color="auto"/>
            <w:bottom w:val="none" w:sz="0" w:space="0" w:color="auto"/>
            <w:right w:val="none" w:sz="0" w:space="0" w:color="auto"/>
          </w:divBdr>
        </w:div>
        <w:div w:id="627977993">
          <w:marLeft w:val="640"/>
          <w:marRight w:val="0"/>
          <w:marTop w:val="0"/>
          <w:marBottom w:val="0"/>
          <w:divBdr>
            <w:top w:val="none" w:sz="0" w:space="0" w:color="auto"/>
            <w:left w:val="none" w:sz="0" w:space="0" w:color="auto"/>
            <w:bottom w:val="none" w:sz="0" w:space="0" w:color="auto"/>
            <w:right w:val="none" w:sz="0" w:space="0" w:color="auto"/>
          </w:divBdr>
        </w:div>
        <w:div w:id="2087145825">
          <w:marLeft w:val="640"/>
          <w:marRight w:val="0"/>
          <w:marTop w:val="0"/>
          <w:marBottom w:val="0"/>
          <w:divBdr>
            <w:top w:val="none" w:sz="0" w:space="0" w:color="auto"/>
            <w:left w:val="none" w:sz="0" w:space="0" w:color="auto"/>
            <w:bottom w:val="none" w:sz="0" w:space="0" w:color="auto"/>
            <w:right w:val="none" w:sz="0" w:space="0" w:color="auto"/>
          </w:divBdr>
        </w:div>
        <w:div w:id="527723256">
          <w:marLeft w:val="640"/>
          <w:marRight w:val="0"/>
          <w:marTop w:val="0"/>
          <w:marBottom w:val="0"/>
          <w:divBdr>
            <w:top w:val="none" w:sz="0" w:space="0" w:color="auto"/>
            <w:left w:val="none" w:sz="0" w:space="0" w:color="auto"/>
            <w:bottom w:val="none" w:sz="0" w:space="0" w:color="auto"/>
            <w:right w:val="none" w:sz="0" w:space="0" w:color="auto"/>
          </w:divBdr>
        </w:div>
        <w:div w:id="1341085484">
          <w:marLeft w:val="640"/>
          <w:marRight w:val="0"/>
          <w:marTop w:val="0"/>
          <w:marBottom w:val="0"/>
          <w:divBdr>
            <w:top w:val="none" w:sz="0" w:space="0" w:color="auto"/>
            <w:left w:val="none" w:sz="0" w:space="0" w:color="auto"/>
            <w:bottom w:val="none" w:sz="0" w:space="0" w:color="auto"/>
            <w:right w:val="none" w:sz="0" w:space="0" w:color="auto"/>
          </w:divBdr>
        </w:div>
        <w:div w:id="1528521997">
          <w:marLeft w:val="640"/>
          <w:marRight w:val="0"/>
          <w:marTop w:val="0"/>
          <w:marBottom w:val="0"/>
          <w:divBdr>
            <w:top w:val="none" w:sz="0" w:space="0" w:color="auto"/>
            <w:left w:val="none" w:sz="0" w:space="0" w:color="auto"/>
            <w:bottom w:val="none" w:sz="0" w:space="0" w:color="auto"/>
            <w:right w:val="none" w:sz="0" w:space="0" w:color="auto"/>
          </w:divBdr>
        </w:div>
        <w:div w:id="1171726192">
          <w:marLeft w:val="640"/>
          <w:marRight w:val="0"/>
          <w:marTop w:val="0"/>
          <w:marBottom w:val="0"/>
          <w:divBdr>
            <w:top w:val="none" w:sz="0" w:space="0" w:color="auto"/>
            <w:left w:val="none" w:sz="0" w:space="0" w:color="auto"/>
            <w:bottom w:val="none" w:sz="0" w:space="0" w:color="auto"/>
            <w:right w:val="none" w:sz="0" w:space="0" w:color="auto"/>
          </w:divBdr>
        </w:div>
        <w:div w:id="807673728">
          <w:marLeft w:val="640"/>
          <w:marRight w:val="0"/>
          <w:marTop w:val="0"/>
          <w:marBottom w:val="0"/>
          <w:divBdr>
            <w:top w:val="none" w:sz="0" w:space="0" w:color="auto"/>
            <w:left w:val="none" w:sz="0" w:space="0" w:color="auto"/>
            <w:bottom w:val="none" w:sz="0" w:space="0" w:color="auto"/>
            <w:right w:val="none" w:sz="0" w:space="0" w:color="auto"/>
          </w:divBdr>
        </w:div>
        <w:div w:id="1962833597">
          <w:marLeft w:val="640"/>
          <w:marRight w:val="0"/>
          <w:marTop w:val="0"/>
          <w:marBottom w:val="0"/>
          <w:divBdr>
            <w:top w:val="none" w:sz="0" w:space="0" w:color="auto"/>
            <w:left w:val="none" w:sz="0" w:space="0" w:color="auto"/>
            <w:bottom w:val="none" w:sz="0" w:space="0" w:color="auto"/>
            <w:right w:val="none" w:sz="0" w:space="0" w:color="auto"/>
          </w:divBdr>
        </w:div>
        <w:div w:id="1554846428">
          <w:marLeft w:val="640"/>
          <w:marRight w:val="0"/>
          <w:marTop w:val="0"/>
          <w:marBottom w:val="0"/>
          <w:divBdr>
            <w:top w:val="none" w:sz="0" w:space="0" w:color="auto"/>
            <w:left w:val="none" w:sz="0" w:space="0" w:color="auto"/>
            <w:bottom w:val="none" w:sz="0" w:space="0" w:color="auto"/>
            <w:right w:val="none" w:sz="0" w:space="0" w:color="auto"/>
          </w:divBdr>
        </w:div>
        <w:div w:id="468400941">
          <w:marLeft w:val="640"/>
          <w:marRight w:val="0"/>
          <w:marTop w:val="0"/>
          <w:marBottom w:val="0"/>
          <w:divBdr>
            <w:top w:val="none" w:sz="0" w:space="0" w:color="auto"/>
            <w:left w:val="none" w:sz="0" w:space="0" w:color="auto"/>
            <w:bottom w:val="none" w:sz="0" w:space="0" w:color="auto"/>
            <w:right w:val="none" w:sz="0" w:space="0" w:color="auto"/>
          </w:divBdr>
        </w:div>
        <w:div w:id="1438452027">
          <w:marLeft w:val="640"/>
          <w:marRight w:val="0"/>
          <w:marTop w:val="0"/>
          <w:marBottom w:val="0"/>
          <w:divBdr>
            <w:top w:val="none" w:sz="0" w:space="0" w:color="auto"/>
            <w:left w:val="none" w:sz="0" w:space="0" w:color="auto"/>
            <w:bottom w:val="none" w:sz="0" w:space="0" w:color="auto"/>
            <w:right w:val="none" w:sz="0" w:space="0" w:color="auto"/>
          </w:divBdr>
        </w:div>
        <w:div w:id="500388182">
          <w:marLeft w:val="640"/>
          <w:marRight w:val="0"/>
          <w:marTop w:val="0"/>
          <w:marBottom w:val="0"/>
          <w:divBdr>
            <w:top w:val="none" w:sz="0" w:space="0" w:color="auto"/>
            <w:left w:val="none" w:sz="0" w:space="0" w:color="auto"/>
            <w:bottom w:val="none" w:sz="0" w:space="0" w:color="auto"/>
            <w:right w:val="none" w:sz="0" w:space="0" w:color="auto"/>
          </w:divBdr>
        </w:div>
        <w:div w:id="2052731129">
          <w:marLeft w:val="640"/>
          <w:marRight w:val="0"/>
          <w:marTop w:val="0"/>
          <w:marBottom w:val="0"/>
          <w:divBdr>
            <w:top w:val="none" w:sz="0" w:space="0" w:color="auto"/>
            <w:left w:val="none" w:sz="0" w:space="0" w:color="auto"/>
            <w:bottom w:val="none" w:sz="0" w:space="0" w:color="auto"/>
            <w:right w:val="none" w:sz="0" w:space="0" w:color="auto"/>
          </w:divBdr>
        </w:div>
        <w:div w:id="1420253794">
          <w:marLeft w:val="640"/>
          <w:marRight w:val="0"/>
          <w:marTop w:val="0"/>
          <w:marBottom w:val="0"/>
          <w:divBdr>
            <w:top w:val="none" w:sz="0" w:space="0" w:color="auto"/>
            <w:left w:val="none" w:sz="0" w:space="0" w:color="auto"/>
            <w:bottom w:val="none" w:sz="0" w:space="0" w:color="auto"/>
            <w:right w:val="none" w:sz="0" w:space="0" w:color="auto"/>
          </w:divBdr>
        </w:div>
        <w:div w:id="17976803">
          <w:marLeft w:val="640"/>
          <w:marRight w:val="0"/>
          <w:marTop w:val="0"/>
          <w:marBottom w:val="0"/>
          <w:divBdr>
            <w:top w:val="none" w:sz="0" w:space="0" w:color="auto"/>
            <w:left w:val="none" w:sz="0" w:space="0" w:color="auto"/>
            <w:bottom w:val="none" w:sz="0" w:space="0" w:color="auto"/>
            <w:right w:val="none" w:sz="0" w:space="0" w:color="auto"/>
          </w:divBdr>
        </w:div>
        <w:div w:id="684211892">
          <w:marLeft w:val="640"/>
          <w:marRight w:val="0"/>
          <w:marTop w:val="0"/>
          <w:marBottom w:val="0"/>
          <w:divBdr>
            <w:top w:val="none" w:sz="0" w:space="0" w:color="auto"/>
            <w:left w:val="none" w:sz="0" w:space="0" w:color="auto"/>
            <w:bottom w:val="none" w:sz="0" w:space="0" w:color="auto"/>
            <w:right w:val="none" w:sz="0" w:space="0" w:color="auto"/>
          </w:divBdr>
        </w:div>
        <w:div w:id="629360498">
          <w:marLeft w:val="640"/>
          <w:marRight w:val="0"/>
          <w:marTop w:val="0"/>
          <w:marBottom w:val="0"/>
          <w:divBdr>
            <w:top w:val="none" w:sz="0" w:space="0" w:color="auto"/>
            <w:left w:val="none" w:sz="0" w:space="0" w:color="auto"/>
            <w:bottom w:val="none" w:sz="0" w:space="0" w:color="auto"/>
            <w:right w:val="none" w:sz="0" w:space="0" w:color="auto"/>
          </w:divBdr>
        </w:div>
        <w:div w:id="153108906">
          <w:marLeft w:val="640"/>
          <w:marRight w:val="0"/>
          <w:marTop w:val="0"/>
          <w:marBottom w:val="0"/>
          <w:divBdr>
            <w:top w:val="none" w:sz="0" w:space="0" w:color="auto"/>
            <w:left w:val="none" w:sz="0" w:space="0" w:color="auto"/>
            <w:bottom w:val="none" w:sz="0" w:space="0" w:color="auto"/>
            <w:right w:val="none" w:sz="0" w:space="0" w:color="auto"/>
          </w:divBdr>
        </w:div>
        <w:div w:id="798887581">
          <w:marLeft w:val="640"/>
          <w:marRight w:val="0"/>
          <w:marTop w:val="0"/>
          <w:marBottom w:val="0"/>
          <w:divBdr>
            <w:top w:val="none" w:sz="0" w:space="0" w:color="auto"/>
            <w:left w:val="none" w:sz="0" w:space="0" w:color="auto"/>
            <w:bottom w:val="none" w:sz="0" w:space="0" w:color="auto"/>
            <w:right w:val="none" w:sz="0" w:space="0" w:color="auto"/>
          </w:divBdr>
        </w:div>
        <w:div w:id="599484656">
          <w:marLeft w:val="640"/>
          <w:marRight w:val="0"/>
          <w:marTop w:val="0"/>
          <w:marBottom w:val="0"/>
          <w:divBdr>
            <w:top w:val="none" w:sz="0" w:space="0" w:color="auto"/>
            <w:left w:val="none" w:sz="0" w:space="0" w:color="auto"/>
            <w:bottom w:val="none" w:sz="0" w:space="0" w:color="auto"/>
            <w:right w:val="none" w:sz="0" w:space="0" w:color="auto"/>
          </w:divBdr>
        </w:div>
        <w:div w:id="1923639678">
          <w:marLeft w:val="640"/>
          <w:marRight w:val="0"/>
          <w:marTop w:val="0"/>
          <w:marBottom w:val="0"/>
          <w:divBdr>
            <w:top w:val="none" w:sz="0" w:space="0" w:color="auto"/>
            <w:left w:val="none" w:sz="0" w:space="0" w:color="auto"/>
            <w:bottom w:val="none" w:sz="0" w:space="0" w:color="auto"/>
            <w:right w:val="none" w:sz="0" w:space="0" w:color="auto"/>
          </w:divBdr>
        </w:div>
        <w:div w:id="759368707">
          <w:marLeft w:val="640"/>
          <w:marRight w:val="0"/>
          <w:marTop w:val="0"/>
          <w:marBottom w:val="0"/>
          <w:divBdr>
            <w:top w:val="none" w:sz="0" w:space="0" w:color="auto"/>
            <w:left w:val="none" w:sz="0" w:space="0" w:color="auto"/>
            <w:bottom w:val="none" w:sz="0" w:space="0" w:color="auto"/>
            <w:right w:val="none" w:sz="0" w:space="0" w:color="auto"/>
          </w:divBdr>
        </w:div>
        <w:div w:id="1321078157">
          <w:marLeft w:val="640"/>
          <w:marRight w:val="0"/>
          <w:marTop w:val="0"/>
          <w:marBottom w:val="0"/>
          <w:divBdr>
            <w:top w:val="none" w:sz="0" w:space="0" w:color="auto"/>
            <w:left w:val="none" w:sz="0" w:space="0" w:color="auto"/>
            <w:bottom w:val="none" w:sz="0" w:space="0" w:color="auto"/>
            <w:right w:val="none" w:sz="0" w:space="0" w:color="auto"/>
          </w:divBdr>
        </w:div>
      </w:divsChild>
    </w:div>
    <w:div w:id="1902714876">
      <w:bodyDiv w:val="1"/>
      <w:marLeft w:val="0"/>
      <w:marRight w:val="0"/>
      <w:marTop w:val="0"/>
      <w:marBottom w:val="0"/>
      <w:divBdr>
        <w:top w:val="none" w:sz="0" w:space="0" w:color="auto"/>
        <w:left w:val="none" w:sz="0" w:space="0" w:color="auto"/>
        <w:bottom w:val="none" w:sz="0" w:space="0" w:color="auto"/>
        <w:right w:val="none" w:sz="0" w:space="0" w:color="auto"/>
      </w:divBdr>
    </w:div>
    <w:div w:id="1981618613">
      <w:bodyDiv w:val="1"/>
      <w:marLeft w:val="0"/>
      <w:marRight w:val="0"/>
      <w:marTop w:val="0"/>
      <w:marBottom w:val="0"/>
      <w:divBdr>
        <w:top w:val="none" w:sz="0" w:space="0" w:color="auto"/>
        <w:left w:val="none" w:sz="0" w:space="0" w:color="auto"/>
        <w:bottom w:val="none" w:sz="0" w:space="0" w:color="auto"/>
        <w:right w:val="none" w:sz="0" w:space="0" w:color="auto"/>
      </w:divBdr>
    </w:div>
    <w:div w:id="1985771985">
      <w:bodyDiv w:val="1"/>
      <w:marLeft w:val="0"/>
      <w:marRight w:val="0"/>
      <w:marTop w:val="0"/>
      <w:marBottom w:val="0"/>
      <w:divBdr>
        <w:top w:val="none" w:sz="0" w:space="0" w:color="auto"/>
        <w:left w:val="none" w:sz="0" w:space="0" w:color="auto"/>
        <w:bottom w:val="none" w:sz="0" w:space="0" w:color="auto"/>
        <w:right w:val="none" w:sz="0" w:space="0" w:color="auto"/>
      </w:divBdr>
    </w:div>
    <w:div w:id="2041974119">
      <w:bodyDiv w:val="1"/>
      <w:marLeft w:val="0"/>
      <w:marRight w:val="0"/>
      <w:marTop w:val="0"/>
      <w:marBottom w:val="0"/>
      <w:divBdr>
        <w:top w:val="none" w:sz="0" w:space="0" w:color="auto"/>
        <w:left w:val="none" w:sz="0" w:space="0" w:color="auto"/>
        <w:bottom w:val="none" w:sz="0" w:space="0" w:color="auto"/>
        <w:right w:val="none" w:sz="0" w:space="0" w:color="auto"/>
      </w:divBdr>
    </w:div>
    <w:div w:id="2060088695">
      <w:bodyDiv w:val="1"/>
      <w:marLeft w:val="0"/>
      <w:marRight w:val="0"/>
      <w:marTop w:val="0"/>
      <w:marBottom w:val="0"/>
      <w:divBdr>
        <w:top w:val="none" w:sz="0" w:space="0" w:color="auto"/>
        <w:left w:val="none" w:sz="0" w:space="0" w:color="auto"/>
        <w:bottom w:val="none" w:sz="0" w:space="0" w:color="auto"/>
        <w:right w:val="none" w:sz="0" w:space="0" w:color="auto"/>
      </w:divBdr>
    </w:div>
    <w:div w:id="2098482523">
      <w:bodyDiv w:val="1"/>
      <w:marLeft w:val="0"/>
      <w:marRight w:val="0"/>
      <w:marTop w:val="0"/>
      <w:marBottom w:val="0"/>
      <w:divBdr>
        <w:top w:val="none" w:sz="0" w:space="0" w:color="auto"/>
        <w:left w:val="none" w:sz="0" w:space="0" w:color="auto"/>
        <w:bottom w:val="none" w:sz="0" w:space="0" w:color="auto"/>
        <w:right w:val="none" w:sz="0" w:space="0" w:color="auto"/>
      </w:divBdr>
    </w:div>
    <w:div w:id="2124035645">
      <w:bodyDiv w:val="1"/>
      <w:marLeft w:val="0"/>
      <w:marRight w:val="0"/>
      <w:marTop w:val="0"/>
      <w:marBottom w:val="0"/>
      <w:divBdr>
        <w:top w:val="none" w:sz="0" w:space="0" w:color="auto"/>
        <w:left w:val="none" w:sz="0" w:space="0" w:color="auto"/>
        <w:bottom w:val="none" w:sz="0" w:space="0" w:color="auto"/>
        <w:right w:val="none" w:sz="0" w:space="0" w:color="auto"/>
      </w:divBdr>
    </w:div>
    <w:div w:id="21470385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7" Type="http://schemas.openxmlformats.org/officeDocument/2006/relationships/footnotes" Target="footnotes.xml"/><Relationship Id="rId71" Type="http://schemas.openxmlformats.org/officeDocument/2006/relationships/image" Target="media/image61.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glossaryDocument" Target="glossary/document.xml"/><Relationship Id="rId10" Type="http://schemas.openxmlformats.org/officeDocument/2006/relationships/hyperlink" Target="http://graftweight.shinyapps.io/prediction"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937572562465848E-2"/>
          <c:y val="0"/>
          <c:w val="0.42302238007291121"/>
          <c:h val="0.98059010992243623"/>
        </c:manualLayout>
      </c:layout>
      <c:pieChart>
        <c:varyColors val="1"/>
        <c:ser>
          <c:idx val="0"/>
          <c:order val="0"/>
          <c:tx>
            <c:strRef>
              <c:f>Лист1!$B$1</c:f>
              <c:strCache>
                <c:ptCount val="1"/>
                <c:pt idx="0">
                  <c:v>Продажи</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0BFF-2F40-B07E-BF93F0299E0D}"/>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0BFF-2F40-B07E-BF93F0299E0D}"/>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0BFF-2F40-B07E-BF93F0299E0D}"/>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0BFF-2F40-B07E-BF93F0299E0D}"/>
              </c:ext>
            </c:extLst>
          </c:dPt>
          <c:dLbls>
            <c:spPr>
              <a:noFill/>
              <a:ln>
                <a:noFill/>
              </a:ln>
              <a:effectLst/>
            </c:spPr>
            <c:txPr>
              <a:bodyPr rot="0" spcFirstLastPara="1" vertOverflow="ellipsis" vert="horz" wrap="square" lIns="38100" tIns="19050" rIns="38100" bIns="19050" anchor="ctr" anchorCtr="1">
                <a:spAutoFit/>
              </a:bodyPr>
              <a:lstStyle/>
              <a:p>
                <a:pPr>
                  <a:defRPr sz="13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допущено к донорству</c:v>
                </c:pt>
                <c:pt idx="1">
                  <c:v>лабораторно-инструментальные данные</c:v>
                </c:pt>
                <c:pt idx="2">
                  <c:v>остаточная часть печени менее 35%</c:v>
                </c:pt>
                <c:pt idx="3">
                  <c:v>биопсия</c:v>
                </c:pt>
              </c:strCache>
            </c:strRef>
          </c:cat>
          <c:val>
            <c:numRef>
              <c:f>Лист1!$B$2:$B$5</c:f>
              <c:numCache>
                <c:formatCode>0.0%</c:formatCode>
                <c:ptCount val="4"/>
                <c:pt idx="0">
                  <c:v>0.505</c:v>
                </c:pt>
                <c:pt idx="1">
                  <c:v>0.10800000000000003</c:v>
                </c:pt>
                <c:pt idx="2">
                  <c:v>0.33200000000000013</c:v>
                </c:pt>
                <c:pt idx="3">
                  <c:v>5.5000000000000014E-2</c:v>
                </c:pt>
              </c:numCache>
            </c:numRef>
          </c:val>
          <c:extLst xmlns:c16r2="http://schemas.microsoft.com/office/drawing/2015/06/chart">
            <c:ext xmlns:c16="http://schemas.microsoft.com/office/drawing/2014/chart" uri="{C3380CC4-5D6E-409C-BE32-E72D297353CC}">
              <c16:uniqueId val="{00000008-0BFF-2F40-B07E-BF93F0299E0D}"/>
            </c:ext>
          </c:extLst>
        </c:ser>
        <c:dLbls>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49890548896817155"/>
          <c:y val="0.25077455604475346"/>
          <c:w val="0.47606432885585243"/>
          <c:h val="0.52237063766780112"/>
        </c:manualLayout>
      </c:layout>
      <c:overlay val="0"/>
      <c:spPr>
        <a:noFill/>
        <a:ln>
          <a:noFill/>
        </a:ln>
        <a:effectLst/>
      </c:spPr>
      <c:txPr>
        <a:bodyPr rot="0" spcFirstLastPara="1" vertOverflow="ellipsis" vert="horz" wrap="square" anchor="ctr" anchorCtr="1"/>
        <a:lstStyle/>
        <a:p>
          <a:pPr>
            <a:defRPr sz="13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noFill/>
      <a:round/>
    </a:ln>
    <a:effectLst/>
  </c:spPr>
  <c:txPr>
    <a:bodyPr/>
    <a:lstStyle/>
    <a:p>
      <a:pPr>
        <a:defRPr sz="13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854013440"/>
        <w:category>
          <w:name w:val="Общие"/>
          <w:gallery w:val="placeholder"/>
        </w:category>
        <w:types>
          <w:type w:val="bbPlcHdr"/>
        </w:types>
        <w:behaviors>
          <w:behavior w:val="content"/>
        </w:behaviors>
        <w:guid w:val="{692DF822-A8CD-6B4B-A315-741E0B6CD536}"/>
      </w:docPartPr>
      <w:docPartBody>
        <w:p w:rsidR="00057C54" w:rsidRDefault="00F32F07">
          <w:r w:rsidRPr="009C79DC">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ungsuh">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Cardo">
    <w:altName w:val="Calibri"/>
    <w:charset w:val="00"/>
    <w:family w:val="auto"/>
    <w:pitch w:val="default"/>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08"/>
  <w:characterSpacingControl w:val="doNotCompress"/>
  <w:compat>
    <w:applyBreakingRules/>
    <w:useFELayout/>
    <w:compatSetting w:name="compatibilityMode" w:uri="http://schemas.microsoft.com/office/word" w:val="12"/>
  </w:compat>
  <w:rsids>
    <w:rsidRoot w:val="00F32F07"/>
    <w:rsid w:val="00057C54"/>
    <w:rsid w:val="000E701B"/>
    <w:rsid w:val="000F6080"/>
    <w:rsid w:val="003A0A3F"/>
    <w:rsid w:val="003E0F88"/>
    <w:rsid w:val="00453989"/>
    <w:rsid w:val="004A0AB1"/>
    <w:rsid w:val="00574ABC"/>
    <w:rsid w:val="00577F23"/>
    <w:rsid w:val="005B001A"/>
    <w:rsid w:val="0063305B"/>
    <w:rsid w:val="00747BAD"/>
    <w:rsid w:val="00751215"/>
    <w:rsid w:val="00805978"/>
    <w:rsid w:val="00890CAF"/>
    <w:rsid w:val="008D680F"/>
    <w:rsid w:val="008F386B"/>
    <w:rsid w:val="009F3122"/>
    <w:rsid w:val="00CC0A79"/>
    <w:rsid w:val="00CE4036"/>
    <w:rsid w:val="00D51AB3"/>
    <w:rsid w:val="00D73081"/>
    <w:rsid w:val="00D8615F"/>
    <w:rsid w:val="00DA6B42"/>
    <w:rsid w:val="00DF16B7"/>
    <w:rsid w:val="00EF3B7F"/>
    <w:rsid w:val="00F32F07"/>
    <w:rsid w:val="00F951E2"/>
  </w:rsids>
  <m:mathPr>
    <m:mathFont m:val="Cambria Math"/>
    <m:brkBin m:val="before"/>
    <m:brkBinSub m:val="--"/>
    <m:smallFrac/>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ru-RU"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B001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F951E2"/>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AB9EC3D-19E7-7845-9CCE-C1C96F4CEC33}">
  <we:reference id="wa104382081" version="1.55.1.0" store="ru-RU" storeType="OMEX"/>
  <we:alternateReferences>
    <we:reference id="WA104382081" version="1.55.1.0" store="WA104382081" storeType="OMEX"/>
  </we:alternateReferences>
  <we:properties>
    <we:property name="MENDELEY_CITATIONS" value="[{&quot;citationID&quot;:&quot;MENDELEY_CITATION_c4e08f4b-9363-4db7-b823-99d0c77ee374&quot;,&quot;properties&quot;:{&quot;noteIndex&quot;:0},&quot;isEdited&quot;:false,&quot;manualOverride&quot;:{&quot;isManuallyOverridden&quot;:false,&quot;citeprocText&quot;:&quot;[1]&quot;,&quot;manualOverrideText&quot;:&quot;&quot;},&quot;citationTag&quot;:&quot;MENDELEY_CITATION_v3_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&quot;,&quot;citationItems&quot;:[{&quot;id&quot;:&quot;2e990494-900e-3bde-bf18-ca7f40fbbdf4&quot;,&quot;itemData&quot;:{&quot;type&quot;:&quot;article-journal&quot;,&quot;id&quot;:&quot;2e990494-900e-3bde-bf18-ca7f40fbbdf4&quot;,&quot;title&quot;:&quot;Reliability of CT volumetry as a tool to calculate the preoperative donor liver volume: Correlation with the intraoperative graft weight in living donor liver transplantation (LDLT)&quot;,&quot;author&quot;:[{&quot;family&quot;:&quot;Sharma&quot;,&quot;given&quot;:&quot;Sachal&quot;,&quot;parse-names&quot;:false,&quot;dropping-particle&quot;:&quot;&quot;,&quot;non-dropping-particle&quot;:&quot;&quot;},{&quot;family&quot;:&quot;Radiodiagnosis&quot;,&quot;given&quot;:&quot;&quot;,&quot;parse-names&quot;:false,&quot;dropping-particle&quot;:&quot;&quot;,&quot;non-dropping-particle&quot;:&quot;&quot;},{&quot;family&quot;:&quot;Jain&quot;,&quot;given&quot;:&quot;Sajal&quot;,&quot;parse-names&quot;:false,&quot;dropping-particle&quot;:&quot;&quot;,&quot;non-dropping-particle&quot;:&quot;&quot;},{&quot;family&quot;:&quot;Chandermohan&quot;,&quot;given&quot;:&quot;&quot;,&quot;parse-names&quot;:false,&quot;dropping-particle&quot;:&quot;&quot;,&quot;non-dropping-particle&quot;:&quot;&quot;},{&quot;family&quot;:&quot;Malhotra&quot;,&quot;given&quot;:&quot;P.&quot;,&quot;parse-names&quot;:false,&quot;dropping-particle&quot;:&quot;&quot;,&quot;non-dropping-particle&quot;:&quot;&quot;}],&quot;container-title&quot;:&quot;IP Journal of Surgery and Allied Sciences&quot;,&quot;accessed&quot;:{&quot;date-parts&quot;:[[2023,9,30]]},&quot;DOI&quot;:&quot;10.18231/J.JSAS.2020.015&quot;,&quot;issued&quot;:{&quot;date-parts&quot;:[[2020,11,28]]},&quot;page&quot;:&quot;95-98&quot;,&quot;abstract&quot;:&quot;Liver transplantation has become an ideal management for end stage liver diseases. The preoperative volumetric assessment of donor liver is an important factor in determining the surgical strategy and in predicting post operative donor and recipient mortality and morbidity. CT has high spatial and contrast resolution and provides comprehensive parenchymal vascular and volumetric preoperative evaluation of donor undergoing live donor liver transplant and its accuracy can be established by comparing it with the intraoperative actual graft volume.52 patients who underwent donor right hepatectomy were included in the study and underwent CT scanning during the period from July 2017 to June 2019. Manual tracing of CT volumetry was done for calculating liver volume. The actual liver volume is obtained by weighing the graft immediately after resection. The difference between preoperative CT volume and intraoperative graft weight was defined as a percentage error ratio, which was classified as overestimation (+) and underestimation (-).In 28 (53.8%) cases, right lobe liver grafts obtained including MHV, whereas in 24(46.2%) cases right liver lobe grafts obtained excluding MHV. The mean preoperative liver volume calculated was 816.5+ 142.5g, while the mean volume measured intraoperatively was 812.6 g + 136.8g. The mean volume difference between preoperative and actual graft volume was 51.96+33.65cm(range 4-131cm). The mean error ratio was 6.59+4.623%. 30(57.7%) cases had underestimation, whereas 22(42.3%) cases had overestimation of liver volume. The mean preoperative volume had a good correlation with actual graft volume.The present study concludes that CT volumetry accurately predicted preoperative graft volume and showed excellent correlation with actual graft volume.&quot;,&quot;publisher&quot;:&quot;IP Innovative Publication Pvt Ltd&quot;,&quot;issue&quot;:&quot;3&quot;,&quot;volume&quot;:&quot;2&quot;,&quot;container-title-short&quot;:&quot;&quot;},&quot;isTemporary&quot;:false}]},{&quot;citationID&quot;:&quot;MENDELEY_CITATION_42deb10c-81d4-4280-9252-fb98447b0d91&quot;,&quot;properties&quot;:{&quot;noteIndex&quot;:0},&quot;isEdited&quot;:false,&quot;manualOverride&quot;:{&quot;isManuallyOverridden&quot;:false,&quot;citeprocText&quot;:&quot;[2]&quot;,&quot;manualOverrideText&quot;:&quot;&quot;},&quot;citationTag&quot;:&quot;MENDELEY_CITATION_v3_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&quot;,&quot;citationItems&quot;:[{&quot;id&quot;:&quot;2301373f-014f-3c8e-8733-6eb77e20e9a2&quot;,&quot;itemData&quot;:{&quot;type&quot;:&quot;article-journal&quot;,&quot;id&quot;:&quot;2301373f-014f-3c8e-8733-6eb77e20e9a2&quot;,&quot;title&quot;:&quot;Evolution of Liver Transplantation in Kazakhstan: Two-Era Experience of a Single Center, the First Report&quot;,&quot;author&quot;:[{&quot;family&quot;:&quot;Baimakhanov&quot;,&quot;given&quot;:&quot;Zhassulan&quot;,&quot;parse-names&quot;:false,&quot;dropping-particle&quot;:&quot;&quot;,&quot;non-dropping-particle&quot;:&quot;&quot;},{&quot;family&quot;:&quot;Kaniev&quot;,&quot;given&quot;:&quot;Shokan&quot;,&quot;parse-names&quot;:false,&quot;dropping-particle&quot;:&quot;&quot;,&quot;non-dropping-particle&quot;:&quot;&quot;},{&quot;family&quot;:&quot;Doskhanov&quot;,&quot;given&quot;:&quot;Maksat&quot;,&quot;parse-names&quot;:false,&quot;dropping-particle&quot;:&quot;&quot;,&quot;non-dropping-particle&quot;:&quot;&quot;},{&quot;family&quot;:&quot;Sadykov&quot;,&quot;given&quot;:&quot;Chingiz&quot;,&quot;parse-names&quot;:false,&quot;dropping-particle&quot;:&quot;&quot;,&quot;non-dropping-particle&quot;:&quot;&quot;},{&quot;family&quot;:&quot;Serikuly&quot;,&quot;given&quot;:&quot;Erbol&quot;,&quot;parse-names&quot;:false,&quot;dropping-particle&quot;:&quot;&quot;,&quot;non-dropping-particle&quot;:&quot;&quot;},{&quot;family&quot;:&quot;Skakbayev&quot;,&quot;given&quot;:&quot;Aidar&quot;,&quot;parse-names&quot;:false,&quot;dropping-particle&quot;:&quot;&quot;,&quot;non-dropping-particle&quot;:&quot;&quot;},{&quot;family&quot;:&quot;Ilyassova&quot;,&quot;given&quot;:&quot;Bibigul&quot;,&quot;parse-names&quot;:false,&quot;dropping-particle&quot;:&quot;&quot;,&quot;non-dropping-particle&quot;:&quot;&quot;},{&quot;family&quot;:&quot;Baiguissova&quot;,&quot;given&quot;:&quot;Dinara&quot;,&quot;parse-names&quot;:false,&quot;dropping-particle&quot;:&quot;&quot;,&quot;non-dropping-particle&quot;:&quot;&quot;},{&quot;family&quot;:&quot;Seisembaev&quot;,&quot;given&quot;:&quot;Manas&quot;,&quot;parse-names&quot;:false,&quot;dropping-particle&quot;:&quot;&quot;,&quot;non-dropping-particle&quot;:&quot;&quot;},{&quot;family&quot;:&quot;Chormanov&quot;,&quot;given&quot;:&quot;Almat&quot;,&quot;parse-names&quot;:false,&quot;dropping-particle&quot;:&quot;&quot;,&quot;non-dropping-particle&quot;:&quot;&quot;},{&quot;family&quot;:&quot;Baimakhanov&quot;,&quot;given&quot;:&quot;Bolatbek&quot;,&quot;parse-names&quot;:false,&quot;dropping-particle&quot;:&quot;&quot;,&quot;non-dropping-particle&quot;:&quot;&quot;}],&quot;container-title&quot;:&quot;Transplantation Proceedings&quot;,&quot;container-title-short&quot;:&quot;Transplant Proc&quot;,&quot;DOI&quot;:&quot;10.1016/j.transproceed.2019.07.023&quot;,&quot;ISSN&quot;:&quot;18732623&quot;,&quot;PMID&quot;:&quot;31733795&quot;,&quot;issued&quot;:{&quot;date-parts&quot;:[[2019,12,1]]},&quot;page&quot;:&quot;3360-3363&quot;,&quot;abstract&quot;:&quot;Background: Liver transplantation has been performed in Kazakhstan since 2011. The present study aimed to analyze the outcomes of the most experienced liver transplant center in Kazakhstan. Methods: Between December 2011 and December 2018, 131 liver transplantations were performed at A.N. Syzganov's National Scientific Center of Surgery. The clinical data of 88 adult patients who underwent living donor liver transplantations from December 2011 to December 2017 were analyzed. The patients were divided into 2 cohorts based on the periods in which the procedure was performed: the early era (2011-2014; n = 25) and the late era (2015-2017; n = 63). The clinical course and outcomes were retrospectively reviewed. Results: There were significant differences in the characteristics of the recipients. The patients who were treated during the late era had significantly better survival rates compared with the early era (1 year, 90.5%; 3 year, 79.6%; vs 1 year, 67.7%; 3 year 63.3%; P &lt;.05). Right lobe grafts were used significantly more frequently during the late era (P &lt;.05), while splenectomy was indicated significantly less frequently (P &lt;.05). We also noted a decrease in the complication rate, including early postoperative mortality (P &lt;.05). Conclusions: Over the past 7 years, the liver transplant program has been established, and the operative techniques used in living donor liver transplant have changed dramatically. Patient survival has been improving with increased experience.&quot;,&quot;publisher&quot;:&quot;Elsevier USA&quot;,&quot;issue&quot;:&quot;10&quot;,&quot;volume&quot;:&quot;51&quot;},&quot;isTemporary&quot;:false}]},{&quot;citationID&quot;:&quot;MENDELEY_CITATION_6fb831af-16df-4339-b999-6cd9146bc33d&quot;,&quot;properties&quot;:{&quot;noteIndex&quot;:0},&quot;isEdited&quot;:false,&quot;manualOverride&quot;:{&quot;isManuallyOverridden&quot;:false,&quot;citeprocText&quot;:&quot;[3,4]&quot;,&quot;manualOverrideText&quot;:&quot;&quot;},&quot;citationTag&quot;:&quot;MENDELEY_CITATION_v3_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&quot;,&quot;citationItems&quot;:[{&quot;id&quot;:&quot;7508b3ba-3370-38ab-9a38-5832d1b47725&quot;,&quot;itemData&quot;:{&quot;type&quot;:&quot;article-journal&quot;,&quot;id&quot;:&quot;7508b3ba-3370-38ab-9a38-5832d1b47725&quot;,&quot;title&quot;:&quot;Innovative formulae for the estimation of standard liver volume in the era of widespread imaging analysis software&quot;,&quot;author&quot;:[{&quot;family&quot;:&quot;Yasukawa&quot;,&quot;given&quot;:&quot;Koya&quot;,&quot;parse-names&quot;:false,&quot;dropping-particle&quot;:&quot;&quot;,&quot;non-dropping-particle&quot;:&quot;&quot;},{&quot;family&quot;:&quot;Shimizu&quot;,&quot;given&quot;:&quot;Akira&quot;,&quot;parse-names&quot;:false,&quot;dropping-particle&quot;:&quot;&quot;,&quot;non-dropping-particle&quot;:&quot;&quot;},{&quot;family&quot;:&quot;Ikegami&quot;,&quot;given&quot;:&quot;Toshihiko&quot;,&quot;parse-names&quot;:false,&quot;dropping-particle&quot;:&quot;&quot;,&quot;non-dropping-particle&quot;:&quot;&quot;},{&quot;family&quot;:&quot;Mita&quot;,&quot;given&quot;:&quot;Atsuyoshi&quot;,&quot;parse-names&quot;:false,&quot;dropping-particle&quot;:&quot;&quot;,&quot;non-dropping-particle&quot;:&quot;&quot;},{&quot;family&quot;:&quot;Ohno&quot;,&quot;given&quot;:&quot;Yasunari&quot;,&quot;parse-names&quot;:false,&quot;dropping-particle&quot;:&quot;&quot;,&quot;non-dropping-particle&quot;:&quot;&quot;},{&quot;family&quot;:&quot;Masuda&quot;,&quot;given&quot;:&quot;Yuichi&quot;,&quot;parse-names&quot;:false,&quot;dropping-particle&quot;:&quot;&quot;,&quot;non-dropping-particle&quot;:&quot;&quot;},{&quot;family&quot;:&quot;Soejima&quot;,&quot;given&quot;:&quot;Yuji&quot;,&quot;parse-names&quot;:false,&quot;dropping-particle&quot;:&quot;&quot;,&quot;non-dropping-particle&quot;:&quot;&quot;}],&quot;container-title&quot;:&quot;Clinical Transplantation&quot;,&quot;container-title-short&quot;:&quot;Clin Transplant&quot;,&quot;accessed&quot;:{&quot;date-parts&quot;:[[2024,5,4]]},&quot;DOI&quot;:&quot;10.1111/CTR.14976&quot;,&quot;ISSN&quot;:&quot;13990012&quot;,&quot;PMID&quot;:&quot;36950858&quot;,&quot;issued&quot;:{&quot;date-parts&quot;:[[2023,6,1]]},&quot;abstract&quot;:&quot;Background: Various formulae have been used for the estimation of standard liver volume (SLV) in preparation for living donor liver transplantation (LDLT). However, these formulae have the disadvantage of being constructed using parameters that are substantially affected by the patient's condition. Here, we aimed to establish more precise formulae that are less affected by the general condition of the patient. Methods: We analyzed the liver volumes of LDLT donors and patients with normal livers (total: n = 213) using the SYNAPSE VINCENT imaging analysis system, to develop new formulae. The accuracy of the new formulae were compared with those of existing formulae in a separate validation group of healthy patients (n = 200). The new formulae were also validated using 81 LDLT recipients to assess their utility for graft selection in LDLT. Results: Body surface area (BSA) and skeletal muscle mass index (SMI) independently affected total liver volume (TLV). We produced new formulae for SLV incorporating SMI: SLV = 32.2 × L3-SMI−466.9 for men, with R2.92, and 25.7 × L3-SMI−55.97 for women, with R2.79 (alongside a BSA formula with R2.57), which provided the most accurate predictions of TLV in the validation group. A graft volume (GV)/SLV &lt;.35, calculated using the new formulae, predicted the postoperative prognosis, including the development of small-for-size syndrome, sepsis, or acute rejection, significantly more effectively than GV/SLV using the previous formulae. Conclusions: The newly developed L3-SMI-based formula is more accurate for the estimation of SLV than previously reported formulae, and may thus help to improve the safety of LDLT.&quot;,&quot;publisher&quot;:&quot;John Wiley and Sons Inc&quot;,&quot;issue&quot;:&quot;6&quot;,&quot;volume&quot;:&quot;37&quot;},&quot;isTemporary&quot;:false},{&quot;id&quot;:&quot;4eecabdb-e70e-3901-8a02-ec8fc96eb936&quot;,&quot;itemData&quot;:{&quot;type&quot;:&quot;article-journal&quot;,&quot;id&quot;:&quot;4eecabdb-e70e-3901-8a02-ec8fc96eb936&quot;,&quot;title&quot;:&quot;Manual and semi-automated computed tomography volumetry significantly overestimates the right liver lobe graft weight: a single-center study with adult living liver donors&quot;,&quot;author&quot;:[{&quot;family&quot;:&quot;Çelik&quot;,&quot;given&quot;:&quot;Hakkı&quot;,&quot;parse-names&quot;:false,&quot;dropping-particle&quot;:&quot;&quot;,&quot;non-dropping-particle&quot;:&quot;&quot;},{&quot;family&quot;:&quot;Odaman&quot;,&quot;given&quot;:&quot;Hüseyin&quot;,&quot;parse-names&quot;:false,&quot;dropping-particle&quot;:&quot;&quot;,&quot;non-dropping-particle&quot;:&quot;&quot;},{&quot;family&quot;:&quot;Altay&quot;,&quot;given&quot;:&quot;Canan&quot;,&quot;parse-names&quot;:false,&quot;dropping-particle&quot;:&quot;&quot;,&quot;non-dropping-particle&quot;:&quot;&quot;},{&quot;family&quot;:&quot;Ünek&quot;,&quot;given&quot;:&quot;Tarkan&quot;,&quot;parse-names&quot;:false,&quot;dropping-particle&quot;:&quot;&quot;,&quot;non-dropping-particle&quot;:&quot;&quot;},{&quot;family&quot;:&quot;Özbilgin&quot;,&quot;given&quot;:&quot;Mücahit&quot;,&quot;parse-names&quot;:false,&quot;dropping-particle&quot;:&quot;&quot;,&quot;non-dropping-particle&quot;:&quot;&quot;},{&quot;family&quot;:&quot;Egeli&quot;,&quot;given&quot;:&quot;Tufan&quot;,&quot;parse-names&quot;:false,&quot;dropping-particle&quot;:&quot;&quot;,&quot;non-dropping-particle&quot;:&quot;&quot;},{&quot;family&quot;:&quot;Ağalar&quot;,&quot;given&quot;:&quot;Cihan&quot;,&quot;parse-names&quot;:false,&quot;dropping-particle&quot;:&quot;&quot;,&quot;non-dropping-particle&quot;:&quot;&quot;},{&quot;family&quot;:&quot;Astarcıoğlu&quot;,&quot;given&quot;:&quot;İbrahim Kemal&quot;,&quot;parse-names&quot;:false,&quot;dropping-particle&quot;:&quot;&quot;,&quot;non-dropping-particle&quot;:&quot;&quot;},{&quot;family&quot;:&quot;Barlık&quot;,&quot;given&quot;:&quot;Funda&quot;,&quot;parse-names&quot;:false,&quot;dropping-particle&quot;:&quot;&quot;,&quot;non-dropping-particle&quot;:&quot;&quot;}],&quot;container-title&quot;:&quot;Diagnostic and interventional radiology (Ankara, Turkey)&quot;,&quot;container-title-short&quot;:&quot;Diagn Interv Radiol&quot;,&quot;accessed&quot;:{&quot;date-parts&quot;:[[2023,6,15]]},&quot;DOI&quot;:&quot;10.4274/DIR.2023.221903&quot;,&quot;ISSN&quot;:&quot;1305-3612&quot;,&quot;PMID&quot;:&quot;37154817&quot;,&quot;URL&quot;:&quot;https://pubmed.ncbi.nlm.nih.gov/37154817/&quot;,&quot;issued&quot;:{&quot;date-parts&quot;:[[2023,5,8]]},&quot;page&quot;:&quot;0-0&quot;,&quot;publisher&quot;:&quot;Diagn Interv Radiol&quot;,&quot;issue&quot;:&quot;0&quot;,&quot;volume&quot;:&quot;0&quot;},&quot;isTemporary&quot;:false}]},{&quot;citationID&quot;:&quot;MENDELEY_CITATION_788d5f78-12af-4182-b054-2545ac0c8718&quot;,&quot;properties&quot;:{&quot;noteIndex&quot;:0},&quot;isEdited&quot;:false,&quot;manualOverride&quot;:{&quot;isManuallyOverridden&quot;:false,&quot;citeprocText&quot;:&quot;[5,6]&quot;,&quot;manualOverrideText&quot;:&quot;&quot;},&quot;citationTag&quot;:&quot;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&quot;,&quot;citationItems&quot;:[{&quot;id&quot;:&quot;88b95ac6-c688-3c27-a202-d094e0874e46&quot;,&quot;itemData&quot;:{&quot;type&quot;:&quot;article-journal&quot;,&quot;id&quot;:&quot;88b95ac6-c688-3c27-a202-d094e0874e46&quot;,&quot;title&quot;:&quot;Liver Graft Volume Estimation by Manual Volumetry and Software-Aided Interactive Volumetry: Which is Better?&quot;,&quot;author&quot;:[{&quot;family&quot;:&quot;Bozkurt&quot;,&quot;given&quot;:&quot;Birkan&quot;,&quot;parse-names&quot;:false,&quot;dropping-particle&quot;:&quot;&quot;,&quot;non-dropping-particle&quot;:&quot;&quot;},{&quot;family&quot;:&quot;Emek&quot;,&quot;given&quot;:&quot;Ertan&quot;,&quot;parse-names&quot;:false,&quot;dropping-particle&quot;:&quot;&quot;,&quot;non-dropping-particle&quot;:&quot;&quot;},{&quot;family&quot;:&quot;Arikan&quot;,&quot;given&quot;:&quot;Turkmen&quot;,&quot;parse-names&quot;:false,&quot;dropping-particle&quot;:&quot;&quot;,&quot;non-dropping-particle&quot;:&quot;&quot;},{&quot;family&quot;:&quot;Ceyhan&quot;,&quot;given&quot;:&quot;Ozgur&quot;,&quot;parse-names&quot;:false,&quot;dropping-particle&quot;:&quot;&quot;,&quot;non-dropping-particle&quot;:&quot;&quot;},{&quot;family&quot;:&quot;Yazici&quot;,&quot;given&quot;:&quot;Pinar&quot;,&quot;parse-names&quot;:false,&quot;dropping-particle&quot;:&quot;&quot;,&quot;non-dropping-particle&quot;:&quot;&quot;},{&quot;family&quot;:&quot;Sahin&quot;,&quot;given&quot;:&quot;Tolga&quot;,&quot;parse-names&quot;:false,&quot;dropping-particle&quot;:&quot;&quot;,&quot;non-dropping-particle&quot;:&quot;&quot;},{&quot;family&quot;:&quot;Mammadov&quot;,&quot;given&quot;:&quot;Elmar&quot;,&quot;parse-names&quot;:false,&quot;dropping-particle&quot;:&quot;&quot;,&quot;non-dropping-particle&quot;:&quot;&quot;},{&quot;family&quot;:&quot;Serin&quot;,&quot;given&quot;:&quot;Ayfer&quot;,&quot;parse-names&quot;:false,&quot;dropping-particle&quot;:&quot;&quot;,&quot;non-dropping-particle&quot;:&quot;&quot;},{&quot;family&quot;:&quot;Gurcan&quot;,&quot;given&quot;:&quot;Nagihan Inan&quot;,&quot;parse-names&quot;:false,&quot;dropping-particle&quot;:&quot;&quot;,&quot;non-dropping-particle&quot;:&quot;&quot;},{&quot;family&quot;:&quot;Yuzer&quot;,&quot;given&quot;:&quot;Yildiray&quot;,&quot;parse-names&quot;:false,&quot;dropping-particle&quot;:&quot;&quot;,&quot;non-dropping-particle&quot;:&quot;&quot;},{&quot;family&quot;:&quot;Tokat&quot;,&quot;given&quot;:&quot;Yaman&quot;,&quot;parse-names&quot;:false,&quot;dropping-particle&quot;:&quot;&quot;,&quot;non-dropping-particle&quot;:&quot;&quot;}],&quot;container-title&quot;:&quot;Transplantation Proceedings&quot;,&quot;container-title-short&quot;:&quot;Transplant Proc&quot;,&quot;DOI&quot;:&quot;10.1016/j.transproceed.2019.01.152&quot;,&quot;ISSN&quot;:&quot;18732623&quot;,&quot;PMID&quot;:&quot;31324483&quot;,&quot;issued&quot;:{&quot;date-parts&quot;:[[2019,9,1]]},&quot;page&quot;:&quot;2387-2390&quot;,&quot;abstract&quot;:&quot;Purpose: Estimation of graft volume is critical in living donor liver transplantation (LDLT). In this study, we aimed to evaluate the accuracy of software-aided automated computer tomography (CT) volumetry in the preoperative assessment of graft size for LDLT and to compare this method with manual volumetry. Materials and Methods: Forty-one donors (27 men; 14 women) with a mean age in years ± standard deviation (28.4 ± 6.6) underwent contrast-enhanced CT prior to graft removal for LDLT. A liver transplant surgeon determined the weights of liver grafts using automated 3-dimensional volumetry software, and an abdominal radiologist specializing in liver imaging independently and blindly used the commercial interactive volumetry-assisted software on a viewing workstation to determine the liver volume on CT images. Both results were then compared to the weights of actual grafts obtained during surgery. Intraclass correlation coefficients were used to assess the consistency of numerical measurements and Pearson correlation coefficients were calculated to detect a linear relationship between numerical variables. To compare correlation coefficients, z scores were used. Results: Regarding the right and left lobe graft volume estimation by the surgeon, there was a positive correlation between the results and actual graft weight (r = 0.834; P = .001; and r = 0.587; P = .001, respectively). Likewise, graft volume estimation by the radiologist for the right and left lobe was also positively correlated with the actual graft weight (r = 0.819; P = .001 and r = 0.626, P = .001, respectively). There was no significant difference between correlation coefficients (P = .836). Conclusion: Volumetric measurement of donor graft using 3-dimensional software provides comparable results to manual CT calculation of liver volume.&quot;,&quot;publisher&quot;:&quot;Elsevier USA&quot;,&quot;issue&quot;:&quot;7&quot;,&quot;volume&quot;:&quot;51&quot;},&quot;isTemporary&quot;:false},{&quot;id&quot;:&quot;e1bd0865-2399-3e08-952f-09ed7685c985&quot;,&quot;itemData&quot;:{&quot;type&quot;:&quot;article-journal&quot;,&quot;id&quot;:&quot;e1bd0865-2399-3e08-952f-09ed7685c985&quot;,&quot;title&quot;:&quot;Liver volumetric and anatomic assessment in living donor liver transplantation: The role of modern imaging and artificial intelligence&quot;,&quot;author&quot;:[{&quot;family&quot;:&quot;Machry&quot;,&quot;given&quot;:&quot;Mayara&quot;,&quot;parse-names&quot;:false,&quot;dropping-particle&quot;:&quot;&quot;,&quot;non-dropping-particle&quot;:&quot;&quot;},{&quot;family&quot;:&quot;Ferreira&quot;,&quot;given&quot;:&quot;Luis Fernando&quot;,&quot;parse-names&quot;:false,&quot;dropping-particle&quot;:&quot;&quot;,&quot;non-dropping-particle&quot;:&quot;&quot;},{&quot;family&quot;:&quot;Lucchese&quot;,&quot;given&quot;:&quot;Angelica Maria&quot;,&quot;parse-names&quot;:false,&quot;dropping-particle&quot;:&quot;&quot;,&quot;non-dropping-particle&quot;:&quot;&quot;},{&quot;family&quot;:&quot;Kalil&quot;,&quot;given&quot;:&quot;Antonio Nocchi&quot;,&quot;parse-names&quot;:false,&quot;dropping-particle&quot;:&quot;&quot;,&quot;non-dropping-particle&quot;:&quot;&quot;},{&quot;family&quot;:&quot;Feier&quot;,&quot;given&quot;:&quot;Flavia Heinz&quot;,&quot;parse-names&quot;:false,&quot;dropping-particle&quot;:&quot;&quot;,&quot;non-dropping-particle&quot;:&quot;&quot;}],&quot;container-title&quot;:&quot;World journal of transplantation&quot;,&quot;container-title-short&quot;:&quot;World J Transplant&quot;,&quot;accessed&quot;:{&quot;date-parts&quot;:[[2024,4,22]]},&quot;DOI&quot;:&quot;10.5500/WJT.V13.I6.290&quot;,&quot;ISSN&quot;:&quot;2220-3230&quot;,&quot;PMID&quot;:&quot;38174151&quot;,&quot;URL&quot;:&quot;https://pubmed.ncbi.nlm.nih.gov/38174151/&quot;,&quot;issued&quot;:{&quot;date-parts&quot;:[[2023,12,18]]},&quot;page&quot;:&quot;290-298&quot;,&quot;abstract&quot;:&quot;The shortage of deceased donor organs has prompted the development of alternative liver grafts for transplantation. Living-donor liver transplantation (LDLT) has emerged as a viable option, expanding the donor pool and enabling timely transplantation with favorable graft function and improved long-term outcomes. An accurate evaluation of the donor liver’s volumetry (LV) and anatomical study is crucial to ensure adequate future liver remnant, graft volume and precise liver resection. Thus, ensuring donor safety and an appropriate graft-to-recipient weight ratio. Manual LV (MLV) using computed tomography has traditionally been considered the gold standard for assessing liver volume. However, the method has been limited by cost, subjectivity, and variability. Automated LV techniques employing advanced segmentation algorithms offer improved reproducibility, reduced variability, and enhanced efficiency compared to manual measurements. However, the accuracy of automated LV requires further investigation. The study provides a comprehensive review of traditional and emerging LV methods, including semi-automated image processing, automated LV techniques, and machine learning-based approaches. Additionally, the study discusses the respective strengths and weaknesses of each of the aforementioned techniques. The use of artificial intelligence (AI) technologies, including machine learning and deep learning, is expected to become a routine part of surgical planning in the near future. The implementation of AI is expected to enable faster and more accurate image study interpretations, improve workflow efficiency, and enhance the safety, speed, and cost-effectiveness of the procedures. Accurate preoperative assessment of the liver plays a crucial role in ensuring safe donor selection and improved outcomes in LDLT. MLV has inherent limitations that have led to the adoption of semi-automated and automated software solutions. Moreover, AI has tremendous potential for LV and segmentation; however, its widespread use is hindered by cost and availability. Therefore, the integration of multiple specialties is necessary to embrace technology and explore its possibilities, ranging from patient counseling to intraoperative decision-making through automation and AI.&quot;,&quot;publisher&quot;:&quot;World J Transplant&quot;,&quot;issue&quot;:&quot;6&quot;,&quot;volume&quot;:&quot;13&quot;},&quot;isTemporary&quot;:false}]},{&quot;citationID&quot;:&quot;MENDELEY_CITATION_3c411a96-6874-4434-a7ea-385c12e0317c&quot;,&quot;properties&quot;:{&quot;noteIndex&quot;:0},&quot;isEdited&quot;:false,&quot;manualOverride&quot;:{&quot;isManuallyOverridden&quot;:false,&quot;citeprocText&quot;:&quot;[7,8]&quot;,&quot;manualOverrideText&quot;:&quot;&quot;},&quot;citationTag&quot;:&quot;MENDELEY_CITATION_v3_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&quot;,&quot;citationItems&quot;:[{&quot;id&quot;:&quot;5d046287-4823-33e5-b3d6-afc19bb1518b&quot;,&quot;itemData&quot;:{&quot;type&quot;:&quot;article-journal&quot;,&quot;id&quot;:&quot;5d046287-4823-33e5-b3d6-afc19bb1518b&quot;,&quot;title&quot;:&quot;Accuracy of preoperative CT liver volumetry in living donor hepatectomy and its clinical implications&quot;,&quot;author&quot;:[{&quot;family&quot;:&quot;Goja&quot;,&quot;given&quot;:&quot;Sanjay&quot;,&quot;parse-names&quot;:false,&quot;dropping-particle&quot;:&quot;&quot;,&quot;non-dropping-particle&quot;:&quot;&quot;},{&quot;family&quot;:&quot;Yadav&quot;,&quot;given&quot;:&quot;Sanjay Kumar&quot;,&quot;parse-names&quot;:false,&quot;dropping-particle&quot;:&quot;&quot;,&quot;non-dropping-particle&quot;:&quot;&quot;},{&quot;family&quot;:&quot;Yadav&quot;,&quot;given&quot;:&quot;Amardeep&quot;,&quot;parse-names&quot;:false,&quot;dropping-particle&quot;:&quot;&quot;,&quot;non-dropping-particle&quot;:&quot;&quot;},{&quot;family&quot;:&quot;Piplani&quot;,&quot;given&quot;:&quot;Tarun&quot;,&quot;parse-names&quot;:false,&quot;dropping-particle&quot;:&quot;&quot;,&quot;non-dropping-particle&quot;:&quot;&quot;},{&quot;family&quot;:&quot;Rastogi&quot;,&quot;given&quot;:&quot;Amit&quot;,&quot;parse-names&quot;:false,&quot;dropping-particle&quot;:&quot;&quot;,&quot;non-dropping-particle&quot;:&quot;&quot;},{&quot;family&quot;:&quot;Bhangui&quot;,&quot;given&quot;:&quot;Prashant&quot;,&quot;parse-names&quot;:false,&quot;dropping-particle&quot;:&quot;&quot;,&quot;non-dropping-particle&quot;:&quot;&quot;},{&quot;family&quot;:&quot;Saigal&quot;,&quot;given&quot;:&quot;Sanjiv&quot;,&quot;parse-names&quot;:false,&quot;dropping-particle&quot;:&quot;&quot;,&quot;non-dropping-particle&quot;:&quot;&quot;},{&quot;family&quot;:&quot;Soin&quot;,&quot;given&quot;:&quot;Arvinder Singh&quot;,&quot;parse-names&quot;:false,&quot;dropping-particle&quot;:&quot;&quot;,&quot;non-dropping-particle&quot;:&quot;&quot;}],&quot;container-title&quot;:&quot;HepatoBiliary Surgery and Nutrition&quot;,&quot;container-title-short&quot;:&quot;Hepatobiliary Surg Nutr&quot;,&quot;DOI&quot;:&quot;10.21037/hbsn.2017.08.02&quot;,&quot;ISSN&quot;:&quot;23043881&quot;,&quot;issued&quot;:{&quot;date-parts&quot;:[[2018,6]]},&quot;page&quot;:&quot;167-174&quot;,&quot;abstract&quot;:&quot;Background: An accurate preoperative volumetric assessment of donor\nliver is essential for successful living donor liver transplant by\nensuring adequate remnant and graft recipient weight ratio (GRWR).\nMethods: The study cohort consisted of 744 right lobe (RL), 65 left lobe\n(LL) and 33 left lateral sector (11.1,S) grafts from July 2010 to\nJanuary 2014. A semi-automated interactive commercial software called AW\nVolume share 6 was used for volumetry. Bland Altman plot was used for\nassessing the agreement between estimated graft weight (EGW) and actual\ngraft weight (AGW).\nResults: There was no statistically significant difference between EGW\nand AGW for RL graft weight (722 +/- 134 vs. 717 +/- 126 gm; P=0.06).\nAlthough Bland Altman graph showed that 95% limits of agreement was\nmore in LL (-164 to +110) than RL (-156 to +147) and LLS grafts (-137 to\n+239), CT scan significantly overestimated LL graft weight (EGW = 460\n+/- 118 gm vs. AGW = 433 +/- 102 gm; P=0.003) and underestimated LLS\ngraft weight (EGW = 203 +/- 48 gm vs. AGW = 254 +/- 49 gm; P&lt;0.001).\nConclusions: CT volumetry overestimate LL graft and underestimate LLS\ngraft weight. This should be factored in when selecting ILL graft by\ntaking higher GRWR.&quot;,&quot;publisher&quot;:&quot;AME Publishing Company&quot;,&quot;issue&quot;:&quot;3&quot;,&quot;volume&quot;:&quot;7&quot;},&quot;isTemporary&quot;:false},{&quot;id&quot;:&quot;ff7b18f4-2ddd-316d-8cb7-5a77e87b4783&quot;,&quot;itemData&quot;:{&quot;type&quot;:&quot;article-journal&quot;,&quot;id&quot;:&quot;ff7b18f4-2ddd-316d-8cb7-5a77e87b4783&quot;,&quot;title&quot;:&quot;Reproducibility and reliability of computed tomography volumetry in estimation of the right-lobe graft weight in adult-to-adult living donor liver transplantation: Cantlie's line vs portal vein territorialization&quot;,&quot;author&quot;:[{&quot;family&quot;:&quot;Kwon&quot;,&quot;given&quot;:&quot;Heon Ju&quot;,&quot;parse-names&quot;:false,&quot;dropping-particle&quot;:&quot;&quot;,&quot;non-dropping-particle&quot;:&quot;&quot;},{&quot;family&quot;:&quot;Kim&quot;,&quot;given&quot;:&quot;Kyoung Won&quot;,&quot;parse-names&quot;:false,&quot;dropping-particle&quot;:&quot;&quot;,&quot;non-dropping-particle&quot;:&quot;&quot;},{&quot;family&quot;:&quot;Jang&quot;,&quot;given&quot;:&quot;Jin Kyoo&quot;,&quot;parse-names&quot;:false,&quot;dropping-particle&quot;:&quot;&quot;,&quot;non-dropping-particle&quot;:&quot;&quot;},{&quot;family&quot;:&quot;Lee&quot;,&quot;given&quot;:&quot;Jeongjin&quot;,&quot;parse-names&quot;:false,&quot;dropping-particle&quot;:&quot;&quot;,&quot;non-dropping-particle&quot;:&quot;&quot;},{&quot;family&quot;:&quot;Song&quot;,&quot;given&quot;:&quot;Gi Won&quot;,&quot;parse-names&quot;:false,&quot;dropping-particle&quot;:&quot;&quot;,&quot;non-dropping-particle&quot;:&quot;&quot;},{&quot;family&quot;:&quot;Lee&quot;,&quot;given&quot;:&quot;Sung Gyu&quot;,&quot;parse-names&quot;:false,&quot;dropping-particle&quot;:&quot;&quot;,&quot;non-dropping-particle&quot;:&quot;&quot;}],&quot;container-title&quot;:&quot;Journal of hepato-biliary-pancreatic sciences&quot;,&quot;container-title-short&quot;:&quot;J Hepatobiliary Pancreat Sci&quot;,&quot;accessed&quot;:{&quot;date-parts&quot;:[[2023,8,13]]},&quot;DOI&quot;:&quot;10.1002/JHBP.749&quot;,&quot;ISSN&quot;:&quot;1868-6982&quot;,&quot;PMID&quot;:&quot;32353894&quot;,&quot;URL&quot;:&quot;https://pubmed.ncbi.nlm.nih.gov/32353894/&quot;,&quot;issued&quot;:{&quot;date-parts&quot;:[[2020,8,1]]},&quot;page&quot;:&quot;541-547&quot;,&quot;abstract&quot;:&quot;Background/Purpose: In living-donor liver transplantation (LDLT), liver volume assessment is a mandatory step in determining donor appropriateness. This study aimed to compare reliability and reproducibility between two major methods to define virtual hepatectomy plane, based on Cantlie's line (CTV-Cantlie) and portal vein territorialization (CTV-PVT) for right-lobe graft weight estimation in LDLT. Methods: A total of 188 donors who underwent preoperative CT scans were included. The liver was divided into right and left lobes using CTV-Cantlie and CTV-PTV measurements by two readers. Intraclass correlation coefficient (ICC) was used to determine interreader variability of hepatic weight measured using each CTV method. Intraoperative graft weight (IOW) was used as reference standard of right-lobe graft weight. Pearson correlation test was performed to determine correlation coefficients between presumed graft weight by each CTV method and IOW. Results: Intraclass correlation coefficients for total liver weight were roughly equivalent between the two CTV methods (CTV-Cantlie: 0.965 [95% CI, 0.954-0.974], CTV-PVT: 0.977 [0.970-0.983]). However, ICCs of right-and left-lobe weights between two readers were higher with CTV-PVT (0.997 and 0.850) than with CTV-Cantlie (0.829 and 0.668). The IOW was 716.0 ± 162.0 g. Correlation coefficients between presumed graft weight by CTV-Cantlie or CTV-PVT and IOW were 0.722 and 0.807, respectively (both P &lt;.001). Conclusions: For estimation of the right-lobe graft weight in LDLT, CTV-PVT may provide higher reliability and reproducibility than CTV-Cantlie.&quot;,&quot;publisher&quot;:&quot;J Hepatobiliary Pancreat Sci&quot;,&quot;issue&quot;:&quot;8&quot;,&quot;volume&quot;:&quot;27&quot;},&quot;isTemporary&quot;:false}]},{&quot;citationID&quot;:&quot;MENDELEY_CITATION_ecd6d474-ed47-4b79-b040-07d96555fc04&quot;,&quot;properties&quot;:{&quot;noteIndex&quot;:0},&quot;isEdited&quot;:false,&quot;manualOverride&quot;:{&quot;isManuallyOverridden&quot;:false,&quot;citeprocText&quot;:&quot;[9–11]&quot;,&quot;manualOverrideText&quot;:&quot;&quot;},&quot;citationTag&quot;:&quot;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&quot;,&quot;citationItems&quot;:[{&quot;id&quot;:&quot;4a8eb4d4-6832-3346-957e-285790984524&quot;,&quot;itemData&quot;:{&quot;type&quot;:&quot;article-journal&quot;,&quot;id&quot;:&quot;4a8eb4d4-6832-3346-957e-285790984524&quot;,&quot;title&quot;:&quot;Semi-automated computed tomography Volumetry can predict hemihepatectomy specimens' volumes in patients with hepatic malignancy&quot;,&quot;author&quot;:[{&quot;family&quot;:&quot;Mayer&quot;,&quot;given&quot;:&quot;Philipp&quot;,&quot;parse-names&quot;:false,&quot;dropping-particle&quot;:&quot;&quot;,&quot;non-dropping-particle&quot;:&quot;&quot;},{&quot;family&quot;:&quot;Grözinger&quot;,&quot;given&quot;:&quot;Martin&quot;,&quot;parse-names&quot;:false,&quot;dropping-particle&quot;:&quot;&quot;,&quot;non-dropping-particle&quot;:&quot;&quot;},{&quot;family&quot;:&quot;Mokry&quot;,&quot;given&quot;:&quot;Theresa&quot;,&quot;parse-names&quot;:false,&quot;dropping-particle&quot;:&quot;&quot;,&quot;non-dropping-particle&quot;:&quot;&quot;},{&quot;family&quot;:&quot;Schemmer&quot;,&quot;given&quot;:&quot;Peter&quot;,&quot;parse-names&quot;:false,&quot;dropping-particle&quot;:&quot;&quot;,&quot;non-dropping-particle&quot;:&quot;&quot;},{&quot;family&quot;:&quot;Waldburger&quot;,&quot;given&quot;:&quot;Nina&quot;,&quot;parse-names&quot;:false,&quot;dropping-particle&quot;:&quot;&quot;,&quot;non-dropping-particle&quot;:&quot;&quot;},{&quot;family&quot;:&quot;Kauczor&quot;,&quot;given&quot;:&quot;Hans-Ulrich&quot;,&quot;parse-names&quot;:false,&quot;dropping-particle&quot;:&quot;&quot;,&quot;non-dropping-particle&quot;:&quot;&quot;},{&quot;family&quot;:&quot;Klauss&quot;,&quot;given&quot;:&quot;Miriam&quot;,&quot;parse-names&quot;:false,&quot;dropping-particle&quot;:&quot;&quot;,&quot;non-dropping-particle&quot;:&quot;&quot;},{&quot;family&quot;:&quot;Sommer&quot;,&quot;given&quot;:&quot;Christof-Matthias&quot;,&quot;parse-names&quot;:false,&quot;dropping-particle&quot;:&quot;&quot;,&quot;non-dropping-particle&quot;:&quot;&quot;}],&quot;DOI&quot;:&quot;10.1186/s12880-019-0309&quot;,&quot;URL&quot;:&quot;https://doi.org/10.1186/s12880-019-0309-5&quot;,&quot;issued&quot;:{&quot;date-parts&quot;:[[2019]]},&quot;abstract&quot;:&quot;Background&quot;,&quot;container-title-short&quot;:&quot;&quot;},&quot;isTemporary&quot;:false},{&quot;id&quot;:&quot;85912826-55a8-3324-a123-4c9a9d6a6432&quot;,&quot;itemData&quot;:{&quot;type&quot;:&quot;article-journal&quot;,&quot;id&quot;:&quot;85912826-55a8-3324-a123-4c9a9d6a6432&quot;,&quot;title&quot;:&quot;Three-Dimensional Volumetric Assessment of Graft Volume in Living Donor Liver Transplantation: Does It Minimise Errors of Estimation?&quot;,&quot;author&quot;:[{&quot;family&quot;:&quot;Mohapatra&quot;,&quot;given&quot;:&quot;Nihar&quot;,&quot;parse-names&quot;:false,&quot;dropping-particle&quot;:&quot;&quot;,&quot;non-dropping-particle&quot;:&quot;&quot;},{&quot;family&quot;:&quot;Gurumoorthy Subramanya Bharathy&quot;,&quot;given&quot;:&quot;Kishore&quot;,&quot;parse-names&quot;:false,&quot;dropping-particle&quot;:&quot;&quot;,&quot;non-dropping-particle&quot;:&quot;&quot;},{&quot;family&quot;:&quot;Kumar Sinha&quot;,&quot;given&quot;:&quot;Piyush&quot;,&quot;parse-names&quot;:false,&quot;dropping-particle&quot;:&quot;&quot;,&quot;non-dropping-particle&quot;:&quot;&quot;},{&quot;family&quot;:&quot;Vasantrao Sasturkar&quot;,&quot;given&quot;:&quot;Shridhar&quot;,&quot;parse-names&quot;:false,&quot;dropping-particle&quot;:&quot;&quot;,&quot;non-dropping-particle&quot;:&quot;&quot;},{&quot;family&quot;:&quot;Patidar&quot;,&quot;given&quot;:&quot;Yashwant&quot;,&quot;parse-names&quot;:false,&quot;dropping-particle&quot;:&quot;&quot;,&quot;non-dropping-particle&quot;:&quot;&quot;},{&quot;family&quot;:&quot;Pamecha&quot;,&quot;given&quot;:&quot;Viniyendra&quot;,&quot;parse-names&quot;:false,&quot;dropping-particle&quot;:&quot;&quot;,&quot;non-dropping-particle&quot;:&quot;&quot;}],&quot;container-title&quot;:&quot;Journal of Clinical and Experimental Hepatology&quot;,&quot;container-title-short&quot;:&quot;J Clin Exp Hepatol&quot;,&quot;DOI&quot;:&quot;10.1016/j.jceh.2019.03.006&quot;,&quot;ISSN&quot;:&quot;22133453&quot;,&quot;issued&quot;:{&quot;date-parts&quot;:[[2020,1,1]]},&quot;page&quot;:&quot;1-8&quot;,&quot;abstract&quot;:&quot;Background: Accurate volumetric assessment of graft and remnant liver is essential in living donor liver transplantation (LDLT) for optimal clinical outcome in both donors and recipients. Recently, three-dimensional (3D) volumetry is proposed over conventional computed tomography (CT) volumetry to minimise errors. The aim of this study is to assess the correlation of estimated graft volume (EGV) by both the methods with actual graft weight (AGW). Methods: One hundred fifty-four consecutive donors were enrolled prospectively. Conventional CT volumetry (semiautomatic) and 3D volumetry were performed using Myrian software. Total liver volume (TLV), EGV, and remnant liver volume (RLV) were assessed using both methods and correlated with intraoperatively measured AGW as the reference standard. Error of estimation was calculated accordingly. Results: One hundred eighteen donors underwent right hepatectomy excluding middle hepatic vein (MHV), twenty-nine donors had left hepatectomy including MHV and six donors underwent left lateral sectionectomy. The median EGV on CT and 3D volumetry was 628.5 ml (140–1300) and 634.5 ml (156–1349), respectively. The median AGW was 647 gm (200–1004). Both CT and 3D volumetry showed strong correlation with AGW (correlation coefficients: 0.834 and 0.856, respectively). Linear correlation is as follows: (a) AGW = 99.75 + 0.818 × EGV (CT) and (b) AGW = 96.03 + 0.835 × EGV (3D). The mean percentage error for CT and 3D volumetry was 14.2 ± 12.5% and 12.2 ± 11.8%, respectively. The overall accuracy of estimation of EGV improved using 3D software (P=0.015). For the subgroup of types of graft, the difference did not reach statistical significance (P=0.062, 0.214 and 0.463 for right, left and left lateral grafts, respectively) Conclusion: Both conventional CT and 3D volumetric methods strongly correlate with AGW in donors of LDLT, whereas overall accuracy of estimation of graft weight improved marginally by 3D volumetry.&quot;,&quot;publisher&quot;:&quot;Elsevier B.V.&quot;,&quot;issue&quot;:&quot;1&quot;,&quot;volume&quot;:&quot;10&quot;},&quot;isTemporary&quot;:false},{&quot;id&quot;:&quot;925cad1c-64c4-3182-b611-65da39d3aae8&quot;,&quot;itemData&quot;:{&quot;type&quot;:&quot;article-journal&quot;,&quot;id&quot;:&quot;925cad1c-64c4-3182-b611-65da39d3aae8&quot;,&quot;title&quot;:&quot;Estimation of the Right Posterior Section Volume in Live Liver Donors: Semiautomated CT Volumetry Using Portal Vein Segmentation&quot;,&quot;author&quot;:[{&quot;family&quot;:&quot;Jeong&quot;,&quot;given&quot;:&quot;So Yeong&quot;,&quot;parse-names&quot;:false,&quot;dropping-particle&quot;:&quot;&quot;,&quot;non-dropping-particle&quot;:&quot;&quot;},{&quot;family&quot;:&quot;Lee&quot;,&quot;given&quot;:&quot;Jeongjin&quot;,&quot;parse-names&quot;:false,&quot;dropping-particle&quot;:&quot;&quot;,&quot;non-dropping-particle&quot;:&quot;&quot;},{&quot;family&quot;:&quot;Kim&quot;,&quot;given&quot;:&quot;Kyoung Won&quot;,&quot;parse-names&quot;:false,&quot;dropping-particle&quot;:&quot;&quot;,&quot;non-dropping-particle&quot;:&quot;&quot;},{&quot;family&quot;:&quot;Jang&quot;,&quot;given&quot;:&quot;Jin Kyoo&quot;,&quot;parse-names&quot;:false,&quot;dropping-particle&quot;:&quot;&quot;,&quot;non-dropping-particle&quot;:&quot;&quot;},{&quot;family&quot;:&quot;Kwon&quot;,&quot;given&quot;:&quot;Heon Ju&quot;,&quot;parse-names&quot;:false,&quot;dropping-particle&quot;:&quot;&quot;,&quot;non-dropping-particle&quot;:&quot;&quot;},{&quot;family&quot;:&quot;Song&quot;,&quot;given&quot;:&quot;Gi Won&quot;,&quot;parse-names&quot;:false,&quot;dropping-particle&quot;:&quot;&quot;,&quot;non-dropping-particle&quot;:&quot;&quot;},{&quot;family&quot;:&quot;Lee&quot;,&quot;given&quot;:&quot;Sung Gyu&quot;,&quot;parse-names&quot;:false,&quot;dropping-particle&quot;:&quot;&quot;,&quot;non-dropping-particle&quot;:&quot;&quot;}],&quot;container-title&quot;:&quot;Academic Radiology&quot;,&quot;container-title-short&quot;:&quot;Acad Radiol&quot;,&quot;DOI&quot;:&quot;10.1016/j.acra.2019.03.018&quot;,&quot;ISSN&quot;:&quot;18784046&quot;,&quot;PMID&quot;:&quot;31060982&quot;,&quot;issued&quot;:{&quot;date-parts&quot;:[[2020,2,1]]},&quot;page&quot;:&quot;210-218&quot;,&quot;abstract&quot;:&quot;Rationale and Objectives: To determine the accuracy of semiautomated CT volumetry using portal vein (PV) segmentation to estimate volume of the right posterior section (RPS) graft compared to intraoperative measured weight (W) in live liver donors. Materials and Methods: Among 23 donors who donated RPS grafts for liver transplantation in our institution from April 2003 to August 2016, 17 donors with CT scans within 3 months of liver procurement and PV anatomy of type I-III were included. RPS volumes were retrospectively evaluated by semiautomated CT volumetry (RPSVCTV) and by measurement of standard liver volume (SLV) and PV area ratio (RPSVSLV). RPS volumes were compared to W for correlation coefficients, (absolute) difference, and (absolute) percentage deviation. Linear fitting was performed to identify the method that yielded the greatest correlation with W. Results: Mean values of RPSVCTV, RPSVSLV, and W were 503.4 ± 97.8 mL (346.6–686.0), 516.54 ± 146.20 (274.06–776.32), and 518.8 ± 122.4 (370.0–789.0), respectively. RPSVCTV was strongly correlated with W (r = 0.9414; p &lt; 0.0001), whereas RPSVSLV was only moderately did (r = 0.5899; p = 0.0127). RPSVCTV showed a significantly smaller absolute difference (35.20 ± 30.82 vs. 104.79 ± 60.27, p = 0.004) and absolute percentage deviation (6.61 ± 4.90 vs. 19.92 ± 10.37, p &lt; 0.0001) from W. Equation correlating RPSVCTV and W was W = –74.7191 + 1.1791 RPSVCTV (R2 = 0.8862; p &lt; 0.001). Conclusion: RPSVCTV yields smaller absolute difference than RPSVSLV for estimating intraoperative measured weight of RPS in live liver donors. Semiautomated CT volumetry using PV segmentation is feasible for the estimation of the volume of the RPS of the liver, and RPSVCTV was strongly correlated with W (r = 0.9414; p &lt; 0.0001).&quot;,&quot;publisher&quot;:&quot;Elsevier USA&quot;,&quot;issue&quot;:&quot;2&quot;,&quot;volume&quot;:&quot;27&quot;},&quot;isTemporary&quot;:false}]},{&quot;citationID&quot;:&quot;MENDELEY_CITATION_2158c35c-9021-4116-b356-3a66178b51b2&quot;,&quot;properties&quot;:{&quot;noteIndex&quot;:0},&quot;isEdited&quot;:false,&quot;manualOverride&quot;:{&quot;isManuallyOverridden&quot;:false,&quot;citeprocText&quot;:&quot;[12]&quot;,&quot;manualOverrideText&quot;:&quot;&quot;},&quot;citationTag&quot;:&quot;MENDELEY_CITATION_v3_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&quot;,&quot;citationItems&quot;:[{&quot;id&quot;:&quot;ab78603b-fc7b-3866-b2ea-fc3d53a0ffa4&quot;,&quot;itemData&quot;:{&quot;type&quot;:&quot;article-journal&quot;,&quot;id&quot;:&quot;ab78603b-fc7b-3866-b2ea-fc3d53a0ffa4&quot;,&quot;title&quot;:&quot;Clinical implication of hepatic volumetry for living donor liver transplantation&quot;,&quot;author&quot;:[{&quot;family&quot;:&quot;Kyoung Jeong&quot;,&quot;given&quot;:&quot;Woo&quot;,&quot;parse-names&quot;:false,&quot;dropping-particle&quot;:&quot;&quot;,&quot;non-dropping-particle&quot;:&quot;&quot;}],&quot;container-title&quot;:&quot;Clinical and Molecular Hepatology&quot;,&quot;container-title-short&quot;:&quot;Clin Mol Hepatol&quot;,&quot;accessed&quot;:{&quot;date-parts&quot;:[[2023,8,13]]},&quot;DOI&quot;:&quot;10.3350/cmh.2018.1003&quot;,&quot;ISSN&quot;:&quot;2287-2728&quot;,&quot;URL&quot;:&quot;https://doi.org/10.3350/cmh.2018.1003&quot;,&quot;issued&quot;:{&quot;date-parts&quot;:[[2018]]},&quot;page&quot;:&quot;51-53&quot;,&quot;abstract&quot;:&quot;Editorial Liver transplantation is indicated for primary and salvage treatment of hepatic malignancies including hepatocellular carcinoma (HCC) and hepatic epithelioid hemangioendothelioma, end-stage liver diseases, acute liver failure, and congenital anatomical and metabolic liver diseases such as biliary atresia, Wilson's disease and hemochromatosis. 1 Living donor liver transplantation (LDLT) is more widely practiced in many Asian countries, rather than in Europe and the US, due to shortage of donors who have suffered brain death. In Korea, 75.4% of LT by 2016 was LDLT. 2 Pre-operative hepatic vol-umetry by using multi-detector row computed tomography (CT) or magnetic resonance imaging (MRI) is one of the most important step during the planning of LDLT 3 because hepatic reservoir after surgery could be estimated by the hepatic volumetry, which is an important factor for donor's and recipient's recovery after surgery. 4,5 If the graft size is too small, and mismatched compared with the recipient's size, it is called as \&quot;small-for-size-graft (SFSG)\&quot;. In that situation, even the small graft could be well adapted, but some recipient could have symptoms related to the graft size. 6 SFSG dys-function was defined as 'dysfunction of a small partial liver graft during the first postoperative week after the exclusion of other causes'. 7 It means that the transplanted partial liver cannot satisfy metabolic demand of the recipient or can be prone to congest by excessive portal inflow before regeneration of the graft, and results in irreversible graft failure and death of the patient if there is no available organ for re-transplantation. In the general setting of LDLT, the graft volume of less than 40-50% of standardized liver volume (SLV), corresponding to a graft to recipient weight ratio (GRWR) of 0.8-1.0% could be associated with worse outcome. 8 The mechanism of SFSG syndrome is not clear. It could be related to the shortage of parenchymal cell mass required to metabolize, and persistent elevation of portal venous pressure which causes hyperperfusion graft injury. 6 SFSG get the entire volume of portal flow, and lead to higher portal pressure due to increased portal resistance. 9 Moreover, as the cirrhotic recipients demonstrate higher portal flow than normal subjects, this recipients' hemodynamics&quot;,&quot;volume&quot;:&quot;24&quot;},&quot;isTemporary&quot;:false}]},{&quot;citationID&quot;:&quot;MENDELEY_CITATION_47423d04-6370-4d9c-8b6e-71430fbd68ad&quot;,&quot;properties&quot;:{&quot;noteIndex&quot;:0},&quot;isEdited&quot;:false,&quot;manualOverride&quot;:{&quot;isManuallyOverridden&quot;:false,&quot;citeprocText&quot;:&quot;[13]&quot;,&quot;manualOverrideText&quot;:&quot;&quot;},&quot;citationTag&quot;:&quot;MENDELEY_CITATION_v3_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&quot;,&quot;citationItems&quot;:[{&quot;id&quot;:&quot;3833c061-469a-3b9d-ba77-896682e61248&quot;,&quot;itemData&quot;:{&quot;type&quot;:&quot;article-journal&quot;,&quot;id&quot;:&quot;3833c061-469a-3b9d-ba77-896682e61248&quot;,&quot;title&quot;:&quot;Global epidemiology of cirrhosis - aetiology, trends and predictions&quot;,&quot;author&quot;:[{&quot;family&quot;:&quot;Huang&quot;,&quot;given&quot;:&quot;Daniel Q.&quot;,&quot;parse-names&quot;:false,&quot;dropping-particle&quot;:&quot;&quot;,&quot;non-dropping-particle&quot;:&quot;&quot;},{&quot;family&quot;:&quot;Terrault&quot;,&quot;given&quot;:&quot;Norah A.&quot;,&quot;parse-names&quot;:false,&quot;dropping-particle&quot;:&quot;&quot;,&quot;non-dropping-particle&quot;:&quot;&quot;},{&quot;family&quot;:&quot;Tacke&quot;,&quot;given&quot;:&quot;Frank&quot;,&quot;parse-names&quot;:false,&quot;dropping-particle&quot;:&quot;&quot;,&quot;non-dropping-particle&quot;:&quot;&quot;},{&quot;family&quot;:&quot;Gluud&quot;,&quot;given&quot;:&quot;Lise Lotte&quot;,&quot;parse-names&quot;:false,&quot;dropping-particle&quot;:&quot;&quot;,&quot;non-dropping-particle&quot;:&quot;&quot;},{&quot;family&quot;:&quot;Arrese&quot;,&quot;given&quot;:&quot;Marco&quot;,&quot;parse-names&quot;:false,&quot;dropping-particle&quot;:&quot;&quot;,&quot;non-dropping-particle&quot;:&quot;&quot;},{&quot;family&quot;:&quot;Bugianesi&quot;,&quot;given&quot;:&quot;Elisabetta&quot;,&quot;parse-names&quot;:false,&quot;dropping-particle&quot;:&quot;&quot;,&quot;non-dropping-particle&quot;:&quot;&quot;},{&quot;family&quot;:&quot;Loomba&quot;,&quot;given&quot;:&quot;Rohit&quot;,&quot;parse-names&quot;:false,&quot;dropping-particle&quot;:&quot;&quot;,&quot;non-dropping-particle&quot;:&quot;&quot;}],&quot;container-title&quot;:&quot;Nature reviews. Gastroenterology &amp; hepatology&quot;,&quot;container-title-short&quot;:&quot;Nat Rev Gastroenterol Hepatol&quot;,&quot;accessed&quot;:{&quot;date-parts&quot;:[[2024,1,20]]},&quot;DOI&quot;:&quot;10.1038/S41575-023-00759-2&quot;,&quot;ISSN&quot;:&quot;1759-5053&quot;,&quot;PMID&quot;:&quot;36977794&quot;,&quot;URL&quot;:&quot;https://pubmed.ncbi.nlm.nih.gov/36977794/&quot;,&quot;issued&quot;:{&quot;date-parts&quot;:[[2023,6,1]]},&quot;page&quot;:&quot;388-398&quot;,&quot;abstract&quot;:&quot;Cirrhosis is an important cause of morbidity and mortality in people with chronic liver disease worldwide. In 2019, cirrhosis was associated with 2.4% of global deaths. Owing to the rising prevalence of obesity and increased alcohol consumption on the one hand, and improvements in the management of hepatitis B virus and hepatitis C virus infections on the other, the epidemiology and burden of cirrhosis are changing. In this Review, we highlight global trends in the epidemiology of cirrhosis, discuss the contributions of various aetiologies of liver disease, examine projections for the burden of cirrhosis, and suggest future directions to tackle this condition. Although viral hepatitis remains the leading cause of cirrhosis worldwide, the prevalence of non-alcoholic fatty liver disease (NAFLD) and alcohol-associated cirrhosis are rising in several regions of the world. The global number of deaths from cirrhosis increased between 2012 and 2017, but age-standardized death rates (ASDRs) declined. However, the ASDR for NAFLD-associated cirrhosis increased over this period, whereas ASDRs for other aetiologies of cirrhosis declined. The number of deaths from cirrhosis is projected to increase in the next decade. For these reasons, greater efforts are required to facilitate primary prevention, early detection and treatment of liver disease, and to improve access to care.&quot;,&quot;publisher&quot;:&quot;Nat Rev Gastroenterol Hepatol&quot;,&quot;issue&quot;:&quot;6&quot;,&quot;volume&quot;:&quot;20&quot;},&quot;isTemporary&quot;:false}]},{&quot;citationID&quot;:&quot;MENDELEY_CITATION_b44de505-955b-4437-ba07-6795e0ab97c1&quot;,&quot;properties&quot;:{&quot;noteIndex&quot;:0},&quot;isEdited&quot;:false,&quot;manualOverride&quot;:{&quot;isManuallyOverridden&quot;:false,&quot;citeprocText&quot;:&quot;[14]&quot;,&quot;manualOverrideText&quot;:&quot;&quot;},&quot;citationTag&quot;:&quot;MENDELEY_CITATION_v3_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&quot;,&quot;citationItems&quot;:[{&quot;id&quot;:&quot;136e15cb-32a6-3738-a0dc-c52c9759f3fe&quot;,&quot;itemData&quot;:{&quot;type&quot;:&quot;article-journal&quot;,&quot;id&quot;:&quot;136e15cb-32a6-3738-a0dc-c52c9759f3fe&quot;,&quot;title&quot;:&quot;Donor BMI and Post–living Donor Liver Transplantation Outcomes: A Preliminary Report&quot;,&quot;author&quot;:[{&quot;family&quot;:&quot;Lin&quot;,&quot;given&quot;:&quot;Jessica S.&quot;,&quot;parse-names&quot;:false,&quot;dropping-particle&quot;:&quot;&quot;,&quot;non-dropping-particle&quot;:&quot;&quot;},{&quot;family&quot;:&quot;Muhammad&quot;,&quot;given&quot;:&quot;Haris&quot;,&quot;parse-names&quot;:false,&quot;dropping-particle&quot;:&quot;&quot;,&quot;non-dropping-particle&quot;:&quot;&quot;},{&quot;family&quot;:&quot;Lin&quot;,&quot;given&quot;:&quot;Timothy&quot;,&quot;parse-names&quot;:false,&quot;dropping-particle&quot;:&quot;&quot;,&quot;non-dropping-particle&quot;:&quot;&quot;},{&quot;family&quot;:&quot;Kamel&quot;,&quot;given&quot;:&quot;Ihab&quot;,&quot;parse-names&quot;:false,&quot;dropping-particle&quot;:&quot;&quot;,&quot;non-dropping-particle&quot;:&quot;&quot;},{&quot;family&quot;:&quot;Baghdadi&quot;,&quot;given&quot;:&quot;Azarakhsh&quot;,&quot;parse-names&quot;:false,&quot;dropping-particle&quot;:&quot;&quot;,&quot;non-dropping-particle&quot;:&quot;&quot;},{&quot;family&quot;:&quot;Rizkalla&quot;,&quot;given&quot;:&quot;Nicole&quot;,&quot;parse-names&quot;:false,&quot;dropping-particle&quot;:&quot;&quot;,&quot;non-dropping-particle&quot;:&quot;&quot;},{&quot;family&quot;:&quot;Ottmann&quot;,&quot;given&quot;:&quot;Shane E.&quot;,&quot;parse-names&quot;:false,&quot;dropping-particle&quot;:&quot;&quot;,&quot;non-dropping-particle&quot;:&quot;&quot;},{&quot;family&quot;:&quot;Wesson&quot;,&quot;given&quot;:&quot;Russell&quot;,&quot;parse-names&quot;:false,&quot;dropping-particle&quot;:&quot;&quot;,&quot;non-dropping-particle&quot;:&quot;&quot;},{&quot;family&quot;:&quot;Philosophe&quot;,&quot;given&quot;:&quot;Benjamin&quot;,&quot;parse-names&quot;:false,&quot;dropping-particle&quot;:&quot;&quot;,&quot;non-dropping-particle&quot;:&quot;&quot;},{&quot;family&quot;:&quot;Gurakar&quot;,&quot;given&quot;:&quot;Ahmet&quot;,&quot;parse-names&quot;:false,&quot;dropping-particle&quot;:&quot;&quot;,&quot;non-dropping-particle&quot;:&quot;&quot;}],&quot;container-title&quot;:&quot;Transplantation Direct&quot;,&quot;container-title-short&quot;:&quot;Transplant Direct&quot;,&quot;accessed&quot;:{&quot;date-parts&quot;:[[2023,10,29]]},&quot;DOI&quot;:&quot;10.1097/TXD.0000000000001431&quot;,&quot;ISSN&quot;:&quot;23738731&quot;,&quot;PMID&quot;:&quot;36700065&quot;,&quot;URL&quot;:&quot;/pmc/articles/PMC9835892/&quot;,&quot;issued&quot;:{&quot;date-parts&quot;:[[2023,1,12]]},&quot;abstract&quot;:&quot;Background. Living liver donor obesity has been considered a relative contraindication to living donation given the association with hepatic steatosis and potential for poor donor and recipient outcomes. We investigated the association between donor body mass index (BMI) and donor and recipient posttransplant outcomes. Methods. We studied 66 living donors and their recipients who underwent living donor liver transplant at our center between 2013 and 2020. BMI was divided into 3 categories (&lt;25, 25-29.9, and ≥30 kg/m2). Magnetic resonance imaging-derived proton density fat fraction was used to quantify steatosis. Donor outcomes included length of stay (LOS), emergency department visits within 90 d, hospital readmissions within 90 d, and complication severity. Recipient outcomes included LOS and in-hospital mortality. The Student t test was used to compare normally distributed variables, and Kruskal-Wallis tests were used for nonparametric data. Results. There was no difference in donor or recipient characteristics based on donor BMI. There was no significant difference in mean magnetic resonance imaging fat percentage among the 3 groups. Additionally, there was no difference in donor LOS (P = 0.058), emergency department visits (P = 0.64), and hospital readmissions (P = 0.66) across BMI category. Donor complications occurred in 30 patients. There was no difference in postdonation complications across BMI category (P = 0.19); however, there was a difference in wound complications, with the highest rate being seen in the highest BMI group (0% versus 16% versus 37%; P = 0.041). Finally, there was no difference in recipient LOS (P = 0.83) and recipient in-hospital mortality (P = 0.29) across BMI category. Conclusions. Selecting donors with BMI ≥30 kg/m2can result in successful living donor liver transplantation; however, they are at risk for perioperative wound complications. Donor counseling and perioperative strategies to mitigate wound-related issues should be used when considering obese living donors.&quot;,&quot;publisher&quot;:&quot;Wolters Kluwer Health&quot;,&quot;issue&quot;:&quot;2&quot;,&quot;volume&quot;:&quot;9&quot;},&quot;isTemporary&quot;:false}]},{&quot;citationID&quot;:&quot;MENDELEY_CITATION_e05bb4a5-0b92-4100-b20e-711fb5fe5b3d&quot;,&quot;properties&quot;:{&quot;noteIndex&quot;:0},&quot;isEdited&quot;:false,&quot;manualOverride&quot;:{&quot;isManuallyOverridden&quot;:false,&quot;citeprocText&quot;:&quot;[2]&quot;,&quot;manualOverrideText&quot;:&quot;&quot;},&quot;citationTag&quot;:&quot;MENDELEY_CITATION_v3_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&quot;,&quot;citationItems&quot;:[{&quot;id&quot;:&quot;2301373f-014f-3c8e-8733-6eb77e20e9a2&quot;,&quot;itemData&quot;:{&quot;type&quot;:&quot;article-journal&quot;,&quot;id&quot;:&quot;2301373f-014f-3c8e-8733-6eb77e20e9a2&quot;,&quot;title&quot;:&quot;Evolution of Liver Transplantation in Kazakhstan: Two-Era Experience of a Single Center, the First Report&quot;,&quot;author&quot;:[{&quot;family&quot;:&quot;Baimakhanov&quot;,&quot;given&quot;:&quot;Zhassulan&quot;,&quot;parse-names&quot;:false,&quot;dropping-particle&quot;:&quot;&quot;,&quot;non-dropping-particle&quot;:&quot;&quot;},{&quot;family&quot;:&quot;Kaniev&quot;,&quot;given&quot;:&quot;Shokan&quot;,&quot;parse-names&quot;:false,&quot;dropping-particle&quot;:&quot;&quot;,&quot;non-dropping-particle&quot;:&quot;&quot;},{&quot;family&quot;:&quot;Doskhanov&quot;,&quot;given&quot;:&quot;Maksat&quot;,&quot;parse-names&quot;:false,&quot;dropping-particle&quot;:&quot;&quot;,&quot;non-dropping-particle&quot;:&quot;&quot;},{&quot;family&quot;:&quot;Sadykov&quot;,&quot;given&quot;:&quot;Chingiz&quot;,&quot;parse-names&quot;:false,&quot;dropping-particle&quot;:&quot;&quot;,&quot;non-dropping-particle&quot;:&quot;&quot;},{&quot;family&quot;:&quot;Serikuly&quot;,&quot;given&quot;:&quot;Erbol&quot;,&quot;parse-names&quot;:false,&quot;dropping-particle&quot;:&quot;&quot;,&quot;non-dropping-particle&quot;:&quot;&quot;},{&quot;family&quot;:&quot;Skakbayev&quot;,&quot;given&quot;:&quot;Aidar&quot;,&quot;parse-names&quot;:false,&quot;dropping-particle&quot;:&quot;&quot;,&quot;non-dropping-particle&quot;:&quot;&quot;},{&quot;family&quot;:&quot;Ilyassova&quot;,&quot;given&quot;:&quot;Bibigul&quot;,&quot;parse-names&quot;:false,&quot;dropping-particle&quot;:&quot;&quot;,&quot;non-dropping-particle&quot;:&quot;&quot;},{&quot;family&quot;:&quot;Baiguissova&quot;,&quot;given&quot;:&quot;Dinara&quot;,&quot;parse-names&quot;:false,&quot;dropping-particle&quot;:&quot;&quot;,&quot;non-dropping-particle&quot;:&quot;&quot;},{&quot;family&quot;:&quot;Seisembaev&quot;,&quot;given&quot;:&quot;Manas&quot;,&quot;parse-names&quot;:false,&quot;dropping-particle&quot;:&quot;&quot;,&quot;non-dropping-particle&quot;:&quot;&quot;},{&quot;family&quot;:&quot;Chormanov&quot;,&quot;given&quot;:&quot;Almat&quot;,&quot;parse-names&quot;:false,&quot;dropping-particle&quot;:&quot;&quot;,&quot;non-dropping-particle&quot;:&quot;&quot;},{&quot;family&quot;:&quot;Baimakhanov&quot;,&quot;given&quot;:&quot;Bolatbek&quot;,&quot;parse-names&quot;:false,&quot;dropping-particle&quot;:&quot;&quot;,&quot;non-dropping-particle&quot;:&quot;&quot;}],&quot;container-title&quot;:&quot;Transplantation Proceedings&quot;,&quot;container-title-short&quot;:&quot;Transplant Proc&quot;,&quot;DOI&quot;:&quot;10.1016/j.transproceed.2019.07.023&quot;,&quot;ISSN&quot;:&quot;18732623&quot;,&quot;PMID&quot;:&quot;31733795&quot;,&quot;issued&quot;:{&quot;date-parts&quot;:[[2019,12,1]]},&quot;page&quot;:&quot;3360-3363&quot;,&quot;abstract&quot;:&quot;Background: Liver transplantation has been performed in Kazakhstan since 2011. The present study aimed to analyze the outcomes of the most experienced liver transplant center in Kazakhstan. Methods: Between December 2011 and December 2018, 131 liver transplantations were performed at A.N. Syzganov's National Scientific Center of Surgery. The clinical data of 88 adult patients who underwent living donor liver transplantations from December 2011 to December 2017 were analyzed. The patients were divided into 2 cohorts based on the periods in which the procedure was performed: the early era (2011-2014; n = 25) and the late era (2015-2017; n = 63). The clinical course and outcomes were retrospectively reviewed. Results: There were significant differences in the characteristics of the recipients. The patients who were treated during the late era had significantly better survival rates compared with the early era (1 year, 90.5%; 3 year, 79.6%; vs 1 year, 67.7%; 3 year 63.3%; P &lt;.05). Right lobe grafts were used significantly more frequently during the late era (P &lt;.05), while splenectomy was indicated significantly less frequently (P &lt;.05). We also noted a decrease in the complication rate, including early postoperative mortality (P &lt;.05). Conclusions: Over the past 7 years, the liver transplant program has been established, and the operative techniques used in living donor liver transplant have changed dramatically. Patient survival has been improving with increased experience.&quot;,&quot;publisher&quot;:&quot;Elsevier USA&quot;,&quot;issue&quot;:&quot;10&quot;,&quot;volume&quot;:&quot;51&quot;},&quot;isTemporary&quot;:false}]},{&quot;citationID&quot;:&quot;MENDELEY_CITATION_6c57fd1e-23ca-4081-ad82-ed2b38eec5ae&quot;,&quot;properties&quot;:{&quot;noteIndex&quot;:0},&quot;isEdited&quot;:false,&quot;manualOverride&quot;:{&quot;isManuallyOverridden&quot;:false,&quot;citeprocText&quot;:&quot;[13]&quot;,&quot;manualOverrideText&quot;:&quot;&quot;},&quot;citationTag&quot;:&quot;MENDELEY_CITATION_v3_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&quot;,&quot;citationItems&quot;:[{&quot;id&quot;:&quot;3833c061-469a-3b9d-ba77-896682e61248&quot;,&quot;itemData&quot;:{&quot;type&quot;:&quot;article-journal&quot;,&quot;id&quot;:&quot;3833c061-469a-3b9d-ba77-896682e61248&quot;,&quot;title&quot;:&quot;Global epidemiology of cirrhosis - aetiology, trends and predictions&quot;,&quot;author&quot;:[{&quot;family&quot;:&quot;Huang&quot;,&quot;given&quot;:&quot;Daniel Q.&quot;,&quot;parse-names&quot;:false,&quot;dropping-particle&quot;:&quot;&quot;,&quot;non-dropping-particle&quot;:&quot;&quot;},{&quot;family&quot;:&quot;Terrault&quot;,&quot;given&quot;:&quot;Norah A.&quot;,&quot;parse-names&quot;:false,&quot;dropping-particle&quot;:&quot;&quot;,&quot;non-dropping-particle&quot;:&quot;&quot;},{&quot;family&quot;:&quot;Tacke&quot;,&quot;given&quot;:&quot;Frank&quot;,&quot;parse-names&quot;:false,&quot;dropping-particle&quot;:&quot;&quot;,&quot;non-dropping-particle&quot;:&quot;&quot;},{&quot;family&quot;:&quot;Gluud&quot;,&quot;given&quot;:&quot;Lise Lotte&quot;,&quot;parse-names&quot;:false,&quot;dropping-particle&quot;:&quot;&quot;,&quot;non-dropping-particle&quot;:&quot;&quot;},{&quot;family&quot;:&quot;Arrese&quot;,&quot;given&quot;:&quot;Marco&quot;,&quot;parse-names&quot;:false,&quot;dropping-particle&quot;:&quot;&quot;,&quot;non-dropping-particle&quot;:&quot;&quot;},{&quot;family&quot;:&quot;Bugianesi&quot;,&quot;given&quot;:&quot;Elisabetta&quot;,&quot;parse-names&quot;:false,&quot;dropping-particle&quot;:&quot;&quot;,&quot;non-dropping-particle&quot;:&quot;&quot;},{&quot;family&quot;:&quot;Loomba&quot;,&quot;given&quot;:&quot;Rohit&quot;,&quot;parse-names&quot;:false,&quot;dropping-particle&quot;:&quot;&quot;,&quot;non-dropping-particle&quot;:&quot;&quot;}],&quot;container-title&quot;:&quot;Nature reviews. Gastroenterology &amp; hepatology&quot;,&quot;container-title-short&quot;:&quot;Nat Rev Gastroenterol Hepatol&quot;,&quot;accessed&quot;:{&quot;date-parts&quot;:[[2024,1,20]]},&quot;DOI&quot;:&quot;10.1038/S41575-023-00759-2&quot;,&quot;ISSN&quot;:&quot;1759-5053&quot;,&quot;PMID&quot;:&quot;36977794&quot;,&quot;URL&quot;:&quot;https://pubmed.ncbi.nlm.nih.gov/36977794/&quot;,&quot;issued&quot;:{&quot;date-parts&quot;:[[2023,6,1]]},&quot;page&quot;:&quot;388-398&quot;,&quot;abstract&quot;:&quot;Cirrhosis is an important cause of morbidity and mortality in people with chronic liver disease worldwide. In 2019, cirrhosis was associated with 2.4% of global deaths. Owing to the rising prevalence of obesity and increased alcohol consumption on the one hand, and improvements in the management of hepatitis B virus and hepatitis C virus infections on the other, the epidemiology and burden of cirrhosis are changing. In this Review, we highlight global trends in the epidemiology of cirrhosis, discuss the contributions of various aetiologies of liver disease, examine projections for the burden of cirrhosis, and suggest future directions to tackle this condition. Although viral hepatitis remains the leading cause of cirrhosis worldwide, the prevalence of non-alcoholic fatty liver disease (NAFLD) and alcohol-associated cirrhosis are rising in several regions of the world. The global number of deaths from cirrhosis increased between 2012 and 2017, but age-standardized death rates (ASDRs) declined. However, the ASDR for NAFLD-associated cirrhosis increased over this period, whereas ASDRs for other aetiologies of cirrhosis declined. The number of deaths from cirrhosis is projected to increase in the next decade. For these reasons, greater efforts are required to facilitate primary prevention, early detection and treatment of liver disease, and to improve access to care.&quot;,&quot;publisher&quot;:&quot;Nat Rev Gastroenterol Hepatol&quot;,&quot;issue&quot;:&quot;6&quot;,&quot;volume&quot;:&quot;20&quot;},&quot;isTemporary&quot;:false}]},{&quot;citationID&quot;:&quot;MENDELEY_CITATION_e13228d8-85aa-41e6-b235-abc12d909ca1&quot;,&quot;properties&quot;:{&quot;noteIndex&quot;:0},&quot;isEdited&quot;:false,&quot;manualOverride&quot;:{&quot;isManuallyOverridden&quot;:false,&quot;citeprocText&quot;:&quot;[7]&quot;,&quot;manualOverrideText&quot;:&quot;&quot;},&quot;citationTag&quot;:&quot;MENDELEY_CITATION_v3_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&quot;,&quot;citationItems&quot;:[{&quot;id&quot;:&quot;5d046287-4823-33e5-b3d6-afc19bb1518b&quot;,&quot;itemData&quot;:{&quot;type&quot;:&quot;article-journal&quot;,&quot;id&quot;:&quot;5d046287-4823-33e5-b3d6-afc19bb1518b&quot;,&quot;title&quot;:&quot;Accuracy of preoperative CT liver volumetry in living donor hepatectomy and its clinical implications&quot;,&quot;author&quot;:[{&quot;family&quot;:&quot;Goja&quot;,&quot;given&quot;:&quot;Sanjay&quot;,&quot;parse-names&quot;:false,&quot;dropping-particle&quot;:&quot;&quot;,&quot;non-dropping-particle&quot;:&quot;&quot;},{&quot;family&quot;:&quot;Yadav&quot;,&quot;given&quot;:&quot;Sanjay Kumar&quot;,&quot;parse-names&quot;:false,&quot;dropping-particle&quot;:&quot;&quot;,&quot;non-dropping-particle&quot;:&quot;&quot;},{&quot;family&quot;:&quot;Yadav&quot;,&quot;given&quot;:&quot;Amardeep&quot;,&quot;parse-names&quot;:false,&quot;dropping-particle&quot;:&quot;&quot;,&quot;non-dropping-particle&quot;:&quot;&quot;},{&quot;family&quot;:&quot;Piplani&quot;,&quot;given&quot;:&quot;Tarun&quot;,&quot;parse-names&quot;:false,&quot;dropping-particle&quot;:&quot;&quot;,&quot;non-dropping-particle&quot;:&quot;&quot;},{&quot;family&quot;:&quot;Rastogi&quot;,&quot;given&quot;:&quot;Amit&quot;,&quot;parse-names&quot;:false,&quot;dropping-particle&quot;:&quot;&quot;,&quot;non-dropping-particle&quot;:&quot;&quot;},{&quot;family&quot;:&quot;Bhangui&quot;,&quot;given&quot;:&quot;Prashant&quot;,&quot;parse-names&quot;:false,&quot;dropping-particle&quot;:&quot;&quot;,&quot;non-dropping-particle&quot;:&quot;&quot;},{&quot;family&quot;:&quot;Saigal&quot;,&quot;given&quot;:&quot;Sanjiv&quot;,&quot;parse-names&quot;:false,&quot;dropping-particle&quot;:&quot;&quot;,&quot;non-dropping-particle&quot;:&quot;&quot;},{&quot;family&quot;:&quot;Soin&quot;,&quot;given&quot;:&quot;Arvinder Singh&quot;,&quot;parse-names&quot;:false,&quot;dropping-particle&quot;:&quot;&quot;,&quot;non-dropping-particle&quot;:&quot;&quot;}],&quot;container-title&quot;:&quot;HepatoBiliary Surgery and Nutrition&quot;,&quot;container-title-short&quot;:&quot;Hepatobiliary Surg Nutr&quot;,&quot;DOI&quot;:&quot;10.21037/hbsn.2017.08.02&quot;,&quot;ISSN&quot;:&quot;23043881&quot;,&quot;issued&quot;:{&quot;date-parts&quot;:[[2018,6]]},&quot;page&quot;:&quot;167-174&quot;,&quot;abstract&quot;:&quot;Background: An accurate preoperative volumetric assessment of donor\nliver is essential for successful living donor liver transplant by\nensuring adequate remnant and graft recipient weight ratio (GRWR).\nMethods: The study cohort consisted of 744 right lobe (RL), 65 left lobe\n(LL) and 33 left lateral sector (11.1,S) grafts from July 2010 to\nJanuary 2014. A semi-automated interactive commercial software called AW\nVolume share 6 was used for volumetry. Bland Altman plot was used for\nassessing the agreement between estimated graft weight (EGW) and actual\ngraft weight (AGW).\nResults: There was no statistically significant difference between EGW\nand AGW for RL graft weight (722 +/- 134 vs. 717 +/- 126 gm; P=0.06).\nAlthough Bland Altman graph showed that 95% limits of agreement was\nmore in LL (-164 to +110) than RL (-156 to +147) and LLS grafts (-137 to\n+239), CT scan significantly overestimated LL graft weight (EGW = 460\n+/- 118 gm vs. AGW = 433 +/- 102 gm; P=0.003) and underestimated LLS\ngraft weight (EGW = 203 +/- 48 gm vs. AGW = 254 +/- 49 gm; P&lt;0.001).\nConclusions: CT volumetry overestimate LL graft and underestimate LLS\ngraft weight. This should be factored in when selecting ILL graft by\ntaking higher GRWR.&quot;,&quot;publisher&quot;:&quot;AME Publishing Company&quot;,&quot;issue&quot;:&quot;3&quot;,&quot;volume&quot;:&quot;7&quot;},&quot;isTemporary&quot;:false}]},{&quot;citationID&quot;:&quot;MENDELEY_CITATION_9207b77e-bea5-4e3c-9923-efbfd1cadcf5&quot;,&quot;properties&quot;:{&quot;noteIndex&quot;:0},&quot;isEdited&quot;:false,&quot;manualOverride&quot;:{&quot;isManuallyOverridden&quot;:false,&quot;citeprocText&quot;:&quot;[15]&quot;,&quot;manualOverrideText&quot;:&quot;&quot;},&quot;citationTag&quot;:&quot;MENDELEY_CITATION_v3_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&quot;,&quot;citationItems&quot;:[{&quot;id&quot;:&quot;100c8875-46ad-3871-b8d0-d134177e3c6c&quot;,&quot;itemData&quot;:{&quot;type&quot;:&quot;article-journal&quot;,&quot;id&quot;:&quot;100c8875-46ad-3871-b8d0-d134177e3c6c&quot;,&quot;title&quot;:&quot;A Complete Treatment of Adult Living Donor Liver Transplantation: A Review of Surgical Technique and Current Challenges to Expand Indication of Patients&quot;,&quot;author&quot;:[{&quot;family&quot;:&quot;Lee&quot;,&quot;given&quot;:&quot;S. G.&quot;,&quot;parse-names&quot;:false,&quot;dropping-particle&quot;:&quot;&quot;,&quot;non-dropping-particle&quot;:&quot;&quot;}],&quot;container-title&quot;:&quot;American Journal of Transplantation&quot;,&quot;accessed&quot;:{&quot;date-parts&quot;:[[2023,8,22]]},&quot;DOI&quot;:&quot;10.1111/AJT.12907&quot;,&quot;ISSN&quot;:&quot;1600-6143&quot;,&quot;PMID&quot;:&quot;25358749&quot;,&quot;URL&quot;:&quot;https://onlinelibrary.wiley.com/doi/full/10.1111/ajt.12907&quot;,&quot;issued&quot;:{&quot;date-parts&quot;:[[2015,1,1]]},&quot;page&quot;:&quot;17-38&quot;,&quot;abstract&quot;:&quot;The growing disparity between the number of liver transplant candidates and the supply of deceased donor organs has motivated the development of living donor liver transplantation (LDLT). Over the last two decades, the operation has been markedly improved by innovations rendering modern results comparable with those of deceased donor liver transplantation (DDLT). However, there remains room for further innovation, particularly in adult living donor liver transplantation (ALDLT). Unlike whole-size DDLT and pediatric LDLT, size-mismatching between ALDLT graft and recipient body weight and changing dynamics of posttransplant allograft regeneration have remained major challenges. A better understanding of the complex surgical anatomy and physiologic differences of ALDLT helps avoid small-for-size graft syndrome, graft congestion from outflow obstruction and graft hypoperfusion from portal flow steal. ALDLT for high-urgency patients (Model for End-Stage Liver Disease score &gt;30) can achieve results comparable to DDLT in high volume centers. Size limitations of partial grafts and donor safety issues can be overcome with dual grafts and modified right-lobe grafts that preserve the donor's middle hepatic vein trunk. Extended application of LDLT for unresectable hepatocellular carcinoma above Milan criteria is an optional strategy at the cost of slightly compromised survival. ABO-blood group incompatibility obstacles have been broken down by introducing a paired donor exchange program and refined peri-operative management of ABO-incompatible ALDLT. This review focuses on recent innovations of surgical techniques, safe donor selection, current strategies to expand ALDLT with broadened patient selection criteria and important aspects of teamwork required for success. Expanding a successful adult living donor liver transplantation program requires a better understanding of the physiologic differences between living donor and deceased donor liver transplantation, technical innovation, broadened recipient acceptance criteria, and consistently safe donor selection criteria. Companion videos demonstrating the techniques described in this comprehensive review can be found in the AJT Video Library at amjtransplant.com.&quot;,&quot;publisher&quot;:&quot;John Wiley &amp; Sons, Ltd&quot;,&quot;issue&quot;:&quot;1&quot;,&quot;volume&quot;:&quot;15&quot;,&quot;container-title-short&quot;:&quot;&quot;},&quot;isTemporary&quot;:false}]},{&quot;citationID&quot;:&quot;MENDELEY_CITATION_f0103512-f02d-43a9-acac-1ba0aae17abd&quot;,&quot;properties&quot;:{&quot;noteIndex&quot;:0},&quot;isEdited&quot;:false,&quot;manualOverride&quot;:{&quot;isManuallyOverridden&quot;:false,&quot;citeprocText&quot;:&quot;[16]&quot;,&quot;manualOverrideText&quot;:&quot;&quot;},&quot;citationTag&quot;:&quot;MENDELEY_CITATION_v3_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&quot;,&quot;citationItems&quot;:[{&quot;id&quot;:&quot;68a8108e-ea4d-35fe-8f79-7737c8cbce1b&quot;,&quot;itemData&quot;:{&quot;type&quot;:&quot;article-journal&quot;,&quot;id&quot;:&quot;68a8108e-ea4d-35fe-8f79-7737c8cbce1b&quot;,&quot;title&quot;:&quot;Outcomes of living donor liver transplantation using elderly donors&quot;,&quot;author&quot;:[{&quot;family&quot;:&quot;Han&quot;,&quot;given&quot;:&quot;Jae Hyun&quot;,&quot;parse-names&quot;:false,&quot;dropping-particle&quot;:&quot;&quot;,&quot;non-dropping-particle&quot;:&quot;&quot;},{&quot;family&quot;:&quot;You&quot;,&quot;given&quot;:&quot;Young Kyoung&quot;,&quot;parse-names&quot;:false,&quot;dropping-particle&quot;:&quot;&quot;,&quot;non-dropping-particle&quot;:&quot;&quot;},{&quot;family&quot;:&quot;Na&quot;,&quot;given&quot;:&quot;Gun Hyung&quot;,&quot;parse-names&quot;:false,&quot;dropping-particle&quot;:&quot;&quot;,&quot;non-dropping-particle&quot;:&quot;&quot;},{&quot;family&quot;:&quot;Kim&quot;,&quot;given&quot;:&quot;Eun Young&quot;,&quot;parse-names&quot;:false,&quot;dropping-particle&quot;:&quot;&quot;,&quot;non-dropping-particle&quot;:&quot;&quot;},{&quot;family&quot;:&quot;Lee&quot;,&quot;given&quot;:&quot;Soo Ho&quot;,&quot;parse-names&quot;:false,&quot;dropping-particle&quot;:&quot;&quot;,&quot;non-dropping-particle&quot;:&quot;&quot;},{&quot;family&quot;:&quot;Hong&quot;,&quot;given&quot;:&quot;Tae Ho&quot;,&quot;parse-names&quot;:false,&quot;dropping-particle&quot;:&quot;&quot;,&quot;non-dropping-particle&quot;:&quot;&quot;},{&quot;family&quot;:&quot;Kim&quot;,&quot;given&quot;:&quot;Dong Goo&quot;,&quot;parse-names&quot;:false,&quot;dropping-particle&quot;:&quot;&quot;,&quot;non-dropping-particle&quot;:&quot;&quot;}],&quot;container-title&quot;:&quot;Annals of surgical treatment and research&quot;,&quot;container-title-short&quot;:&quot;Ann Surg Treat Res&quot;,&quot;accessed&quot;:{&quot;date-parts&quot;:[[2023,10,26]]},&quot;DOI&quot;:&quot;10.4174/ASTR.2014.86.4.184&quot;,&quot;ISSN&quot;:&quot;2288-6575&quot;,&quot;PMID&quot;:&quot;24783177&quot;,&quot;URL&quot;:&quot;https://pubmed.ncbi.nlm.nih.gov/24783177/&quot;,&quot;issued&quot;:{&quot;date-parts&quot;:[[2014]]},&quot;page&quot;:&quot;184-191&quot;,&quot;abstract&quot;:&quot;Purpose: Living donor liver transplantation (LDLT) using elderly donors is increasing in frequency in response to organ shortage. However, elderly donor graft has been reported to negatively affect graft patency and patient survival. Methods: We retrospectively reviewed the medical records of 604 patients who underwent LDLT at Seoul St. Mary's Hospital, The Catholic University of Korea between May 1999 and September 2012. Elderly donors were defined as those ≤55 years of age. Here, we evaluate the survival differences and causes of death of recipients of elderly donor grafts. Results: The overall mortality rate of the recipients was significantly higher in the elderly donor group (group A) than in the younger donor group (group B: 46.2% vs. 18.1%, P = 0.004). The survival length of group A was significantly shorter than that of group B (31.2 ± 31.3 and 51.4 ± 40.8 months, P = 0.014). The significantly common causes of death in group A were biliary (41.7%) and arterial complication (16.7%), and it was higher than those in group B (P = 0.000 and P = 0.043, respectively). Conclusion: LDLT using elderly donors could induce more serious complications and higher mortality rates than those at using younger donors. As such, careful donor selection is needed, especially with regard to assessing the condition of potential elderly donor livers. Furthermore, a large-volume and multicenter study of complications and outcomes of LDLT using elderly donor liver is required. Copyright © 2014, the Korean Surgical Society.&quot;,&quot;publisher&quot;:&quot;Ann Surg Treat Res&quot;,&quot;issue&quot;:&quot;4&quot;,&quot;volume&quot;:&quot;86&quot;},&quot;isTemporary&quot;:false}]},{&quot;citationID&quot;:&quot;MENDELEY_CITATION_d48e6e5b-b6dd-4068-815d-f68a4ea37974&quot;,&quot;properties&quot;:{&quot;noteIndex&quot;:0},&quot;isEdited&quot;:false,&quot;manualOverride&quot;:{&quot;isManuallyOverridden&quot;:false,&quot;citeprocText&quot;:&quot;[17]&quot;,&quot;manualOverrideText&quot;:&quot;&quot;},&quot;citationTag&quot;:&quot;MENDELEY_CITATION_v3_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&quot;,&quot;citationItems&quot;:[{&quot;id&quot;:&quot;5e02bf03-2bcb-3dc9-895e-eac66c0acf56&quot;,&quot;itemData&quot;:{&quot;type&quot;:&quot;article-journal&quot;,&quot;id&quot;:&quot;5e02bf03-2bcb-3dc9-895e-eac66c0acf56&quot;,&quot;title&quot;:&quot;ИЗМЕРЕНИЕ ОБЪЕМА ПЕЧЕНИ\nС ПОМОЩЬЮ ВИЗУАЛИЗАЦИОННЫХ МЕТОДОВ РАЗЛИЧНОЙ МОДАЛЬНОСТИ&quot;,&quot;author&quot;:[{&quot;family&quot;:&quot;Изранов В. А.&quot;,&quot;given&quot;:&quot;Казанцева Н. В., Белецкая М. А.&quot;,&quot;parse-names&quot;:false,&quot;dropping-particle&quot;:&quot;&quot;,&quot;non-dropping-particle&quot;:&quot;&quot;}],&quot;container-title&quot;:&quot;Вестник Балтийского федерального университета им. И. Канта. Сер.: Естественные и медицинские науки. &quot;,&quot;issued&quot;:{&quot;date-parts&quot;:[[2017]]},&quot;page&quot;:&quot;52-64&quot;,&quot;volume&quot;:&quot;2&quot;,&quot;container-title-short&quot;:&quot;&quot;},&quot;isTemporary&quot;:false}]},{&quot;citationID&quot;:&quot;MENDELEY_CITATION_2e6df55c-24a4-4c29-8c49-58983df50159&quot;,&quot;properties&quot;:{&quot;noteIndex&quot;:0},&quot;isEdited&quot;:false,&quot;manualOverride&quot;:{&quot;isManuallyOverridden&quot;:false,&quot;citeprocText&quot;:&quot;[18–20]&quot;,&quot;manualOverrideText&quot;:&quot;&quot;},&quot;citationTag&quot;:&quot;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&quot;,&quot;citationItems&quot;:[{&quot;id&quot;:&quot;ac29a677-0a69-3dcd-a9d3-8d7e9b5dbcb2&quot;,&quot;itemData&quot;:{&quot;type&quot;:&quot;article-journal&quot;,&quot;id&quot;:&quot;ac29a677-0a69-3dcd-a9d3-8d7e9b5dbcb2&quot;,&quot;title&quot;:&quot;Donor-Recipient Height Mismatch Is Associated With Decreased Survival in Pediatric-to-Adult Liver Transplant Recipients&quot;,&quot;author&quot;:[{&quot;family&quot;:&quot;Kesseli&quot;,&quot;given&quot;:&quot;Samuel J.&quot;,&quot;parse-names&quot;:false,&quot;dropping-particle&quot;:&quot;&quot;,&quot;non-dropping-particle&quot;:&quot;&quot;},{&quot;family&quot;:&quot;Samoylova&quot;,&quot;given&quot;:&quot;Mariya L.&quot;,&quot;parse-names&quot;:false,&quot;dropping-particle&quot;:&quot;&quot;,&quot;non-dropping-particle&quot;:&quot;&quot;},{&quot;family&quot;:&quot;Yerxa&quot;,&quot;given&quot;:&quot;John&quot;,&quot;parse-names&quot;:false,&quot;dropping-particle&quot;:&quot;&quot;,&quot;non-dropping-particle&quot;:&quot;&quot;},{&quot;family&quot;:&quot;Moore&quot;,&quot;given&quot;:&quot;Carrie B.&quot;,&quot;parse-names&quot;:false,&quot;dropping-particle&quot;:&quot;&quot;,&quot;non-dropping-particle&quot;:&quot;&quot;},{&quot;family&quot;:&quot;Cerullo&quot;,&quot;given&quot;:&quot;Marcelo&quot;,&quot;parse-names&quot;:false,&quot;dropping-particle&quot;:&quot;&quot;,&quot;non-dropping-particle&quot;:&quot;&quot;},{&quot;family&quot;:&quot;Gao&quot;,&quot;given&quot;:&quot;Qimeng&quot;,&quot;parse-names&quot;:false,&quot;dropping-particle&quot;:&quot;&quot;,&quot;non-dropping-particle&quot;:&quot;&quot;},{&quot;family&quot;:&quot;Abraham&quot;,&quot;given&quot;:&quot;Nader&quot;,&quot;parse-names&quot;:false,&quot;dropping-particle&quot;:&quot;&quot;,&quot;non-dropping-particle&quot;:&quot;&quot;},{&quot;family&quot;:&quot;Patel&quot;,&quot;given&quot;:&quot;Yuval A.&quot;,&quot;parse-names&quot;:false,&quot;dropping-particle&quot;:&quot;&quot;,&quot;non-dropping-particle&quot;:&quot;&quot;},{&quot;family&quot;:&quot;McElroy&quot;,&quot;given&quot;:&quot;Lisa M.&quot;,&quot;parse-names&quot;:false,&quot;dropping-particle&quot;:&quot;&quot;,&quot;non-dropping-particle&quot;:&quot;&quot;},{&quot;family&quot;:&quot;Vikraman&quot;,&quot;given&quot;:&quot;Deepak&quot;,&quot;parse-names&quot;:false,&quot;dropping-particle&quot;:&quot;&quot;,&quot;non-dropping-particle&quot;:&quot;&quot;},{&quot;family&quot;:&quot;Barbas&quot;,&quot;given&quot;:&quot;Andrew S.&quot;,&quot;parse-names&quot;:false,&quot;dropping-particle&quot;:&quot;&quot;,&quot;non-dropping-particle&quot;:&quot;&quot;}],&quot;container-title&quot;:&quot;Liver transplantation : official publication of the American Association for the Study of Liver Diseases and the International Liver Transplantation Society&quot;,&quot;container-title-short&quot;:&quot;Liver Transpl&quot;,&quot;accessed&quot;:{&quot;date-parts&quot;:[[2023,7,8]]},&quot;DOI&quot;:&quot;10.1002/LT.25937&quot;,&quot;ISSN&quot;:&quot;1527-6473&quot;,&quot;PMID&quot;:&quot;33188659&quot;,&quot;URL&quot;:&quot;https://pubmed.ncbi.nlm.nih.gov/33188659/&quot;,&quot;issued&quot;:{&quot;date-parts&quot;:[[2021,2,1]]},&quot;page&quot;:&quot;425-433&quot;,&quot;abstract&quot;:&quot;Liver grafts from pediatric donors represent a small fraction of grafts transplanted into adult recipients, and their use in adults requires special consideration of donor size to prevent perioperative complications. In the past, graft weight or volume ratios have been adopted from the living donor liver transplant literature to guide clinicians; however, these metrics are not regularly available to surgeons accepting deceased donor organs. In this study, we evaluated all pediatric-to-adult liver transplants in the United Network for Organ Sharing Standard Transplant Analysis and Research database from 1987 to 2019, stratified by donor age and donor–recipient height mismatch ratio (HMR; defined as donor height/recipient height). On multivariable regression controlling for cold ischemia time, age, and transplantation era, the use of donors from ages 0 to 4 and 5 to 9 had increased risk of graft failure (hazard ratio [HR], 1.81 [P &lt; 0.01] and HR, 1.16 [P &lt; 0.01], respectively) compared with donors aged 15 to 17. On Kaplan-Meier survival analysis, a HMR &lt; 0.8 was associated with inferior graft survival (mean, 11.8 versus 14.6 years; log-rank P &lt; 0.001) and inferior patient survival (mean, 13.5 versus 14.9 years; log-rank P &lt; 0.01) when compared with pairs with similar height (HMR, 0.95-1.05; ie, donors within 5% of recipient height). This study demonstrates that both young donor age and low HMR confer additional risk in adult recipients of pediatric liver grafts.&quot;,&quot;publisher&quot;:&quot;Liver Transpl&quot;,&quot;issue&quot;:&quot;3&quot;,&quot;volume&quot;:&quot;27&quot;},&quot;isTemporary&quot;:false},{&quot;id&quot;:&quot;bec8e0bc-d58f-3bab-938e-620ad2a39450&quot;,&quot;itemData&quot;:{&quot;type&quot;:&quot;article-journal&quot;,&quot;id&quot;:&quot;bec8e0bc-d58f-3bab-938e-620ad2a39450&quot;,&quot;title&quot;:&quot;Hepatic volume profiles in potential living liver donors with anomalous right-sided ligamentum teres&quot;,&quot;author&quot;:[{&quot;family&quot;:&quot;Jeong&quot;,&quot;given&quot;:&quot;So Yeong&quot;,&quot;parse-names&quot;:false,&quot;dropping-particle&quot;:&quot;&quot;,&quot;non-dropping-particle&quot;:&quot;&quot;},{&quot;family&quot;:&quot;Kim&quot;,&quot;given&quot;:&quot;Kyoung Won&quot;,&quot;parse-names&quot;:false,&quot;dropping-particle&quot;:&quot;&quot;,&quot;non-dropping-particle&quot;:&quot;&quot;},{&quot;family&quot;:&quot;Lee&quot;,&quot;given&quot;:&quot;Jeongjin&quot;,&quot;parse-names&quot;:false,&quot;dropping-particle&quot;:&quot;&quot;,&quot;non-dropping-particle&quot;:&quot;&quot;},{&quot;family&quot;:&quot;Jang&quot;,&quot;given&quot;:&quot;Jin Kyoo&quot;,&quot;parse-names&quot;:false,&quot;dropping-particle&quot;:&quot;&quot;,&quot;non-dropping-particle&quot;:&quot;&quot;},{&quot;family&quot;:&quot;Kwon&quot;,&quot;given&quot;:&quot;Heon Ju&quot;,&quot;parse-names&quot;:false,&quot;dropping-particle&quot;:&quot;&quot;,&quot;non-dropping-particle&quot;:&quot;&quot;},{&quot;family&quot;:&quot;Song&quot;,&quot;given&quot;:&quot;Gi Won&quot;,&quot;parse-names&quot;:false,&quot;dropping-particle&quot;:&quot;&quot;,&quot;non-dropping-particle&quot;:&quot;&quot;},{&quot;family&quot;:&quot;Lee&quot;,&quot;given&quot;:&quot;Sung Gyu&quot;,&quot;parse-names&quot;:false,&quot;dropping-particle&quot;:&quot;&quot;,&quot;non-dropping-particle&quot;:&quot;&quot;}],&quot;container-title&quot;:&quot;Abdominal Radiology&quot;,&quot;accessed&quot;:{&quot;date-parts&quot;:[[2024,5,5]]},&quot;DOI&quot;:&quot;10.1007/S00261-020-02803-0/METRICS&quot;,&quot;ISSN&quot;:&quot;23660058&quot;,&quot;PMID&quot;:&quot;33067670&quot;,&quot;URL&quot;:&quot;https://link.springer.com/article/10.1007/s00261-020-02803-0&quot;,&quot;issued&quot;:{&quot;date-parts&quot;:[[2021,4,1]]},&quot;page&quot;:&quot;1562-1571&quot;,&quot;abstract&quot;:&quot;Purpose: In living liver donors with rare anatomical anomaly of right-sided ligamentum teres (RSLT), right or left hemiliver procurement is commonly contraindicated. The purpose of this study was to evaluate the hepatic volume profiles in potential donors with RSLT using semi-automated CT volumetry (CTV). Methods: Among 5535 potential donor candidates in our institution between April 2003 and May 2019, 23 cases of RSLT (0.4%) were included. Proportional liver volumes were measured using semi-automated CTV and compared with those of manual volumetry and intraoperative graft weights (seven surgical cases). Results: The mean percentage volume of the right posterior section was significantly larger than that of the left hemiliver (38.5 ± 8.4% vs. 23.3 ± 5.7%, P &lt; 0.001). Particularly in independent right lateral type, the mean percentage volume of the right posterior section was about two times larger to that of the left hemiliver (41.5% ± 6.5% vs. 21.9% ± 4.4%, P &lt; 0.001), whereas the volume proportions of these two parts were similar between the two parts in bifurcation and trifurcation types (P = 0.810 and 0.979, respectively). Semi-automated CTV of corresponding whole liver, right posterior section, right anterior section, and left hemiliver showed strong correlations with manual CTV (r = 0.989–0.998; P &lt; 0.001). For the seven surgical cases, the graft weights estimated by semi-automated CTV showed a significant correlation with intraoperative graft weights (r = 0.972; P &lt; 0.001). Conclusion: In independent right lateral type of RSLT, the right posterior section tends to be significantly larger than left hemiliver, and may be an alternative option for graft in potential living liver donors with this rare anatomical anomaly.&quot;,&quot;publisher&quot;:&quot;Springer&quot;,&quot;issue&quot;:&quot;4&quot;,&quot;volume&quot;:&quot;46&quot;,&quot;container-title-short&quot;:&quot;&quot;},&quot;isTemporary&quot;:false},{&quot;id&quot;:&quot;cded2ed7-e9ff-3876-b21a-6911c7976d4c&quot;,&quot;itemData&quot;:{&quot;type&quot;:&quot;article-journal&quot;,&quot;id&quot;:&quot;cded2ed7-e9ff-3876-b21a-6911c7976d4c&quot;,&quot;title&quot;:&quot;Accuracy and Efficiency of Right-Lobe Graft Weight Estimation Using Deep-Learning-Assisted CT Volumetry for Living-Donor Liver Transplantation&quot;,&quot;author&quot;:[{&quot;family&quot;:&quot;Park&quot;,&quot;given&quot;:&quot;Rohee&quot;,&quot;parse-names&quot;:false,&quot;dropping-particle&quot;:&quot;&quot;,&quot;non-dropping-particle&quot;:&quot;&quot;},{&quot;family&quot;:&quot;Lee&quot;,&quot;given&quot;:&quot;Seungsoo&quot;,&quot;parse-names&quot;:false,&quot;dropping-particle&quot;:&quot;&quot;,&quot;non-dropping-particle&quot;:&quot;&quot;},{&quot;family&quot;:&quot;Sung&quot;,&quot;given&quot;:&quot;Yusub&quot;,&quot;parse-names&quot;:false,&quot;dropping-particle&quot;:&quot;&quot;,&quot;non-dropping-particle&quot;:&quot;&quot;},{&quot;family&quot;:&quot;Yoon&quot;,&quot;given&quot;:&quot;Jeeseok&quot;,&quot;parse-names&quot;:false,&quot;dropping-particle&quot;:&quot;&quot;,&quot;non-dropping-particle&quot;:&quot;&quot;},{&quot;family&quot;:&quot;Suk&quot;,&quot;given&quot;:&quot;Heung&quot;,&quot;parse-names&quot;:false,&quot;dropping-particle&quot;:&quot;Il&quot;,&quot;non-dropping-particle&quot;:&quot;&quot;},{&quot;family&quot;:&quot;Kim&quot;,&quot;given&quot;:&quot;Hyoungjung&quot;,&quot;parse-names&quot;:false,&quot;dropping-particle&quot;:&quot;&quot;,&quot;non-dropping-particle&quot;:&quot;&quot;},{&quot;family&quot;:&quot;Choi&quot;,&quot;given&quot;:&quot;Sanghyun&quot;,&quot;parse-names&quot;:false,&quot;dropping-particle&quot;:&quot;&quot;,&quot;non-dropping-particle&quot;:&quot;&quot;}],&quot;container-title&quot;:&quot;Diagnostics&quot;,&quot;accessed&quot;:{&quot;date-parts&quot;:[[2022,12,21]]},&quot;DOI&quot;:&quot;10.3390/DIAGNOSTICS12030590/S1&quot;,&quot;ISSN&quot;:&quot;20754418&quot;,&quot;URL&quot;:&quot;https://www.mdpi.com/2075-4418/12/3/590/htm&quot;,&quot;issued&quot;:{&quot;date-parts&quot;:[[2022,3,1]]},&quot;page&quot;:&quot;590&quot;,&quot;abstract&quot;:&quot;CT volumetry (CTV) has been widely used for pre-operative graft weight (GW) estimation in living-donor liver transplantation (LDLT), and the use of a deep-learning algorithm (DLA) may further improve its efficiency. However, its accuracy has not been well determined. To evaluate the efficiency and accuracy of DLA-assisted CTV in GW estimation, we performed a retrospective study including 581 consecutive LDLT donors who donated a right-lobe graft. Right-lobe graft volume (GV) was measured on CT using the software implemented with the DLA for automated liver segmentation. In the development group (n = 207), a volume-to-weight conversion formula was constructed by linear regression analysis between the CTV-measured GV and the intraoperative GW. In the validation group (n = 374), the agreement between the estimated and measured GWs was assessed using the Bland–Altman 95% limit-of-agreement (LOA). The mean process time for GV measurement was 1.8 ± 0.6 min (range, 1.3–8.0 min). In the validation group, the GW was estimated using the volume-to-weight conversion formula (estimated GW [g] = 206.3 + 0.653 × CTV-measured GV [mL]), and the Bland–Altman 95% LOA between the estimated and measured GWs was −1.7% ± 17.1%. The DLA-assisted CT volumetry allows for time-efficient and accurate estimation of GW in LDLT.&quot;,&quot;publisher&quot;:&quot;MDPI&quot;,&quot;issue&quot;:&quot;3&quot;,&quot;volume&quot;:&quot;12&quot;,&quot;container-title-short&quot;:&quot;&quot;},&quot;isTemporary&quot;:false}]},{&quot;citationID&quot;:&quot;MENDELEY_CITATION_877abdaa-923e-4cb4-934e-7253f7639737&quot;,&quot;properties&quot;:{&quot;noteIndex&quot;:0},&quot;isEdited&quot;:false,&quot;manualOverride&quot;:{&quot;isManuallyOverridden&quot;:false,&quot;citeprocText&quot;:&quot;[21–26]&quot;,&quot;manualOverrideText&quot;:&quot;&quot;},&quot;citationTag&quot;:&quot;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&quot;,&quot;citationItems&quot;:[{&quot;id&quot;:&quot;5fb7adbe-41ab-38c4-8545-101c20861f04&quot;,&quot;itemData&quot;:{&quot;type&quot;:&quot;article-journal&quot;,&quot;id&quot;:&quot;5fb7adbe-41ab-38c4-8545-101c20861f04&quot;,&quot;title&quot;:&quot;Large-for-Size Orthotopic Liver Transplantation: a Systematic Review of Definitions, Outcomes, and Solutions&quot;,&quot;author&quot;:[{&quot;family&quot;:&quot;Addeo&quot;,&quot;given&quot;:&quot;Pietro&quot;,&quot;parse-names&quot;:false,&quot;dropping-particle&quot;:&quot;&quot;,&quot;non-dropping-particle&quot;:&quot;&quot;},{&quot;family&quot;:&quot;Noblet&quot;,&quot;given&quot;:&quot;Vincent&quot;,&quot;parse-names&quot;:false,&quot;dropping-particle&quot;:&quot;&quot;,&quot;non-dropping-particle&quot;:&quot;&quot;},{&quot;family&quot;:&quot;Naegel&quot;,&quot;given&quot;:&quot;Benoit&quot;,&quot;parse-names&quot;:false,&quot;dropping-particle&quot;:&quot;&quot;,&quot;non-dropping-particle&quot;:&quot;&quot;},{&quot;family&quot;:&quot;Bachellier&quot;,&quot;given&quot;:&quot;Philippe&quot;,&quot;parse-names&quot;:false,&quot;dropping-particle&quot;:&quot;&quot;,&quot;non-dropping-particle&quot;:&quot;&quot;}],&quot;container-title&quot;:&quot;Journal of gastrointestinal surgery : official journal of the Society for Surgery of the Alimentary Tract&quot;,&quot;container-title-short&quot;:&quot;J Gastrointest Surg&quot;,&quot;accessed&quot;:{&quot;date-parts&quot;:[[2024,1,20]]},&quot;DOI&quot;:&quot;10.1007/S11605-019-04505-5&quot;,&quot;ISSN&quot;:&quot;1873-4626&quot;,&quot;PMID&quot;:&quot;31919740&quot;,&quot;URL&quot;:&quot;https://pubmed.ncbi.nlm.nih.gov/31919740/&quot;,&quot;issued&quot;:{&quot;date-parts&quot;:[[2020,5,1]]},&quot;page&quot;:&quot;1192-1200&quot;,&quot;abstract&quot;:&quot;Background: We systematically reviewed the literature on definitions and outcomes of large-for-size (LFS) syndrome in orthotopic liver transplantation (LT). Methods: This systematic review was conducted according to the Preferred Reporting Items for Systematic Reviews and Meta-Analyses (PRISMA) guidelines. The Cochrane Library, PubMed, and Embase were searched (January 1990–January 2019) for studies reporting LFS in LT. Primary outcomes were definitions and mortality of LFS LT. Results: Eleven studies reporting patients with LFS LT were identified. Four different formulas (graft-to-recipient weight ratio (GRWR), body surface area index (BSAi), donor standardized total liver volume (sTLV)–to–recipient sTLV ratio, and graft weight/right anteroposterior distance (RAP) ratio) with their critical thresholds were found. There were 81 patients (54% women) with a median weight and height of 62.5 kg (range, 40–105 kg) and 165 cm (range, 145–180 cm). The median graft weight was 1772 g (range, 1290–2400 g), and the median GWRW was 2.77% (range, 2.1–4.00%). Graft venous outflow obstruction was described in seven patients (8.6%). At the time of LT, fascial closure was not achieved in 24 patients (29.6%) and the graft size was reduced by a liver resection in three patients (3.7%). Thirteen deaths (16%) were reported in the first 90 postoperative days with two patients undergoing re-transplant. Conclusions: LFS LT remains heterogeneously defined but characterized by high mortality rates despite the use of tailored surgical solutions (graft reduction and open abdomen). A composite definition is proposed in order to better describe LFS clinical syndrome.&quot;,&quot;publisher&quot;:&quot;J Gastrointest Surg&quot;,&quot;issue&quot;:&quot;5&quot;,&quot;volume&quot;:&quot;24&quot;},&quot;isTemporary&quot;:false},{&quot;id&quot;:&quot;b73ac358-625e-374f-9a76-f8a1b5ea60f7&quot;,&quot;itemData&quot;:{&quot;type&quot;:&quot;article-journal&quot;,&quot;id&quot;:&quot;b73ac358-625e-374f-9a76-f8a1b5ea60f7&quot;,&quot;title&quot;:&quot;Extreme large-for-size syndrome after adult liver transplantation: A model for predicting a potentially lethal complication&quot;,&quot;author&quot;:[{&quot;family&quot;:&quot;Allard&quot;,&quot;given&quot;:&quot;Marc Antoine&quot;,&quot;parse-names&quot;:false,&quot;dropping-particle&quot;:&quot;&quot;,&quot;non-dropping-particle&quot;:&quot;&quot;},{&quot;family&quot;:&quot;Lopes&quot;,&quot;given&quot;:&quot;Felipe&quot;,&quot;parse-names&quot;:false,&quot;dropping-particle&quot;:&quot;&quot;,&quot;non-dropping-particle&quot;:&quot;&quot;},{&quot;family&quot;:&quot;Frosio&quot;,&quot;given&quot;:&quot;Fabio&quot;,&quot;parse-names&quot;:false,&quot;dropping-particle&quot;:&quot;&quot;,&quot;non-dropping-particle&quot;:&quot;&quot;},{&quot;family&quot;:&quot;Golse&quot;,&quot;given&quot;:&quot;Nicolas&quot;,&quot;parse-names&quot;:false,&quot;dropping-particle&quot;:&quot;&quot;,&quot;non-dropping-particle&quot;:&quot;&quot;},{&quot;family&quot;:&quot;Sa Cunha&quot;,&quot;given&quot;:&quot;Antonio&quot;,&quot;parse-names&quot;:false,&quot;dropping-particle&quot;:&quot;&quot;,&quot;non-dropping-particle&quot;:&quot;&quot;},{&quot;family&quot;:&quot;Cherqui&quot;,&quot;given&quot;:&quot;Daniel&quot;,&quot;parse-names&quot;:false,&quot;dropping-particle&quot;:&quot;&quot;,&quot;non-dropping-particle&quot;:&quot;&quot;},{&quot;family&quot;:&quot;Castaing&quot;,&quot;given&quot;:&quot;Denis&quot;,&quot;parse-names&quot;:false,&quot;dropping-particle&quot;:&quot;&quot;,&quot;non-dropping-particle&quot;:&quot;&quot;},{&quot;family&quot;:&quot;Adam&quot;,&quot;given&quot;:&quot;René&quot;,&quot;parse-names&quot;:false,&quot;dropping-particle&quot;:&quot;&quot;,&quot;non-dropping-particle&quot;:&quot;&quot;},{&quot;family&quot;:&quot;Vibert&quot;,&quot;given&quot;:&quot;Eric&quot;,&quot;parse-names&quot;:false,&quot;dropping-particle&quot;:&quot;&quot;,&quot;non-dropping-particle&quot;:&quot;&quot;}],&quot;container-title&quot;:&quot;Liver transplantation : official publication of the American Association for the Study of Liver Diseases and the International Liver Transplantation Society&quot;,&quot;container-title-short&quot;:&quot;Liver Transpl&quot;,&quot;accessed&quot;:{&quot;date-parts&quot;:[[2024,1,20]]},&quot;DOI&quot;:&quot;10.1002/LT.24835&quot;,&quot;ISSN&quot;:&quot;1527-6473&quot;,&quot;PMID&quot;:&quot;28779555&quot;,&quot;URL&quot;:&quot;https://pubmed.ncbi.nlm.nih.gov/28779555/&quot;,&quot;issued&quot;:{&quot;date-parts&quot;:[[2017,10,1]]},&quot;page&quot;:&quot;1294-1304&quot;,&quot;abstract&quot;:&quot;There is currently no tool available to predict extreme large-for-size (LFS) syndrome, a potentially disastrous complication after adult liver transplantation (LT). We aimed to identify the risk factors for extreme LFS and to build a simple predictive model. A cohort of consecutive patients who underwent LT with full grafts in a single institution was studied. The extreme LFS was defined by the impossibility to achieve direct fascial closure, even after delayed management, associated with early allograft dysfunction or nonfunction. Computed tomography scan–based measurements of the recipient were done at the lower extremity of the xiphoid. After 424 LTs for 394 patients, extreme LFS occurred in 10 (2.4%) cases. The 90-day mortality after extreme LFS was 40.0% versus 6.5% in other patients (P = 0.003). In the extreme LFS group, the male donor–female recipient combination was more often observed (80.0% versus 17.4%; P &lt; 0.001). The graft weight (GW)/right anteroposterior (RAP) distance ratio was predictive of extreme LFS with the highest area under the curve (area under the curve, 0.95). The optimal cutoff was 100 (sensitivity, 100%; specificity, 88%). The other ratios based on height, weight, body mass index, body surface area, and standard liver volume exhibited lower predictive performance. The final multivariate model included the male donor–female recipient combination and the GW/RAP. When the GW to RAP ratio increases from 80, 100, to 120, the probability of extreme LFS was 2.6%, 9.6%, and 29.1% in the male donor–female recipient combination, and &lt;1%, 1.2%, and 4.5% in other combinations. In conclusion, the GW/RAP ratio predicts extreme LFS and may be helpful to avoid futile refusal for morphological reasons or to anticipate situation at risk, especially in female recipients. Liver Transplantation 23 1294–1304 2017 AASLD.&quot;,&quot;publisher&quot;:&quot;Liver Transpl&quot;,&quot;issue&quot;:&quot;10&quot;,&quot;volume&quot;:&quot;23&quot;},&quot;isTemporary&quot;:false},{&quot;id&quot;:&quot;bdd946c8-9724-31de-966b-bd63505a8be4&quot;,&quot;itemData&quot;:{&quot;type&quot;:&quot;article-journal&quot;,&quot;id&quot;:&quot;bdd946c8-9724-31de-966b-bd63505a8be4&quot;,&quot;title&quot;:&quot;Analysis of factors associated with discrepancies between predicted and observed liver weight in liver transplantation&quot;,&quot;author&quot;:[{&quot;family&quot;:&quot;Addeo&quot;,&quot;given&quot;:&quot;Pietro&quot;,&quot;parse-names&quot;:false,&quot;dropping-particle&quot;:&quot;&quot;,&quot;non-dropping-particle&quot;:&quot;&quot;},{&quot;family&quot;:&quot;Naegel&quot;,&quot;given&quot;:&quot;Benoit&quot;,&quot;parse-names&quot;:false,&quot;dropping-particle&quot;:&quot;&quot;,&quot;non-dropping-particle&quot;:&quot;&quot;},{&quot;family&quot;:&quot;Terrone&quot;,&quot;given&quot;:&quot;Alfonso&quot;,&quot;parse-names&quot;:false,&quot;dropping-particle&quot;:&quot;&quot;,&quot;non-dropping-particle&quot;:&quot;&quot;},{&quot;family&quot;:&quot;Faitot&quot;,&quot;given&quot;:&quot;François&quot;,&quot;parse-names&quot;:false,&quot;dropping-particle&quot;:&quot;&quot;,&quot;non-dropping-particle&quot;:&quot;&quot;},{&quot;family&quot;:&quot;Schaaf&quot;,&quot;given&quot;:&quot;Caroline&quot;,&quot;parse-names&quot;:false,&quot;dropping-particle&quot;:&quot;&quot;,&quot;non-dropping-particle&quot;:&quot;&quot;},{&quot;family&quot;:&quot;Bachellier&quot;,&quot;given&quot;:&quot;Philippe&quot;,&quot;parse-names&quot;:false,&quot;dropping-particle&quot;:&quot;&quot;,&quot;non-dropping-particle&quot;:&quot;&quot;},{&quot;family&quot;:&quot;Noblet&quot;,&quot;given&quot;:&quot;Vincent&quot;,&quot;parse-names&quot;:false,&quot;dropping-particle&quot;:&quot;&quot;,&quot;non-dropping-particle&quot;:&quot;&quot;}],&quot;container-title&quot;:&quot;Liver International&quot;,&quot;accessed&quot;:{&quot;date-parts&quot;:[[2024,1,20]]},&quot;DOI&quot;:&quot;10.1111/LIV.14819&quot;,&quot;ISSN&quot;:&quot;1478-3231&quot;,&quot;PMID&quot;:&quot;33555130&quot;,&quot;URL&quot;:&quot;https://onlinelibrary.wiley.com/doi/full/10.1111/liv.14819&quot;,&quot;issued&quot;:{&quot;date-parts&quot;:[[2021,6,1]]},&quot;page&quot;:&quot;1379-1388&quot;,&quot;abstract&quot;:&quot;Background: Even using predictive formulas based on anthropometrics in about 30% of subjects, liver weight (LW) cannot be predicted with a ≤20% margin of error. We aimed to identify factors associated with discrepancies between predicted and observed LW. Methods: In 500 consecutive liver grafts, we tested LW predictive performance using 17 formulas based on anthropometric characteristics. Hashimoto's formula (961.3 × BSA_D-404.8) was associated with the lowest mean absolute error and used to predict LW for the entire cohort. Clinical factors associated with a ≥20% margin of error were identified in a multivariable analysis after propensity score matching (PSM) of donors with similar anthropometric characteristics. Results: The total LW was underestimated with a ≥20% margin of error in 53/500 (10.6%) donors and overestimated in 62/500 (12%) donors. After PSM analysis, ages ≥ 65, (OR = 3.21; CI95% = 1.63-6.31; P =.0007), age ≤ 30 years, (OR = 2.92; CI95% = 1.15-7.40; P =.02), and elevated gamma-glutamyltransferase (GGT) levels (OR = 0.98; CI95% = 0.97-0.99; P =.006), influenced the risk of LW overestimation. Age ≥ 65 years, (OR = 5.98; CI95% = 2.28-15.6; P =.0002), intensive care unit (ICU) stay with ventilation &gt; 7 days, (OR = 0.32; CI95% = 0.12-0.85; P =.02) and waist circumference increase (OR = 1.02; CI95% = 1.00-1.04; P =.04) were factors associated with LW underestimation. Conclusions: Increased waist circumference, age, prolonged ICU stay with ventilation, elevated GGT were associated with an increase in the margin of error in LW prediction. These factors and anthropometric characteristics could help transplant surgeons during the donor–recipient matching process.&quot;,&quot;publisher&quot;:&quot;John Wiley &amp; Sons, Ltd&quot;,&quot;issue&quot;:&quot;6&quot;,&quot;volume&quot;:&quot;41&quot;,&quot;container-title-short&quot;:&quot;&quot;},&quot;isTemporary&quot;:false},{&quot;id&quot;:&quot;4d6703c4-4e16-375e-97b1-c4fdcaf91efb&quot;,&quot;itemData&quot;:{&quot;type&quot;:&quot;article&quot;,&quot;id&quot;:&quot;4d6703c4-4e16-375e-97b1-c4fdcaf91efb&quot;,&quot;title&quot;:&quot;Size mismatch in liver transplantation&quot;,&quot;author&quot;:[{&quot;family&quot;:&quot;Fukazawa&quot;,&quot;given&quot;:&quot;Kyota&quot;,&quot;parse-names&quot;:false,&quot;dropping-particle&quot;:&quot;&quot;,&quot;non-dropping-particle&quot;:&quot;&quot;},{&quot;family&quot;:&quot;Nishida&quot;,&quot;given&quot;:&quot;Seigo&quot;,&quot;parse-names&quot;:false,&quot;dropping-particle&quot;:&quot;&quot;,&quot;non-dropping-particle&quot;:&quot;&quot;}],&quot;container-title&quot;:&quot;Journal of Hepato-Biliary-Pancreatic Sciences&quot;,&quot;container-title-short&quot;:&quot;J Hepatobiliary Pancreat Sci&quot;,&quot;DOI&quot;:&quot;10.1002/jhbp.371&quot;,&quot;ISSN&quot;:&quot;18686982&quot;,&quot;PMID&quot;:&quot;27474079&quot;,&quot;issued&quot;:{&quot;date-parts&quot;:[[2016,8,1]]},&quot;page&quot;:&quot;457-466&quot;,&quot;abstract&quot;:&quot;Size mismatch is an unique and inevitable but critical issue in live donor liver transplantation. Unmatched metabolic demand of recipient as well as physiologic mismatch aggravates the damage to liver graft, inevitably leading to graft failure on recipient. Also, an excessive resection of liver graft for better recipient outcome in live donor liver transplant may jeopardize the healthy donor well-being and even put donor life in danger. There is a fine balance between resected graft volume required to meet the recipient's metabolic demand and residual graft volume required for donor safety. The obvious clinical necessity of finding that balance has prompted a clinical need and promoted the improvement of knowledge and development of management strategies for size-mismatched transplants. The development of the size-matching methodology has significantly improved graft outcome and recipient survival in live donor liver transplants. On the other hand, the effect of size mismatch in cadaveric transplants has never been observed as being so pronounced. The importance of matching of the donor recipient size has been unrecognized in cadaveric liver transplant. In this review, we attempt to summarize the current most updated knowledge on the subject, particularly addressing the definition and complications of size-mismatched cadaveric liver transplant, as well as management strategies.&quot;,&quot;publisher&quot;:&quot;Blackwell Publishing Asia&quot;,&quot;issue&quot;:&quot;8&quot;,&quot;volume&quot;:&quot;23&quot;},&quot;isTemporary&quot;:false},{&quot;id&quot;:&quot;95ad2274-0ee0-3655-8658-683fe0824447&quot;,&quot;itemData&quot;:{&quot;type&quot;:&quot;article-journal&quot;,&quot;id&quot;:&quot;95ad2274-0ee0-3655-8658-683fe0824447&quot;,&quot;title&quot;:&quot;Large-for-size liver transplant: a single-center experience.&quot;,&quot;author&quot;:[{&quot;family&quot;:&quot;Akdur&quot;,&quot;given&quot;:&quot;Aydincan&quot;,&quot;parse-names&quot;:false,&quot;dropping-particle&quot;:&quot;&quot;,&quot;non-dropping-particle&quot;:&quot;&quot;},{&quot;family&quot;:&quot;Kirnap&quot;,&quot;given&quot;:&quot;Mahir&quot;,&quot;parse-names&quot;:false,&quot;dropping-particle&quot;:&quot;&quot;,&quot;non-dropping-particle&quot;:&quot;&quot;},{&quot;family&quot;:&quot;Ozçay&quot;,&quot;given&quot;:&quot;Figen&quot;,&quot;parse-names&quot;:false,&quot;dropping-particle&quot;:&quot;&quot;,&quot;non-dropping-particle&quot;:&quot;&quot;},{&quot;family&quot;:&quot;Sezgin&quot;,&quot;given&quot;:&quot;Atilla&quot;,&quot;parse-names&quot;:false,&quot;dropping-particle&quot;:&quot;&quot;,&quot;non-dropping-particle&quot;:&quot;&quot;},{&quot;family&quot;:&quot;Soy&quot;,&quot;given&quot;:&quot;Hatice Ebru Ayvazoglu&quot;,&quot;parse-names&quot;:false,&quot;dropping-particle&quot;:&quot;&quot;,&quot;non-dropping-particle&quot;:&quot;&quot;},{&quot;family&quot;:&quot;Yarbug&quot;,&quot;given&quot;:&quot;Feza Karakayali&quot;,&quot;parse-names&quot;:false,&quot;dropping-particle&quot;:&quot;&quot;,&quot;non-dropping-particle&quot;:&quot;&quot;},{&quot;family&quot;:&quot;Yildirim&quot;,&quot;given&quot;:&quot;Sedat&quot;,&quot;parse-names&quot;:false,&quot;dropping-particle&quot;:&quot;&quot;,&quot;non-dropping-particle&quot;:&quot;&quot;},{&quot;family&quot;:&quot;Moray&quot;,&quot;given&quot;:&quot;Gokhan&quot;,&quot;parse-names&quot;:false,&quot;dropping-particle&quot;:&quot;&quot;,&quot;non-dropping-particle&quot;:&quot;&quot;},{&quot;family&quot;:&quot;Arslan&quot;,&quot;given&quot;:&quot;Gulnaz&quot;,&quot;parse-names&quot;:false,&quot;dropping-particle&quot;:&quot;&quot;,&quot;non-dropping-particle&quot;:&quot;&quot;},{&quot;family&quot;:&quot;Haberal&quot;,&quot;given&quot;:&quot;Mehmet&quot;,&quot;parse-names&quot;:false,&quot;dropping-particle&quot;:&quot;&quot;,&quot;non-dropping-particle&quot;:&quot;&quot;}],&quot;container-title&quot;:&quot;Experimental and Clinical Transplantation : Official Journal of the Middle East Society for Organ Transplantation&quot;,&quot;container-title-short&quot;:&quot;Exp Clin Transplant&quot;,&quot;accessed&quot;:{&quot;date-parts&quot;:[[2024,2,3]]},&quot;DOI&quot;:&quot;10.6002/ect.mesot2014.O57&quot;,&quot;ISSN&quot;:&quot;1304-0855&quot;,&quot;PMID&quot;:&quot;25894137&quot;,&quot;URL&quot;:&quot;https://europepmc.org/article/med/25894137&quot;,&quot;issued&quot;:{&quot;date-parts&quot;:[[2015,4,1]]},&quot;page&quot;:&quot;108-110&quot;,&quot;abstract&quot;:&quot;Objectives: The ideal ratio between liver transplant graft mass and recipient body weight is unknown, but the graft probably must weigh 0.8% to 2.0% recipient weight. When this ratio &gt; 4%, there may be problems due to large-for-size transplant, especially in recipients &lt; 10 kg. This condition is caused by discrepancy between the small abdominal cavity and large graft and is characterized by decreased blood supply to the liver graft and graft dysfunction. We evaluated our experience with large-for-size grafts. Materials and Methods: We retrospectively evaluated 377 orthotopic liver transplants that were performed from 2001-2014 in our center. We included 188 pediatric transplants in our study. Results: There were 58 patients &lt; 10 kg who had living-donor living transplant with graft-to-bodyweight ratio &gt; 4%. In 2 patients, the abdomen was closed with a Bogota bag. In 5 patients, reoperation was performed due to vascular problems and abdominal hypertension, and the abdomen was closed with a Bogota bag. All Bogota bags were closed in 2 weeks. After closing the fascia, 10 patients had vascular problems that were diagnosed in the operating room by Doppler ultrasonography, and only the skin was closed without fascia closure. No graft loss occurred due to large-for-size transplant. There were 8 patients who died early after transplant (sepsis, 6 patients; brain death, 2 patients). There was no major donor morbidity or donor mortality. Conclusions: Large-for-size graft may cause abdominal compartment syndrome due to the small size of the recipient abdominal cavity, size discrepancies in vascular caliber, insufficient portal circulation, and disturbance of tissue oxygenation. Abdominal closure with a Bogota bag in these patients is safe and effective to avoid abdominal compartment syndrome. Early diagnosis by ultrasonography in the operating room after fascia closure and repeated ultrasonography at the clinic may help avoid graft loss.&quot;,&quot;publisher&quot;:&quot;Baskent University&quot;,&quot;volume&quot;:&quot;13 Suppl 1&quot;},&quot;isTemporary&quot;:false},{&quot;id&quot;:&quot;bbdfa1d3-fb2a-30f4-8a91-96a4a6869868&quot;,&quot;itemData&quot;:{&quot;type&quot;:&quot;article-journal&quot;,&quot;id&quot;:&quot;bbdfa1d3-fb2a-30f4-8a91-96a4a6869868&quot;,&quot;title&quot;:&quot;A Novel Strategy for Preventing Posttransplant Large-For-Size Syndrome in Adult Liver Transplant Recipients: A Pilot Study&quot;,&quot;author&quot;:[{&quot;family&quot;:&quot;Pu&quot;,&quot;given&quot;:&quot;Xingyu&quot;,&quot;parse-names&quot;:false,&quot;dropping-particle&quot;:&quot;&quot;,&quot;non-dropping-particle&quot;:&quot;&quot;},{&quot;family&quot;:&quot;He&quot;,&quot;given&quot;:&quot;Diao&quot;,&quot;parse-names&quot;:false,&quot;dropping-particle&quot;:&quot;&quot;,&quot;non-dropping-particle&quot;:&quot;&quot;},{&quot;family&quot;:&quot;Liao&quot;,&quot;given&quot;:&quot;Anque&quot;,&quot;parse-names&quot;:false,&quot;dropping-particle&quot;:&quot;&quot;,&quot;non-dropping-particle&quot;:&quot;&quot;},{&quot;family&quot;:&quot;Yang&quot;,&quot;given&quot;:&quot;Jian&quot;,&quot;parse-names&quot;:false,&quot;dropping-particle&quot;:&quot;&quot;,&quot;non-dropping-particle&quot;:&quot;&quot;},{&quot;family&quot;:&quot;Lv&quot;,&quot;given&quot;:&quot;Tao&quot;,&quot;parse-names&quot;:false,&quot;dropping-particle&quot;:&quot;&quot;,&quot;non-dropping-particle&quot;:&quot;&quot;},{&quot;family&quot;:&quot;Yan&quot;,&quot;given&quot;:&quot;Lunan&quot;,&quot;parse-names&quot;:false,&quot;dropping-particle&quot;:&quot;&quot;,&quot;non-dropping-particle&quot;:&quot;&quot;},{&quot;family&quot;:&quot;Yang&quot;,&quot;given&quot;:&quot;Jiayin&quot;,&quot;parse-names&quot;:false,&quot;dropping-particle&quot;:&quot;&quot;,&quot;non-dropping-particle&quot;:&quot;&quot;},{&quot;family&quot;:&quot;Wu&quot;,&quot;given&quot;:&quot;Hong&quot;,&quot;parse-names&quot;:false,&quot;dropping-particle&quot;:&quot;&quot;,&quot;non-dropping-particle&quot;:&quot;&quot;},{&quot;family&quot;:&quot;Jiang&quot;,&quot;given&quot;:&quot;Li&quot;,&quot;parse-names&quot;:false,&quot;dropping-particle&quot;:&quot;&quot;,&quot;non-dropping-particle&quot;:&quot;&quot;}],&quot;container-title&quot;:&quot;Transplant International&quot;,&quot;accessed&quot;:{&quot;date-parts&quot;:[[2024,4,22]]},&quot;DOI&quot;:&quot;10.3389/TI.2021.10177/BIBTEX&quot;,&quot;ISSN&quot;:&quot;14322277&quot;,&quot;PMID&quot;:&quot;35185367&quot;,&quot;issued&quot;:{&quot;date-parts&quot;:[[2022,1,12]]},&quot;page&quot;:&quot;10177&quot;,&quot;abstract&quot;:&quot; There are two causes of graft compression in the large-for-size syndrome (LFSS). One is a shortage of intra-abdominal space for the liver graft, and the other is the size discrepancy between the anteroposterior dimensions of the liver graft and the lower right hemithorax of the recipient. The former could be treated using delayed fascial closure or mesh closure, but the latter may only be treated by reduction of the right liver graft to increase space. Given that split liver transplantation has strict requirements regarding donor and recipient selections, reduced-size liver transplantation, in most cases, may be the only solution. However, surgical strategies for the reduction of the right liver graft for adult liver transplantations are relatively unfamiliar. Herein, we introduce a novel strategy of HuaXi- ex vivo right posterior sectionectomy while preserving the right hepatic vein in the graft to prevent LFSS and propose its initial indications. &quot;,&quot;publisher&quot;:&quot;Frontiers Media SA&quot;,&quot;volume&quot;:&quot;35&quot;,&quot;container-title-short&quot;:&quot;&quot;},&quot;isTemporary&quot;:false}]},{&quot;citationID&quot;:&quot;MENDELEY_CITATION_16cb73eb-7a27-404a-9f0a-d111048a6465&quot;,&quot;properties&quot;:{&quot;noteIndex&quot;:0},&quot;isEdited&quot;:false,&quot;manualOverride&quot;:{&quot;isManuallyOverridden&quot;:false,&quot;citeprocText&quot;:&quot;[21]&quot;,&quot;manualOverrideText&quot;:&quot;&quot;},&quot;citationTag&quot;:&quot;MENDELEY_CITATION_v3_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&quot;,&quot;citationItems&quot;:[{&quot;id&quot;:&quot;5fb7adbe-41ab-38c4-8545-101c20861f04&quot;,&quot;itemData&quot;:{&quot;type&quot;:&quot;article-journal&quot;,&quot;id&quot;:&quot;5fb7adbe-41ab-38c4-8545-101c20861f04&quot;,&quot;title&quot;:&quot;Large-for-Size Orthotopic Liver Transplantation: a Systematic Review of Definitions, Outcomes, and Solutions&quot;,&quot;author&quot;:[{&quot;family&quot;:&quot;Addeo&quot;,&quot;given&quot;:&quot;Pietro&quot;,&quot;parse-names&quot;:false,&quot;dropping-particle&quot;:&quot;&quot;,&quot;non-dropping-particle&quot;:&quot;&quot;},{&quot;family&quot;:&quot;Noblet&quot;,&quot;given&quot;:&quot;Vincent&quot;,&quot;parse-names&quot;:false,&quot;dropping-particle&quot;:&quot;&quot;,&quot;non-dropping-particle&quot;:&quot;&quot;},{&quot;family&quot;:&quot;Naegel&quot;,&quot;given&quot;:&quot;Benoit&quot;,&quot;parse-names&quot;:false,&quot;dropping-particle&quot;:&quot;&quot;,&quot;non-dropping-particle&quot;:&quot;&quot;},{&quot;family&quot;:&quot;Bachellier&quot;,&quot;given&quot;:&quot;Philippe&quot;,&quot;parse-names&quot;:false,&quot;dropping-particle&quot;:&quot;&quot;,&quot;non-dropping-particle&quot;:&quot;&quot;}],&quot;container-title&quot;:&quot;Journal of gastrointestinal surgery : official journal of the Society for Surgery of the Alimentary Tract&quot;,&quot;container-title-short&quot;:&quot;J Gastrointest Surg&quot;,&quot;accessed&quot;:{&quot;date-parts&quot;:[[2024,1,20]]},&quot;DOI&quot;:&quot;10.1007/S11605-019-04505-5&quot;,&quot;ISSN&quot;:&quot;1873-4626&quot;,&quot;PMID&quot;:&quot;31919740&quot;,&quot;URL&quot;:&quot;https://pubmed.ncbi.nlm.nih.gov/31919740/&quot;,&quot;issued&quot;:{&quot;date-parts&quot;:[[2020,5,1]]},&quot;page&quot;:&quot;1192-1200&quot;,&quot;abstract&quot;:&quot;Background: We systematically reviewed the literature on definitions and outcomes of large-for-size (LFS) syndrome in orthotopic liver transplantation (LT). Methods: This systematic review was conducted according to the Preferred Reporting Items for Systematic Reviews and Meta-Analyses (PRISMA) guidelines. The Cochrane Library, PubMed, and Embase were searched (January 1990–January 2019) for studies reporting LFS in LT. Primary outcomes were definitions and mortality of LFS LT. Results: Eleven studies reporting patients with LFS LT were identified. Four different formulas (graft-to-recipient weight ratio (GRWR), body surface area index (BSAi), donor standardized total liver volume (sTLV)–to–recipient sTLV ratio, and graft weight/right anteroposterior distance (RAP) ratio) with their critical thresholds were found. There were 81 patients (54% women) with a median weight and height of 62.5 kg (range, 40–105 kg) and 165 cm (range, 145–180 cm). The median graft weight was 1772 g (range, 1290–2400 g), and the median GWRW was 2.77% (range, 2.1–4.00%). Graft venous outflow obstruction was described in seven patients (8.6%). At the time of LT, fascial closure was not achieved in 24 patients (29.6%) and the graft size was reduced by a liver resection in three patients (3.7%). Thirteen deaths (16%) were reported in the first 90 postoperative days with two patients undergoing re-transplant. Conclusions: LFS LT remains heterogeneously defined but characterized by high mortality rates despite the use of tailored surgical solutions (graft reduction and open abdomen). A composite definition is proposed in order to better describe LFS clinical syndrome.&quot;,&quot;publisher&quot;:&quot;J Gastrointest Surg&quot;,&quot;issue&quot;:&quot;5&quot;,&quot;volume&quot;:&quot;24&quot;},&quot;isTemporary&quot;:false}]},{&quot;citationID&quot;:&quot;MENDELEY_CITATION_2be72288-fd4c-45cc-921c-d6c396720d8a&quot;,&quot;properties&quot;:{&quot;noteIndex&quot;:0},&quot;isEdited&quot;:false,&quot;manualOverride&quot;:{&quot;isManuallyOverridden&quot;:false,&quot;citeprocText&quot;:&quot;[22]&quot;,&quot;manualOverrideText&quot;:&quot;&quot;},&quot;citationTag&quot;:&quot;MENDELEY_CITATION_v3_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&quot;,&quot;citationItems&quot;:[{&quot;id&quot;:&quot;b73ac358-625e-374f-9a76-f8a1b5ea60f7&quot;,&quot;itemData&quot;:{&quot;type&quot;:&quot;article-journal&quot;,&quot;id&quot;:&quot;b73ac358-625e-374f-9a76-f8a1b5ea60f7&quot;,&quot;title&quot;:&quot;Extreme large-for-size syndrome after adult liver transplantation: A model for predicting a potentially lethal complication&quot;,&quot;author&quot;:[{&quot;family&quot;:&quot;Allard&quot;,&quot;given&quot;:&quot;Marc Antoine&quot;,&quot;parse-names&quot;:false,&quot;dropping-particle&quot;:&quot;&quot;,&quot;non-dropping-particle&quot;:&quot;&quot;},{&quot;family&quot;:&quot;Lopes&quot;,&quot;given&quot;:&quot;Felipe&quot;,&quot;parse-names&quot;:false,&quot;dropping-particle&quot;:&quot;&quot;,&quot;non-dropping-particle&quot;:&quot;&quot;},{&quot;family&quot;:&quot;Frosio&quot;,&quot;given&quot;:&quot;Fabio&quot;,&quot;parse-names&quot;:false,&quot;dropping-particle&quot;:&quot;&quot;,&quot;non-dropping-particle&quot;:&quot;&quot;},{&quot;family&quot;:&quot;Golse&quot;,&quot;given&quot;:&quot;Nicolas&quot;,&quot;parse-names&quot;:false,&quot;dropping-particle&quot;:&quot;&quot;,&quot;non-dropping-particle&quot;:&quot;&quot;},{&quot;family&quot;:&quot;Sa Cunha&quot;,&quot;given&quot;:&quot;Antonio&quot;,&quot;parse-names&quot;:false,&quot;dropping-particle&quot;:&quot;&quot;,&quot;non-dropping-particle&quot;:&quot;&quot;},{&quot;family&quot;:&quot;Cherqui&quot;,&quot;given&quot;:&quot;Daniel&quot;,&quot;parse-names&quot;:false,&quot;dropping-particle&quot;:&quot;&quot;,&quot;non-dropping-particle&quot;:&quot;&quot;},{&quot;family&quot;:&quot;Castaing&quot;,&quot;given&quot;:&quot;Denis&quot;,&quot;parse-names&quot;:false,&quot;dropping-particle&quot;:&quot;&quot;,&quot;non-dropping-particle&quot;:&quot;&quot;},{&quot;family&quot;:&quot;Adam&quot;,&quot;given&quot;:&quot;René&quot;,&quot;parse-names&quot;:false,&quot;dropping-particle&quot;:&quot;&quot;,&quot;non-dropping-particle&quot;:&quot;&quot;},{&quot;family&quot;:&quot;Vibert&quot;,&quot;given&quot;:&quot;Eric&quot;,&quot;parse-names&quot;:false,&quot;dropping-particle&quot;:&quot;&quot;,&quot;non-dropping-particle&quot;:&quot;&quot;}],&quot;container-title&quot;:&quot;Liver transplantation : official publication of the American Association for the Study of Liver Diseases and the International Liver Transplantation Society&quot;,&quot;container-title-short&quot;:&quot;Liver Transpl&quot;,&quot;accessed&quot;:{&quot;date-parts&quot;:[[2024,1,20]]},&quot;DOI&quot;:&quot;10.1002/LT.24835&quot;,&quot;ISSN&quot;:&quot;1527-6473&quot;,&quot;PMID&quot;:&quot;28779555&quot;,&quot;URL&quot;:&quot;https://pubmed.ncbi.nlm.nih.gov/28779555/&quot;,&quot;issued&quot;:{&quot;date-parts&quot;:[[2017,10,1]]},&quot;page&quot;:&quot;1294-1304&quot;,&quot;abstract&quot;:&quot;There is currently no tool available to predict extreme large-for-size (LFS) syndrome, a potentially disastrous complication after adult liver transplantation (LT). We aimed to identify the risk factors for extreme LFS and to build a simple predictive model. A cohort of consecutive patients who underwent LT with full grafts in a single institution was studied. The extreme LFS was defined by the impossibility to achieve direct fascial closure, even after delayed management, associated with early allograft dysfunction or nonfunction. Computed tomography scan–based measurements of the recipient were done at the lower extremity of the xiphoid. After 424 LTs for 394 patients, extreme LFS occurred in 10 (2.4%) cases. The 90-day mortality after extreme LFS was 40.0% versus 6.5% in other patients (P = 0.003). In the extreme LFS group, the male donor–female recipient combination was more often observed (80.0% versus 17.4%; P &lt; 0.001). The graft weight (GW)/right anteroposterior (RAP) distance ratio was predictive of extreme LFS with the highest area under the curve (area under the curve, 0.95). The optimal cutoff was 100 (sensitivity, 100%; specificity, 88%). The other ratios based on height, weight, body mass index, body surface area, and standard liver volume exhibited lower predictive performance. The final multivariate model included the male donor–female recipient combination and the GW/RAP. When the GW to RAP ratio increases from 80, 100, to 120, the probability of extreme LFS was 2.6%, 9.6%, and 29.1% in the male donor–female recipient combination, and &lt;1%, 1.2%, and 4.5% in other combinations. In conclusion, the GW/RAP ratio predicts extreme LFS and may be helpful to avoid futile refusal for morphological reasons or to anticipate situation at risk, especially in female recipients. Liver Transplantation 23 1294–1304 2017 AASLD.&quot;,&quot;publisher&quot;:&quot;Liver Transpl&quot;,&quot;issue&quot;:&quot;10&quot;,&quot;volume&quot;:&quot;23&quot;},&quot;isTemporary&quot;:false}]},{&quot;citationID&quot;:&quot;MENDELEY_CITATION_b05b5d6c-dbc2-4752-95fb-788930a66880&quot;,&quot;properties&quot;:{&quot;noteIndex&quot;:0},&quot;isEdited&quot;:false,&quot;manualOverride&quot;:{&quot;isManuallyOverridden&quot;:false,&quot;citeprocText&quot;:&quot;[27]&quot;,&quot;manualOverrideText&quot;:&quot;&quot;},&quot;citationTag&quot;:&quot;MENDELEY_CITATION_v3_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&quot;,&quot;citationItems&quot;:[{&quot;id&quot;:&quot;9325fdca-74de-3cf9-bcb1-b842e71f04b2&quot;,&quot;itemData&quot;:{&quot;type&quot;:&quot;article-journal&quot;,&quot;id&quot;:&quot;9325fdca-74de-3cf9-bcb1-b842e71f04b2&quot;,&quot;title&quot;:&quot;Liver and spleen volumes are associated with prognosis of compensated and decompensated cirrhosis and parallel its natural history&quot;,&quot;author&quot;:[{&quot;family&quot;:&quot;Romero-Cristóbal&quot;,&quot;given&quot;:&quot;Mario&quot;,&quot;parse-names&quot;:false,&quot;dropping-particle&quot;:&quot;&quot;,&quot;non-dropping-particle&quot;:&quot;&quot;},{&quot;family&quot;:&quot;Clemente-Sánchez&quot;,&quot;given&quot;:&quot;Ana&quot;,&quot;parse-names&quot;:false,&quot;dropping-particle&quot;:&quot;&quot;,&quot;non-dropping-particle&quot;:&quot;&quot;},{&quot;family&quot;:&quot;Peligros&quot;,&quot;given&quot;:&quot;María Isabel&quot;,&quot;parse-names&quot;:false,&quot;dropping-particle&quot;:&quot;&quot;,&quot;non-dropping-particle&quot;:&quot;&quot;},{&quot;family&quot;:&quot;Ramón&quot;,&quot;given&quot;:&quot;Enrique&quot;,&quot;parse-names&quot;:false,&quot;dropping-particle&quot;:&quot;&quot;,&quot;non-dropping-particle&quot;:&quot;&quot;},{&quot;family&quot;:&quot;Matilla&quot;,&quot;given&quot;:&quot;Ana María&quot;,&quot;parse-names&quot;:false,&quot;dropping-particle&quot;:&quot;&quot;,&quot;non-dropping-particle&quot;:&quot;&quot;},{&quot;family&quot;:&quot;Colón&quot;,&quot;given&quot;:&quot;Arturo&quot;,&quot;parse-names&quot;:false,&quot;dropping-particle&quot;:&quot;&quot;,&quot;non-dropping-particle&quot;:&quot;&quot;},{&quot;family&quot;:&quot;Alonso&quot;,&quot;given&quot;:&quot;Sonia&quot;,&quot;parse-names&quot;:false,&quot;dropping-particle&quot;:&quot;&quot;,&quot;non-dropping-particle&quot;:&quot;&quot;},{&quot;family&quot;:&quot;Catalina&quot;,&quot;given&quot;:&quot;María Vega&quot;,&quot;parse-names&quot;:false,&quot;dropping-particle&quot;:&quot;&quot;,&quot;non-dropping-particle&quot;:&quot;&quot;},{&quot;family&quot;:&quot;Fernández-Yunquera&quot;,&quot;given&quot;:&quot;Ainhoa&quot;,&quot;parse-names&quot;:false,&quot;dropping-particle&quot;:&quot;&quot;,&quot;non-dropping-particle&quot;:&quot;&quot;},{&quot;family&quot;:&quot;Caballero&quot;,&quot;given&quot;:&quot;Aranzazu&quot;,&quot;parse-names&quot;:false,&quot;dropping-particle&quot;:&quot;&quot;,&quot;non-dropping-particle&quot;:&quot;&quot;},{&quot;family&quot;:&quot;García&quot;,&quot;given&quot;:&quot;Rita&quot;,&quot;parse-names&quot;:false,&quot;dropping-particle&quot;:&quot;&quot;,&quot;non-dropping-particle&quot;:&quot;&quot;},{&quot;family&quot;:&quot;López-Baena&quot;,&quot;given&quot;:&quot;Jose Ángel&quot;,&quot;parse-names&quot;:false,&quot;dropping-particle&quot;:&quot;&quot;,&quot;non-dropping-particle&quot;:&quot;&quot;},{&quot;family&quot;:&quot;Salcedo&quot;,&quot;given&quot;:&quot;María Magdalena&quot;,&quot;parse-names&quot;:false,&quot;dropping-particle&quot;:&quot;&quot;,&quot;non-dropping-particle&quot;:&quot;&quot;},{&quot;family&quot;:&quot;Bañares&quot;,&quot;given&quot;:&quot;Rafael&quot;,&quot;parse-names&quot;:false,&quot;dropping-particle&quot;:&quot;&quot;,&quot;non-dropping-particle&quot;:&quot;&quot;},{&quot;family&quot;:&quot;Rincón&quot;,&quot;given&quot;:&quot;Diego&quot;,&quot;parse-names&quot;:false,&quot;dropping-particle&quot;:&quot;&quot;,&quot;non-dropping-particle&quot;:&quot;&quot;}],&quot;container-title&quot;:&quot;United European Gastroenterology Journal&quot;,&quot;container-title-short&quot;:&quot;United European Gastroenterol J&quot;,&quot;accessed&quot;:{&quot;date-parts&quot;:[[2024,4,23]]},&quot;DOI&quot;:&quot;10.1002/UEG2.12301&quot;,&quot;ISSN&quot;:&quot;2050-6414&quot;,&quot;PMID&quot;:&quot;36065767&quot;,&quot;URL&quot;:&quot;https://onlinelibrary.wiley.com/doi/full/10.1002/ueg2.12301&quot;,&quot;issued&quot;:{&quot;date-parts&quot;:[[2022,10,1]]},&quot;page&quot;:&quot;805-816&quot;,&quot;abstract&quot;:&quot;Objective: Cirrhosis is characterized by the complex interplay among biological, histological and haemodynamic events. Liver and spleen remodelling occur throughout its natural history, but the prognostic role of these volumetric changes is unclear. We evaluated the relationship between volumetric changes assessed by multidetector computerised tomography (MDCT) and landmark features of cirrhosis. Methods: We included consecutive cirrhotic patients who underwent liver transplantation (LT) or hepatocellular carcinoma (HCC) resection in whom dynamic MDCT was available. Different volumetric indices were calculated. Fibrosis was evaluated by the collagen proportional area and Laennec sub-stages. Correlation and logistic regression analysis were performed to explore associations of volumetric indexes and fibrosis with key prognostic features across the clinical stages of cirrhosis. Results: 185 patients were included (146 LT; 39 HCC); the predominant aetiology was viral hepatitis (51.35%); 65.9% had decompensated disease and 85.08% clinically significant portal hypertension (CSPH). The standardised liver volume and liver-spleen volume ratio negatively correlated with Model for End-stage Liver Disease (MELD), albumin and hepatic venous pressure gradient (HVPG) and were significantly lower in decompensated patients. The liver segmental volume ratio (segments I–III/segments IV–VIII) best captured the characteristic features of the compensated phase, showing a positive correlation with HVPG and a good discrimination between patients with and without CSPH and varices. Volumetric changes and fibrosis severity were independently associated with key prognostic events, with no association between these two parameters. Conclusions: Liver and spleen volumetric indices evolve differently along the natural history of cirrhosis and are associated with key prognostic factors in each phase, regardless of fibrosis severity and portal hypertension.&quot;,&quot;publisher&quot;:&quot;John Wiley &amp; Sons, Ltd&quot;,&quot;issue&quot;:&quot;8&quot;,&quot;volume&quot;:&quot;10&quot;},&quot;isTemporary&quot;:false}]},{&quot;citationID&quot;:&quot;MENDELEY_CITATION_4c67352a-57d6-4817-83d5-a225ccef8829&quot;,&quot;properties&quot;:{&quot;noteIndex&quot;:0},&quot;isEdited&quot;:false,&quot;manualOverride&quot;:{&quot;isManuallyOverridden&quot;:false,&quot;citeprocText&quot;:&quot;[12]&quot;,&quot;manualOverrideText&quot;:&quot;&quot;},&quot;citationTag&quot;:&quot;MENDELEY_CITATION_v3_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&quot;,&quot;citationItems&quot;:[{&quot;id&quot;:&quot;ab78603b-fc7b-3866-b2ea-fc3d53a0ffa4&quot;,&quot;itemData&quot;:{&quot;type&quot;:&quot;article-journal&quot;,&quot;id&quot;:&quot;ab78603b-fc7b-3866-b2ea-fc3d53a0ffa4&quot;,&quot;title&quot;:&quot;Clinical implication of hepatic volumetry for living donor liver transplantation&quot;,&quot;author&quot;:[{&quot;family&quot;:&quot;Kyoung Jeong&quot;,&quot;given&quot;:&quot;Woo&quot;,&quot;parse-names&quot;:false,&quot;dropping-particle&quot;:&quot;&quot;,&quot;non-dropping-particle&quot;:&quot;&quot;}],&quot;container-title&quot;:&quot;Clinical and Molecular Hepatology&quot;,&quot;container-title-short&quot;:&quot;Clin Mol Hepatol&quot;,&quot;accessed&quot;:{&quot;date-parts&quot;:[[2023,8,13]]},&quot;DOI&quot;:&quot;10.3350/cmh.2018.1003&quot;,&quot;ISSN&quot;:&quot;2287-2728&quot;,&quot;URL&quot;:&quot;https://doi.org/10.3350/cmh.2018.1003&quot;,&quot;issued&quot;:{&quot;date-parts&quot;:[[2018]]},&quot;page&quot;:&quot;51-53&quot;,&quot;abstract&quot;:&quot;Editorial Liver transplantation is indicated for primary and salvage treatment of hepatic malignancies including hepatocellular carcinoma (HCC) and hepatic epithelioid hemangioendothelioma, end-stage liver diseases, acute liver failure, and congenital anatomical and metabolic liver diseases such as biliary atresia, Wilson's disease and hemochromatosis. 1 Living donor liver transplantation (LDLT) is more widely practiced in many Asian countries, rather than in Europe and the US, due to shortage of donors who have suffered brain death. In Korea, 75.4% of LT by 2016 was LDLT. 2 Pre-operative hepatic vol-umetry by using multi-detector row computed tomography (CT) or magnetic resonance imaging (MRI) is one of the most important step during the planning of LDLT 3 because hepatic reservoir after surgery could be estimated by the hepatic volumetry, which is an important factor for donor's and recipient's recovery after surgery. 4,5 If the graft size is too small, and mismatched compared with the recipient's size, it is called as \&quot;small-for-size-graft (SFSG)\&quot;. In that situation, even the small graft could be well adapted, but some recipient could have symptoms related to the graft size. 6 SFSG dys-function was defined as 'dysfunction of a small partial liver graft during the first postoperative week after the exclusion of other causes'. 7 It means that the transplanted partial liver cannot satisfy metabolic demand of the recipient or can be prone to congest by excessive portal inflow before regeneration of the graft, and results in irreversible graft failure and death of the patient if there is no available organ for re-transplantation. In the general setting of LDLT, the graft volume of less than 40-50% of standardized liver volume (SLV), corresponding to a graft to recipient weight ratio (GRWR) of 0.8-1.0% could be associated with worse outcome. 8 The mechanism of SFSG syndrome is not clear. It could be related to the shortage of parenchymal cell mass required to metabolize, and persistent elevation of portal venous pressure which causes hyperperfusion graft injury. 6 SFSG get the entire volume of portal flow, and lead to higher portal pressure due to increased portal resistance. 9 Moreover, as the cirrhotic recipients demonstrate higher portal flow than normal subjects, this recipients' hemodynamics&quot;,&quot;volume&quot;:&quot;24&quot;},&quot;isTemporary&quot;:false}]},{&quot;citationID&quot;:&quot;MENDELEY_CITATION_d7b33a98-c54a-451d-aecb-5d9f00a54798&quot;,&quot;properties&quot;:{&quot;noteIndex&quot;:0},&quot;isEdited&quot;:false,&quot;manualOverride&quot;:{&quot;isManuallyOverridden&quot;:false,&quot;citeprocText&quot;:&quot;[28]&quot;,&quot;manualOverrideText&quot;:&quot;&quot;},&quot;citationTag&quot;:&quot;MENDELEY_CITATION_v3_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&quot;,&quot;citationItems&quot;:[{&quot;id&quot;:&quot;6aacfba1-102d-3d80-a17a-bea7dfa74652&quot;,&quot;itemData&quot;:{&quot;type&quot;:&quot;article-journal&quot;,&quot;id&quot;:&quot;6aacfba1-102d-3d80-a17a-bea7dfa74652&quot;,&quot;title&quot;:&quot;Small-For-Size Syndrome and Graft Inflow Modulation Techniques in Liver Transplantation&quot;,&quot;author&quot;:[{&quot;family&quot;:&quot;Cheng&quot;,&quot;given&quot;:&quot;Pengrui&quot;,&quot;parse-names&quot;:false,&quot;dropping-particle&quot;:&quot;&quot;,&quot;non-dropping-particle&quot;:&quot;&quot;},{&quot;family&quot;:&quot;Li&quot;,&quot;given&quot;:&quot;Zhongqiu&quot;,&quot;parse-names&quot;:false,&quot;dropping-particle&quot;:&quot;&quot;,&quot;non-dropping-particle&quot;:&quot;&quot;},{&quot;family&quot;:&quot;Fu&quot;,&quot;given&quot;:&quot;Zongli&quot;,&quot;parse-names&quot;:false,&quot;dropping-particle&quot;:&quot;&quot;,&quot;non-dropping-particle&quot;:&quot;&quot;},{&quot;family&quot;:&quot;Jian&quot;,&quot;given&quot;:&quot;Qian&quot;,&quot;parse-names&quot;:false,&quot;dropping-particle&quot;:&quot;&quot;,&quot;non-dropping-particle&quot;:&quot;&quot;},{&quot;family&quot;:&quot;Deng&quot;,&quot;given&quot;:&quot;Ronghai&quot;,&quot;parse-names&quot;:false,&quot;dropping-particle&quot;:&quot;&quot;,&quot;non-dropping-particle&quot;:&quot;&quot;},{&quot;family&quot;:&quot;Ma&quot;,&quot;given&quot;:&quot;Yi&quot;,&quot;parse-names&quot;:false,&quot;dropping-particle&quot;:&quot;&quot;,&quot;non-dropping-particle&quot;:&quot;&quot;}],&quot;container-title&quot;:&quot;Digestive diseases (Basel, Switzerland)&quot;,&quot;container-title-short&quot;:&quot;Dig Dis&quot;,&quot;accessed&quot;:{&quot;date-parts&quot;:[[2024,9,30]]},&quot;DOI&quot;:&quot;10.1159/000525540&quot;,&quot;ISSN&quot;:&quot;1421-9875&quot;,&quot;PMID&quot;:&quot;35753308&quot;,&quot;URL&quot;:&quot;https://pubmed.ncbi.nlm.nih.gov/35753308/&quot;,&quot;issued&quot;:{&quot;date-parts&quot;:[[2023,3,1]]},&quot;page&quot;:&quot;250-258&quot;,&quot;abstract&quot;:&quot;Background: Partial liver transplantation has recently been proposed to alleviate organ shortages. However, transplantation of a small-for-size graft is associated with an increased risk of posttransplant hepatic dysfunction, commonly referred to as small-for-size syndrome (SFSS). This review describes the etiology, pathological features, clinical manifestations, and diagnostic criteria of SFSS. Moreover, we summarize strategies to improve graft function, focusing on graft inflow modulation techniques. Finally, unmet needs and future perspectives are discussed. Summary: In fact, posttransplant SFSS can be attributed to various factors such as preoperative status of the recipients, surgical techniques, donor age, and graft quality, except for graft size. With targeted improvement measures, satisfactory clinical outcomes can be achieved in recipients at increased risk of SFSS. Given the critical role of relative portal hyperperfusion in the pathogenesis of SFSS, various pharmacological and surgical treatments have been established to reduce or partially divert excessive portal inflow, and recipients will benefit from individualized therapeutic regimens after careful evaluation of benefits against potential risks. However, there remain unmet needs for further research into different aspects of SFSS to better understand the correlation between portal hemodynamics and patient outcomes. Key Messages: Contemporary transplant surgeons should consider various donor and recipient factors and develop case-specific prevention and treatment strategies to improve graft and recipient survival rates.&quot;,&quot;publisher&quot;:&quot;Dig Dis&quot;,&quot;issue&quot;:&quot;2&quot;,&quot;volume&quot;:&quot;41&quot;},&quot;isTemporary&quot;:false}]},{&quot;citationID&quot;:&quot;MENDELEY_CITATION_47cf46d6-69be-437d-a2ea-aa4791bcc55e&quot;,&quot;properties&quot;:{&quot;noteIndex&quot;:0},&quot;isEdited&quot;:false,&quot;manualOverride&quot;:{&quot;isManuallyOverridden&quot;:false,&quot;citeprocText&quot;:&quot;[29]&quot;,&quot;manualOverrideText&quot;:&quot;&quot;},&quot;citationTag&quot;:&quot;MENDELEY_CITATION_v3_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&quot;,&quot;citationItems&quot;:[{&quot;id&quot;:&quot;82870fe3-1d96-3ca5-8567-279f23529c70&quot;,&quot;itemData&quot;:{&quot;type&quot;:&quot;article-journal&quot;,&quot;id&quot;:&quot;82870fe3-1d96-3ca5-8567-279f23529c70&quot;,&quot;title&quot;:&quot;Impact of graft-to-recipient weight ratio on small-for-size syndrome following living donor liver transplantation&quot;,&quot;author&quot;:[{&quot;family&quot;:&quot;Bell&quot;,&quot;given&quot;:&quot;Richard&quot;,&quot;parse-names&quot;:false,&quot;dropping-particle&quot;:&quot;&quot;,&quot;non-dropping-particle&quot;:&quot;&quot;},{&quot;family&quot;:&quot;Pandanaboyana&quot;,&quot;given&quot;:&quot;Sanjay&quot;,&quot;parse-names&quot;:false,&quot;dropping-particle&quot;:&quot;&quot;,&quot;non-dropping-particle&quot;:&quot;&quot;},{&quot;family&quot;:&quot;Upasani&quot;,&quot;given&quot;:&quot;Vivek&quot;,&quot;parse-names&quot;:false,&quot;dropping-particle&quot;:&quot;&quot;,&quot;non-dropping-particle&quot;:&quot;&quot;},{&quot;family&quot;:&quot;Prasad&quot;,&quot;given&quot;:&quot;Raj&quot;,&quot;parse-names&quot;:false,&quot;dropping-particle&quot;:&quot;&quot;,&quot;non-dropping-particle&quot;:&quot;&quot;}],&quot;container-title&quot;:&quot;ANZ journal of surgery&quot;,&quot;container-title-short&quot;:&quot;ANZ J Surg&quot;,&quot;accessed&quot;:{&quot;date-parts&quot;:[[2024,2,3]]},&quot;DOI&quot;:&quot;10.1111/ANS.14245&quot;,&quot;ISSN&quot;:&quot;1445-2197&quot;,&quot;PMID&quot;:&quot;29752783&quot;,&quot;URL&quot;:&quot;https://pubmed.ncbi.nlm.nih.gov/29752783/&quot;,&quot;issued&quot;:{&quot;date-parts&quot;:[[2018,5,1]]},&quot;page&quot;:&quot;415-420&quot;,&quot;abstract&quot;:&quot;Background: This meta-analysis aimed to compare living donor liver transplantation (LDLT) grafts with a graft-to-recipient weight ratio (GRWR) of &lt;0.8 to grafts with a GRWR ≥0.8 with regards to small-for-size syndrome (SFSS) and short and longer term outcomes. Methods: An electronic search was performed of the MEDLINE, EMBASE and PubMed databases until December 2016 using both subject headings (MeSH) and free text. Pooled odds ratios and hazard ratios were calculated using fixed- and random-effects models for meta-analysis. Results: Eight studies including 1833 patients met the inclusion criteria. The rate of SFSS was 10% in the &lt;0.8 group and 5% in the ≥0.8 group (odds ratio: 1.69 (1.09, 2.61) (P = 0.020)). No significant difference was noted between the two groups with regards to graft survival up to 5 years (hazard ratio: 1.31 (0.88, 1.94) (P = 0.190)). Similarly, no significant difference was noted in overall complications (P = 0.06), biliary (P = 0.290) or vascular complications (P = 0.190), perioperative haemorrhage (P = 0.150), post-operative mortality (P = 0.810) and rejection (P = 0.160). Conclusion: The incidence of SFSS in grafts with a GRWR &lt;0.8 is more than in GRWR ≥0.8; however, the low GRWR does not appear to impact perioperative outcomes or graft survival.&quot;,&quot;publisher&quot;:&quot;ANZ J Surg&quot;,&quot;issue&quot;:&quot;5&quot;,&quot;volume&quot;:&quot;88&quot;},&quot;isTemporary&quot;:false}]},{&quot;citationID&quot;:&quot;MENDELEY_CITATION_7714bf2b-b777-4c64-a39d-3493c7a0a94d&quot;,&quot;properties&quot;:{&quot;noteIndex&quot;:0},&quot;isEdited&quot;:false,&quot;manualOverride&quot;:{&quot;isManuallyOverridden&quot;:false,&quot;citeprocText&quot;:&quot;[30]&quot;,&quot;manualOverrideText&quot;:&quot;&quot;},&quot;citationTag&quot;:&quot;MENDELEY_CITATION_v3_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&quot;,&quot;citationItems&quot;:[{&quot;id&quot;:&quot;0f79d98a-fa88-3381-9f14-847f7d91a25d&quot;,&quot;itemData&quot;:{&quot;type&quot;:&quot;article-journal&quot;,&quot;id&quot;:&quot;0f79d98a-fa88-3381-9f14-847f7d91a25d&quot;,&quot;title&quot;:&quot;Portal flow modulation in living donor liver transplantation: review with a focus on splenectomy&quot;,&quot;author&quot;:[{&quot;family&quot;:&quot;Yoshizumi&quot;,&quot;given&quot;:&quot;Tomoharu&quot;,&quot;parse-names&quot;:false,&quot;dropping-particle&quot;:&quot;&quot;,&quot;non-dropping-particle&quot;:&quot;&quot;},{&quot;family&quot;:&quot;Mori&quot;,&quot;given&quot;:&quot;Masaki&quot;,&quot;parse-names&quot;:false,&quot;dropping-particle&quot;:&quot;&quot;,&quot;non-dropping-particle&quot;:&quot;&quot;}],&quot;container-title&quot;:&quot;Surgery Today&quot;,&quot;container-title-short&quot;:&quot;Surg Today&quot;,&quot;accessed&quot;:{&quot;date-parts&quot;:[[2023,10,28]]},&quot;DOI&quot;:&quot;10.1007/S00595-019-01881-Y&quot;,&quot;ISSN&quot;:&quot;14362813&quot;,&quot;PMID&quot;:&quot;31555908&quot;,&quot;URL&quot;:&quot;/pmc/articles/PMC6949207/&quot;,&quot;issued&quot;:{&quot;date-parts&quot;:[[2020,1,1]]},&quot;page&quot;:&quot;21&quot;,&quot;abstract&quot;:&quot;Small-for-size graft (SFSG) syndrome after living donor liver transplantation (LDLT) is the dysfunction of a small graft, characterized by coagulopathy, cholestasis, ascites, and encephalopathy. It is a serious complication of LDLT and usually triggered by excessive portal flow transmitted to the allograft in the postperfusion setting, resulting in sinusoidal congestion and hemorrhage. Portal overflow injures the liver directly through nutrient excess, endothelial activation, and sinusoidal shear stress, and indirectly through arterial vasoconstriction. These conditions may be attenuated with portal flow modulation. Attempts have been made to control excessive portal flow to the SFSG, including simultaneous splenectomy, splenic artery ligation, hemi-portocaval shunt, and pharmacological manipulation, with positive outcomes. Currently, a donor liver is considered a SFSG when the graft-to-recipient weight ratio is less than 0.8 or the ratio of the graft volume to the standard liver volume is less than 40%. A strategy for transplanting SFSG safely into recipients and avoiding extensive surgery in the living donor could effectively address the donor shortage. We review the literature and assess our current knowledge of and strategies for portal flow modulation in LDLT.&quot;,&quot;publisher&quot;:&quot;Springer&quot;,&quot;issue&quot;:&quot;1&quot;,&quot;volume&quot;:&quot;50&quot;},&quot;isTemporary&quot;:false}]},{&quot;citationID&quot;:&quot;MENDELEY_CITATION_11ee9914-15f6-4510-a2ff-dfae6c7d37b5&quot;,&quot;properties&quot;:{&quot;noteIndex&quot;:0},&quot;isEdited&quot;:false,&quot;manualOverride&quot;:{&quot;isManuallyOverridden&quot;:false,&quot;citeprocText&quot;:&quot;[31]&quot;,&quot;manualOverrideText&quot;:&quot;&quot;},&quot;citationTag&quot;:&quot;MENDELEY_CITATION_v3_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&quot;,&quot;citationItems&quot;:[{&quot;id&quot;:&quot;a04c2420-99a9-390e-b7b9-de30282e49bb&quot;,&quot;itemData&quot;:{&quot;type&quot;:&quot;article-journal&quot;,&quot;id&quot;:&quot;a04c2420-99a9-390e-b7b9-de30282e49bb&quot;,&quot;title&quot;:&quot;Left lobe living donor liver transplantation in adults: What is the safety limit?&quot;,&quot;author&quot;:[{&quot;family&quot;:&quot;Ikegami&quot;,&quot;given&quot;:&quot;Toru&quot;,&quot;parse-names&quot;:false,&quot;dropping-particle&quot;:&quot;&quot;,&quot;non-dropping-particle&quot;:&quot;&quot;},{&quot;family&quot;:&quot;Yoshizumi&quot;,&quot;given&quot;:&quot;Tomoharu&quot;,&quot;parse-names&quot;:false,&quot;dropping-particle&quot;:&quot;&quot;,&quot;non-dropping-particle&quot;:&quot;&quot;},{&quot;family&quot;:&quot;Sakata&quot;,&quot;given&quot;:&quot;Kazuhito&quot;,&quot;parse-names&quot;:false,&quot;dropping-particle&quot;:&quot;&quot;,&quot;non-dropping-particle&quot;:&quot;&quot;},{&quot;family&quot;:&quot;Uchiyama&quot;,&quot;given&quot;:&quot;Hideaki&quot;,&quot;parse-names&quot;:false,&quot;dropping-particle&quot;:&quot;&quot;,&quot;non-dropping-particle&quot;:&quot;&quot;},{&quot;family&quot;:&quot;Harimoto&quot;,&quot;given&quot;:&quot;Norifumi&quot;,&quot;parse-names&quot;:false,&quot;dropping-particle&quot;:&quot;&quot;,&quot;non-dropping-particle&quot;:&quot;&quot;},{&quot;family&quot;:&quot;Harada&quot;,&quot;given&quot;:&quot;Noboru&quot;,&quot;parse-names&quot;:false,&quot;dropping-particle&quot;:&quot;&quot;,&quot;non-dropping-particle&quot;:&quot;&quot;},{&quot;family&quot;:&quot;Itoh&quot;,&quot;given&quot;:&quot;Shinji&quot;,&quot;parse-names&quot;:false,&quot;dropping-particle&quot;:&quot;&quot;,&quot;non-dropping-particle&quot;:&quot;&quot;},{&quot;family&quot;:&quot;Nagatsu&quot;,&quot;given&quot;:&quot;Akihisa&quot;,&quot;parse-names&quot;:false,&quot;dropping-particle&quot;:&quot;&quot;,&quot;non-dropping-particle&quot;:&quot;&quot;},{&quot;family&quot;:&quot;Soejima&quot;,&quot;given&quot;:&quot;Yuji&quot;,&quot;parse-names&quot;:false,&quot;dropping-particle&quot;:&quot;&quot;,&quot;non-dropping-particle&quot;:&quot;&quot;},{&quot;family&quot;:&quot;Maehara&quot;,&quot;given&quot;:&quot;Yoshihiko&quot;,&quot;parse-names&quot;:false,&quot;dropping-particle&quot;:&quot;&quot;,&quot;non-dropping-particle&quot;:&quot;&quot;}],&quot;container-title&quot;:&quot;Liver transplantation : official publication of the American Association for the Study of Liver Diseases and the International Liver Transplantation Society&quot;,&quot;container-title-short&quot;:&quot;Liver Transpl&quot;,&quot;accessed&quot;:{&quot;date-parts&quot;:[[2023,10,26]]},&quot;DOI&quot;:&quot;10.1002/LT.24611&quot;,&quot;ISSN&quot;:&quot;1527-6473&quot;,&quot;PMID&quot;:&quot;27540888&quot;,&quot;URL&quot;:&quot;https://pubmed.ncbi.nlm.nih.gov/27540888/&quot;,&quot;issued&quot;:{&quot;date-parts&quot;:[[2016,12,1]]},&quot;page&quot;:&quot;1666-1675&quot;,&quot;abstract&quot;:&quot;Small-for-size syndrome (SFSS) is the most significant cause of graft loss after living donor liver transplantation (LDLT), especially after left lobe (LL) LDLT in adults. The safety limit of applying LL-LDLT in adults without severe SFSS with a high rate of lethality needs to be determined. A total of 207 LL-LDLTs in adults since September 2005 were evaluated to analyze the risk factors for severe SFSS, defined as a serum total bilirubin concentration of ≥20.0 mg/dL after LDLT. Although there were no significant differences in cumulative graft survival after LDLT between medium grafts (graft volume [GV] to standard liver volume [SLV] ratio ≥ 40.0%), small grafts (35.0% ≤ GV/SLV &lt; 40.0%), and extra small grafts (GV/SLV &lt; 35.0%), patients with severe SFSS showed a significantly lower 5-year graft survival rate than those without (42.9% versus 94.3%, respectively; P &lt; 0.001). Multivariate analysis for severe SFSS after LL-LDLT showed that donor age of ≥48 years (P = 0.01), Model for End-Stage Liver Disease (MELD) score of ≥ 19 (P &lt; 0.01), and end portal venous pressure of ≥19 mm Hg (P = 0.04) were the significant and independent factors for severe SFSS after LL-LDLT. Within such high-risk subgroups of patients with a donor age of ≥48 years or MELD score of ≥ 19 before LDLT, operative blood loss volume of ≥8.0 L was a risk factor for severe SFSS. LL-LDLT in adults could be indicated and provide acceptable outcomes for the combinations of donors aged &lt; 48 years and recipients with a MELD score of &lt;19. Smaller grafts might yield acceptable outcomes in appropriately selected donor-recipient combinations. Liver Transplantation 22 1666–1675 2016 AASLD.&quot;,&quot;publisher&quot;:&quot;Liver Transpl&quot;,&quot;issue&quot;:&quot;12&quot;,&quot;volume&quot;:&quot;22&quot;},&quot;isTemporary&quot;:false}]},{&quot;citationID&quot;:&quot;MENDELEY_CITATION_5efc8efe-6ad7-4c78-bb84-ca3ac71c3791&quot;,&quot;properties&quot;:{&quot;noteIndex&quot;:0},&quot;isEdited&quot;:false,&quot;manualOverride&quot;:{&quot;isManuallyOverridden&quot;:false,&quot;citeprocText&quot;:&quot;[32]&quot;,&quot;manualOverrideText&quot;:&quot;&quot;},&quot;citationTag&quot;:&quot;MENDELEY_CITATION_v3_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&quot;,&quot;citationItems&quot;:[{&quot;id&quot;:&quot;5c56126b-a5cd-33a8-9436-c350408f3c7e&quot;,&quot;itemData&quot;:{&quot;type&quot;:&quot;article&quot;,&quot;id&quot;:&quot;5c56126b-a5cd-33a8-9436-c350408f3c7e&quot;,&quot;title&quot;:&quot;CT volumetry of the liver: Where does it stand in clinical practice?&quot;,&quot;author&quot;:[{&quot;family&quot;:&quot;Lim&quot;,&quot;given&quot;:&quot;M. C.&quot;,&quot;parse-names&quot;:false,&quot;dropping-particle&quot;:&quot;&quot;,&quot;non-dropping-particle&quot;:&quot;&quot;},{&quot;family&quot;:&quot;Tan&quot;,&quot;given&quot;:&quot;C. H.&quot;,&quot;parse-names&quot;:false,&quot;dropping-particle&quot;:&quot;&quot;,&quot;non-dropping-particle&quot;:&quot;&quot;},{&quot;family&quot;:&quot;Cai&quot;,&quot;given&quot;:&quot;J.&quot;,&quot;parse-names&quot;:false,&quot;dropping-particle&quot;:&quot;&quot;,&quot;non-dropping-particle&quot;:&quot;&quot;},{&quot;family&quot;:&quot;Zheng&quot;,&quot;given&quot;:&quot;J.&quot;,&quot;parse-names&quot;:false,&quot;dropping-particle&quot;:&quot;&quot;,&quot;non-dropping-particle&quot;:&quot;&quot;},{&quot;family&quot;:&quot;Kow&quot;,&quot;given&quot;:&quot;A. W.C.&quot;,&quot;parse-names&quot;:false,&quot;dropping-particle&quot;:&quot;&quot;,&quot;non-dropping-particle&quot;:&quot;&quot;}],&quot;container-title&quot;:&quot;Clinical Radiology&quot;,&quot;container-title-short&quot;:&quot;Clin Radiol&quot;,&quot;DOI&quot;:&quot;10.1016/j.crad.2013.12.021&quot;,&quot;ISSN&quot;:&quot;1365229X&quot;,&quot;PMID&quot;:&quot;24824973&quot;,&quot;issued&quot;:{&quot;date-parts&quot;:[[2014]]},&quot;page&quot;:&quot;887-895&quot;,&quot;abstract&quot;:&quot;Imaging-based volumetry has been increasingly utilised in current clinical practice to obtain accurate measurements of the liver volume. This is particularly useful prior to major hepatic resection and living donor liver transplantation where the size of the remnant liver and liver graft, respectively, affects procedural success and postoperative mortality and morbidity. The use of imaging-based volumetry, with emphasis on computed tomography, will be reviewed. We will explore the various technical factors that contribute to accurate volumetric measurements, and demonstrate how the accuracies of these techniques are influenced by their methodologies. The strengths and limitations of using anatomical imaging to estimate liver volume will be discussed, in relation to laboratory and functional imaging methods of assessment. © 2014 The Royal College of Radiologists. Published by Elsevier Ltd. All rights reserved.&quot;,&quot;publisher&quot;:&quot;W.B. Saunders Ltd&quot;,&quot;issue&quot;:&quot;9&quot;,&quot;volume&quot;:&quot;69&quot;},&quot;isTemporary&quot;:false}]},{&quot;citationID&quot;:&quot;MENDELEY_CITATION_3cd109b1-6716-459b-ba8b-10d6a7b4e0a2&quot;,&quot;properties&quot;:{&quot;noteIndex&quot;:0},&quot;isEdited&quot;:false,&quot;manualOverride&quot;:{&quot;isManuallyOverridden&quot;:false,&quot;citeprocText&quot;:&quot;[33]&quot;,&quot;manualOverrideText&quot;:&quot;&quot;},&quot;citationTag&quot;:&quot;MENDELEY_CITATION_v3_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&quot;,&quot;citationItems&quot;:[{&quot;id&quot;:&quot;7055ef8e-77b7-343b-9db2-92474d44af96&quot;,&quot;itemData&quot;:{&quot;type&quot;:&quot;article-journal&quot;,&quot;id&quot;:&quot;7055ef8e-77b7-343b-9db2-92474d44af96&quot;,&quot;title&quot;:&quot;Accuracy of estimated total liver volume formulas before liver resection.&quot;,&quot;author&quot;:[{&quot;family&quot;:&quot;Olthof&quot;,&quot;given&quot;:&quot;P. B.&quot;,&quot;parse-names&quot;:false,&quot;dropping-particle&quot;:&quot;&quot;,&quot;non-dropping-particle&quot;:&quot;&quot;},{&quot;family&quot;:&quot;Dam&quot;,&quot;given&quot;:&quot;Ronald&quot;,&quot;parse-names&quot;:false,&quot;dropping-particle&quot;:&quot;&quot;,&quot;non-dropping-particle&quot;:&quot;van&quot;},{&quot;family&quot;:&quot;Jovine&quot;,&quot;given&quot;:&quot;Elio&quot;,&quot;parse-names&quot;:false,&quot;dropping-particle&quot;:&quot;&quot;,&quot;non-dropping-particle&quot;:&quot;&quot;},{&quot;family&quot;:&quot;Campos&quot;,&quot;given&quot;:&quot;Ricardo Robles&quot;,&quot;parse-names&quot;:false,&quot;dropping-particle&quot;:&quot;&quot;,&quot;non-dropping-particle&quot;:&quot;&quot;},{&quot;family&quot;:&quot;Santibañes&quot;,&quot;given&quot;:&quot;Eduardo&quot;,&quot;parse-names&quot;:false,&quot;dropping-particle&quot;:&quot;&quot;,&quot;non-dropping-particle&quot;:&quot;de&quot;},{&quot;family&quot;:&quot;Oldhafer&quot;,&quot;given&quot;:&quot;Karl&quot;,&quot;parse-names&quot;:false,&quot;dropping-particle&quot;:&quot;&quot;,&quot;non-dropping-particle&quot;:&quot;&quot;},{&quot;family&quot;:&quot;Malago&quot;,&quot;given&quot;:&quot;Massimo&quot;,&quot;parse-names&quot;:false,&quot;dropping-particle&quot;:&quot;&quot;,&quot;non-dropping-particle&quot;:&quot;&quot;},{&quot;family&quot;:&quot;Abdalla&quot;,&quot;given&quot;:&quot;Eddie K.&quot;,&quot;parse-names&quot;:false,&quot;dropping-particle&quot;:&quot;&quot;,&quot;non-dropping-particle&quot;:&quot;&quot;},{&quot;family&quot;:&quot;Schadde&quot;,&quot;given&quot;:&quot;Erik&quot;,&quot;parse-names&quot;:false,&quot;dropping-particle&quot;:&quot;&quot;,&quot;non-dropping-particle&quot;:&quot;&quot;}],&quot;container-title&quot;:&quot;Surgery&quot;,&quot;container-title-short&quot;:&quot;Surgery&quot;,&quot;accessed&quot;:{&quot;date-parts&quot;:[[2024,4,21]]},&quot;DOI&quot;:&quot;10.1016/J.SURG.2019.05.003&quot;,&quot;ISSN&quot;:&quot;15327361&quot;,&quot;PMID&quot;:&quot;31204072&quot;,&quot;issued&quot;:{&quot;date-parts&quot;:[[2019,9,1]]},&quot;page&quot;:&quot;247-253&quot;,&quot;abstract&quot;:&quot;Background: Future remnant liver volume is used to predict the risk for liver failure in patients who will undergo major liver resection. Formulas to estimate total liver volume based on biometric data are widely used to calculate future remnant liver volume; however, it remains unclear which formula is most accurate. This study evaluated published estimate total liver volume formulas to determine which formula best predicts the actual future remnant liver volume based on measurements in a large number of patients who underwent associating liver partition and portal vein ligation for staged hepatectomy surgery. Methods: All patients with complete liver volume data in the associating liver partition and portal vein ligation for staged hepatectomy registry were included in this study. Estimate total liver volume and estimated future remnant liver volume were calculated for 16 published formulas. The median over- or underestimation compared with actual measured volumes were determined for estimate total liver volume and future remnant liver volume. The proportion of patients with an under- or overestimated future remnant liver volume for each formula were compared with each other using a 25% cut-off for each formula. Results: Among 529 studied patients, the formulas ranged from a 19% underestimation to a 63% overestimation of estimate total liver volume. Estimation of future remnant liver volume lead to a 10% underestimation to a 5% overestimation among the formulas. Of all studied formulas, the Vauthey1 formula was the most accurate, generating underestimation of future remnant liver volume in 20% and overestimation of future remnant liver volume in 6% of patients. Conclusion: Validation of 16 published total liver volume formulas in a multicenter international cohort of 529 patients that underwent staged hepatectomy revealed that the Vauthey formula (estimate total liver volume = 18.51 × body weight + 191.8) provides the most accurate prediction of the actual future remnant liver volume.&quot;,&quot;publisher&quot;:&quot;Mosby Inc.&quot;,&quot;issue&quot;:&quot;3&quot;,&quot;volume&quot;:&quot;166&quot;},&quot;isTemporary&quot;:false}]},{&quot;citationID&quot;:&quot;MENDELEY_CITATION_e77e82b4-36d3-45be-986f-1fe068e5cbd6&quot;,&quot;properties&quot;:{&quot;noteIndex&quot;:0},&quot;isEdited&quot;:false,&quot;manualOverride&quot;:{&quot;isManuallyOverridden&quot;:false,&quot;citeprocText&quot;:&quot;[34]&quot;,&quot;manualOverrideText&quot;:&quot;&quot;},&quot;citationTag&quot;:&quot;MENDELEY_CITATION_v3_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&quot;,&quot;citationItems&quot;:[{&quot;id&quot;:&quot;13d993ea-c229-3ce0-93ad-f13515ea76bb&quot;,&quot;itemData&quot;:{&quot;type&quot;:&quot;article-journal&quot;,&quot;id&quot;:&quot;13d993ea-c229-3ce0-93ad-f13515ea76bb&quot;,&quot;title&quot;:&quot;Achieving clinically optimal balance between accuracy and simplicity of a formula for manual use: Development of a simple formula for estimating liver graft weight with donor anthropometrics Introduction Importance of simplicity in developing formulas for manual use&quot;,&quot;author&quot;:[{&quot;family&quot;:&quot;Ichihara&quot;,&quot;given&quot;:&quot;Nao&quot;,&quot;parse-names&quot;:false,&quot;dropping-particle&quot;:&quot;&quot;,&quot;non-dropping-particle&quot;:&quot;&quot;},{&quot;family&quot;:&quot;1☯&quot;,&quot;given&quot;:&quot;I D&quot;,&quot;parse-names&quot;:false,&quot;dropping-particle&quot;:&quot;&quot;,&quot;non-dropping-particle&quot;:&quot;&quot;},{&quot;family&quot;:&quot;Sato&quot;,&quot;given&quot;:&quot;Naoya&quot;,&quot;parse-names&quot;:false,&quot;dropping-particle&quot;:&quot;&quot;,&quot;non-dropping-particle&quot;:&quot;&quot;},{&quot;family&quot;:&quot;2☯&quot;,&quot;given&quot;:&quot;I D&quot;,&quot;parse-names&quot;:false,&quot;dropping-particle&quot;:&quot;&quot;,&quot;non-dropping-particle&quot;:&quot;&quot;},{&quot;family&quot;:&quot;Marubashi&quot;,&quot;given&quot;:&quot;Shigeru&quot;,&quot;parse-names&quot;:false,&quot;dropping-particle&quot;:&quot;&quot;,&quot;non-dropping-particle&quot;:&quot;&quot;},{&quot;family&quot;:&quot;Miyata&quot;,&quot;given&quot;:&quot;Hiroaki&quot;,&quot;parse-names&quot;:false,&quot;dropping-particle&quot;:&quot;&quot;,&quot;non-dropping-particle&quot;:&quot;&quot;},{&quot;family&quot;:&quot;Eguchi&quot;,&quot;given&quot;:&quot;Susumu&quot;,&quot;parse-names&quot;:false,&quot;dropping-particle&quot;:&quot;&quot;,&quot;non-dropping-particle&quot;:&quot;&quot;},{&quot;family&quot;:&quot;Ohdan&quot;,&quot;given&quot;:&quot;Hideki&quot;,&quot;parse-names&quot;:false,&quot;dropping-particle&quot;:&quot;&quot;,&quot;non-dropping-particle&quot;:&quot;&quot;},{&quot;family&quot;:&quot;Umeshita&quot;,&quot;given&quot;:&quot;Koji&quot;,&quot;parse-names&quot;:false,&quot;dropping-particle&quot;:&quot;&quot;,&quot;non-dropping-particle&quot;:&quot;&quot;},{&quot;family&quot;:&quot;Gotoh&quot;,&quot;given&quot;:&quot;Mitsukazu&quot;,&quot;parse-names&quot;:false,&quot;dropping-particle&quot;:&quot;&quot;,&quot;non-dropping-particle&quot;:&quot;&quot;}],&quot;accessed&quot;:{&quot;date-parts&quot;:[[2024,5,5]]},&quot;DOI&quot;:&quot;10.1371/journal.pone.0280569&quot;,&quot;ISBN&quot;:&quot;1111111111&quot;,&quot;issued&quot;:{&quot;date-parts&quot;:[[2023]]},&quot;abstract&quot;:&quot;In developing a formula for manual use in clinical settings, simplicity is as important as accuracy. Whole-liver (WL) mass is often estimated using demographic and anthropo-metric information to calculate the standard liver volume or recommended graft volume in liver transplantation. Multiple formulas for estimating WL mass have been reported, including those with multiple independent variables. However, it is unknown whether multivariable models lead to clinically meaningful improvements in accuracy over uni-variable models. Our goal was to quantitatively define clinically meaningful improvements in accuracy, which justifies an additional independent variable, and to identify an estimation formula for WL graft weight that best balances accuracy and simplicity given the criterion. From the Japanese Liver Transplantation Society registry, which contains data on all liver transplant cases in Japan, 129 WL donor-graft pairs were extracted. Among the candidate models, those with the smallest cross-validation (CV) root-mean-square error (RMSE) were selected, penalizing model complexity by requiring more complex models to yield a �5% decrease in CV RMSE. The winning model by voting with random subsets was fitted to the entire dataset to obtain the final formula. External validity was assessed using CV. A simple univariable linear regression formula using body weight (BW) was obtained as follows: WL graft weight [g] = 14.8 × BW [kg] + 439.2. The CV RMSE (g) and coefficient of determination (R 2) were 195.2 and 0.548, respectively. In summary, in the development of a simple formula for manually estimating WL weight using demographic and anthropometric variables, a clinically acceptable trade-off PLOS ONE PLOS ONE | https://doi.org/10.1371/journal.pone. between accuracy and simplicity was quantitatively defined, and the best model was selected using this criterion. A univariable linear model using BW achieved a clinically optimal balance between simplicity and accuracy, while one using body surface area performed similarly.&quot;,&quot;container-title-short&quot;:&quot;&quot;},&quot;isTemporary&quot;:false}]},{&quot;citationID&quot;:&quot;MENDELEY_CITATION_b4e11393-e0ca-47aa-9546-b32784e40481&quot;,&quot;properties&quot;:{&quot;noteIndex&quot;:0},&quot;isEdited&quot;:false,&quot;manualOverride&quot;:{&quot;isManuallyOverridden&quot;:false,&quot;citeprocText&quot;:&quot;[17]&quot;,&quot;manualOverrideText&quot;:&quot;&quot;},&quot;citationTag&quot;:&quot;MENDELEY_CITATION_v3_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&quot;,&quot;citationItems&quot;:[{&quot;id&quot;:&quot;5e02bf03-2bcb-3dc9-895e-eac66c0acf56&quot;,&quot;itemData&quot;:{&quot;type&quot;:&quot;article-journal&quot;,&quot;id&quot;:&quot;5e02bf03-2bcb-3dc9-895e-eac66c0acf56&quot;,&quot;title&quot;:&quot;ИЗМЕРЕНИЕ ОБЪЕМА ПЕЧЕНИ\nС ПОМОЩЬЮ ВИЗУАЛИЗАЦИОННЫХ МЕТОДОВ РАЗЛИЧНОЙ МОДАЛЬНОСТИ&quot;,&quot;author&quot;:[{&quot;family&quot;:&quot;Изранов В. А.&quot;,&quot;given&quot;:&quot;Казанцева Н. В., Белецкая М. А.&quot;,&quot;parse-names&quot;:false,&quot;dropping-particle&quot;:&quot;&quot;,&quot;non-dropping-particle&quot;:&quot;&quot;}],&quot;container-title&quot;:&quot;Вестник Балтийского федерального университета им. И. Канта. Сер.: Естественные и медицинские науки. &quot;,&quot;issued&quot;:{&quot;date-parts&quot;:[[2017]]},&quot;page&quot;:&quot;52-64&quot;,&quot;volume&quot;:&quot;2&quot;,&quot;container-title-short&quot;:&quot;&quot;},&quot;isTemporary&quot;:false}]},{&quot;citationID&quot;:&quot;MENDELEY_CITATION_029701f5-3de1-4a67-a69a-24303979ad0c&quot;,&quot;properties&quot;:{&quot;noteIndex&quot;:0},&quot;isEdited&quot;:false,&quot;manualOverride&quot;:{&quot;isManuallyOverridden&quot;:false,&quot;citeprocText&quot;:&quot;[35]&quot;,&quot;manualOverrideText&quot;:&quot;&quot;},&quot;citationTag&quot;:&quot;MENDELEY_CITATION_v3_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&quot;,&quot;citationItems&quot;:[{&quot;id&quot;:&quot;12ab657c-49c9-38c7-9929-660583c81de0&quot;,&quot;itemData&quot;:{&quot;type&quot;:&quot;article-journal&quot;,&quot;id&quot;:&quot;12ab657c-49c9-38c7-9929-660583c81de0&quot;,&quot;title&quot;:&quot;Shulan Estimation Model: A New Formula for Estimation of Standard Liver Volume In Chinese Adults&quot;,&quot;author&quot;:[{&quot;family&quot;:&quot;Lin&quot;,&quot;given&quot;:&quot;Xin&quot;,&quot;parse-names&quot;:false,&quot;dropping-particle&quot;:&quot;&quot;,&quot;non-dropping-particle&quot;:&quot;&quot;},{&quot;family&quot;:&quot;Xiao&quot;,&quot;given&quot;:&quot;Min&quot;,&quot;parse-names&quot;:false,&quot;dropping-particle&quot;:&quot;&quot;,&quot;non-dropping-particle&quot;:&quot;&quot;},{&quot;family&quot;:&quot;Gu&quot;,&quot;given&quot;:&quot;Yangjun&quot;,&quot;parse-names&quot;:false,&quot;dropping-particle&quot;:&quot;&quot;,&quot;non-dropping-particle&quot;:&quot;&quot;},{&quot;family&quot;:&quot;Zhu&quot;,&quot;given&quot;:&quot;Hengkai&quot;,&quot;parse-names&quot;:false,&quot;dropping-particle&quot;:&quot;&quot;,&quot;non-dropping-particle&quot;:&quot;&quot;},{&quot;family&quot;:&quot;Zhuang&quot;,&quot;given&quot;:&quot;Li&quot;,&quot;parse-names&quot;:false,&quot;dropping-particle&quot;:&quot;&quot;,&quot;non-dropping-particle&quot;:&quot;&quot;},{&quot;family&quot;:&quot;Lu&quot;,&quot;given&quot;:&quot;Jianfang&quot;,&quot;parse-names&quot;:false,&quot;dropping-particle&quot;:&quot;&quot;,&quot;non-dropping-particle&quot;:&quot;&quot;},{&quot;family&quot;:&quot;Zheng&quot;,&quot;given&quot;:&quot;Shusen&quot;,&quot;parse-names&quot;:false,&quot;dropping-particle&quot;:&quot;&quot;,&quot;non-dropping-particle&quot;:&quot;&quot;},{&quot;family&quot;:&quot;Li&quot;,&quot;given&quot;:&quot;Qiyong&quot;,&quot;parse-names&quot;:false,&quot;dropping-particle&quot;:&quot;&quot;,&quot;non-dropping-particle&quot;:&quot;&quot;}],&quot;container-title&quot;:&quot;Transplantation Proceedings&quot;,&quot;container-title-short&quot;:&quot;Transplant Proc&quot;,&quot;accessed&quot;:{&quot;date-parts&quot;:[[2024,10,8]]},&quot;DOI&quot;:&quot;10.1016/J.TRANSPROCEED.2022.08.005&quot;,&quot;ISSN&quot;:&quot;0041-1345&quot;,&quot;PMID&quot;:&quot;36114045&quot;,&quot;issued&quot;:{&quot;date-parts&quot;:[[2022,10,1]]},&quot;page&quot;:&quot;2236-2242&quot;,&quot;abstract&quot;:&quot;Background: To establish a new and accurate model for standard liver volume (SLV) estimation and graft size prediction in liver transplantation for Chinese adults. Methods: In this study, the data of morphologic indices and liver volume (LV) were retrospectively obtained on 507 cadaveric liver transplantation donors between June 2017 and September 2020 in Shulan (Hangzhou) Hospital. Linear regression analysis was performed to evaluate the impact of each parameter and develop a new SLV formula. The new formula was then validated prospectively on 97 donors between October 2020 and June 2021, and the prediction accuracy was compared with previous formulas. Results: The average LV in all subjects was 1445.68 ± 309.94 mL. Body weight (BW) showing the strongest correlation (r = 0.453, P &lt; .001). By stepwise multiple linear regression analysis, BW and age were the only 2 independent correlation factors for LV. Shulan estimation model derived: SLV (mL) = 13.266 × BW (kg) – 4.693 × age + 797.16 (R2 = 0.236, P &lt; .001). In the validation cohort, our new model achieved no significant differences between the estimated SLV and the actual LV (P &gt;. 05), and showed the lowest mean percentage error of 0.33%. The proportions of estimated SLV within the actual LV ± 20%, ± 15%, and ± 10% percentage errors were 69.1%, 55.7%, and 40.2%, respectively. Discussion: The Shulan SLV estimation model predicted LV more accurately than previous formulas on Chinese adults, which could serve as a simple screening tool during the initial assessment of graft volume for potential donors.&quot;,&quot;publisher&quot;:&quot;Elsevier&quot;,&quot;issue&quot;:&quot;8&quot;,&quot;volume&quot;:&quot;54&quot;},&quot;isTemporary&quot;:false}]},{&quot;citationID&quot;:&quot;MENDELEY_CITATION_445e0127-d91c-4c00-94b1-06d60e77c948&quot;,&quot;properties&quot;:{&quot;noteIndex&quot;:0},&quot;isEdited&quot;:false,&quot;manualOverride&quot;:{&quot;isManuallyOverridden&quot;:false,&quot;citeprocText&quot;:&quot;[36]&quot;,&quot;manualOverrideText&quot;:&quot;&quot;},&quot;citationTag&quot;:&quot;MENDELEY_CITATION_v3_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&quot;,&quot;citationItems&quot;:[{&quot;id&quot;:&quot;1d7f2356-2f2e-397a-b5db-8f91eda985a7&quot;,&quot;itemData&quot;:{&quot;type&quot;:&quot;article-journal&quot;,&quot;id&quot;:&quot;1d7f2356-2f2e-397a-b5db-8f91eda985a7&quot;,&quot;title&quot;:&quot;Estimation of liver volume in the western Indian population&quot;,&quot;author&quot;:[{&quot;family&quot;:&quot;Chaubal&quot;,&quot;given&quot;:&quot;Gaurav&quot;,&quot;parse-names&quot;:false,&quot;dropping-particle&quot;:&quot;&quot;,&quot;non-dropping-particle&quot;:&quot;&quot;},{&quot;family&quot;:&quot;Borkar&quot;,&quot;given&quot;:&quot;Vibhor&quot;,&quot;parse-names&quot;:false,&quot;dropping-particle&quot;:&quot;V.&quot;,&quot;non-dropping-particle&quot;:&quot;&quot;},{&quot;family&quot;:&quot;Shetty&quot;,&quot;given&quot;:&quot;Guruprasad&quot;,&quot;parse-names&quot;:false,&quot;dropping-particle&quot;:&quot;&quot;,&quot;non-dropping-particle&quot;:&quot;&quot;},{&quot;family&quot;:&quot;Chattopadhyay&quot;,&quot;given&quot;:&quot;Somnath&quot;,&quot;parse-names&quot;:false,&quot;dropping-particle&quot;:&quot;&quot;,&quot;non-dropping-particle&quot;:&quot;&quot;},{&quot;family&quot;:&quot;Bahure&quot;,&quot;given&quot;:&quot;Upasna&quot;,&quot;parse-names&quot;:false,&quot;dropping-particle&quot;:&quot;&quot;,&quot;non-dropping-particle&quot;:&quot;&quot;},{&quot;family&quot;:&quot;Badhe&quot;,&quot;given&quot;:&quot;Rashmi&quot;,&quot;parse-names&quot;:false,&quot;dropping-particle&quot;:&quot;&quot;,&quot;non-dropping-particle&quot;:&quot;&quot;},{&quot;family&quot;:&quot;Udare&quot;,&quot;given&quot;:&quot;Ashlesha&quot;,&quot;parse-names&quot;:false,&quot;dropping-particle&quot;:&quot;&quot;,&quot;non-dropping-particle&quot;:&quot;&quot;},{&quot;family&quot;:&quot;Shah&quot;,&quot;given&quot;:&quot;Samir&quot;,&quot;parse-names&quot;:false,&quot;dropping-particle&quot;:&quot;&quot;,&quot;non-dropping-particle&quot;:&quot;&quot;},{&quot;family&quot;:&quot;Gupte&quot;,&quot;given&quot;:&quot;Parijat&quot;,&quot;parse-names&quot;:false,&quot;dropping-particle&quot;:&quot;&quot;,&quot;non-dropping-particle&quot;:&quot;&quot;},{&quot;family&quot;:&quot;Shukla&quot;,&quot;given&quot;:&quot;Akash&quot;,&quot;parse-names&quot;:false,&quot;dropping-particle&quot;:&quot;&quot;,&quot;non-dropping-particle&quot;:&quot;&quot;},{&quot;family&quot;:&quot;Rela&quot;,&quot;given&quot;:&quot;Mohammed&quot;,&quot;parse-names&quot;:false,&quot;dropping-particle&quot;:&quot;&quot;,&quot;non-dropping-particle&quot;:&quot;&quot;},{&quot;family&quot;:&quot;Mohanka&quot;,&quot;given&quot;:&quot;Ravi&quot;,&quot;parse-names&quot;:false,&quot;dropping-particle&quot;:&quot;&quot;,&quot;non-dropping-particle&quot;:&quot;&quot;}],&quot;container-title&quot;:&quot;Indian journal of gastroenterology : official journal of the Indian Society of Gastroenterology&quot;,&quot;container-title-short&quot;:&quot;Indian J Gastroenterol&quot;,&quot;accessed&quot;:{&quot;date-parts&quot;:[[2022,12,20]]},&quot;DOI&quot;:&quot;10.1007/S12664-016-0662-Z&quot;,&quot;ISSN&quot;:&quot;0975-0711&quot;,&quot;PMID&quot;:&quot;27316699&quot;,&quot;URL&quot;:&quot;https://pubmed.ncbi.nlm.nih.gov/27316699/&quot;,&quot;issued&quot;:{&quot;date-parts&quot;:[[2016,7,1]]},&quot;page&quot;:&quot;274-279&quot;,&quot;abstract&quot;:&quot;Background: A number of formulae to estimate standard liver volume (SLV) exist. However, studies have shown that only certain formulae are applicable to a particular patient population, whereas the other formulae have not been accurate in estimating the SLV. Aim of this study was to assess which formula is most accurate in estimating SLV in the western Indian population. Methods: Data for donors of living donor liver transplantation from September 2014 to July 2015 was analyzed. Liver volumes were measured using computed tomography volumetry (CTV). SLV was calculated using formulae by the currently existing formulae. The mean SLV and CTV, percentage error in the SLV, and the correlation between SLV and CTV were calculated. Results: Fifty-nine healthy subjects underwent donor hepatectomy [28 (47.5 %) males]. The mean age, mean body mass index (BMI), and mean body surface area (BSA) were 31.8 ± 8.8 years, 23.8 ± 3.7 kg/m2, and 1.6 ± 0.4, respectively. Mean CTV was 1178 ± 246.8 mL. Difference between mean SLV and mean CTV ranged from −133.5 (±189) mL to 632.2 (±190.2) mL. Mean SLV was significantly different from CTV by all the formulae except Urata. Percentage of population whose SLV was within 15 % of the mean CTV ranged from 1.7 % to 67.8 %, with the highest percentage obtained by using Fu-Gui’s formula. However, there was wide inter-individual variation on scatter plots between SLV and CTV by both these formulae. Conclusion: Currently existing formulae were not accurate in estimating SLV in our population.&quot;,&quot;publisher&quot;:&quot;Indian J Gastroenterol&quot;,&quot;issue&quot;:&quot;4&quot;,&quot;volume&quot;:&quot;35&quot;},&quot;isTemporary&quot;:false}]},{&quot;citationID&quot;:&quot;MENDELEY_CITATION_0e775cbd-7f73-4971-9855-fbe7548b85fe&quot;,&quot;properties&quot;:{&quot;noteIndex&quot;:0},&quot;isEdited&quot;:false,&quot;manualOverride&quot;:{&quot;isManuallyOverridden&quot;:false,&quot;citeprocText&quot;:&quot;[35]&quot;,&quot;manualOverrideText&quot;:&quot;&quot;},&quot;citationTag&quot;:&quot;MENDELEY_CITATION_v3_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&quot;,&quot;citationItems&quot;:[{&quot;id&quot;:&quot;12ab657c-49c9-38c7-9929-660583c81de0&quot;,&quot;itemData&quot;:{&quot;type&quot;:&quot;article-journal&quot;,&quot;id&quot;:&quot;12ab657c-49c9-38c7-9929-660583c81de0&quot;,&quot;title&quot;:&quot;Shulan Estimation Model: A New Formula for Estimation of Standard Liver Volume In Chinese Adults&quot;,&quot;author&quot;:[{&quot;family&quot;:&quot;Lin&quot;,&quot;given&quot;:&quot;Xin&quot;,&quot;parse-names&quot;:false,&quot;dropping-particle&quot;:&quot;&quot;,&quot;non-dropping-particle&quot;:&quot;&quot;},{&quot;family&quot;:&quot;Xiao&quot;,&quot;given&quot;:&quot;Min&quot;,&quot;parse-names&quot;:false,&quot;dropping-particle&quot;:&quot;&quot;,&quot;non-dropping-particle&quot;:&quot;&quot;},{&quot;family&quot;:&quot;Gu&quot;,&quot;given&quot;:&quot;Yangjun&quot;,&quot;parse-names&quot;:false,&quot;dropping-particle&quot;:&quot;&quot;,&quot;non-dropping-particle&quot;:&quot;&quot;},{&quot;family&quot;:&quot;Zhu&quot;,&quot;given&quot;:&quot;Hengkai&quot;,&quot;parse-names&quot;:false,&quot;dropping-particle&quot;:&quot;&quot;,&quot;non-dropping-particle&quot;:&quot;&quot;},{&quot;family&quot;:&quot;Zhuang&quot;,&quot;given&quot;:&quot;Li&quot;,&quot;parse-names&quot;:false,&quot;dropping-particle&quot;:&quot;&quot;,&quot;non-dropping-particle&quot;:&quot;&quot;},{&quot;family&quot;:&quot;Lu&quot;,&quot;given&quot;:&quot;Jianfang&quot;,&quot;parse-names&quot;:false,&quot;dropping-particle&quot;:&quot;&quot;,&quot;non-dropping-particle&quot;:&quot;&quot;},{&quot;family&quot;:&quot;Zheng&quot;,&quot;given&quot;:&quot;Shusen&quot;,&quot;parse-names&quot;:false,&quot;dropping-particle&quot;:&quot;&quot;,&quot;non-dropping-particle&quot;:&quot;&quot;},{&quot;family&quot;:&quot;Li&quot;,&quot;given&quot;:&quot;Qiyong&quot;,&quot;parse-names&quot;:false,&quot;dropping-particle&quot;:&quot;&quot;,&quot;non-dropping-particle&quot;:&quot;&quot;}],&quot;container-title&quot;:&quot;Transplantation Proceedings&quot;,&quot;container-title-short&quot;:&quot;Transplant Proc&quot;,&quot;accessed&quot;:{&quot;date-parts&quot;:[[2024,10,8]]},&quot;DOI&quot;:&quot;10.1016/J.TRANSPROCEED.2022.08.005&quot;,&quot;ISSN&quot;:&quot;0041-1345&quot;,&quot;PMID&quot;:&quot;36114045&quot;,&quot;issued&quot;:{&quot;date-parts&quot;:[[2022,10,1]]},&quot;page&quot;:&quot;2236-2242&quot;,&quot;abstract&quot;:&quot;Background: To establish a new and accurate model for standard liver volume (SLV) estimation and graft size prediction in liver transplantation for Chinese adults. Methods: In this study, the data of morphologic indices and liver volume (LV) were retrospectively obtained on 507 cadaveric liver transplantation donors between June 2017 and September 2020 in Shulan (Hangzhou) Hospital. Linear regression analysis was performed to evaluate the impact of each parameter and develop a new SLV formula. The new formula was then validated prospectively on 97 donors between October 2020 and June 2021, and the prediction accuracy was compared with previous formulas. Results: The average LV in all subjects was 1445.68 ± 309.94 mL. Body weight (BW) showing the strongest correlation (r = 0.453, P &lt; .001). By stepwise multiple linear regression analysis, BW and age were the only 2 independent correlation factors for LV. Shulan estimation model derived: SLV (mL) = 13.266 × BW (kg) – 4.693 × age + 797.16 (R2 = 0.236, P &lt; .001). In the validation cohort, our new model achieved no significant differences between the estimated SLV and the actual LV (P &gt;. 05), and showed the lowest mean percentage error of 0.33%. The proportions of estimated SLV within the actual LV ± 20%, ± 15%, and ± 10% percentage errors were 69.1%, 55.7%, and 40.2%, respectively. Discussion: The Shulan SLV estimation model predicted LV more accurately than previous formulas on Chinese adults, which could serve as a simple screening tool during the initial assessment of graft volume for potential donors.&quot;,&quot;publisher&quot;:&quot;Elsevier&quot;,&quot;issue&quot;:&quot;8&quot;,&quot;volume&quot;:&quot;54&quot;},&quot;isTemporary&quot;:false}]},{&quot;citationID&quot;:&quot;MENDELEY_CITATION_8eb388cc-1070-4831-ae93-3a27c6094e65&quot;,&quot;properties&quot;:{&quot;noteIndex&quot;:0},&quot;isEdited&quot;:false,&quot;manualOverride&quot;:{&quot;isManuallyOverridden&quot;:false,&quot;citeprocText&quot;:&quot;[37]&quot;,&quot;manualOverrideText&quot;:&quot;&quot;},&quot;citationTag&quot;:&quot;MENDELEY_CITATION_v3_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&quot;,&quot;citationItems&quot;:[{&quot;id&quot;:&quot;3258a3a8-213c-3e34-a947-5c96f84a7774&quot;,&quot;itemData&quot;:{&quot;type&quot;:&quot;article-journal&quot;,&quot;id&quot;:&quot;3258a3a8-213c-3e34-a947-5c96f84a7774&quot;,&quot;title&quot;:&quot;A new formula for estimation of standard liver volume using computed tomography–measured body thickness&quot;,&quot;author&quot;:[{&quot;family&quot;:&quot;Ma&quot;,&quot;given&quot;:&quot;Ka Wing&quot;,&quot;parse-names&quot;:false,&quot;dropping-particle&quot;:&quot;&quot;,&quot;non-dropping-particle&quot;:&quot;&quot;},{&quot;family&quot;:&quot;Chok&quot;,&quot;given&quot;:&quot;Kenneth S.H.&quot;,&quot;parse-names&quot;:false,&quot;dropping-particle&quot;:&quot;&quot;,&quot;non-dropping-particle&quot;:&quot;&quot;},{&quot;family&quot;:&quot;Chan&quot;,&quot;given&quot;:&quot;Albert C.Y.&quot;,&quot;parse-names&quot;:false,&quot;dropping-particle&quot;:&quot;&quot;,&quot;non-dropping-particle&quot;:&quot;&quot;},{&quot;family&quot;:&quot;Tam&quot;,&quot;given&quot;:&quot;Henry S.C.&quot;,&quot;parse-names&quot;:false,&quot;dropping-particle&quot;:&quot;&quot;,&quot;non-dropping-particle&quot;:&quot;&quot;},{&quot;family&quot;:&quot;Dai&quot;,&quot;given&quot;:&quot;Wing Chiu&quot;,&quot;parse-names&quot;:false,&quot;dropping-particle&quot;:&quot;&quot;,&quot;non-dropping-particle&quot;:&quot;&quot;},{&quot;family&quot;:&quot;Cheung&quot;,&quot;given&quot;:&quot;Tan To&quot;,&quot;parse-names&quot;:false,&quot;dropping-particle&quot;:&quot;&quot;,&quot;non-dropping-particle&quot;:&quot;&quot;},{&quot;family&quot;:&quot;Fung&quot;,&quot;given&quot;:&quot;James Y.Y.&quot;,&quot;parse-names&quot;:false,&quot;dropping-particle&quot;:&quot;&quot;,&quot;non-dropping-particle&quot;:&quot;&quot;},{&quot;family&quot;:&quot;Lo&quot;,&quot;given&quot;:&quot;Chung Mau&quot;,&quot;parse-names&quot;:false,&quot;dropping-particle&quot;:&quot;&quot;,&quot;non-dropping-particle&quot;:&quot;&quot;}],&quot;container-title&quot;:&quot;Liver Transplantation&quot;,&quot;accessed&quot;:{&quot;date-parts&quot;:[[2022,12,20]]},&quot;DOI&quot;:&quot;10.1002/LT.24807&quot;,&quot;ISSN&quot;:&quot;1527-6473&quot;,&quot;PMID&quot;:&quot;28650089&quot;,&quot;URL&quot;:&quot;https://onlinelibrary.wiley.com/doi/full/10.1002/lt.24807&quot;,&quot;issued&quot;:{&quot;date-parts&quot;:[[2017,9,1]]},&quot;page&quot;:&quot;1113-1122&quot;,&quot;abstract&quot;:&quot;The objective of this article is to derive a more accurate and easy-to-use formula for finding estimated standard liver volume (ESLV) using novel computed tomography (CT) measurement parameters. New formulas for ESLV have been emerging that aim to improve the accuracy of estimation. However, many of these formulas contain body surface area measurements and logarithms in the equations that lead to a more complicated calculation. In addition, substantial errors in ESLV using these old formulas have been shown. An improved version of the formula for ESLV is needed. This is a retrospective cohort of consecutive living donor liver transplantations from 2005 to 2016. Donors were randomly assigned to either the formula derivation or validation groups. Total liver volume (TLV) measured by CT was used as the reference for a linear regression analysis against various patient factors. The derived formula was compared with the existing formulas. There were 722 patients (197 from the derivation group, 164 from the validation group, and 361 from the recipient group) involved in the study. The donor's body weight (odds ratio [OR], 10.42; 95% confidence interval [CI], 7.25-13.60; P &lt; 0.01) and body thickness (OR, 2.00; 95% CI, 0.36-3.65; P = 0.02) were found to be independent factors for the TLV calculation. A formula for TLV (cm3) was derived: 2 × thickness (mm) + 10 × weight (kg) + 190 with R2 0.48, which was the highest when compared with the 4 other most often cited formulas. This formula remained superior to other published formulas in the validation set analysis (R2, 5.37; interclass correlation coefficient, 0.74). Graft weight/ESLV values calculated by the new formula were shown to have the highest correlation with delayed graft function (C-statistic, 0.79; 95% CI, 0.69-0.90; P &lt; 0.01). The new formula (2 × thickness + 10 × weight + 190) represents the first study proposing the use of CT-measured body thickness which is novel, easy to use, and the most accurate for ESLV. Liver Transplantation 23 1113–1122 2017 AASLD.&quot;,&quot;publisher&quot;:&quot;John Wiley &amp; Sons, Ltd&quot;,&quot;issue&quot;:&quot;9&quot;,&quot;volume&quot;:&quot;23&quot;,&quot;container-title-short&quot;:&quot;&quot;},&quot;isTemporary&quot;:false}]},{&quot;citationID&quot;:&quot;MENDELEY_CITATION_267f4707-913a-402a-87e5-0f0999c8da01&quot;,&quot;properties&quot;:{&quot;noteIndex&quot;:0},&quot;isEdited&quot;:false,&quot;manualOverride&quot;:{&quot;isManuallyOverridden&quot;:false,&quot;citeprocText&quot;:&quot;[3]&quot;,&quot;manualOverrideText&quot;:&quot;&quot;},&quot;citationTag&quot;:&quot;MENDELEY_CITATION_v3_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&quot;,&quot;citationItems&quot;:[{&quot;id&quot;:&quot;7508b3ba-3370-38ab-9a38-5832d1b47725&quot;,&quot;itemData&quot;:{&quot;type&quot;:&quot;article-journal&quot;,&quot;id&quot;:&quot;7508b3ba-3370-38ab-9a38-5832d1b47725&quot;,&quot;title&quot;:&quot;Innovative formulae for the estimation of standard liver volume in the era of widespread imaging analysis software&quot;,&quot;author&quot;:[{&quot;family&quot;:&quot;Yasukawa&quot;,&quot;given&quot;:&quot;Koya&quot;,&quot;parse-names&quot;:false,&quot;dropping-particle&quot;:&quot;&quot;,&quot;non-dropping-particle&quot;:&quot;&quot;},{&quot;family&quot;:&quot;Shimizu&quot;,&quot;given&quot;:&quot;Akira&quot;,&quot;parse-names&quot;:false,&quot;dropping-particle&quot;:&quot;&quot;,&quot;non-dropping-particle&quot;:&quot;&quot;},{&quot;family&quot;:&quot;Ikegami&quot;,&quot;given&quot;:&quot;Toshihiko&quot;,&quot;parse-names&quot;:false,&quot;dropping-particle&quot;:&quot;&quot;,&quot;non-dropping-particle&quot;:&quot;&quot;},{&quot;family&quot;:&quot;Mita&quot;,&quot;given&quot;:&quot;Atsuyoshi&quot;,&quot;parse-names&quot;:false,&quot;dropping-particle&quot;:&quot;&quot;,&quot;non-dropping-particle&quot;:&quot;&quot;},{&quot;family&quot;:&quot;Ohno&quot;,&quot;given&quot;:&quot;Yasunari&quot;,&quot;parse-names&quot;:false,&quot;dropping-particle&quot;:&quot;&quot;,&quot;non-dropping-particle&quot;:&quot;&quot;},{&quot;family&quot;:&quot;Masuda&quot;,&quot;given&quot;:&quot;Yuichi&quot;,&quot;parse-names&quot;:false,&quot;dropping-particle&quot;:&quot;&quot;,&quot;non-dropping-particle&quot;:&quot;&quot;},{&quot;family&quot;:&quot;Soejima&quot;,&quot;given&quot;:&quot;Yuji&quot;,&quot;parse-names&quot;:false,&quot;dropping-particle&quot;:&quot;&quot;,&quot;non-dropping-particle&quot;:&quot;&quot;}],&quot;container-title&quot;:&quot;Clinical Transplantation&quot;,&quot;container-title-short&quot;:&quot;Clin Transplant&quot;,&quot;accessed&quot;:{&quot;date-parts&quot;:[[2024,5,4]]},&quot;DOI&quot;:&quot;10.1111/CTR.14976&quot;,&quot;ISSN&quot;:&quot;13990012&quot;,&quot;PMID&quot;:&quot;36950858&quot;,&quot;issued&quot;:{&quot;date-parts&quot;:[[2023,6,1]]},&quot;abstract&quot;:&quot;Background: Various formulae have been used for the estimation of standard liver volume (SLV) in preparation for living donor liver transplantation (LDLT). However, these formulae have the disadvantage of being constructed using parameters that are substantially affected by the patient's condition. Here, we aimed to establish more precise formulae that are less affected by the general condition of the patient. Methods: We analyzed the liver volumes of LDLT donors and patients with normal livers (total: n = 213) using the SYNAPSE VINCENT imaging analysis system, to develop new formulae. The accuracy of the new formulae were compared with those of existing formulae in a separate validation group of healthy patients (n = 200). The new formulae were also validated using 81 LDLT recipients to assess their utility for graft selection in LDLT. Results: Body surface area (BSA) and skeletal muscle mass index (SMI) independently affected total liver volume (TLV). We produced new formulae for SLV incorporating SMI: SLV = 32.2 × L3-SMI−466.9 for men, with R2.92, and 25.7 × L3-SMI−55.97 for women, with R2.79 (alongside a BSA formula with R2.57), which provided the most accurate predictions of TLV in the validation group. A graft volume (GV)/SLV &lt;.35, calculated using the new formulae, predicted the postoperative prognosis, including the development of small-for-size syndrome, sepsis, or acute rejection, significantly more effectively than GV/SLV using the previous formulae. Conclusions: The newly developed L3-SMI-based formula is more accurate for the estimation of SLV than previously reported formulae, and may thus help to improve the safety of LDLT.&quot;,&quot;publisher&quot;:&quot;John Wiley and Sons Inc&quot;,&quot;issue&quot;:&quot;6&quot;,&quot;volume&quot;:&quot;37&quot;},&quot;isTemporary&quot;:false}]},{&quot;citationID&quot;:&quot;MENDELEY_CITATION_0df2fdab-f6b8-43de-b764-637b51d5e184&quot;,&quot;properties&quot;:{&quot;noteIndex&quot;:0},&quot;isEdited&quot;:false,&quot;manualOverride&quot;:{&quot;isManuallyOverridden&quot;:false,&quot;citeprocText&quot;:&quot;[38]&quot;,&quot;manualOverrideText&quot;:&quot;&quot;},&quot;citationTag&quot;:&quot;MENDELEY_CITATION_v3_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&quot;,&quot;citationItems&quot;:[{&quot;id&quot;:&quot;dc707ef2-03d0-3e3d-9bec-abb0bb52ee70&quot;,&quot;itemData&quot;:{&quot;type&quot;:&quot;article-journal&quot;,&quot;id&quot;:&quot;dc707ef2-03d0-3e3d-9bec-abb0bb52ee70&quot;,&quot;title&quot;:&quot;Preoperative estimation of hemi-liver volume using standard liver volume and portal vein diameter ratio in living donor liver transplantation&quot;,&quot;author&quot;:[{&quot;family&quot;:&quot;Kim&quot;,&quot;given&quot;:&quot;Sung Min&quot;,&quot;parse-names&quot;:false,&quot;dropping-particle&quot;:&quot;&quot;,&quot;non-dropping-particle&quot;:&quot;&quot;},{&quot;family&quot;:&quot;Ageel&quot;,&quot;given&quot;:&quot;Amro Hasan&quot;,&quot;parse-names&quot;:false,&quot;dropping-particle&quot;:&quot;&quot;,&quot;non-dropping-particle&quot;:&quot;&quot;},{&quot;family&quot;:&quot;Hwang&quot;,&quot;given&quot;:&quot;Shin&quot;,&quot;parse-names&quot;:false,&quot;dropping-particle&quot;:&quot;&quot;,&quot;non-dropping-particle&quot;:&quot;&quot;},{&quot;family&quot;:&quot;Jung&quot;,&quot;given&quot;:&quot;Dong Hwan&quot;,&quot;parse-names&quot;:false,&quot;dropping-particle&quot;:&quot;&quot;,&quot;non-dropping-particle&quot;:&quot;&quot;},{&quot;family&quot;:&quot;Ha&quot;,&quot;given&quot;:&quot;Tae Yong&quot;,&quot;parse-names&quot;:false,&quot;dropping-particle&quot;:&quot;&quot;,&quot;non-dropping-particle&quot;:&quot;&quot;},{&quot;family&quot;:&quot;Song&quot;,&quot;given&quot;:&quot;Gi Won&quot;,&quot;parse-names&quot;:false,&quot;dropping-particle&quot;:&quot;&quot;,&quot;non-dropping-particle&quot;:&quot;&quot;},{&quot;family&quot;:&quot;Park&quot;,&quot;given&quot;:&quot;Gil Chun&quot;,&quot;parse-names&quot;:false,&quot;dropping-particle&quot;:&quot;&quot;,&quot;non-dropping-particle&quot;:&quot;&quot;},{&quot;family&quot;:&quot;Ahn&quot;,&quot;given&quot;:&quot;Chul Soo&quot;,&quot;parse-names&quot;:false,&quot;dropping-particle&quot;:&quot;&quot;,&quot;non-dropping-particle&quot;:&quot;&quot;},{&quot;family&quot;:&quot;Moon&quot;,&quot;given&quot;:&quot;Deok Bog&quot;,&quot;parse-names&quot;:false,&quot;dropping-particle&quot;:&quot;&quot;,&quot;non-dropping-particle&quot;:&quot;&quot;}],&quot;container-title&quot;:&quot;Annals of hepato-biliary-pancreatic surgery&quot;,&quot;container-title-short&quot;:&quot;Ann Hepatobiliary Pancreat Surg&quot;,&quot;accessed&quot;:{&quot;date-parts&quot;:[[2023,10,29]]},&quot;DOI&quot;:&quot;10.14701/AHBPS.22-030&quot;,&quot;ISSN&quot;:&quot;2508-5859&quot;,&quot;PMID&quot;:&quot;35999792&quot;,&quot;URL&quot;:&quot;https://pubmed.ncbi.nlm.nih.gov/35999792/&quot;,&quot;issued&quot;:{&quot;date-parts&quot;:[[2022,11,1]]},&quot;page&quot;:&quot;308-312&quot;,&quot;abstract&quot;:&quot;Backgrounds/Aims: Although body surface area (BSA)-based standard liver volume (SLV) formulae have been used for living donor liver transplantation and hepatic resection, hemi-liver volume (HLV) is needed more frequently. HLV can be assessed using right or left portal vein diameter (RPVD or LPVD). The aim of this study was to validate the reliability of using portal vein diameter ratio (PVDR) for assessing HLV in living liver donors. Methods: This study included 92 living liver donors (59 males and 33 females) who underwent surgery between January 2020 and De-cember 2020. Computed tomography (CT) images were used for measurements. Results: Mean age of donors was 35.5 ± 7.2 years. CT volumetry-measured total liver volume (TLV), right HLV, left HLV, and percent-age of right HLV in TLV were 1,442.9 ± 314.2 mL, 931.5 ± 206.4 mL, 551.4 ± 126.5 mL, and 64.6% ± 3.6%, respectively. RPVD, LPVD, and main portal vein diameter were 12.2 ± 1.5 mm, 10.0 ± 1.3 mm, and 15.3 ± 1.7 mm, respectively (corresponding square values: 149.9 ± 36.9 mm2, 101.5 ± 25.2 mm2, and 237.2 ± 52.2 mm2, respectively). The sum of RPVD2 and LPVD2 was 251.1 ± 56.9 mm2 . BSA-based SLV was 1,279.5 ± 188.7 mL (error rate: 9.1% ± 14.4%). SLV formula-and PVDR-based right HLV was 760.0 ± 130.7 mL (error rate: 16.2% ± 13.3%). Conclusions: Combining BSA-based SLV and PVDR appears to be a simple method to predict right or left HLV in living donors or split liver transplantation.&quot;,&quot;publisher&quot;:&quot;Ann Hepatobiliary Pancreat Surg&quot;,&quot;issue&quot;:&quot;4&quot;,&quot;volume&quot;:&quot;26&quot;},&quot;isTemporary&quot;:false}]},{&quot;citationID&quot;:&quot;MENDELEY_CITATION_86ab3bc9-9d84-41cc-9b62-a38013208136&quot;,&quot;properties&quot;:{&quot;noteIndex&quot;:0},&quot;isEdited&quot;:false,&quot;manualOverride&quot;:{&quot;isManuallyOverridden&quot;:false,&quot;citeprocText&quot;:&quot;[39]&quot;,&quot;manualOverrideText&quot;:&quot;&quot;},&quot;citationTag&quot;:&quot;MENDELEY_CITATION_v3_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&quot;,&quot;citationItems&quot;:[{&quot;id&quot;:&quot;83fe236f-92b7-3d3d-b2bf-188c7819f3bf&quot;,&quot;itemData&quot;:{&quot;type&quot;:&quot;article-journal&quot;,&quot;id&quot;:&quot;83fe236f-92b7-3d3d-b2bf-188c7819f3bf&quot;,&quot;title&quot;:&quot;Relationship of the Presence of the Inferior Right Hepatic Vein with the Right Hepatic Vein Diameter and CT Liver Volumetry&quot;,&quot;author&quot;:[{&quot;family&quot;:&quot;Gündoğdu&quot;,&quot;given&quot;:&quot;Elif&quot;,&quot;parse-names&quot;:false,&quot;dropping-particle&quot;:&quot;&quot;,&quot;non-dropping-particle&quot;:&quot;&quot;}],&quot;container-title&quot;:&quot;J Radiol Imaging&quot;,&quot;DOI&quot;:&quot;10.1055/s-0043-1767784&quot;,&quot;URL&quot;:&quot;https://doi.org/&quot;,&quot;issued&quot;:{&quot;date-parts&quot;:[[2023]]},&quot;page&quot;:&quot;332-337&quot;,&quot;abstract&quot;:&quot;Introduction Hepatic veins are the main veins that provide the connection between the systemic and portal systems and perform venous drainage of the liver. The left, middle, and right hepatic veins (RHVs) are the main veins draining the liver (►Fig. 1). In addition, there are many small veins called accessory or short hepatic veins. 1 The numerical and Keywords ► CT liver volumetry ► deep learning-based automatic liver segmentation ► inferior right hepatic vein ► living donor liver transplantation Abstract Background Right hepatic venous anatomy, right lobe volume, and percentage of remnant liver are issues to be considered in preoperative planning especially transplantation. Objectives The aim of this study was to investigate the relationship of the presence of the inferior right hepatic vein (IRHV) with the right hepatic vein (RHV) diameter, right lobe volume, and percentage of remnant liver. Materials and Methods In this cross-sectional study, the computed tomography (CT) images of 90 patients who underwent triphasic CT for being living liver donation were evaluated retrospectively. The number and diameter of IRHVs and the diameter of main RHV were recorded. For the liver volume analysis, a deep learning-based automatic liver segmentation (Hepatic VCAR) program was used. A virtual hepatectomy plane was drawn, where the right and left liver volumes were found and the percentage of the left lobe to the total liver volume was calculated. Pearson's correlation analysis was used for correlation analysis and Student's t-test was used to compare parameters. Results A total of 74 IRHVs were detected in 53 (58.88%) of 90 patients. There were no differences in the percentage of remnant left lobe volume, right lobe volume, and RHV diameter between the IRHV (þ) and (À) groups. The RHV diameter had a weak negative correlation with the IRHV diameter, and a weak positive correlation with the right lobe volume. Conclusions The percentage of remnant left lobe volume, right lobe volume, and RHV diameter did not differ in liver donors with and without an IRHV. The RHV diameter had a weak negative correlation with the IRHV diameter and a weak positive correlation with the right lobe volume.&quot;,&quot;volume&quot;:&quot;33&quot;,&quot;container-title-short&quot;:&quot;&quot;},&quot;isTemporary&quot;:false}]},{&quot;citationID&quot;:&quot;MENDELEY_CITATION_849ef5f2-195a-4ef6-b37d-1310879ee19b&quot;,&quot;properties&quot;:{&quot;noteIndex&quot;:0},&quot;isEdited&quot;:false,&quot;manualOverride&quot;:{&quot;isManuallyOverridden&quot;:false,&quot;citeprocText&quot;:&quot;[9]&quot;,&quot;manualOverrideText&quot;:&quot;&quot;},&quot;citationTag&quot;:&quot;MENDELEY_CITATION_v3_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&quot;,&quot;citationItems&quot;:[{&quot;id&quot;:&quot;4a8eb4d4-6832-3346-957e-285790984524&quot;,&quot;itemData&quot;:{&quot;type&quot;:&quot;article-journal&quot;,&quot;id&quot;:&quot;4a8eb4d4-6832-3346-957e-285790984524&quot;,&quot;title&quot;:&quot;Semi-automated computed tomography Volumetry can predict hemihepatectomy specimens' volumes in patients with hepatic malignancy&quot;,&quot;author&quot;:[{&quot;family&quot;:&quot;Mayer&quot;,&quot;given&quot;:&quot;Philipp&quot;,&quot;parse-names&quot;:false,&quot;dropping-particle&quot;:&quot;&quot;,&quot;non-dropping-particle&quot;:&quot;&quot;},{&quot;family&quot;:&quot;Grözinger&quot;,&quot;given&quot;:&quot;Martin&quot;,&quot;parse-names&quot;:false,&quot;dropping-particle&quot;:&quot;&quot;,&quot;non-dropping-particle&quot;:&quot;&quot;},{&quot;family&quot;:&quot;Mokry&quot;,&quot;given&quot;:&quot;Theresa&quot;,&quot;parse-names&quot;:false,&quot;dropping-particle&quot;:&quot;&quot;,&quot;non-dropping-particle&quot;:&quot;&quot;},{&quot;family&quot;:&quot;Schemmer&quot;,&quot;given&quot;:&quot;Peter&quot;,&quot;parse-names&quot;:false,&quot;dropping-particle&quot;:&quot;&quot;,&quot;non-dropping-particle&quot;:&quot;&quot;},{&quot;family&quot;:&quot;Waldburger&quot;,&quot;given&quot;:&quot;Nina&quot;,&quot;parse-names&quot;:false,&quot;dropping-particle&quot;:&quot;&quot;,&quot;non-dropping-particle&quot;:&quot;&quot;},{&quot;family&quot;:&quot;Kauczor&quot;,&quot;given&quot;:&quot;Hans-Ulrich&quot;,&quot;parse-names&quot;:false,&quot;dropping-particle&quot;:&quot;&quot;,&quot;non-dropping-particle&quot;:&quot;&quot;},{&quot;family&quot;:&quot;Klauss&quot;,&quot;given&quot;:&quot;Miriam&quot;,&quot;parse-names&quot;:false,&quot;dropping-particle&quot;:&quot;&quot;,&quot;non-dropping-particle&quot;:&quot;&quot;},{&quot;family&quot;:&quot;Sommer&quot;,&quot;given&quot;:&quot;Christof-Matthias&quot;,&quot;parse-names&quot;:false,&quot;dropping-particle&quot;:&quot;&quot;,&quot;non-dropping-particle&quot;:&quot;&quot;}],&quot;DOI&quot;:&quot;10.1186/s12880-019-0309&quot;,&quot;URL&quot;:&quot;https://doi.org/10.1186/s12880-019-0309-5&quot;,&quot;issued&quot;:{&quot;date-parts&quot;:[[2019]]},&quot;abstract&quot;:&quot;Background&quot;,&quot;container-title-short&quot;:&quot;&quot;},&quot;isTemporary&quot;:false}]},{&quot;citationID&quot;:&quot;MENDELEY_CITATION_dffe1fa4-4221-40ab-ac20-55fdce596d44&quot;,&quot;properties&quot;:{&quot;noteIndex&quot;:0},&quot;isEdited&quot;:false,&quot;manualOverride&quot;:{&quot;isManuallyOverridden&quot;:false,&quot;citeprocText&quot;:&quot;[40]&quot;,&quot;manualOverrideText&quot;:&quot;&quot;},&quot;citationTag&quot;:&quot;MENDELEY_CITATION_v3_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&quot;,&quot;citationItems&quot;:[{&quot;id&quot;:&quot;5871716d-137d-33ea-8252-7c1cf0b32d7a&quot;,&quot;itemData&quot;:{&quot;type&quot;:&quot;article-journal&quot;,&quot;id&quot;:&quot;5871716d-137d-33ea-8252-7c1cf0b32d7a&quot;,&quot;title&quot;:&quot;Preoperative assessment of postoperative liver function: The importance of residual liver volume&quot;,&quot;author&quot;:[{&quot;family&quot;:&quot;Pulitano&quot;,&quot;given&quot;:&quot;Carlo&quot;,&quot;parse-names&quot;:false,&quot;dropping-particle&quot;:&quot;&quot;,&quot;non-dropping-particle&quot;:&quot;&quot;},{&quot;family&quot;:&quot;Crawford&quot;,&quot;given&quot;:&quot;Michael&quot;,&quot;parse-names&quot;:false,&quot;dropping-particle&quot;:&quot;&quot;,&quot;non-dropping-particle&quot;:&quot;&quot;},{&quot;family&quot;:&quot;Joseph&quot;,&quot;given&quot;:&quot;David&quot;,&quot;parse-names&quot;:false,&quot;dropping-particle&quot;:&quot;&quot;,&quot;non-dropping-particle&quot;:&quot;&quot;},{&quot;family&quot;:&quot;Aldrighetti&quot;,&quot;given&quot;:&quot;Luca&quot;,&quot;parse-names&quot;:false,&quot;dropping-particle&quot;:&quot;&quot;,&quot;non-dropping-particle&quot;:&quot;&quot;},{&quot;family&quot;:&quot;Sandroussi&quot;,&quot;given&quot;:&quot;Charbel&quot;,&quot;parse-names&quot;:false,&quot;dropping-particle&quot;:&quot;&quot;,&quot;non-dropping-particle&quot;:&quot;&quot;}],&quot;container-title&quot;:&quot;Journal of Surgical Oncology&quot;,&quot;container-title-short&quot;:&quot;J Surg Oncol&quot;,&quot;accessed&quot;:{&quot;date-parts&quot;:[[2023,7,9]]},&quot;DOI&quot;:&quot;10.1002/JSO.23671&quot;,&quot;ISSN&quot;:&quot;1096-9098&quot;,&quot;PMID&quot;:&quot;24962104&quot;,&quot;URL&quot;:&quot;https://onlinelibrary.wiley.com/doi/full/10.1002/jso.23671&quot;,&quot;issued&quot;:{&quot;date-parts&quot;:[[2014,9,1]]},&quot;page&quot;:&quot;445-450&quot;,&quot;abstract&quot;:&quot;An inadequate volume of future liver remnant (FLR) remains an absolute contraindication to liver resection. FLR measurement correlates with surgical outcome and is fundamental to identify those patients that may benefit from portal vein embolization (PVE) and to assess the liver volume change following embolization. In order to minimize the risk of postoperative liver failure, preoperative analysis of FLR must be included in the surgical planning of every major liver resection. The aims of this review are to describe the use of preoperative volumetric analysis in modern liver surgery and indications for PVE. © 2014 Wiley Periodicals, Inc.&quot;,&quot;publisher&quot;:&quot;John Wiley &amp; Sons, Ltd&quot;,&quot;issue&quot;:&quot;4&quot;,&quot;volume&quot;:&quot;110&quot;},&quot;isTemporary&quot;:false}]},{&quot;citationID&quot;:&quot;MENDELEY_CITATION_39b965d1-f442-4c90-a38c-aac703b66fe4&quot;,&quot;properties&quot;:{&quot;noteIndex&quot;:0},&quot;isEdited&quot;:false,&quot;manualOverride&quot;:{&quot;isManuallyOverridden&quot;:false,&quot;citeprocText&quot;:&quot;[41]&quot;,&quot;manualOverrideText&quot;:&quot;&quot;},&quot;citationTag&quot;:&quot;MENDELEY_CITATION_v3_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&quot;,&quot;citationItems&quot;:[{&quot;id&quot;:&quot;00a452ce-d731-317d-a285-3fe517ac82e2&quot;,&quot;itemData&quot;:{&quot;type&quot;:&quot;article-journal&quot;,&quot;id&quot;:&quot;00a452ce-d731-317d-a285-3fe517ac82e2&quot;,&quot;title&quot;:&quot;CT and MR imaging evaluation of living liver donors&quot;,&quot;author&quot;:[{&quot;family&quot;:&quot;Vernuccio&quot;,&quot;given&quot;:&quot;Federica&quot;,&quot;parse-names&quot;:false,&quot;dropping-particle&quot;:&quot;&quot;,&quot;non-dropping-particle&quot;:&quot;&quot;},{&quot;family&quot;:&quot;Whitney&quot;,&quot;given&quot;:&quot;Susan A.&quot;,&quot;parse-names&quot;:false,&quot;dropping-particle&quot;:&quot;&quot;,&quot;non-dropping-particle&quot;:&quot;&quot;},{&quot;family&quot;:&quot;Ravindra&quot;,&quot;given&quot;:&quot;Kadiyala&quot;,&quot;parse-names&quot;:false,&quot;dropping-particle&quot;:&quot;&quot;,&quot;non-dropping-particle&quot;:&quot;&quot;},{&quot;family&quot;:&quot;Marin&quot;,&quot;given&quot;:&quot;Daniele&quot;,&quot;parse-names&quot;:false,&quot;dropping-particle&quot;:&quot;&quot;,&quot;non-dropping-particle&quot;:&quot;&quot;}],&quot;container-title&quot;:&quot;Abdominal Radiology&quot;,&quot;accessed&quot;:{&quot;date-parts&quot;:[[2024,2,3]]},&quot;DOI&quot;:&quot;10.1007/S00261-019-02385-6/METRICS&quot;,&quot;ISSN&quot;:&quot;23660058&quot;,&quot;PMID&quot;:&quot;31901101&quot;,&quot;URL&quot;:&quot;https://link.springer.com/article/10.1007/s00261-019-02385-6&quot;,&quot;issued&quot;:{&quot;date-parts&quot;:[[2021,1,1]]},&quot;page&quot;:&quot;17-28&quot;,&quot;abstract&quot;:&quot;Preoperative cross-sectional imaging evaluation of potential living liver donors allows to exclude donors with an increased risk for morbidity and mortality, and to assure that a suitable graft for the recipient can be obtained, minimizing the risk of complications in both the donor and the recipient. CT is routinely performed to delineate the anatomy of the liver, relevant vasculature, and liver volumes in whole right or left lateral segment donation. MR imaging is the gold standard for the assessment of biliary anatomy and allows a better quantification of hepatic steatosis compared to CT. Knowledge of normal and variant vascular and biliary anatomy and their surgical relevance for liver transplantation is of paramount importance for the radiologist. The purpose of this review is to outline the current role of CT and MR imaging in the assessment of hepatic parenchyma, hepatic vascular anatomy, biliary anatomy, and hepatic volumetry in the potential living liver donor with short notes on acquisition protocols and the relevant reportable findings.&quot;,&quot;publisher&quot;:&quot;Springer&quot;,&quot;issue&quot;:&quot;1&quot;,&quot;volume&quot;:&quot;46&quot;,&quot;container-title-short&quot;:&quot;&quot;},&quot;isTemporary&quot;:false}]},{&quot;citationID&quot;:&quot;MENDELEY_CITATION_27ae64d5-cbd9-4b83-b2e4-3fd7d04b3831&quot;,&quot;properties&quot;:{&quot;noteIndex&quot;:0},&quot;isEdited&quot;:false,&quot;manualOverride&quot;:{&quot;isManuallyOverridden&quot;:false,&quot;citeprocText&quot;:&quot;[42]&quot;,&quot;manualOverrideText&quot;:&quot;&quot;},&quot;citationTag&quot;:&quot;MENDELEY_CITATION_v3_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&quot;,&quot;citationItems&quot;:[{&quot;id&quot;:&quot;78e95eea-8aa7-3491-8231-03636e413f6a&quot;,&quot;itemData&quot;:{&quot;type&quot;:&quot;article-journal&quot;,&quot;id&quot;:&quot;78e95eea-8aa7-3491-8231-03636e413f6a&quot;,&quot;title&quot;:&quot;Comparison of MRI- and CT-based semiautomated liver segmentation: a validation study&quot;,&quot;author&quot;:[{&quot;family&quot;:&quot;Gotra&quot;,&quot;given&quot;:&quot;Akshat&quot;,&quot;parse-names&quot;:false,&quot;dropping-particle&quot;:&quot;&quot;,&quot;non-dropping-particle&quot;:&quot;&quot;},{&quot;family&quot;:&quot;Chartrand&quot;,&quot;given&quot;:&quot;Gabriel&quot;,&quot;parse-names&quot;:false,&quot;dropping-particle&quot;:&quot;&quot;,&quot;non-dropping-particle&quot;:&quot;&quot;},{&quot;family&quot;:&quot;Vu&quot;,&quot;given&quot;:&quot;Kim Nhien&quot;,&quot;parse-names&quot;:false,&quot;dropping-particle&quot;:&quot;&quot;,&quot;non-dropping-particle&quot;:&quot;&quot;},{&quot;family&quot;:&quot;Vandenbroucke-Menu&quot;,&quot;given&quot;:&quot;Franck&quot;,&quot;parse-names&quot;:false,&quot;dropping-particle&quot;:&quot;&quot;,&quot;non-dropping-particle&quot;:&quot;&quot;},{&quot;family&quot;:&quot;Massicotte-Tisluck&quot;,&quot;given&quot;:&quot;Karine&quot;,&quot;parse-names&quot;:false,&quot;dropping-particle&quot;:&quot;&quot;,&quot;non-dropping-particle&quot;:&quot;&quot;},{&quot;family&quot;:&quot;Guise&quot;,&quot;given&quot;:&quot;Jacques A.&quot;,&quot;parse-names&quot;:false,&quot;dropping-particle&quot;:&quot;&quot;,&quot;non-dropping-particle&quot;:&quot;de&quot;},{&quot;family&quot;:&quot;Tang&quot;,&quot;given&quot;:&quot;An&quot;,&quot;parse-names&quot;:false,&quot;dropping-particle&quot;:&quot;&quot;,&quot;non-dropping-particle&quot;:&quot;&quot;}],&quot;container-title&quot;:&quot;Abdominal radiology (New York)&quot;,&quot;container-title-short&quot;:&quot;Abdom Radiol (NY)&quot;,&quot;accessed&quot;:{&quot;date-parts&quot;:[[2023,7,24]]},&quot;DOI&quot;:&quot;10.1007/S00261-016-0912-7&quot;,&quot;ISSN&quot;:&quot;2366-0058&quot;,&quot;PMID&quot;:&quot;27680014&quot;,&quot;URL&quot;:&quot;https://pubmed.ncbi.nlm.nih.gov/27680014/&quot;,&quot;issued&quot;:{&quot;date-parts&quot;:[[2017,2,1]]},&quot;page&quot;:&quot;478-489&quot;,&quot;abstract&quot;:&quot;Purpose: To compare the repeatability, agreement, and efficiency of MRI- and CT-based semiautomated liver segmentation for the assessment of total and subsegmental liver volume. Methods: This retrospective study was conducted in 31 subjects who underwent contemporaneous liver MRI and CT. Total and subsegmental liver volumes were segmented from contrast-enhanced 3D gradient-recalled echo MRI sequences and CT images. Semiautomated segmentation was based on variational interpolation and Laplacian mesh optimization. All segmentations were repeated after 2 weeks. Manual segmentation of CT images using an active contour tool was used as the reference standard. Repeatability and agreement of the methods were evaluated with intra-class correlation coefficients (ICC) and Bland–Altman analysis. Total interaction time was recorded. Results: Intra-reader ICC were ≥0.987 for MRI and ≥0.995 for CT. Intra-reader repeatability was 30 ± 217 ml (bias ± 1.96 SD) (95% limits of agreement: −187 to 247 ml) for MRI and −10 ± 143 ml (−153 to 133 ml) for CT. Inter-method ICC between semiautomated and manual volumetry were ≥0.995 for MRI and ≥0.986 for CT. Inter-method segmental ICC varied between 0.584 and 0.865 for MRI and between 0.596 and 0.890 for CT. Inter-method agreement was –14 ± 136 ml (−150 to 122 ml) for MRI and 50 ± 226 ml (−176 to 276 ml) for CT. Inter-method segmental agreement ranged from 10 ± 47 ml (−37 to 57 ml) to 2 ± 214 ml (−212 to 216 ml) for MRI and 9 ± 45 ml (−36 to 54 ml) to −46 ± 183 ml (−229 to 137 ml) for CT. Interaction time (mean ± SD) was significantly shorter for MRI-based semiautomated segmentation (7.2 ± 0.1 min, p &lt; 0.001) and for CT-based semiautomated segmentation (6.5 ± 0.2 min, p &lt; 0.001) than for CT-based manual segmentation (14.5 ± 0.4 min). Conclusion: MRI-based semiautomated segmentation provides similar repeatability and agreement to CT-based segmentation for total liver volume.&quot;,&quot;publisher&quot;:&quot;Abdom Radiol (NY)&quot;,&quot;issue&quot;:&quot;2&quot;,&quot;volume&quot;:&quot;42&quot;},&quot;isTemporary&quot;:false}]},{&quot;citationID&quot;:&quot;MENDELEY_CITATION_6ff8a368-cffd-4d95-8ddc-81771ab865e9&quot;,&quot;properties&quot;:{&quot;noteIndex&quot;:0},&quot;isEdited&quot;:false,&quot;manualOverride&quot;:{&quot;isManuallyOverridden&quot;:false,&quot;citeprocText&quot;:&quot;[17]&quot;,&quot;manualOverrideText&quot;:&quot;&quot;},&quot;citationTag&quot;:&quot;MENDELEY_CITATION_v3_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&quot;,&quot;citationItems&quot;:[{&quot;id&quot;:&quot;5e02bf03-2bcb-3dc9-895e-eac66c0acf56&quot;,&quot;itemData&quot;:{&quot;type&quot;:&quot;article-journal&quot;,&quot;id&quot;:&quot;5e02bf03-2bcb-3dc9-895e-eac66c0acf56&quot;,&quot;title&quot;:&quot;ИЗМЕРЕНИЕ ОБЪЕМА ПЕЧЕНИ\nС ПОМОЩЬЮ ВИЗУАЛИЗАЦИОННЫХ МЕТОДОВ РАЗЛИЧНОЙ МОДАЛЬНОСТИ&quot;,&quot;author&quot;:[{&quot;family&quot;:&quot;Изранов В. А.&quot;,&quot;given&quot;:&quot;Казанцева Н. В., Белецкая М. А.&quot;,&quot;parse-names&quot;:false,&quot;dropping-particle&quot;:&quot;&quot;,&quot;non-dropping-particle&quot;:&quot;&quot;}],&quot;container-title&quot;:&quot;Вестник Балтийского федерального университета им. И. Канта. Сер.: Естественные и медицинские науки. &quot;,&quot;issued&quot;:{&quot;date-parts&quot;:[[2017]]},&quot;page&quot;:&quot;52-64&quot;,&quot;volume&quot;:&quot;2&quot;,&quot;container-title-short&quot;:&quot;&quot;},&quot;isTemporary&quot;:false}]},{&quot;citationID&quot;:&quot;MENDELEY_CITATION_80419931-9f63-41fe-9a44-15dc5c241b32&quot;,&quot;properties&quot;:{&quot;noteIndex&quot;:0},&quot;isEdited&quot;:false,&quot;manualOverride&quot;:{&quot;isManuallyOverridden&quot;:false,&quot;citeprocText&quot;:&quot;[43,44]&quot;,&quot;manualOverrideText&quot;:&quot;&quot;},&quot;citationTag&quot;:&quot;MENDELEY_CITATION_v3_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&quot;,&quot;citationItems&quot;:[{&quot;id&quot;:&quot;80c8e96f-47ff-3097-9749-97dce1b220c4&quot;,&quot;itemData&quot;:{&quot;type&quot;:&quot;article-journal&quot;,&quot;id&quot;:&quot;80c8e96f-47ff-3097-9749-97dce1b220c4&quot;,&quot;title&quot;:&quot;Impact of Hepatic Artery Variations and Reconstructions on the Outcome of Orthotopic Liver Transplantation&quot;,&quot;author&quot;:[{&quot;family&quot;:&quot;Karakoyun&quot;,&quot;given&quot;:&quot;Rojbin&quot;,&quot;parse-names&quot;:false,&quot;dropping-particle&quot;:&quot;&quot;,&quot;non-dropping-particle&quot;:&quot;&quot;},{&quot;family&quot;:&quot;Romano&quot;,&quot;given&quot;:&quot;Antonio&quot;,&quot;parse-names&quot;:false,&quot;dropping-particle&quot;:&quot;&quot;,&quot;non-dropping-particle&quot;:&quot;&quot;},{&quot;family&quot;:&quot;Yao&quot;,&quot;given&quot;:&quot;Ming&quot;,&quot;parse-names&quot;:false,&quot;dropping-particle&quot;:&quot;&quot;,&quot;non-dropping-particle&quot;:&quot;&quot;},{&quot;family&quot;:&quot;Dlugosz&quot;,&quot;given&quot;:&quot;Rafal&quot;,&quot;parse-names&quot;:false,&quot;dropping-particle&quot;:&quot;&quot;,&quot;non-dropping-particle&quot;:&quot;&quot;},{&quot;family&quot;:&quot;Ericzon&quot;,&quot;given&quot;:&quot;Bo Göran&quot;,&quot;parse-names&quot;:false,&quot;dropping-particle&quot;:&quot;&quot;,&quot;non-dropping-particle&quot;:&quot;&quot;},{&quot;family&quot;:&quot;Nowak&quot;,&quot;given&quot;:&quot;Greg&quot;,&quot;parse-names&quot;:false,&quot;dropping-particle&quot;:&quot;&quot;,&quot;non-dropping-particle&quot;:&quot;&quot;}],&quot;container-title&quot;:&quot;World Journal of Surgery&quot;,&quot;container-title-short&quot;:&quot;World J Surg&quot;,&quot;DOI&quot;:&quot;10.1007/s00268-020-05406-4&quot;,&quot;ISSN&quot;:&quot;14322323&quot;,&quot;PMID&quot;:&quot;32030440&quot;,&quot;issued&quot;:{&quot;date-parts&quot;:[[2020,6,1]]},&quot;page&quot;:&quot;1954-1965&quot;,&quot;abstract&quot;:&quot;Background: Donor variational arteries often require complex reconstruction. Methods: We analysed the incidence of different variations, types of arterial reconstructions and their impact on post-operative results from 409 patients undergoing liver transplantation at Karolinska Institute between 2007 and 2015. Results: A total of 292 (71.4%) liver grafts had a standard hepatic artery (SHA), and 117 (28.6%) showed hepatic artery variants (HAV). 58% of HAV needed reconstruction. The main variations were variant left hepatic artery (45.3%) from the gastric artery; variant right hepatic artery (38.5%); and a triple combination of variant right and left hepatic artery and the proper hepatic artery from the common hepatic artery (12.8%); other 3.4%. Patients/graft survival and arterial complications were not different between SHA and HAV. Incidence of biliary stricture was numerically higher in left hepatic artery variants (p = 0.058) and in variants where no arterial reconstruction was performed (p = 0.001). Operation and arterial warm ischaemia time were longer in the HAV group. The need for intraoperative re-reconstruction was higher in the HAV group (p = 0.04). Intraoperative bleeding was larger after back-table reconstruction than with intraoperative reconstruction (p = 0.04). Conclusion: No overall differences were found between the HAV and the SHA groups. Occurrence of a variant left hepatic artery and HAV with no reconstruction seems to increase the risk of biliary strictures.&quot;,&quot;publisher&quot;:&quot;Springer&quot;,&quot;issue&quot;:&quot;6&quot;,&quot;volume&quot;:&quot;44&quot;},&quot;isTemporary&quot;:false},{&quot;id&quot;:&quot;87fdcd4c-7b50-384a-a885-44e577675009&quot;,&quot;itemData&quot;:{&quot;type&quot;:&quot;article&quot;,&quot;id&quot;:&quot;87fdcd4c-7b50-384a-a885-44e577675009&quot;,&quot;title&quot;:&quot;Vascular surgery in liver resection&quot;,&quot;author&quot;:[{&quot;family&quot;:&quot;Radulova-Mauersberger&quot;,&quot;given&quot;:&quot;Olga&quot;,&quot;parse-names&quot;:false,&quot;dropping-particle&quot;:&quot;&quot;,&quot;non-dropping-particle&quot;:&quot;&quot;},{&quot;family&quot;:&quot;Weitz&quot;,&quot;given&quot;:&quot;Jürgen&quot;,&quot;parse-names&quot;:false,&quot;dropping-particle&quot;:&quot;&quot;,&quot;non-dropping-particle&quot;:&quot;&quot;},{&quot;family&quot;:&quot;Riediger&quot;,&quot;given&quot;:&quot;Carina&quot;,&quot;parse-names&quot;:false,&quot;dropping-particle&quot;:&quot;&quot;,&quot;non-dropping-particle&quot;:&quot;&quot;}],&quot;container-title&quot;:&quot;Langenbeck's Archives of Surgery&quot;,&quot;container-title-short&quot;:&quot;Langenbecks Arch Surg&quot;,&quot;DOI&quot;:&quot;10.1007/s00423-021-02310-w&quot;,&quot;ISSN&quot;:&quot;14352451&quot;,&quot;PMID&quot;:&quot;34519878&quot;,&quot;issued&quot;:{&quot;date-parts&quot;:[[2021,11,1]]},&quot;page&quot;:&quot;2217-2248&quot;,&quot;abstract&quot;:&quot;Vascular surgery in liver resection is a standard part of liver transplantation, but is also used in oncological liver surgery. Malignant liver tumors with vascular involvement have a poor prognosis without resection. Surgery is currently the only treatment to provide long-term survival in advanced hepatic malignancy. Even though extended liver resections are increasingly performed, vascular involvement with need of vascular reconstruction is still considered a contraindication for surgery in many institutions. However, vascular resection and reconstruction in liver surgery—despite being complex procedures—are safely performed in specialized centers. The improvements of the postoperative results with reduced postoperative morbidity and mortality are a result of rising surgical and anesthesiological experience and advancements in multimodal treatment concepts with preconditioning measures regarding liver function and systemic treatment options. This review focuses on vascular surgery in oncological liver resections. Even though many surgical techniques were developed and are also used during liver transplantation, this special procedure is not particularly covered within this review article. We provide a summary of vascular reconstruction techniques in oncological liver surgery according to the literature and present also our own experience. We aim to outline the current advances and standards in extended surgical procedures for liver tumors with vascular involvement established in specialized centers, since curative resection improves long-term survival and shifts palliative concepts to curative therapy.&quot;,&quot;publisher&quot;:&quot;Springer Science and Business Media Deutschland GmbH&quot;,&quot;issue&quot;:&quot;7&quot;,&quot;volume&quot;:&quot;406&quot;},&quot;isTemporary&quot;:false}]},{&quot;citationID&quot;:&quot;MENDELEY_CITATION_5915db02-b453-4ff2-b0da-45d52ecbb0eb&quot;,&quot;properties&quot;:{&quot;noteIndex&quot;:0},&quot;isEdited&quot;:false,&quot;manualOverride&quot;:{&quot;isManuallyOverridden&quot;:false,&quot;citeprocText&quot;:&quot;[7]&quot;,&quot;manualOverrideText&quot;:&quot;&quot;},&quot;citationTag&quot;:&quot;MENDELEY_CITATION_v3_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&quot;,&quot;citationItems&quot;:[{&quot;id&quot;:&quot;5d046287-4823-33e5-b3d6-afc19bb1518b&quot;,&quot;itemData&quot;:{&quot;type&quot;:&quot;article-journal&quot;,&quot;id&quot;:&quot;5d046287-4823-33e5-b3d6-afc19bb1518b&quot;,&quot;title&quot;:&quot;Accuracy of preoperative CT liver volumetry in living donor hepatectomy and its clinical implications&quot;,&quot;author&quot;:[{&quot;family&quot;:&quot;Goja&quot;,&quot;given&quot;:&quot;Sanjay&quot;,&quot;parse-names&quot;:false,&quot;dropping-particle&quot;:&quot;&quot;,&quot;non-dropping-particle&quot;:&quot;&quot;},{&quot;family&quot;:&quot;Yadav&quot;,&quot;given&quot;:&quot;Sanjay Kumar&quot;,&quot;parse-names&quot;:false,&quot;dropping-particle&quot;:&quot;&quot;,&quot;non-dropping-particle&quot;:&quot;&quot;},{&quot;family&quot;:&quot;Yadav&quot;,&quot;given&quot;:&quot;Amardeep&quot;,&quot;parse-names&quot;:false,&quot;dropping-particle&quot;:&quot;&quot;,&quot;non-dropping-particle&quot;:&quot;&quot;},{&quot;family&quot;:&quot;Piplani&quot;,&quot;given&quot;:&quot;Tarun&quot;,&quot;parse-names&quot;:false,&quot;dropping-particle&quot;:&quot;&quot;,&quot;non-dropping-particle&quot;:&quot;&quot;},{&quot;family&quot;:&quot;Rastogi&quot;,&quot;given&quot;:&quot;Amit&quot;,&quot;parse-names&quot;:false,&quot;dropping-particle&quot;:&quot;&quot;,&quot;non-dropping-particle&quot;:&quot;&quot;},{&quot;family&quot;:&quot;Bhangui&quot;,&quot;given&quot;:&quot;Prashant&quot;,&quot;parse-names&quot;:false,&quot;dropping-particle&quot;:&quot;&quot;,&quot;non-dropping-particle&quot;:&quot;&quot;},{&quot;family&quot;:&quot;Saigal&quot;,&quot;given&quot;:&quot;Sanjiv&quot;,&quot;parse-names&quot;:false,&quot;dropping-particle&quot;:&quot;&quot;,&quot;non-dropping-particle&quot;:&quot;&quot;},{&quot;family&quot;:&quot;Soin&quot;,&quot;given&quot;:&quot;Arvinder Singh&quot;,&quot;parse-names&quot;:false,&quot;dropping-particle&quot;:&quot;&quot;,&quot;non-dropping-particle&quot;:&quot;&quot;}],&quot;container-title&quot;:&quot;HepatoBiliary Surgery and Nutrition&quot;,&quot;container-title-short&quot;:&quot;Hepatobiliary Surg Nutr&quot;,&quot;DOI&quot;:&quot;10.21037/hbsn.2017.08.02&quot;,&quot;ISSN&quot;:&quot;23043881&quot;,&quot;issued&quot;:{&quot;date-parts&quot;:[[2018,6]]},&quot;page&quot;:&quot;167-174&quot;,&quot;abstract&quot;:&quot;Background: An accurate preoperative volumetric assessment of donor\nliver is essential for successful living donor liver transplant by\nensuring adequate remnant and graft recipient weight ratio (GRWR).\nMethods: The study cohort consisted of 744 right lobe (RL), 65 left lobe\n(LL) and 33 left lateral sector (11.1,S) grafts from July 2010 to\nJanuary 2014. A semi-automated interactive commercial software called AW\nVolume share 6 was used for volumetry. Bland Altman plot was used for\nassessing the agreement between estimated graft weight (EGW) and actual\ngraft weight (AGW).\nResults: There was no statistically significant difference between EGW\nand AGW for RL graft weight (722 +/- 134 vs. 717 +/- 126 gm; P=0.06).\nAlthough Bland Altman graph showed that 95% limits of agreement was\nmore in LL (-164 to +110) than RL (-156 to +147) and LLS grafts (-137 to\n+239), CT scan significantly overestimated LL graft weight (EGW = 460\n+/- 118 gm vs. AGW = 433 +/- 102 gm; P=0.003) and underestimated LLS\ngraft weight (EGW = 203 +/- 48 gm vs. AGW = 254 +/- 49 gm; P&lt;0.001).\nConclusions: CT volumetry overestimate LL graft and underestimate LLS\ngraft weight. This should be factored in when selecting ILL graft by\ntaking higher GRWR.&quot;,&quot;publisher&quot;:&quot;AME Publishing Company&quot;,&quot;issue&quot;:&quot;3&quot;,&quot;volume&quot;:&quot;7&quot;},&quot;isTemporary&quot;:false}]},{&quot;citationID&quot;:&quot;MENDELEY_CITATION_333ddc52-59cd-4b04-9dc8-5c7f5be6b481&quot;,&quot;properties&quot;:{&quot;noteIndex&quot;:0},&quot;isEdited&quot;:false,&quot;manualOverride&quot;:{&quot;isManuallyOverridden&quot;:false,&quot;citeprocText&quot;:&quot;[7,8,10]&quot;,&quot;manualOverrideText&quot;:&quot;&quot;},&quot;citationTag&quot;:&quot;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&quot;,&quot;citationItems&quot;:[{&quot;id&quot;:&quot;85912826-55a8-3324-a123-4c9a9d6a6432&quot;,&quot;itemData&quot;:{&quot;type&quot;:&quot;article-journal&quot;,&quot;id&quot;:&quot;85912826-55a8-3324-a123-4c9a9d6a6432&quot;,&quot;title&quot;:&quot;Three-Dimensional Volumetric Assessment of Graft Volume in Living Donor Liver Transplantation: Does It Minimise Errors of Estimation?&quot;,&quot;author&quot;:[{&quot;family&quot;:&quot;Mohapatra&quot;,&quot;given&quot;:&quot;Nihar&quot;,&quot;parse-names&quot;:false,&quot;dropping-particle&quot;:&quot;&quot;,&quot;non-dropping-particle&quot;:&quot;&quot;},{&quot;family&quot;:&quot;Gurumoorthy Subramanya Bharathy&quot;,&quot;given&quot;:&quot;Kishore&quot;,&quot;parse-names&quot;:false,&quot;dropping-particle&quot;:&quot;&quot;,&quot;non-dropping-particle&quot;:&quot;&quot;},{&quot;family&quot;:&quot;Kumar Sinha&quot;,&quot;given&quot;:&quot;Piyush&quot;,&quot;parse-names&quot;:false,&quot;dropping-particle&quot;:&quot;&quot;,&quot;non-dropping-particle&quot;:&quot;&quot;},{&quot;family&quot;:&quot;Vasantrao Sasturkar&quot;,&quot;given&quot;:&quot;Shridhar&quot;,&quot;parse-names&quot;:false,&quot;dropping-particle&quot;:&quot;&quot;,&quot;non-dropping-particle&quot;:&quot;&quot;},{&quot;family&quot;:&quot;Patidar&quot;,&quot;given&quot;:&quot;Yashwant&quot;,&quot;parse-names&quot;:false,&quot;dropping-particle&quot;:&quot;&quot;,&quot;non-dropping-particle&quot;:&quot;&quot;},{&quot;family&quot;:&quot;Pamecha&quot;,&quot;given&quot;:&quot;Viniyendra&quot;,&quot;parse-names&quot;:false,&quot;dropping-particle&quot;:&quot;&quot;,&quot;non-dropping-particle&quot;:&quot;&quot;}],&quot;container-title&quot;:&quot;Journal of Clinical and Experimental Hepatology&quot;,&quot;container-title-short&quot;:&quot;J Clin Exp Hepatol&quot;,&quot;DOI&quot;:&quot;10.1016/j.jceh.2019.03.006&quot;,&quot;ISSN&quot;:&quot;22133453&quot;,&quot;issued&quot;:{&quot;date-parts&quot;:[[2020,1,1]]},&quot;page&quot;:&quot;1-8&quot;,&quot;abstract&quot;:&quot;Background: Accurate volumetric assessment of graft and remnant liver is essential in living donor liver transplantation (LDLT) for optimal clinical outcome in both donors and recipients. Recently, three-dimensional (3D) volumetry is proposed over conventional computed tomography (CT) volumetry to minimise errors. The aim of this study is to assess the correlation of estimated graft volume (EGV) by both the methods with actual graft weight (AGW). Methods: One hundred fifty-four consecutive donors were enrolled prospectively. Conventional CT volumetry (semiautomatic) and 3D volumetry were performed using Myrian software. Total liver volume (TLV), EGV, and remnant liver volume (RLV) were assessed using both methods and correlated with intraoperatively measured AGW as the reference standard. Error of estimation was calculated accordingly. Results: One hundred eighteen donors underwent right hepatectomy excluding middle hepatic vein (MHV), twenty-nine donors had left hepatectomy including MHV and six donors underwent left lateral sectionectomy. The median EGV on CT and 3D volumetry was 628.5 ml (140–1300) and 634.5 ml (156–1349), respectively. The median AGW was 647 gm (200–1004). Both CT and 3D volumetry showed strong correlation with AGW (correlation coefficients: 0.834 and 0.856, respectively). Linear correlation is as follows: (a) AGW = 99.75 + 0.818 × EGV (CT) and (b) AGW = 96.03 + 0.835 × EGV (3D). The mean percentage error for CT and 3D volumetry was 14.2 ± 12.5% and 12.2 ± 11.8%, respectively. The overall accuracy of estimation of EGV improved using 3D software (P=0.015). For the subgroup of types of graft, the difference did not reach statistical significance (P=0.062, 0.214 and 0.463 for right, left and left lateral grafts, respectively) Conclusion: Both conventional CT and 3D volumetric methods strongly correlate with AGW in donors of LDLT, whereas overall accuracy of estimation of graft weight improved marginally by 3D volumetry.&quot;,&quot;publisher&quot;:&quot;Elsevier B.V.&quot;,&quot;issue&quot;:&quot;1&quot;,&quot;volume&quot;:&quot;10&quot;},&quot;isTemporary&quot;:false},{&quot;id&quot;:&quot;5d046287-4823-33e5-b3d6-afc19bb1518b&quot;,&quot;itemData&quot;:{&quot;type&quot;:&quot;article-journal&quot;,&quot;id&quot;:&quot;5d046287-4823-33e5-b3d6-afc19bb1518b&quot;,&quot;title&quot;:&quot;Accuracy of preoperative CT liver volumetry in living donor hepatectomy and its clinical implications&quot;,&quot;author&quot;:[{&quot;family&quot;:&quot;Goja&quot;,&quot;given&quot;:&quot;Sanjay&quot;,&quot;parse-names&quot;:false,&quot;dropping-particle&quot;:&quot;&quot;,&quot;non-dropping-particle&quot;:&quot;&quot;},{&quot;family&quot;:&quot;Yadav&quot;,&quot;given&quot;:&quot;Sanjay Kumar&quot;,&quot;parse-names&quot;:false,&quot;dropping-particle&quot;:&quot;&quot;,&quot;non-dropping-particle&quot;:&quot;&quot;},{&quot;family&quot;:&quot;Yadav&quot;,&quot;given&quot;:&quot;Amardeep&quot;,&quot;parse-names&quot;:false,&quot;dropping-particle&quot;:&quot;&quot;,&quot;non-dropping-particle&quot;:&quot;&quot;},{&quot;family&quot;:&quot;Piplani&quot;,&quot;given&quot;:&quot;Tarun&quot;,&quot;parse-names&quot;:false,&quot;dropping-particle&quot;:&quot;&quot;,&quot;non-dropping-particle&quot;:&quot;&quot;},{&quot;family&quot;:&quot;Rastogi&quot;,&quot;given&quot;:&quot;Amit&quot;,&quot;parse-names&quot;:false,&quot;dropping-particle&quot;:&quot;&quot;,&quot;non-dropping-particle&quot;:&quot;&quot;},{&quot;family&quot;:&quot;Bhangui&quot;,&quot;given&quot;:&quot;Prashant&quot;,&quot;parse-names&quot;:false,&quot;dropping-particle&quot;:&quot;&quot;,&quot;non-dropping-particle&quot;:&quot;&quot;},{&quot;family&quot;:&quot;Saigal&quot;,&quot;given&quot;:&quot;Sanjiv&quot;,&quot;parse-names&quot;:false,&quot;dropping-particle&quot;:&quot;&quot;,&quot;non-dropping-particle&quot;:&quot;&quot;},{&quot;family&quot;:&quot;Soin&quot;,&quot;given&quot;:&quot;Arvinder Singh&quot;,&quot;parse-names&quot;:false,&quot;dropping-particle&quot;:&quot;&quot;,&quot;non-dropping-particle&quot;:&quot;&quot;}],&quot;container-title&quot;:&quot;HepatoBiliary Surgery and Nutrition&quot;,&quot;container-title-short&quot;:&quot;Hepatobiliary Surg Nutr&quot;,&quot;DOI&quot;:&quot;10.21037/hbsn.2017.08.02&quot;,&quot;ISSN&quot;:&quot;23043881&quot;,&quot;issued&quot;:{&quot;date-parts&quot;:[[2018,6]]},&quot;page&quot;:&quot;167-174&quot;,&quot;abstract&quot;:&quot;Background: An accurate preoperative volumetric assessment of donor\nliver is essential for successful living donor liver transplant by\nensuring adequate remnant and graft recipient weight ratio (GRWR).\nMethods: The study cohort consisted of 744 right lobe (RL), 65 left lobe\n(LL) and 33 left lateral sector (11.1,S) grafts from July 2010 to\nJanuary 2014. A semi-automated interactive commercial software called AW\nVolume share 6 was used for volumetry. Bland Altman plot was used for\nassessing the agreement between estimated graft weight (EGW) and actual\ngraft weight (AGW).\nResults: There was no statistically significant difference between EGW\nand AGW for RL graft weight (722 +/- 134 vs. 717 +/- 126 gm; P=0.06).\nAlthough Bland Altman graph showed that 95% limits of agreement was\nmore in LL (-164 to +110) than RL (-156 to +147) and LLS grafts (-137 to\n+239), CT scan significantly overestimated LL graft weight (EGW = 460\n+/- 118 gm vs. AGW = 433 +/- 102 gm; P=0.003) and underestimated LLS\ngraft weight (EGW = 203 +/- 48 gm vs. AGW = 254 +/- 49 gm; P&lt;0.001).\nConclusions: CT volumetry overestimate LL graft and underestimate LLS\ngraft weight. This should be factored in when selecting ILL graft by\ntaking higher GRWR.&quot;,&quot;publisher&quot;:&quot;AME Publishing Company&quot;,&quot;issue&quot;:&quot;3&quot;,&quot;volume&quot;:&quot;7&quot;},&quot;isTemporary&quot;:false},{&quot;id&quot;:&quot;ff7b18f4-2ddd-316d-8cb7-5a77e87b4783&quot;,&quot;itemData&quot;:{&quot;type&quot;:&quot;article-journal&quot;,&quot;id&quot;:&quot;ff7b18f4-2ddd-316d-8cb7-5a77e87b4783&quot;,&quot;title&quot;:&quot;Reproducibility and reliability of computed tomography volumetry in estimation of the right-lobe graft weight in adult-to-adult living donor liver transplantation: Cantlie's line vs portal vein territorialization&quot;,&quot;author&quot;:[{&quot;family&quot;:&quot;Kwon&quot;,&quot;given&quot;:&quot;Heon Ju&quot;,&quot;parse-names&quot;:false,&quot;dropping-particle&quot;:&quot;&quot;,&quot;non-dropping-particle&quot;:&quot;&quot;},{&quot;family&quot;:&quot;Kim&quot;,&quot;given&quot;:&quot;Kyoung Won&quot;,&quot;parse-names&quot;:false,&quot;dropping-particle&quot;:&quot;&quot;,&quot;non-dropping-particle&quot;:&quot;&quot;},{&quot;family&quot;:&quot;Jang&quot;,&quot;given&quot;:&quot;Jin Kyoo&quot;,&quot;parse-names&quot;:false,&quot;dropping-particle&quot;:&quot;&quot;,&quot;non-dropping-particle&quot;:&quot;&quot;},{&quot;family&quot;:&quot;Lee&quot;,&quot;given&quot;:&quot;Jeongjin&quot;,&quot;parse-names&quot;:false,&quot;dropping-particle&quot;:&quot;&quot;,&quot;non-dropping-particle&quot;:&quot;&quot;},{&quot;family&quot;:&quot;Song&quot;,&quot;given&quot;:&quot;Gi Won&quot;,&quot;parse-names&quot;:false,&quot;dropping-particle&quot;:&quot;&quot;,&quot;non-dropping-particle&quot;:&quot;&quot;},{&quot;family&quot;:&quot;Lee&quot;,&quot;given&quot;:&quot;Sung Gyu&quot;,&quot;parse-names&quot;:false,&quot;dropping-particle&quot;:&quot;&quot;,&quot;non-dropping-particle&quot;:&quot;&quot;}],&quot;container-title&quot;:&quot;Journal of hepato-biliary-pancreatic sciences&quot;,&quot;container-title-short&quot;:&quot;J Hepatobiliary Pancreat Sci&quot;,&quot;accessed&quot;:{&quot;date-parts&quot;:[[2023,8,13]]},&quot;DOI&quot;:&quot;10.1002/JHBP.749&quot;,&quot;ISSN&quot;:&quot;1868-6982&quot;,&quot;PMID&quot;:&quot;32353894&quot;,&quot;URL&quot;:&quot;https://pubmed.ncbi.nlm.nih.gov/32353894/&quot;,&quot;issued&quot;:{&quot;date-parts&quot;:[[2020,8,1]]},&quot;page&quot;:&quot;541-547&quot;,&quot;abstract&quot;:&quot;Background/Purpose: In living-donor liver transplantation (LDLT), liver volume assessment is a mandatory step in determining donor appropriateness. This study aimed to compare reliability and reproducibility between two major methods to define virtual hepatectomy plane, based on Cantlie's line (CTV-Cantlie) and portal vein territorialization (CTV-PVT) for right-lobe graft weight estimation in LDLT. Methods: A total of 188 donors who underwent preoperative CT scans were included. The liver was divided into right and left lobes using CTV-Cantlie and CTV-PTV measurements by two readers. Intraclass correlation coefficient (ICC) was used to determine interreader variability of hepatic weight measured using each CTV method. Intraoperative graft weight (IOW) was used as reference standard of right-lobe graft weight. Pearson correlation test was performed to determine correlation coefficients between presumed graft weight by each CTV method and IOW. Results: Intraclass correlation coefficients for total liver weight were roughly equivalent between the two CTV methods (CTV-Cantlie: 0.965 [95% CI, 0.954-0.974], CTV-PVT: 0.977 [0.970-0.983]). However, ICCs of right-and left-lobe weights between two readers were higher with CTV-PVT (0.997 and 0.850) than with CTV-Cantlie (0.829 and 0.668). The IOW was 716.0 ± 162.0 g. Correlation coefficients between presumed graft weight by CTV-Cantlie or CTV-PVT and IOW were 0.722 and 0.807, respectively (both P &lt;.001). Conclusions: For estimation of the right-lobe graft weight in LDLT, CTV-PVT may provide higher reliability and reproducibility than CTV-Cantlie.&quot;,&quot;publisher&quot;:&quot;J Hepatobiliary Pancreat Sci&quot;,&quot;issue&quot;:&quot;8&quot;,&quot;volume&quot;:&quot;27&quot;},&quot;isTemporary&quot;:false}]},{&quot;citationID&quot;:&quot;MENDELEY_CITATION_d0221484-8ae4-45ae-8d47-048a8bfb4949&quot;,&quot;properties&quot;:{&quot;noteIndex&quot;:0},&quot;isEdited&quot;:false,&quot;manualOverride&quot;:{&quot;isManuallyOverridden&quot;:false,&quot;citeprocText&quot;:&quot;[45]&quot;,&quot;manualOverrideText&quot;:&quot;&quot;},&quot;citationTag&quot;:&quot;MENDELEY_CITATION_v3_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&quot;,&quot;citationItems&quot;:[{&quot;id&quot;:&quot;cc24724c-5682-3017-9fde-c6f710db1cb2&quot;,&quot;itemData&quot;:{&quot;type&quot;:&quot;article&quot;,&quot;id&quot;:&quot;cc24724c-5682-3017-9fde-c6f710db1cb2&quot;,&quot;title&quot;:&quot;Liver segmentation: Practical tips&quot;,&quot;author&quot;:[{&quot;family&quot;:&quot;Germain&quot;,&quot;given&quot;:&quot;T.&quot;,&quot;parse-names&quot;:false,&quot;dropping-particle&quot;:&quot;&quot;,&quot;non-dropping-particle&quot;:&quot;&quot;},{&quot;family&quot;:&quot;Favelier&quot;,&quot;given&quot;:&quot;S.&quot;,&quot;parse-names&quot;:false,&quot;dropping-particle&quot;:&quot;&quot;,&quot;non-dropping-particle&quot;:&quot;&quot;},{&quot;family&quot;:&quot;Cercueil&quot;,&quot;given&quot;:&quot;J. P.&quot;,&quot;parse-names&quot;:false,&quot;dropping-particle&quot;:&quot;&quot;,&quot;non-dropping-particle&quot;:&quot;&quot;},{&quot;family&quot;:&quot;Denys&quot;,&quot;given&quot;:&quot;A.&quot;,&quot;parse-names&quot;:false,&quot;dropping-particle&quot;:&quot;&quot;,&quot;non-dropping-particle&quot;:&quot;&quot;},{&quot;family&quot;:&quot;Krausé&quot;,&quot;given&quot;:&quot;D.&quot;,&quot;parse-names&quot;:false,&quot;dropping-particle&quot;:&quot;&quot;,&quot;non-dropping-particle&quot;:&quot;&quot;},{&quot;family&quot;:&quot;Guiu&quot;,&quot;given&quot;:&quot;B.&quot;,&quot;parse-names&quot;:false,&quot;dropping-particle&quot;:&quot;&quot;,&quot;non-dropping-particle&quot;:&quot;&quot;}],&quot;container-title&quot;:&quot;Diagnostic and Interventional Imaging&quot;,&quot;container-title-short&quot;:&quot;Diagn Interv Imaging&quot;,&quot;DOI&quot;:&quot;10.1016/j.diii.2013.11.004&quot;,&quot;ISSN&quot;:&quot;22115684&quot;,&quot;PMID&quot;:&quot;24388431&quot;,&quot;issued&quot;:{&quot;date-parts&quot;:[[2014,11,1]]},&quot;page&quot;:&quot;1003-1016&quot;,&quot;abstract&quot;:&quot;The liver segmentation system, described by Couinaud, is based on the identification of the three hepatic veins and the plane passing by the portal vein bifurcation. Nowadays, Couinaud's description is the most widely used classification since it is better suited for surgery and more accurate for the localisation and monitoring of intra-parenchymal lesions. Knowledge of the anatomy of the portal and venous system is therefore essential, as is knowledge of the variants resulting from changes occurring during the embryological development of the vitelline and umbilical veins. In this paper, the authors propose a straightforward systematisation of the liver in six steps using several additional anatomical points of reference. These points of reference are simple and quickly identifiable in any radiological examination with section imaging, in order to avoid any mistakes in daily practice. In fact, accurate description impacts on many diagnostic and therapeutic applications in interventional radiology and surgery. This description will allow better preparation for biopsy, portal vein embolisation, transjugular intrahepatic portosystemic shunt, tumour resection or partial hepatectomy for transplantation. Such advance planning will reduce intra- and postoperative difficulties and complications.&quot;,&quot;publisher&quot;:&quot;Elsevier Masson SAS&quot;,&quot;issue&quot;:&quot;11&quot;,&quot;volume&quot;:&quot;95&quot;},&quot;isTemporary&quot;:false}]},{&quot;citationID&quot;:&quot;MENDELEY_CITATION_b3b5f60e-a439-49c2-9824-f5746ca931eb&quot;,&quot;properties&quot;:{&quot;noteIndex&quot;:0},&quot;isEdited&quot;:false,&quot;manualOverride&quot;:{&quot;isManuallyOverridden&quot;:false,&quot;citeprocText&quot;:&quot;[46]&quot;,&quot;manualOverrideText&quot;:&quot;&quot;},&quot;citationTag&quot;:&quot;MENDELEY_CITATION_v3_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&quot;,&quot;citationItems&quot;:[{&quot;id&quot;:&quot;20ac6b1b-968f-3030-98a5-b68c6f7492ab&quot;,&quot;itemData&quot;:{&quot;type&quot;:&quot;article-journal&quot;,&quot;id&quot;:&quot;20ac6b1b-968f-3030-98a5-b68c6f7492ab&quot;,&quot;title&quot;:&quot;Review of liver segmentation and computer assisted detection/diagnosis methods in computed tomography&quot;,&quot;author&quot;:[{&quot;family&quot;:&quot;Moghbel&quot;,&quot;given&quot;:&quot;Mehrdad&quot;,&quot;parse-names&quot;:false,&quot;dropping-particle&quot;:&quot;&quot;,&quot;non-dropping-particle&quot;:&quot;&quot;},{&quot;family&quot;:&quot;Mashohor&quot;,&quot;given&quot;:&quot;Syamsiah&quot;,&quot;parse-names&quot;:false,&quot;dropping-particle&quot;:&quot;&quot;,&quot;non-dropping-particle&quot;:&quot;&quot;},{&quot;family&quot;:&quot;Mahmud&quot;,&quot;given&quot;:&quot;Rozi&quot;,&quot;parse-names&quot;:false,&quot;dropping-particle&quot;:&quot;&quot;,&quot;non-dropping-particle&quot;:&quot;&quot;},{&quot;family&quot;:&quot;Saripan&quot;,&quot;given&quot;:&quot;M. Iqbal&quot;,&quot;parse-names&quot;:false,&quot;dropping-particle&quot;:&quot;Bin&quot;,&quot;non-dropping-particle&quot;:&quot;&quot;}],&quot;container-title&quot;:&quot;Artificial Intelligence Review&quot;,&quot;container-title-short&quot;:&quot;Artif Intell Rev&quot;,&quot;accessed&quot;:{&quot;date-parts&quot;:[[2024,10,16]]},&quot;DOI&quot;:&quot;10.1007/S10462-017-9550-X/METRICS&quot;,&quot;ISSN&quot;:&quot;15737462&quot;,&quot;URL&quot;:&quot;https://link.springer.com/article/10.1007/s10462-017-9550-x&quot;,&quot;issued&quot;:{&quot;date-parts&quot;:[[2018,12,1]]},&quot;page&quot;:&quot;497-537&quot;,&quot;abstract&quot;:&quot;Computed tomography (CT) imaging remains the most utilized modality for liver-related cancer screening and treatment monitoring purposes. Liver, liver tumor and liver vasculature segmentation from CT data is a prerequisite for treatment planning and computer assisted detection/diagnosis systems. In this paper, we present a survey on liver, liver tumor and liver vasculature segmentation methods that are using CT images, recent methods presented in the literature are viewed and discussed along with positives, negatives and statistical performance of these methods. Liver computer assisted detection/diagnosis systems will also be discussed along with their limitations and possible ways of improvement. In this paper, we concluded that although there is still room for improvement, automatic liver segmentation methods have become comparable to human segmentation. However, the performance of liver tumor segmentation methods can be considered lower than expected in both automatic and semi-automatic methods. Furthermore, it can be seen that most computer assisted detection/diagnosis systems require manual segmentation of liver and liver tumors, limiting clinical applicability of these systems. Liver, liver tumor and liver vasculature segmentation is still an open problem since various weaknesses and drawbacks of these methods can still be addressed and improved especially in tumor and vasculature segmentation along with computer assisted detection/diagnosis systems.&quot;,&quot;publisher&quot;:&quot;Springer Netherlands&quot;,&quot;issue&quot;:&quot;4&quot;,&quot;volume&quot;:&quot;50&quot;},&quot;isTemporary&quot;:false}]},{&quot;citationID&quot;:&quot;MENDELEY_CITATION_f80fe243-c259-4232-9f51-bee0f6c2166f&quot;,&quot;properties&quot;:{&quot;noteIndex&quot;:0},&quot;isEdited&quot;:false,&quot;manualOverride&quot;:{&quot;isManuallyOverridden&quot;:false,&quot;citeprocText&quot;:&quot;[5,47]&quot;,&quot;manualOverrideText&quot;:&quot;&quot;},&quot;citationTag&quot;:&quot;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&quot;,&quot;citationItems&quot;:[{&quot;id&quot;:&quot;88b95ac6-c688-3c27-a202-d094e0874e46&quot;,&quot;itemData&quot;:{&quot;type&quot;:&quot;article-journal&quot;,&quot;id&quot;:&quot;88b95ac6-c688-3c27-a202-d094e0874e46&quot;,&quot;title&quot;:&quot;Liver Graft Volume Estimation by Manual Volumetry and Software-Aided Interactive Volumetry: Which is Better?&quot;,&quot;author&quot;:[{&quot;family&quot;:&quot;Bozkurt&quot;,&quot;given&quot;:&quot;Birkan&quot;,&quot;parse-names&quot;:false,&quot;dropping-particle&quot;:&quot;&quot;,&quot;non-dropping-particle&quot;:&quot;&quot;},{&quot;family&quot;:&quot;Emek&quot;,&quot;given&quot;:&quot;Ertan&quot;,&quot;parse-names&quot;:false,&quot;dropping-particle&quot;:&quot;&quot;,&quot;non-dropping-particle&quot;:&quot;&quot;},{&quot;family&quot;:&quot;Arikan&quot;,&quot;given&quot;:&quot;Turkmen&quot;,&quot;parse-names&quot;:false,&quot;dropping-particle&quot;:&quot;&quot;,&quot;non-dropping-particle&quot;:&quot;&quot;},{&quot;family&quot;:&quot;Ceyhan&quot;,&quot;given&quot;:&quot;Ozgur&quot;,&quot;parse-names&quot;:false,&quot;dropping-particle&quot;:&quot;&quot;,&quot;non-dropping-particle&quot;:&quot;&quot;},{&quot;family&quot;:&quot;Yazici&quot;,&quot;given&quot;:&quot;Pinar&quot;,&quot;parse-names&quot;:false,&quot;dropping-particle&quot;:&quot;&quot;,&quot;non-dropping-particle&quot;:&quot;&quot;},{&quot;family&quot;:&quot;Sahin&quot;,&quot;given&quot;:&quot;Tolga&quot;,&quot;parse-names&quot;:false,&quot;dropping-particle&quot;:&quot;&quot;,&quot;non-dropping-particle&quot;:&quot;&quot;},{&quot;family&quot;:&quot;Mammadov&quot;,&quot;given&quot;:&quot;Elmar&quot;,&quot;parse-names&quot;:false,&quot;dropping-particle&quot;:&quot;&quot;,&quot;non-dropping-particle&quot;:&quot;&quot;},{&quot;family&quot;:&quot;Serin&quot;,&quot;given&quot;:&quot;Ayfer&quot;,&quot;parse-names&quot;:false,&quot;dropping-particle&quot;:&quot;&quot;,&quot;non-dropping-particle&quot;:&quot;&quot;},{&quot;family&quot;:&quot;Gurcan&quot;,&quot;given&quot;:&quot;Nagihan Inan&quot;,&quot;parse-names&quot;:false,&quot;dropping-particle&quot;:&quot;&quot;,&quot;non-dropping-particle&quot;:&quot;&quot;},{&quot;family&quot;:&quot;Yuzer&quot;,&quot;given&quot;:&quot;Yildiray&quot;,&quot;parse-names&quot;:false,&quot;dropping-particle&quot;:&quot;&quot;,&quot;non-dropping-particle&quot;:&quot;&quot;},{&quot;family&quot;:&quot;Tokat&quot;,&quot;given&quot;:&quot;Yaman&quot;,&quot;parse-names&quot;:false,&quot;dropping-particle&quot;:&quot;&quot;,&quot;non-dropping-particle&quot;:&quot;&quot;}],&quot;container-title&quot;:&quot;Transplantation Proceedings&quot;,&quot;container-title-short&quot;:&quot;Transplant Proc&quot;,&quot;DOI&quot;:&quot;10.1016/j.transproceed.2019.01.152&quot;,&quot;ISSN&quot;:&quot;18732623&quot;,&quot;PMID&quot;:&quot;31324483&quot;,&quot;issued&quot;:{&quot;date-parts&quot;:[[2019,9,1]]},&quot;page&quot;:&quot;2387-2390&quot;,&quot;abstract&quot;:&quot;Purpose: Estimation of graft volume is critical in living donor liver transplantation (LDLT). In this study, we aimed to evaluate the accuracy of software-aided automated computer tomography (CT) volumetry in the preoperative assessment of graft size for LDLT and to compare this method with manual volumetry. Materials and Methods: Forty-one donors (27 men; 14 women) with a mean age in years ± standard deviation (28.4 ± 6.6) underwent contrast-enhanced CT prior to graft removal for LDLT. A liver transplant surgeon determined the weights of liver grafts using automated 3-dimensional volumetry software, and an abdominal radiologist specializing in liver imaging independently and blindly used the commercial interactive volumetry-assisted software on a viewing workstation to determine the liver volume on CT images. Both results were then compared to the weights of actual grafts obtained during surgery. Intraclass correlation coefficients were used to assess the consistency of numerical measurements and Pearson correlation coefficients were calculated to detect a linear relationship between numerical variables. To compare correlation coefficients, z scores were used. Results: Regarding the right and left lobe graft volume estimation by the surgeon, there was a positive correlation between the results and actual graft weight (r = 0.834; P = .001; and r = 0.587; P = .001, respectively). Likewise, graft volume estimation by the radiologist for the right and left lobe was also positively correlated with the actual graft weight (r = 0.819; P = .001 and r = 0.626, P = .001, respectively). There was no significant difference between correlation coefficients (P = .836). Conclusion: Volumetric measurement of donor graft using 3-dimensional software provides comparable results to manual CT calculation of liver volume.&quot;,&quot;publisher&quot;:&quot;Elsevier USA&quot;,&quot;issue&quot;:&quot;7&quot;,&quot;volume&quot;:&quot;51&quot;},&quot;isTemporary&quot;:false},{&quot;id&quot;:&quot;7b7ea7e6-e579-3e5e-bc24-a72fb6cb909a&quot;,&quot;itemData&quot;:{&quot;type&quot;:&quot;article-journal&quot;,&quot;id&quot;:&quot;7b7ea7e6-e579-3e5e-bc24-a72fb6cb909a&quot;,&quot;title&quot;:&quot;Deep Learning CT-based Quantitative Visualization Tool for Liver Volume Estimation: Defining Normal and Hepatomegaly&quot;,&quot;author&quot;:[{&quot;family&quot;:&quot;Perez&quot;,&quot;given&quot;:&quot;Alberto A.&quot;,&quot;parse-names&quot;:false,&quot;dropping-particle&quot;:&quot;&quot;,&quot;non-dropping-particle&quot;:&quot;&quot;},{&quot;family&quot;:&quot;Noe-Kim&quot;,&quot;given&quot;:&quot;Victoria&quot;,&quot;parse-names&quot;:false,&quot;dropping-particle&quot;:&quot;&quot;,&quot;non-dropping-particle&quot;:&quot;&quot;},{&quot;family&quot;:&quot;Lubner&quot;,&quot;given&quot;:&quot;Meghan G.&quot;,&quot;parse-names&quot;:false,&quot;dropping-particle&quot;:&quot;&quot;,&quot;non-dropping-particle&quot;:&quot;&quot;},{&quot;family&quot;:&quot;Graffy&quot;,&quot;given&quot;:&quot;Peter M.&quot;,&quot;parse-names&quot;:false,&quot;dropping-particle&quot;:&quot;&quot;,&quot;non-dropping-particle&quot;:&quot;&quot;},{&quot;family&quot;:&quot;Garrett&quot;,&quot;given&quot;:&quot;John W.&quot;,&quot;parse-names&quot;:false,&quot;dropping-particle&quot;:&quot;&quot;,&quot;non-dropping-particle&quot;:&quot;&quot;},{&quot;family&quot;:&quot;Elton&quot;,&quot;given&quot;:&quot;Daniel C.&quot;,&quot;parse-names&quot;:false,&quot;dropping-particle&quot;:&quot;&quot;,&quot;non-dropping-particle&quot;:&quot;&quot;},{&quot;family&quot;:&quot;Summers&quot;,&quot;given&quot;:&quot;Ronald M.&quot;,&quot;parse-names&quot;:false,&quot;dropping-particle&quot;:&quot;&quot;,&quot;non-dropping-particle&quot;:&quot;&quot;},{&quot;family&quot;:&quot;Pickhardt&quot;,&quot;given&quot;:&quot;Perry J.&quot;,&quot;parse-names&quot;:false,&quot;dropping-particle&quot;:&quot;&quot;,&quot;non-dropping-particle&quot;:&quot;&quot;}],&quot;container-title&quot;:&quot;Radiology&quot;,&quot;container-title-short&quot;:&quot;Radiology&quot;,&quot;accessed&quot;:{&quot;date-parts&quot;:[[2024,4,22]]},&quot;DOI&quot;:&quot;10.1148/RADIOL.2021210531/ASSET/IMAGES/LARGE/RADIOL.2021210531FIG5.JPEG&quot;,&quot;ISSN&quot;:&quot;15271315&quot;,&quot;PMID&quot;:&quot;34698566&quot;,&quot;URL&quot;:&quot;https://pubs.rsna.org/doi/10.1148/radiol.2021210531&quot;,&quot;issued&quot;:{&quot;date-parts&quot;:[[2022,2,1]]},&quot;page&quot;:&quot;336-342&quot;,&quot;abstract&quot;:&quot;Background: Imaging assessment for hepatomegaly is not well defined and currently uses suboptimal, unidimensional measures. Liver volume provides a more direct measure for organ enlargement. Purpose: To determine organ volume and to establish thresholds for hepatomegaly with use of a validated deep learning artificial intelligence tool that automatically segments the liver. Materials and Methods: In this retrospective study, liver volumes were successfully derived with use of a deep learning tool for asymptomatic outpatient adults who underwent multidetector CT for colorectal cancer screening (unenhanced) or renal donor evaluation (contrast-enhanced) at a single medical center between April 2004 and December 2016. The performance of the craniocaudal and maximal three-dimensional (3D) linear measures was assessed. The manual liver volume results were compared with the automated results in a subset of renal donors in which the entire liver was included at both precontrast and postcontrast CT. Unenhanced liver volumes were standardized to a postcontrast equivalent, reflecting a correction of 3.6%. Linear regression analysis was performed to assess the major patient-specific determinant or determinants of liver volume among age, sex, height, weight, and body surface area. Results: A total of 3065 patients (mean age 6 standard deviation, 54 years 6 12; 1639 women) underwent multidetector CT for colorectal screening (n = 1960) or renal donor evaluation (n = 1105). The mean standardized automated liver volume 6 standard deviation was 1533 mL 6 375 and demonstrated a normal distribution. Patient weight was the major determinant of liver volume and demonstrated a linear relationship. From this result, a linear weight-based upper limit of normal hepatomegaly threshold volume was derived: Hepatomegaly (mL) = 14.0 3 (weight [kg]) 1 979. A craniocaudal threshold of 19 cm was 71% sensitive (49 of 69 patients) and 86% specific (887 of 1030 patients) for hepatomegaly, and a maximal 3D linear threshold of 24 cm was 78% sensitive (54 of 69) and 66% specific (678 of 1030). In the subset of 189 patients, the median difference in hepatic volume between the deep learning tool and the semiautomated or manual method was 2.3% (38 mL). Conclusion: A simple weight-based threshold for hepatomegaly derived by using a fully automated CT-based liver volume segmentation based on deep learning provided an objective and more accurate assessment of liver size than linear measures.&quot;,&quot;publisher&quot;:&quot;Radiological Society of North America Inc.&quot;,&quot;issue&quot;:&quot;2&quot;,&quot;volume&quot;:&quot;302&quot;},&quot;isTemporary&quot;:false}]},{&quot;citationID&quot;:&quot;MENDELEY_CITATION_85bdbecc-5acd-48dc-86d9-f41a29fd2937&quot;,&quot;properties&quot;:{&quot;noteIndex&quot;:0},&quot;isEdited&quot;:false,&quot;manualOverride&quot;:{&quot;isManuallyOverridden&quot;:false,&quot;citeprocText&quot;:&quot;[48]&quot;,&quot;manualOverrideText&quot;:&quot;&quot;},&quot;citationTag&quot;:&quot;MENDELEY_CITATION_v3_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&quot;,&quot;citationItems&quot;:[{&quot;id&quot;:&quot;8f229207-e9a6-3cf3-8175-4f524b0533cf&quot;,&quot;itemData&quot;:{&quot;type&quot;:&quot;article-journal&quot;,&quot;id&quot;:&quot;8f229207-e9a6-3cf3-8175-4f524b0533cf&quot;,&quot;title&quot;:&quot;The correlation between preoperative volumetry and real graft weight: Comparison of two volumetry programs&quot;,&quot;author&quot;:[{&quot;family&quot;:&quot;Mussin&quot;,&quot;given&quot;:&quot;Nadiar&quot;,&quot;parse-names&quot;:false,&quot;dropping-particle&quot;:&quot;&quot;,&quot;non-dropping-particle&quot;:&quot;&quot;},{&quot;family&quot;:&quot;Sumo&quot;,&quot;given&quot;:&quot;Marco&quot;,&quot;parse-names&quot;:false,&quot;dropping-particle&quot;:&quot;&quot;,&quot;non-dropping-particle&quot;:&quot;&quot;},{&quot;family&quot;:&quot;Lee&quot;,&quot;given&quot;:&quot;Kwang Woong&quot;,&quot;parse-names&quot;:false,&quot;dropping-particle&quot;:&quot;&quot;,&quot;non-dropping-particle&quot;:&quot;&quot;},{&quot;family&quot;:&quot;Choi&quot;,&quot;given&quot;:&quot;Young Rok&quot;,&quot;parse-names&quot;:false,&quot;dropping-particle&quot;:&quot;&quot;,&quot;non-dropping-particle&quot;:&quot;&quot;},{&quot;family&quot;:&quot;Choi&quot;,&quot;given&quot;:&quot;Jin Yong&quot;,&quot;parse-names&quot;:false,&quot;dropping-particle&quot;:&quot;&quot;,&quot;non-dropping-particle&quot;:&quot;&quot;},{&quot;family&quot;:&quot;Ahn&quot;,&quot;given&quot;:&quot;Sung Woo&quot;,&quot;parse-names&quot;:false,&quot;dropping-particle&quot;:&quot;&quot;,&quot;non-dropping-particle&quot;:&quot;&quot;},{&quot;family&quot;:&quot;Yoon&quot;,&quot;given&quot;:&quot;Kyung Chul&quot;,&quot;parse-names&quot;:false,&quot;dropping-particle&quot;:&quot;&quot;,&quot;non-dropping-particle&quot;:&quot;&quot;},{&quot;family&quot;:&quot;Kim&quot;,&quot;given&quot;:&quot;Hyo Sin&quot;,&quot;parse-names&quot;:false,&quot;dropping-particle&quot;:&quot;&quot;,&quot;non-dropping-particle&quot;:&quot;&quot;},{&quot;family&quot;:&quot;Hong&quot;,&quot;given&quot;:&quot;Suk Kyun&quot;,&quot;parse-names&quot;:false,&quot;dropping-particle&quot;:&quot;&quot;,&quot;non-dropping-particle&quot;:&quot;&quot;},{&quot;family&quot;:&quot;Yi&quot;,&quot;given&quot;:&quot;Nam Joon&quot;,&quot;parse-names&quot;:false,&quot;dropping-particle&quot;:&quot;&quot;,&quot;non-dropping-particle&quot;:&quot;&quot;},{&quot;family&quot;:&quot;Suh&quot;,&quot;given&quot;:&quot;Kyung Suk&quot;,&quot;parse-names&quot;:false,&quot;dropping-particle&quot;:&quot;&quot;,&quot;non-dropping-particle&quot;:&quot;&quot;}],&quot;container-title&quot;:&quot;Annals of Surgical Treatment and Research&quot;,&quot;container-title-short&quot;:&quot;Ann Surg Treat Res&quot;,&quot;DOI&quot;:&quot;10.4174/astr.2017.92.4.214&quot;,&quot;ISSN&quot;:&quot;22886796&quot;,&quot;issued&quot;:{&quot;date-parts&quot;:[[2017,4,1]]},&quot;page&quot;:&quot;214-220&quot;,&quot;abstract&quot;:&quot;Purpose: Liver volumetry is a vital component in living donor liver transplantation to determine an adequate graft volume that meets the metabolic demands of the recipient and at the same time ensures donor safety. Most institutions use preoperative contrast-enhanced CT image-based software programs to estimate graft volume. The objective of this study was to evaluate the accuracy of 2 liver volumetry programs (Rapidia vs. Dr. Liver) in preoperative right liver graft estimation compared with real graft weight. Methods: Data from 215 consecutive right lobe living donors between October 2013 and August 2015 were retrospectively reviewed. One hundred seven patients were enrolled in Rapidia group and 108 patients were included in the Dr. Liver group. Estimated graft volumes generated by both software programs were compared with real graft weight measured during surgery, and further classified into minimal difference (&lt;15%) and big difference (&gt;15%). Correlation coefficients and degree of difference were determined. Linear regressions were calculated and results depicted as scatterplots. Results: Minimal difference was observed in 69.4% of cases from Dr. Liver group and big difference was seen in 44.9% of cases from Rapidia group (P = 0.035). Linear regression analysis showed positive correlation in both groups (P &lt; 0.01). However, the correlation coefficient was better for the Dr. Liver group (R2 = 0.719), than for the Rapidia group (R2 = 0.688). Conclusion: Dr. Liver can accurately predict right liver graft size better and faster than Rapidia, and can facilitate preoperative planning in living donor liver transplantation.&quot;,&quot;publisher&quot;:&quot;Korean Surgical Society&quot;,&quot;issue&quot;:&quot;4&quot;,&quot;volume&quot;:&quot;92&quot;},&quot;isTemporary&quot;:false}]},{&quot;citationID&quot;:&quot;MENDELEY_CITATION_d0521912-284e-4a3e-8584-97eaec5f47db&quot;,&quot;properties&quot;:{&quot;noteIndex&quot;:0},&quot;isEdited&quot;:false,&quot;manualOverride&quot;:{&quot;isManuallyOverridden&quot;:false,&quot;citeprocText&quot;:&quot;[42]&quot;,&quot;manualOverrideText&quot;:&quot;&quot;},&quot;citationTag&quot;:&quot;MENDELEY_CITATION_v3_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&quot;,&quot;citationItems&quot;:[{&quot;id&quot;:&quot;78e95eea-8aa7-3491-8231-03636e413f6a&quot;,&quot;itemData&quot;:{&quot;type&quot;:&quot;article-journal&quot;,&quot;id&quot;:&quot;78e95eea-8aa7-3491-8231-03636e413f6a&quot;,&quot;title&quot;:&quot;Comparison of MRI- and CT-based semiautomated liver segmentation: a validation study&quot;,&quot;author&quot;:[{&quot;family&quot;:&quot;Gotra&quot;,&quot;given&quot;:&quot;Akshat&quot;,&quot;parse-names&quot;:false,&quot;dropping-particle&quot;:&quot;&quot;,&quot;non-dropping-particle&quot;:&quot;&quot;},{&quot;family&quot;:&quot;Chartrand&quot;,&quot;given&quot;:&quot;Gabriel&quot;,&quot;parse-names&quot;:false,&quot;dropping-particle&quot;:&quot;&quot;,&quot;non-dropping-particle&quot;:&quot;&quot;},{&quot;family&quot;:&quot;Vu&quot;,&quot;given&quot;:&quot;Kim Nhien&quot;,&quot;parse-names&quot;:false,&quot;dropping-particle&quot;:&quot;&quot;,&quot;non-dropping-particle&quot;:&quot;&quot;},{&quot;family&quot;:&quot;Vandenbroucke-Menu&quot;,&quot;given&quot;:&quot;Franck&quot;,&quot;parse-names&quot;:false,&quot;dropping-particle&quot;:&quot;&quot;,&quot;non-dropping-particle&quot;:&quot;&quot;},{&quot;family&quot;:&quot;Massicotte-Tisluck&quot;,&quot;given&quot;:&quot;Karine&quot;,&quot;parse-names&quot;:false,&quot;dropping-particle&quot;:&quot;&quot;,&quot;non-dropping-particle&quot;:&quot;&quot;},{&quot;family&quot;:&quot;Guise&quot;,&quot;given&quot;:&quot;Jacques A.&quot;,&quot;parse-names&quot;:false,&quot;dropping-particle&quot;:&quot;&quot;,&quot;non-dropping-particle&quot;:&quot;de&quot;},{&quot;family&quot;:&quot;Tang&quot;,&quot;given&quot;:&quot;An&quot;,&quot;parse-names&quot;:false,&quot;dropping-particle&quot;:&quot;&quot;,&quot;non-dropping-particle&quot;:&quot;&quot;}],&quot;container-title&quot;:&quot;Abdominal radiology (New York)&quot;,&quot;container-title-short&quot;:&quot;Abdom Radiol (NY)&quot;,&quot;accessed&quot;:{&quot;date-parts&quot;:[[2023,7,24]]},&quot;DOI&quot;:&quot;10.1007/S00261-016-0912-7&quot;,&quot;ISSN&quot;:&quot;2366-0058&quot;,&quot;PMID&quot;:&quot;27680014&quot;,&quot;URL&quot;:&quot;https://pubmed.ncbi.nlm.nih.gov/27680014/&quot;,&quot;issued&quot;:{&quot;date-parts&quot;:[[2017,2,1]]},&quot;page&quot;:&quot;478-489&quot;,&quot;abstract&quot;:&quot;Purpose: To compare the repeatability, agreement, and efficiency of MRI- and CT-based semiautomated liver segmentation for the assessment of total and subsegmental liver volume. Methods: This retrospective study was conducted in 31 subjects who underwent contemporaneous liver MRI and CT. Total and subsegmental liver volumes were segmented from contrast-enhanced 3D gradient-recalled echo MRI sequences and CT images. Semiautomated segmentation was based on variational interpolation and Laplacian mesh optimization. All segmentations were repeated after 2 weeks. Manual segmentation of CT images using an active contour tool was used as the reference standard. Repeatability and agreement of the methods were evaluated with intra-class correlation coefficients (ICC) and Bland–Altman analysis. Total interaction time was recorded. Results: Intra-reader ICC were ≥0.987 for MRI and ≥0.995 for CT. Intra-reader repeatability was 30 ± 217 ml (bias ± 1.96 SD) (95% limits of agreement: −187 to 247 ml) for MRI and −10 ± 143 ml (−153 to 133 ml) for CT. Inter-method ICC between semiautomated and manual volumetry were ≥0.995 for MRI and ≥0.986 for CT. Inter-method segmental ICC varied between 0.584 and 0.865 for MRI and between 0.596 and 0.890 for CT. Inter-method agreement was –14 ± 136 ml (−150 to 122 ml) for MRI and 50 ± 226 ml (−176 to 276 ml) for CT. Inter-method segmental agreement ranged from 10 ± 47 ml (−37 to 57 ml) to 2 ± 214 ml (−212 to 216 ml) for MRI and 9 ± 45 ml (−36 to 54 ml) to −46 ± 183 ml (−229 to 137 ml) for CT. Interaction time (mean ± SD) was significantly shorter for MRI-based semiautomated segmentation (7.2 ± 0.1 min, p &lt; 0.001) and for CT-based semiautomated segmentation (6.5 ± 0.2 min, p &lt; 0.001) than for CT-based manual segmentation (14.5 ± 0.4 min). Conclusion: MRI-based semiautomated segmentation provides similar repeatability and agreement to CT-based segmentation for total liver volume.&quot;,&quot;publisher&quot;:&quot;Abdom Radiol (NY)&quot;,&quot;issue&quot;:&quot;2&quot;,&quot;volume&quot;:&quot;42&quot;},&quot;isTemporary&quot;:false}]},{&quot;citationID&quot;:&quot;MENDELEY_CITATION_0429167a-214d-4e77-a2ee-9a073180aea5&quot;,&quot;properties&quot;:{&quot;noteIndex&quot;:0},&quot;isEdited&quot;:false,&quot;manualOverride&quot;:{&quot;isManuallyOverridden&quot;:false,&quot;citeprocText&quot;:&quot;[42]&quot;,&quot;manualOverrideText&quot;:&quot;&quot;},&quot;citationTag&quot;:&quot;MENDELEY_CITATION_v3_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&quot;,&quot;citationItems&quot;:[{&quot;id&quot;:&quot;78e95eea-8aa7-3491-8231-03636e413f6a&quot;,&quot;itemData&quot;:{&quot;type&quot;:&quot;article-journal&quot;,&quot;id&quot;:&quot;78e95eea-8aa7-3491-8231-03636e413f6a&quot;,&quot;title&quot;:&quot;Comparison of MRI- and CT-based semiautomated liver segmentation: a validation study&quot;,&quot;author&quot;:[{&quot;family&quot;:&quot;Gotra&quot;,&quot;given&quot;:&quot;Akshat&quot;,&quot;parse-names&quot;:false,&quot;dropping-particle&quot;:&quot;&quot;,&quot;non-dropping-particle&quot;:&quot;&quot;},{&quot;family&quot;:&quot;Chartrand&quot;,&quot;given&quot;:&quot;Gabriel&quot;,&quot;parse-names&quot;:false,&quot;dropping-particle&quot;:&quot;&quot;,&quot;non-dropping-particle&quot;:&quot;&quot;},{&quot;family&quot;:&quot;Vu&quot;,&quot;given&quot;:&quot;Kim Nhien&quot;,&quot;parse-names&quot;:false,&quot;dropping-particle&quot;:&quot;&quot;,&quot;non-dropping-particle&quot;:&quot;&quot;},{&quot;family&quot;:&quot;Vandenbroucke-Menu&quot;,&quot;given&quot;:&quot;Franck&quot;,&quot;parse-names&quot;:false,&quot;dropping-particle&quot;:&quot;&quot;,&quot;non-dropping-particle&quot;:&quot;&quot;},{&quot;family&quot;:&quot;Massicotte-Tisluck&quot;,&quot;given&quot;:&quot;Karine&quot;,&quot;parse-names&quot;:false,&quot;dropping-particle&quot;:&quot;&quot;,&quot;non-dropping-particle&quot;:&quot;&quot;},{&quot;family&quot;:&quot;Guise&quot;,&quot;given&quot;:&quot;Jacques A.&quot;,&quot;parse-names&quot;:false,&quot;dropping-particle&quot;:&quot;&quot;,&quot;non-dropping-particle&quot;:&quot;de&quot;},{&quot;family&quot;:&quot;Tang&quot;,&quot;given&quot;:&quot;An&quot;,&quot;parse-names&quot;:false,&quot;dropping-particle&quot;:&quot;&quot;,&quot;non-dropping-particle&quot;:&quot;&quot;}],&quot;container-title&quot;:&quot;Abdominal radiology (New York)&quot;,&quot;container-title-short&quot;:&quot;Abdom Radiol (NY)&quot;,&quot;accessed&quot;:{&quot;date-parts&quot;:[[2023,7,24]]},&quot;DOI&quot;:&quot;10.1007/S00261-016-0912-7&quot;,&quot;ISSN&quot;:&quot;2366-0058&quot;,&quot;PMID&quot;:&quot;27680014&quot;,&quot;URL&quot;:&quot;https://pubmed.ncbi.nlm.nih.gov/27680014/&quot;,&quot;issued&quot;:{&quot;date-parts&quot;:[[2017,2,1]]},&quot;page&quot;:&quot;478-489&quot;,&quot;abstract&quot;:&quot;Purpose: To compare the repeatability, agreement, and efficiency of MRI- and CT-based semiautomated liver segmentation for the assessment of total and subsegmental liver volume. Methods: This retrospective study was conducted in 31 subjects who underwent contemporaneous liver MRI and CT. Total and subsegmental liver volumes were segmented from contrast-enhanced 3D gradient-recalled echo MRI sequences and CT images. Semiautomated segmentation was based on variational interpolation and Laplacian mesh optimization. All segmentations were repeated after 2 weeks. Manual segmentation of CT images using an active contour tool was used as the reference standard. Repeatability and agreement of the methods were evaluated with intra-class correlation coefficients (ICC) and Bland–Altman analysis. Total interaction time was recorded. Results: Intra-reader ICC were ≥0.987 for MRI and ≥0.995 for CT. Intra-reader repeatability was 30 ± 217 ml (bias ± 1.96 SD) (95% limits of agreement: −187 to 247 ml) for MRI and −10 ± 143 ml (−153 to 133 ml) for CT. Inter-method ICC between semiautomated and manual volumetry were ≥0.995 for MRI and ≥0.986 for CT. Inter-method segmental ICC varied between 0.584 and 0.865 for MRI and between 0.596 and 0.890 for CT. Inter-method agreement was –14 ± 136 ml (−150 to 122 ml) for MRI and 50 ± 226 ml (−176 to 276 ml) for CT. Inter-method segmental agreement ranged from 10 ± 47 ml (−37 to 57 ml) to 2 ± 214 ml (−212 to 216 ml) for MRI and 9 ± 45 ml (−36 to 54 ml) to −46 ± 183 ml (−229 to 137 ml) for CT. Interaction time (mean ± SD) was significantly shorter for MRI-based semiautomated segmentation (7.2 ± 0.1 min, p &lt; 0.001) and for CT-based semiautomated segmentation (6.5 ± 0.2 min, p &lt; 0.001) than for CT-based manual segmentation (14.5 ± 0.4 min). Conclusion: MRI-based semiautomated segmentation provides similar repeatability and agreement to CT-based segmentation for total liver volume.&quot;,&quot;publisher&quot;:&quot;Abdom Radiol (NY)&quot;,&quot;issue&quot;:&quot;2&quot;,&quot;volume&quot;:&quot;42&quot;},&quot;isTemporary&quot;:false}]},{&quot;citationID&quot;:&quot;MENDELEY_CITATION_86f9bb8a-492d-4767-82c7-b92a75696a00&quot;,&quot;properties&quot;:{&quot;noteIndex&quot;:0},&quot;isEdited&quot;:false,&quot;manualOverride&quot;:{&quot;isManuallyOverridden&quot;:false,&quot;citeprocText&quot;:&quot;[49]&quot;,&quot;manualOverrideText&quot;:&quot;&quot;},&quot;citationTag&quot;:&quot;MENDELEY_CITATION_v3_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&quot;,&quot;citationItems&quot;:[{&quot;id&quot;:&quot;b061bb4a-d7f0-30bc-b38f-6b4a64b48d36&quot;,&quot;itemData&quot;:{&quot;type&quot;:&quot;article-journal&quot;,&quot;id&quot;:&quot;b061bb4a-d7f0-30bc-b38f-6b4a64b48d36&quot;,&quot;title&quot;:&quot;Computer Aided Preoperative Evaluation of the Residual Liver Volume Using Computed Tomography Images&quot;,&quot;author&quot;:[{&quot;family&quot;:&quot;Bliznakova&quot;,&quot;given&quot;:&quot;Kristina&quot;,&quot;parse-names&quot;:false,&quot;dropping-particle&quot;:&quot;&quot;,&quot;non-dropping-particle&quot;:&quot;&quot;},{&quot;family&quot;:&quot;Kolev&quot;,&quot;given&quot;:&quot;Nikola&quot;,&quot;parse-names&quot;:false,&quot;dropping-particle&quot;:&quot;&quot;,&quot;non-dropping-particle&quot;:&quot;&quot;},{&quot;family&quot;:&quot;Buliev&quot;,&quot;given&quot;:&quot;Ivan&quot;,&quot;parse-names&quot;:false,&quot;dropping-particle&quot;:&quot;&quot;,&quot;non-dropping-particle&quot;:&quot;&quot;},{&quot;family&quot;:&quot;Tonev&quot;,&quot;given&quot;:&quot;Anton&quot;,&quot;parse-names&quot;:false,&quot;dropping-particle&quot;:&quot;&quot;,&quot;non-dropping-particle&quot;:&quot;&quot;},{&quot;family&quot;:&quot;Encheva&quot;,&quot;given&quot;:&quot;Elitsa&quot;,&quot;parse-names&quot;:false,&quot;dropping-particle&quot;:&quot;&quot;,&quot;non-dropping-particle&quot;:&quot;&quot;},{&quot;family&quot;:&quot;Bliznakov&quot;,&quot;given&quot;:&quot;Zhivko&quot;,&quot;parse-names&quot;:false,&quot;dropping-particle&quot;:&quot;&quot;,&quot;non-dropping-particle&quot;:&quot;&quot;},{&quot;family&quot;:&quot;Ivanov&quot;,&quot;given&quot;:&quot;Krasimir&quot;,&quot;parse-names&quot;:false,&quot;dropping-particle&quot;:&quot;&quot;,&quot;non-dropping-particle&quot;:&quot;&quot;}],&quot;container-title&quot;:&quot;Journal of Digital Imaging&quot;,&quot;container-title-short&quot;:&quot;J Digit Imaging&quot;,&quot;DOI&quot;:&quot;10.1007/s10278-014-9737-5&quot;,&quot;ISSN&quot;:&quot;1618727X&quot;,&quot;PMID&quot;:&quot;25273505&quot;,&quot;issued&quot;:{&quot;date-parts&quot;:[[2015,4,1]]},&quot;page&quot;:&quot;231-239&quot;,&quot;abstract&quot;:&quot;Major hepatectomy causes a risk of postoperative liver dysfunction, failure, and infections like surgical site infection. Preoperative assessment of the liver volume and function of the remnant liver is a mandatory prerequisite before performing such surgery. The aim of this work is to develop and test a software application for evaluation of the residual function of the liver prior to the intervention of the surgeons. For this purpose, a technique for evaluation of liver volume from computed tomography (CT) images has been developed. Furthermore, the methodology algorithms were implemented and incorporated within a software tool with three basic functionalities: volume determination based on segmentation of liver from CT images, virtual tumour resection and estimation of the residual liver function and 3D visualisation. Forty-one sets of abdominal CT images consisting of different number of tomographic slice images were used to test and evaluate the proposed approach. Volumes that were obtained after manual tracing by two surgeon experts showed a relative difference of 3.5 %. The suggested methodology was encapsulated within an application with user-friendly interface that allows surgeons interactively to perform virtual tumour resection, to evaluate the relative residual liver and render the final result. Thereby, it is a tool in the surgeons’ hands that significantly facilitates their duties, saves time, and allows them to objectively evaluate the situation and take the right decisions. At the same time, the tool appears to be appropriate educational instrument for virtual training of young surgeon specialists.&quot;,&quot;publisher&quot;:&quot;Springer Science and Business Media, LLC&quot;,&quot;issue&quot;:&quot;2&quot;,&quot;volume&quot;:&quot;28&quot;},&quot;isTemporary&quot;:false}]},{&quot;citationID&quot;:&quot;MENDELEY_CITATION_aaa1ef87-1dbe-4ba8-a447-b868468a115f&quot;,&quot;properties&quot;:{&quot;noteIndex&quot;:0},&quot;isEdited&quot;:false,&quot;manualOverride&quot;:{&quot;isManuallyOverridden&quot;:false,&quot;citeprocText&quot;:&quot;[50]&quot;,&quot;manualOverrideText&quot;:&quot;&quot;},&quot;citationTag&quot;:&quot;MENDELEY_CITATION_v3_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&quot;,&quot;citationItems&quot;:[{&quot;id&quot;:&quot;03aa757c-bd69-3af4-81c7-20d757b5e21a&quot;,&quot;itemData&quot;:{&quot;type&quot;:&quot;article-journal&quot;,&quot;id&quot;:&quot;03aa757c-bd69-3af4-81c7-20d757b5e21a&quot;,&quot;title&quot;:&quot;Feasibility of three-dimensional virtual surgical planning in living liver donors&quot;,&quot;author&quot;:[{&quot;family&quot;:&quot;Yoon&quot;,&quot;given&quot;:&quot;Jeong Hee&quot;,&quot;parse-names&quot;:false,&quot;dropping-particle&quot;:&quot;&quot;,&quot;non-dropping-particle&quot;:&quot;&quot;},{&quot;family&quot;:&quot;Lee&quot;,&quot;given&quot;:&quot;Jeong Min&quot;,&quot;parse-names&quot;:false,&quot;dropping-particle&quot;:&quot;&quot;,&quot;non-dropping-particle&quot;:&quot;&quot;},{&quot;family&quot;:&quot;Jun&quot;,&quot;given&quot;:&quot;Ju Hyun&quot;,&quot;parse-names&quot;:false,&quot;dropping-particle&quot;:&quot;&quot;,&quot;non-dropping-particle&quot;:&quot;&quot;},{&quot;family&quot;:&quot;Suh&quot;,&quot;given&quot;:&quot;Kyung Suk&quot;,&quot;parse-names&quot;:false,&quot;dropping-particle&quot;:&quot;&quot;,&quot;non-dropping-particle&quot;:&quot;&quot;},{&quot;family&quot;:&quot;Coulon&quot;,&quot;given&quot;:&quot;Philippe&quot;,&quot;parse-names&quot;:false,&quot;dropping-particle&quot;:&quot;&quot;,&quot;non-dropping-particle&quot;:&quot;&quot;},{&quot;family&quot;:&quot;Han&quot;,&quot;given&quot;:&quot;Joon Koo&quot;,&quot;parse-names&quot;:false,&quot;dropping-particle&quot;:&quot;&quot;,&quot;non-dropping-particle&quot;:&quot;&quot;},{&quot;family&quot;:&quot;Choi&quot;,&quot;given&quot;:&quot;Byung Ihn&quot;,&quot;parse-names&quot;:false,&quot;dropping-particle&quot;:&quot;&quot;,&quot;non-dropping-particle&quot;:&quot;&quot;}],&quot;container-title&quot;:&quot;Abdominal imaging&quot;,&quot;container-title-short&quot;:&quot;Abdom Imaging&quot;,&quot;accessed&quot;:{&quot;date-parts&quot;:[[2024,2,4]]},&quot;DOI&quot;:&quot;10.1007/S00261-014-0231-9&quot;,&quot;ISSN&quot;:&quot;1432-0509&quot;,&quot;PMID&quot;:&quot;25173793&quot;,&quot;URL&quot;:&quot;https://pubmed.ncbi.nlm.nih.gov/25173793/&quot;,&quot;issued&quot;:{&quot;date-parts&quot;:[[2015,3,1]]},&quot;page&quot;:&quot;510-520&quot;,&quot;abstract&quot;:&quot;Purpose: The aim of the study was to determine the accuracy, reproducibility, and improvement in the clinical workflow of a semiautomatic computed tomography (CT) virtual surgical planning program in estimating graft volume using actual graft weight as a standard of reference in living liver donors.\nMaterials and methods: This retrospective study was approved by our Institutional Review Board and the requirement for informed consent was waived. A total of 105 liver donor candidates who underwent preoperative liver CT were reviewed. Volumes of the whole liver (VT), four hepatic segments, and predicted volumes of the hepatic graft (Vpred) were obtained using a semiautomatic analysis program by radiologists and a conventional manual volumetry program by surgeons. Intraobserver and interobserver agreements of VT and Vpred were assessed using intraclass correlation coefficients (ICCs). Vpred was also compared to the actual graft weight (Wact) and analysis times were recorded. In addition, potential vascular complications were assessed using the surgical planning function of the software.\nResults: The mean processing time of hepatic volumetry, segmentation, and surgical planning using software was significantly shorter than that using manual volumetry (175.9 ± 46.6 vs. 916.6 ± 52.8 s, P &lt; 0.001). VT and Vpred obtained using the semiautomatic analysis program showed significant intra and interobserver agreements (ICC = 0.98–0.99), and Vpred showed strong correlation with Wact (r = 0.83–0.86, P &lt; 0.0001). Furthermore, image review using the liver analysis program detected 80% (4/5) vascular complications.\nConclusion: Liver volumetry and estimation of graft volume using liver analysis software provided good accuracy and excellent reproducibility in a short time than manual volumetry method and was useful for identifying vascular complications.&quot;,&quot;publisher&quot;:&quot;Abdom Imaging&quot;,&quot;issue&quot;:&quot;3&quot;,&quot;volume&quot;:&quot;40&quot;},&quot;isTemporary&quot;:false}]},{&quot;citationID&quot;:&quot;MENDELEY_CITATION_c07e650f-bb84-4a61-b7c5-6a8c634c1730&quot;,&quot;properties&quot;:{&quot;noteIndex&quot;:0},&quot;isEdited&quot;:false,&quot;manualOverride&quot;:{&quot;isManuallyOverridden&quot;:false,&quot;citeprocText&quot;:&quot;[51]&quot;,&quot;manualOverrideText&quot;:&quot;&quot;},&quot;citationTag&quot;:&quot;MENDELEY_CITATION_v3_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&quot;,&quot;citationItems&quot;:[{&quot;id&quot;:&quot;afcaf692-59aa-3426-8f03-83ede95aec74&quot;,&quot;itemData&quot;:{&quot;type&quot;:&quot;article-journal&quot;,&quot;id&quot;:&quot;afcaf692-59aa-3426-8f03-83ede95aec74&quot;,&quot;title&quot;:&quot;Accuracy of Estimation of Graft Size for Living-Related Liver Transplantation: First Results of a Semi-Automated Interactive Software for CT-Volumetry&quot;,&quot;author&quot;:[{&quot;family&quot;:&quot;Mokry&quot;,&quot;given&quot;:&quot;Theresa&quot;,&quot;parse-names&quot;:false,&quot;dropping-particle&quot;:&quot;&quot;,&quot;non-dropping-particle&quot;:&quot;&quot;},{&quot;family&quot;:&quot;Bellemann&quot;,&quot;given&quot;:&quot;Nadine&quot;,&quot;parse-names&quot;:false,&quot;dropping-particle&quot;:&quot;&quot;,&quot;non-dropping-particle&quot;:&quot;&quot;},{&quot;family&quot;:&quot;Müller&quot;,&quot;given&quot;:&quot;Dirk&quot;,&quot;parse-names&quot;:false,&quot;dropping-particle&quot;:&quot;&quot;,&quot;non-dropping-particle&quot;:&quot;&quot;},{&quot;family&quot;:&quot;Bermejo&quot;,&quot;given&quot;:&quot;Justo Lorenzo&quot;,&quot;parse-names&quot;:false,&quot;dropping-particle&quot;:&quot;&quot;,&quot;non-dropping-particle&quot;:&quot;&quot;},{&quot;family&quot;:&quot;Klauß&quot;,&quot;given&quot;:&quot;Miriam&quot;,&quot;parse-names&quot;:false,&quot;dropping-particle&quot;:&quot;&quot;,&quot;non-dropping-particle&quot;:&quot;&quot;},{&quot;family&quot;:&quot;Stampfl&quot;,&quot;given&quot;:&quot;Ulrike&quot;,&quot;parse-names&quot;:false,&quot;dropping-particle&quot;:&quot;&quot;,&quot;non-dropping-particle&quot;:&quot;&quot;},{&quot;family&quot;:&quot;Radeleff&quot;,&quot;given&quot;:&quot;Boris&quot;,&quot;parse-names&quot;:false,&quot;dropping-particle&quot;:&quot;&quot;,&quot;non-dropping-particle&quot;:&quot;&quot;},{&quot;family&quot;:&quot;Schemmer&quot;,&quot;given&quot;:&quot;Peter&quot;,&quot;parse-names&quot;:false,&quot;dropping-particle&quot;:&quot;&quot;,&quot;non-dropping-particle&quot;:&quot;&quot;},{&quot;family&quot;:&quot;Kauczor&quot;,&quot;given&quot;:&quot;Hans Ulrich&quot;,&quot;parse-names&quot;:false,&quot;dropping-particle&quot;:&quot;&quot;,&quot;non-dropping-particle&quot;:&quot;&quot;},{&quot;family&quot;:&quot;Sommer&quot;,&quot;given&quot;:&quot;Christof Matthias&quot;,&quot;parse-names&quot;:false,&quot;dropping-particle&quot;:&quot;&quot;,&quot;non-dropping-particle&quot;:&quot;&quot;}],&quot;container-title&quot;:&quot;PLOS ONE&quot;,&quot;container-title-short&quot;:&quot;PLoS One&quot;,&quot;accessed&quot;:{&quot;date-parts&quot;:[[2024,10,17]]},&quot;DOI&quot;:&quot;10.1371/JOURNAL.PONE.0110201&quot;,&quot;ISSN&quot;:&quot;1932-6203&quot;,&quot;PMID&quot;:&quot;25330198&quot;,&quot;URL&quot;:&quot;https://journals.plos.org/plosone/article?id=10.1371/journal.pone.0110201&quot;,&quot;issued&quot;:{&quot;date-parts&quot;:[[2014,10,17]]},&quot;page&quot;:&quot;e110201&quot;,&quot;abstract&quot;:&quot;Objectives To evaluate accuracy of estimated graft size for living-related liver transplantation using a semi-automated interactive software for CT-volumetry.  Materials and Methods Sixteen donors for living-related liver transplantation (11 male; mean age: 38.2±9.6 years) underwent contrast-enhanced CT prior to graft removal. CT-volumetry was performed using a semi-automated interactive software (P), and compared with a manual commercial software (TR). For P, liver volumes were provided either with or without vessels. For TR, liver volumes were provided always with vessels. Intraoperative weight served as reference standard. Major study goals included analyses of volumes using absolute numbers, linear regression analyses and inter-observer agreements. Minor study goals included the description of the software workflow: degree of manual correction, speed for completion, and overall intuitiveness using five-point Likert scales: 1–markedly lower/faster/higher for P compared with TR, 2–slightly lower/faster/higher for P compared with TR, 3–identical for P and TR, 4–slightly lower/faster/higher for TR compared with P, and 5–markedly lower/faster/higher for TR compared with P.  Results Liver segments II/III, II–IV and V–VIII served in 6, 3, and 7 donors as transplanted liver segments. Volumes were 642.9±368.8 ml for TR with vessels, 623.8±349.1 ml for P with vessels, and 605.2±345.8 ml for P without vessels (P&lt;0.01). Regression equations between intraoperative weights and volumes were y = 0.94x+30.1 (R2 = 0.92; P&lt;0.001) for TR with vessels, y = 1.00x+12.0 (R2 = 0.92; P&lt;0.001) for P with vessels, and y = 1.01x+28.0 (R2 = 0.92; P&lt;0.001) for P without vessels. Inter-observer agreement showed a bias of 1.8 ml for TR with vessels, 5.4 ml for P with vessels, and 4.6 ml for P without vessels. For the degree of manual correction, speed for completion and overall intuitiveness, scale values were 2.6±0.8, 2.4±0.5 and 2.  Conclusions CT-volumetry performed with P can predict accurately graft size for living-related liver transplantation while improving workflow compared with TR.&quot;,&quot;publisher&quot;:&quot;Public Library of Science&quot;,&quot;issue&quot;:&quot;10&quot;,&quot;volume&quot;:&quot;9&quot;},&quot;isTemporary&quot;:false}]},{&quot;citationID&quot;:&quot;MENDELEY_CITATION_38078cb8-e7fd-4458-beaf-a1d4fdcf7c35&quot;,&quot;properties&quot;:{&quot;noteIndex&quot;:0},&quot;isEdited&quot;:false,&quot;manualOverride&quot;:{&quot;isManuallyOverridden&quot;:false,&quot;citeprocText&quot;:&quot;[52]&quot;,&quot;manualOverrideText&quot;:&quot;&quot;},&quot;citationTag&quot;:&quot;MENDELEY_CITATION_v3_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&quot;,&quot;citationItems&quot;:[{&quot;id&quot;:&quot;6cfcb8e3-6c89-3918-8c0c-350f06e97396&quot;,&quot;itemData&quot;:{&quot;type&quot;:&quot;article-journal&quot;,&quot;id&quot;:&quot;6cfcb8e3-6c89-3918-8c0c-350f06e97396&quot;,&quot;title&quot;:&quot;Fast and accurate liver volumetry prior to hepatectomy&quot;,&quot;author&quot;:[{&quot;family&quot;:&quot;Lodewick&quot;,&quot;given&quot;:&quot;Toine M.&quot;,&quot;parse-names&quot;:false,&quot;dropping-particle&quot;:&quot;&quot;,&quot;non-dropping-particle&quot;:&quot;&quot;},{&quot;family&quot;:&quot;Arnoldussen&quot;,&quot;given&quot;:&quot;Carsten W.K.P.&quot;,&quot;parse-names&quot;:false,&quot;dropping-particle&quot;:&quot;&quot;,&quot;non-dropping-particle&quot;:&quot;&quot;},{&quot;family&quot;:&quot;Lahaye&quot;,&quot;given&quot;:&quot;Max J.&quot;,&quot;parse-names&quot;:false,&quot;dropping-particle&quot;:&quot;&quot;,&quot;non-dropping-particle&quot;:&quot;&quot;},{&quot;family&quot;:&quot;Mierlo&quot;,&quot;given&quot;:&quot;Kim M.C.&quot;,&quot;parse-names&quot;:false,&quot;dropping-particle&quot;:&quot;&quot;,&quot;non-dropping-particle&quot;:&quot;van&quot;},{&quot;family&quot;:&quot;Neumann&quot;,&quot;given&quot;:&quot;Ulf P.&quot;,&quot;parse-names&quot;:false,&quot;dropping-particle&quot;:&quot;&quot;,&quot;non-dropping-particle&quot;:&quot;&quot;},{&quot;family&quot;:&quot;Beets-Tan&quot;,&quot;given&quot;:&quot;Regina G.&quot;,&quot;parse-names&quot;:false,&quot;dropping-particle&quot;:&quot;&quot;,&quot;non-dropping-particle&quot;:&quot;&quot;},{&quot;family&quot;:&quot;Dejong&quot;,&quot;given&quot;:&quot;Cornelis H.C.&quot;,&quot;parse-names&quot;:false,&quot;dropping-particle&quot;:&quot;&quot;,&quot;non-dropping-particle&quot;:&quot;&quot;},{&quot;family&quot;:&quot;Dam&quot;,&quot;given&quot;:&quot;Ronald M.&quot;,&quot;parse-names&quot;:false,&quot;dropping-particle&quot;:&quot;&quot;,&quot;non-dropping-particle&quot;:&quot;van&quot;}],&quot;container-title&quot;:&quot;HPB&quot;,&quot;DOI&quot;:&quot;10.1016/j.hpb.2016.06.009&quot;,&quot;ISSN&quot;:&quot;14772574&quot;,&quot;PMID&quot;:&quot;27593594&quot;,&quot;issued&quot;:{&quot;date-parts&quot;:[[2016,9,1]]},&quot;page&quot;:&quot;764-772&quot;,&quot;abstract&quot;:&quot;Background Volumetric assessment of the liver is essential in the prevention of postresectional liver failure after partial hepatectomy. Currently used methods are accurate but time-consuming. This study aimed to test a new automated method for preoperative volumetric liver assessment. Methods Patients who underwent a contrast enhanced portovenous phase CT-scan prior to hepatectomy in 2012 were included. Total liver volume (TLV) and future remnant liver volume (FRLV) were measured using TeraRecon Aquarius iNtuition® (autosegmentation) and OsiriX® (manual segmentation) software by two observers for each software package. Remnant liver volume percentage (RLV%) was calculated. Time needed to determine TLV and FRLV was measured. Inter-observer variability was assessed using Bland-Altman plots. Results Twenty-seven patients were included. There were no significant differences in measured volumes between OsiriX® and iNtuition®. Moreover, there were significant correlations between the OsiriX® observers, the iNtuition® observers and between OsiriX® and iNtuition® post-processing systems (all R2 &gt; 0.97). The median time needed for complete liver volumetric analysis was 18.4 ± 4.9 min with OsiriX® and 5.8 ± 1.7 min using iNtuition® (p &lt; 0.001). Conclusion Both OsiriX® and iNtuition® liver volumetry are accurate and easily applicable. However, volumetric assessment of the liver with iNtuition® auto-segmentation is three times faster compared to manual OsiriX® volumetry.&quot;,&quot;publisher&quot;:&quot;Elsevier B.V.&quot;,&quot;issue&quot;:&quot;9&quot;,&quot;volume&quot;:&quot;18&quot;,&quot;container-title-short&quot;:&quot;&quot;},&quot;isTemporary&quot;:false}]},{&quot;citationID&quot;:&quot;MENDELEY_CITATION_056f6cd7-9d02-418b-bc83-6295a1cc2931&quot;,&quot;properties&quot;:{&quot;noteIndex&quot;:0},&quot;isEdited&quot;:false,&quot;manualOverride&quot;:{&quot;isManuallyOverridden&quot;:false,&quot;citeprocText&quot;:&quot;[52]&quot;,&quot;manualOverrideText&quot;:&quot;&quot;},&quot;citationTag&quot;:&quot;MENDELEY_CITATION_v3_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&quot;,&quot;citationItems&quot;:[{&quot;id&quot;:&quot;6cfcb8e3-6c89-3918-8c0c-350f06e97396&quot;,&quot;itemData&quot;:{&quot;type&quot;:&quot;article-journal&quot;,&quot;id&quot;:&quot;6cfcb8e3-6c89-3918-8c0c-350f06e97396&quot;,&quot;title&quot;:&quot;Fast and accurate liver volumetry prior to hepatectomy&quot;,&quot;author&quot;:[{&quot;family&quot;:&quot;Lodewick&quot;,&quot;given&quot;:&quot;Toine M.&quot;,&quot;parse-names&quot;:false,&quot;dropping-particle&quot;:&quot;&quot;,&quot;non-dropping-particle&quot;:&quot;&quot;},{&quot;family&quot;:&quot;Arnoldussen&quot;,&quot;given&quot;:&quot;Carsten W.K.P.&quot;,&quot;parse-names&quot;:false,&quot;dropping-particle&quot;:&quot;&quot;,&quot;non-dropping-particle&quot;:&quot;&quot;},{&quot;family&quot;:&quot;Lahaye&quot;,&quot;given&quot;:&quot;Max J.&quot;,&quot;parse-names&quot;:false,&quot;dropping-particle&quot;:&quot;&quot;,&quot;non-dropping-particle&quot;:&quot;&quot;},{&quot;family&quot;:&quot;Mierlo&quot;,&quot;given&quot;:&quot;Kim M.C.&quot;,&quot;parse-names&quot;:false,&quot;dropping-particle&quot;:&quot;&quot;,&quot;non-dropping-particle&quot;:&quot;van&quot;},{&quot;family&quot;:&quot;Neumann&quot;,&quot;given&quot;:&quot;Ulf P.&quot;,&quot;parse-names&quot;:false,&quot;dropping-particle&quot;:&quot;&quot;,&quot;non-dropping-particle&quot;:&quot;&quot;},{&quot;family&quot;:&quot;Beets-Tan&quot;,&quot;given&quot;:&quot;Regina G.&quot;,&quot;parse-names&quot;:false,&quot;dropping-particle&quot;:&quot;&quot;,&quot;non-dropping-particle&quot;:&quot;&quot;},{&quot;family&quot;:&quot;Dejong&quot;,&quot;given&quot;:&quot;Cornelis H.C.&quot;,&quot;parse-names&quot;:false,&quot;dropping-particle&quot;:&quot;&quot;,&quot;non-dropping-particle&quot;:&quot;&quot;},{&quot;family&quot;:&quot;Dam&quot;,&quot;given&quot;:&quot;Ronald M.&quot;,&quot;parse-names&quot;:false,&quot;dropping-particle&quot;:&quot;&quot;,&quot;non-dropping-particle&quot;:&quot;van&quot;}],&quot;container-title&quot;:&quot;HPB&quot;,&quot;DOI&quot;:&quot;10.1016/j.hpb.2016.06.009&quot;,&quot;ISSN&quot;:&quot;14772574&quot;,&quot;PMID&quot;:&quot;27593594&quot;,&quot;issued&quot;:{&quot;date-parts&quot;:[[2016,9,1]]},&quot;page&quot;:&quot;764-772&quot;,&quot;abstract&quot;:&quot;Background Volumetric assessment of the liver is essential in the prevention of postresectional liver failure after partial hepatectomy. Currently used methods are accurate but time-consuming. This study aimed to test a new automated method for preoperative volumetric liver assessment. Methods Patients who underwent a contrast enhanced portovenous phase CT-scan prior to hepatectomy in 2012 were included. Total liver volume (TLV) and future remnant liver volume (FRLV) were measured using TeraRecon Aquarius iNtuition® (autosegmentation) and OsiriX® (manual segmentation) software by two observers for each software package. Remnant liver volume percentage (RLV%) was calculated. Time needed to determine TLV and FRLV was measured. Inter-observer variability was assessed using Bland-Altman plots. Results Twenty-seven patients were included. There were no significant differences in measured volumes between OsiriX® and iNtuition®. Moreover, there were significant correlations between the OsiriX® observers, the iNtuition® observers and between OsiriX® and iNtuition® post-processing systems (all R2 &gt; 0.97). The median time needed for complete liver volumetric analysis was 18.4 ± 4.9 min with OsiriX® and 5.8 ± 1.7 min using iNtuition® (p &lt; 0.001). Conclusion Both OsiriX® and iNtuition® liver volumetry are accurate and easily applicable. However, volumetric assessment of the liver with iNtuition® auto-segmentation is three times faster compared to manual OsiriX® volumetry.&quot;,&quot;publisher&quot;:&quot;Elsevier B.V.&quot;,&quot;issue&quot;:&quot;9&quot;,&quot;volume&quot;:&quot;18&quot;,&quot;container-title-short&quot;:&quot;&quot;},&quot;isTemporary&quot;:false}]},{&quot;citationID&quot;:&quot;MENDELEY_CITATION_a529f605-0523-4fff-953d-88ca53bd2007&quot;,&quot;properties&quot;:{&quot;noteIndex&quot;:0},&quot;isEdited&quot;:false,&quot;manualOverride&quot;:{&quot;isManuallyOverridden&quot;:false,&quot;citeprocText&quot;:&quot;[48]&quot;,&quot;manualOverrideText&quot;:&quot;&quot;},&quot;citationTag&quot;:&quot;MENDELEY_CITATION_v3_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&quot;,&quot;citationItems&quot;:[{&quot;id&quot;:&quot;8f229207-e9a6-3cf3-8175-4f524b0533cf&quot;,&quot;itemData&quot;:{&quot;type&quot;:&quot;article-journal&quot;,&quot;id&quot;:&quot;8f229207-e9a6-3cf3-8175-4f524b0533cf&quot;,&quot;title&quot;:&quot;The correlation between preoperative volumetry and real graft weight: Comparison of two volumetry programs&quot;,&quot;author&quot;:[{&quot;family&quot;:&quot;Mussin&quot;,&quot;given&quot;:&quot;Nadiar&quot;,&quot;parse-names&quot;:false,&quot;dropping-particle&quot;:&quot;&quot;,&quot;non-dropping-particle&quot;:&quot;&quot;},{&quot;family&quot;:&quot;Sumo&quot;,&quot;given&quot;:&quot;Marco&quot;,&quot;parse-names&quot;:false,&quot;dropping-particle&quot;:&quot;&quot;,&quot;non-dropping-particle&quot;:&quot;&quot;},{&quot;family&quot;:&quot;Lee&quot;,&quot;given&quot;:&quot;Kwang Woong&quot;,&quot;parse-names&quot;:false,&quot;dropping-particle&quot;:&quot;&quot;,&quot;non-dropping-particle&quot;:&quot;&quot;},{&quot;family&quot;:&quot;Choi&quot;,&quot;given&quot;:&quot;Young Rok&quot;,&quot;parse-names&quot;:false,&quot;dropping-particle&quot;:&quot;&quot;,&quot;non-dropping-particle&quot;:&quot;&quot;},{&quot;family&quot;:&quot;Choi&quot;,&quot;given&quot;:&quot;Jin Yong&quot;,&quot;parse-names&quot;:false,&quot;dropping-particle&quot;:&quot;&quot;,&quot;non-dropping-particle&quot;:&quot;&quot;},{&quot;family&quot;:&quot;Ahn&quot;,&quot;given&quot;:&quot;Sung Woo&quot;,&quot;parse-names&quot;:false,&quot;dropping-particle&quot;:&quot;&quot;,&quot;non-dropping-particle&quot;:&quot;&quot;},{&quot;family&quot;:&quot;Yoon&quot;,&quot;given&quot;:&quot;Kyung Chul&quot;,&quot;parse-names&quot;:false,&quot;dropping-particle&quot;:&quot;&quot;,&quot;non-dropping-particle&quot;:&quot;&quot;},{&quot;family&quot;:&quot;Kim&quot;,&quot;given&quot;:&quot;Hyo Sin&quot;,&quot;parse-names&quot;:false,&quot;dropping-particle&quot;:&quot;&quot;,&quot;non-dropping-particle&quot;:&quot;&quot;},{&quot;family&quot;:&quot;Hong&quot;,&quot;given&quot;:&quot;Suk Kyun&quot;,&quot;parse-names&quot;:false,&quot;dropping-particle&quot;:&quot;&quot;,&quot;non-dropping-particle&quot;:&quot;&quot;},{&quot;family&quot;:&quot;Yi&quot;,&quot;given&quot;:&quot;Nam Joon&quot;,&quot;parse-names&quot;:false,&quot;dropping-particle&quot;:&quot;&quot;,&quot;non-dropping-particle&quot;:&quot;&quot;},{&quot;family&quot;:&quot;Suh&quot;,&quot;given&quot;:&quot;Kyung Suk&quot;,&quot;parse-names&quot;:false,&quot;dropping-particle&quot;:&quot;&quot;,&quot;non-dropping-particle&quot;:&quot;&quot;}],&quot;container-title&quot;:&quot;Annals of Surgical Treatment and Research&quot;,&quot;container-title-short&quot;:&quot;Ann Surg Treat Res&quot;,&quot;DOI&quot;:&quot;10.4174/astr.2017.92.4.214&quot;,&quot;ISSN&quot;:&quot;22886796&quot;,&quot;issued&quot;:{&quot;date-parts&quot;:[[2017,4,1]]},&quot;page&quot;:&quot;214-220&quot;,&quot;abstract&quot;:&quot;Purpose: Liver volumetry is a vital component in living donor liver transplantation to determine an adequate graft volume that meets the metabolic demands of the recipient and at the same time ensures donor safety. Most institutions use preoperative contrast-enhanced CT image-based software programs to estimate graft volume. The objective of this study was to evaluate the accuracy of 2 liver volumetry programs (Rapidia vs. Dr. Liver) in preoperative right liver graft estimation compared with real graft weight. Methods: Data from 215 consecutive right lobe living donors between October 2013 and August 2015 were retrospectively reviewed. One hundred seven patients were enrolled in Rapidia group and 108 patients were included in the Dr. Liver group. Estimated graft volumes generated by both software programs were compared with real graft weight measured during surgery, and further classified into minimal difference (&lt;15%) and big difference (&gt;15%). Correlation coefficients and degree of difference were determined. Linear regressions were calculated and results depicted as scatterplots. Results: Minimal difference was observed in 69.4% of cases from Dr. Liver group and big difference was seen in 44.9% of cases from Rapidia group (P = 0.035). Linear regression analysis showed positive correlation in both groups (P &lt; 0.01). However, the correlation coefficient was better for the Dr. Liver group (R2 = 0.719), than for the Rapidia group (R2 = 0.688). Conclusion: Dr. Liver can accurately predict right liver graft size better and faster than Rapidia, and can facilitate preoperative planning in living donor liver transplantation.&quot;,&quot;publisher&quot;:&quot;Korean Surgical Society&quot;,&quot;issue&quot;:&quot;4&quot;,&quot;volume&quot;:&quot;92&quot;},&quot;isTemporary&quot;:false}]},{&quot;citationID&quot;:&quot;MENDELEY_CITATION_0da7dade-41bd-4d2d-aaf9-cf9cfc20e8e2&quot;,&quot;properties&quot;:{&quot;noteIndex&quot;:0},&quot;isEdited&quot;:false,&quot;manualOverride&quot;:{&quot;isManuallyOverridden&quot;:false,&quot;citeprocText&quot;:&quot;[48]&quot;,&quot;manualOverrideText&quot;:&quot;&quot;},&quot;citationTag&quot;:&quot;MENDELEY_CITATION_v3_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&quot;,&quot;citationItems&quot;:[{&quot;id&quot;:&quot;8f229207-e9a6-3cf3-8175-4f524b0533cf&quot;,&quot;itemData&quot;:{&quot;type&quot;:&quot;article-journal&quot;,&quot;id&quot;:&quot;8f229207-e9a6-3cf3-8175-4f524b0533cf&quot;,&quot;title&quot;:&quot;The correlation between preoperative volumetry and real graft weight: Comparison of two volumetry programs&quot;,&quot;author&quot;:[{&quot;family&quot;:&quot;Mussin&quot;,&quot;given&quot;:&quot;Nadiar&quot;,&quot;parse-names&quot;:false,&quot;dropping-particle&quot;:&quot;&quot;,&quot;non-dropping-particle&quot;:&quot;&quot;},{&quot;family&quot;:&quot;Sumo&quot;,&quot;given&quot;:&quot;Marco&quot;,&quot;parse-names&quot;:false,&quot;dropping-particle&quot;:&quot;&quot;,&quot;non-dropping-particle&quot;:&quot;&quot;},{&quot;family&quot;:&quot;Lee&quot;,&quot;given&quot;:&quot;Kwang Woong&quot;,&quot;parse-names&quot;:false,&quot;dropping-particle&quot;:&quot;&quot;,&quot;non-dropping-particle&quot;:&quot;&quot;},{&quot;family&quot;:&quot;Choi&quot;,&quot;given&quot;:&quot;Young Rok&quot;,&quot;parse-names&quot;:false,&quot;dropping-particle&quot;:&quot;&quot;,&quot;non-dropping-particle&quot;:&quot;&quot;},{&quot;family&quot;:&quot;Choi&quot;,&quot;given&quot;:&quot;Jin Yong&quot;,&quot;parse-names&quot;:false,&quot;dropping-particle&quot;:&quot;&quot;,&quot;non-dropping-particle&quot;:&quot;&quot;},{&quot;family&quot;:&quot;Ahn&quot;,&quot;given&quot;:&quot;Sung Woo&quot;,&quot;parse-names&quot;:false,&quot;dropping-particle&quot;:&quot;&quot;,&quot;non-dropping-particle&quot;:&quot;&quot;},{&quot;family&quot;:&quot;Yoon&quot;,&quot;given&quot;:&quot;Kyung Chul&quot;,&quot;parse-names&quot;:false,&quot;dropping-particle&quot;:&quot;&quot;,&quot;non-dropping-particle&quot;:&quot;&quot;},{&quot;family&quot;:&quot;Kim&quot;,&quot;given&quot;:&quot;Hyo Sin&quot;,&quot;parse-names&quot;:false,&quot;dropping-particle&quot;:&quot;&quot;,&quot;non-dropping-particle&quot;:&quot;&quot;},{&quot;family&quot;:&quot;Hong&quot;,&quot;given&quot;:&quot;Suk Kyun&quot;,&quot;parse-names&quot;:false,&quot;dropping-particle&quot;:&quot;&quot;,&quot;non-dropping-particle&quot;:&quot;&quot;},{&quot;family&quot;:&quot;Yi&quot;,&quot;given&quot;:&quot;Nam Joon&quot;,&quot;parse-names&quot;:false,&quot;dropping-particle&quot;:&quot;&quot;,&quot;non-dropping-particle&quot;:&quot;&quot;},{&quot;family&quot;:&quot;Suh&quot;,&quot;given&quot;:&quot;Kyung Suk&quot;,&quot;parse-names&quot;:false,&quot;dropping-particle&quot;:&quot;&quot;,&quot;non-dropping-particle&quot;:&quot;&quot;}],&quot;container-title&quot;:&quot;Annals of Surgical Treatment and Research&quot;,&quot;container-title-short&quot;:&quot;Ann Surg Treat Res&quot;,&quot;DOI&quot;:&quot;10.4174/astr.2017.92.4.214&quot;,&quot;ISSN&quot;:&quot;22886796&quot;,&quot;issued&quot;:{&quot;date-parts&quot;:[[2017,4,1]]},&quot;page&quot;:&quot;214-220&quot;,&quot;abstract&quot;:&quot;Purpose: Liver volumetry is a vital component in living donor liver transplantation to determine an adequate graft volume that meets the metabolic demands of the recipient and at the same time ensures donor safety. Most institutions use preoperative contrast-enhanced CT image-based software programs to estimate graft volume. The objective of this study was to evaluate the accuracy of 2 liver volumetry programs (Rapidia vs. Dr. Liver) in preoperative right liver graft estimation compared with real graft weight. Methods: Data from 215 consecutive right lobe living donors between October 2013 and August 2015 were retrospectively reviewed. One hundred seven patients were enrolled in Rapidia group and 108 patients were included in the Dr. Liver group. Estimated graft volumes generated by both software programs were compared with real graft weight measured during surgery, and further classified into minimal difference (&lt;15%) and big difference (&gt;15%). Correlation coefficients and degree of difference were determined. Linear regressions were calculated and results depicted as scatterplots. Results: Minimal difference was observed in 69.4% of cases from Dr. Liver group and big difference was seen in 44.9% of cases from Rapidia group (P = 0.035). Linear regression analysis showed positive correlation in both groups (P &lt; 0.01). However, the correlation coefficient was better for the Dr. Liver group (R2 = 0.719), than for the Rapidia group (R2 = 0.688). Conclusion: Dr. Liver can accurately predict right liver graft size better and faster than Rapidia, and can facilitate preoperative planning in living donor liver transplantation.&quot;,&quot;publisher&quot;:&quot;Korean Surgical Society&quot;,&quot;issue&quot;:&quot;4&quot;,&quot;volume&quot;:&quot;92&quot;},&quot;isTemporary&quot;:false}]},{&quot;citationID&quot;:&quot;MENDELEY_CITATION_bf7ca871-34e9-477e-8504-89b73b4ed21a&quot;,&quot;properties&quot;:{&quot;noteIndex&quot;:0},&quot;isEdited&quot;:false,&quot;manualOverride&quot;:{&quot;isManuallyOverridden&quot;:false,&quot;citeprocText&quot;:&quot;[53]&quot;,&quot;manualOverrideText&quot;:&quot;&quot;},&quot;citationItems&quot;:[{&quot;id&quot;:&quot;10e5456d-72df-3298-bc87-d93a5dbf0ed8&quot;,&quot;itemData&quot;:{&quot;type&quot;:&quot;article-journal&quot;,&quot;id&quot;:&quot;10e5456d-72df-3298-bc87-d93a5dbf0ed8&quot;,&quot;title&quot;:&quot;Resection plane-dependent error in computed tomography volumetry of the right hepatic lobe in living liver donors&quot;,&quot;author&quot;:[{&quot;family&quot;:&quot;Kwon&quot;,&quot;given&quot;:&quot;Heon Ju&quot;,&quot;parse-names&quot;:false,&quot;dropping-particle&quot;:&quot;&quot;,&quot;non-dropping-particle&quot;:&quot;&quot;},{&quot;family&quot;:&quot;Kim&quot;,&quot;given&quot;:&quot;Kyoung Won&quot;,&quot;parse-names&quot;:false,&quot;dropping-particle&quot;:&quot;&quot;,&quot;non-dropping-particle&quot;:&quot;&quot;},{&quot;family&quot;:&quot;Kim&quot;,&quot;given&quot;:&quot;Bohyun&quot;,&quot;parse-names&quot;:false,&quot;dropping-particle&quot;:&quot;&quot;,&quot;non-dropping-particle&quot;:&quot;&quot;},{&quot;family&quot;:&quot;Kim&quot;,&quot;given&quot;:&quot;So Yeon&quot;,&quot;parse-names&quot;:false,&quot;dropping-particle&quot;:&quot;&quot;,&quot;non-dropping-particle&quot;:&quot;&quot;},{&quot;family&quot;:&quot;Lee&quot;,&quot;given&quot;:&quot;Chul Seung&quot;,&quot;parse-names&quot;:false,&quot;dropping-particle&quot;:&quot;&quot;,&quot;non-dropping-particle&quot;:&quot;&quot;},{&quot;family&quot;:&quot;Lee&quot;,&quot;given&quot;:&quot;Jeongjin&quot;,&quot;parse-names&quot;:false,&quot;dropping-particle&quot;:&quot;&quot;,&quot;non-dropping-particle&quot;:&quot;&quot;},{&quot;family&quot;:&quot;Song&quot;,&quot;given&quot;:&quot;Gi Won&quot;,&quot;parse-names&quot;:false,&quot;dropping-particle&quot;:&quot;&quot;,&quot;non-dropping-particle&quot;:&quot;&quot;},{&quot;family&quot;:&quot;Lee&quot;,&quot;given&quot;:&quot;Sung Gyu&quot;,&quot;parse-names&quot;:false,&quot;dropping-particle&quot;:&quot;&quot;,&quot;non-dropping-particle&quot;:&quot;&quot;}],&quot;container-title&quot;:&quot;Clinical and Molecular Hepatology&quot;,&quot;container-title-short&quot;:&quot;Clin Mol Hepatol&quot;,&quot;DOI&quot;:&quot;10.3350/cmh.2017.0023&quot;,&quot;ISSN&quot;:&quot;2287285X&quot;,&quot;PMID&quot;:&quot;28759989&quot;,&quot;issued&quot;:{&quot;date-parts&quot;:[[2018,3,1]]},&quot;page&quot;:&quot;54-60&quot;,&quot;abstract&quot;:&quot;Background/Aims: Computed tomography (CT) hepatic volumetry is currently accepted as the most reliable method for preoperative estimation of graft weight in living donor liver transplantation (LDLT). However, several factors can cause inaccuracies in CT volumetry compared to real graft weight. The purpose of this study was to determine the frequency and degree of resection plane-dependent error in CT volumetry of the right hepatic lobe in LDLT. Methods: Forty-six living liver donors underwent CT before donor surgery and on postoperative day 7. Prospective CT volumetry (V P ) was measured via the assumptive hepatectomy plane. Retrospective liver volume (V R ) was measured using the actual plane by comparing preoperative and postoperative CT. Compared with intraoperatively measured weight (W), errors in percentage (%) V P and V R were evaluated. Plane-dependent error in V P was defined as the absolute difference between V P and V R . % plane-dependent error was defined as follows: |V P –V R |/W∙100. Results: Mean V P , V R , and W were 761.9 mL, 755.0 mL, and 696.9 g. Mean and % errors in V P were 73.3 mL and 10.7%. Mean error and % error in V R were 64.4 mL and 9.3%. Mean plane-dependent error in V P was 32.4 mL. Mean % plane-dependent error was 4.7%. Plane-dependent error in V P exceeded 10% of W in approximately 10% of the subjects in our study. Conclusions: There was approximately 5% plane-dependent error in liver V P on CT volumetry. Plane-dependent error in V P exceeded 10% of W in approximately 10% of LDLT donors in our study. This error should be considered, especially when CT volumetry is performed by a less experienced operator who is not well acquainted with the donor hepatectomy plane.&quot;,&quot;publisher&quot;:&quot;Korean Association for the Study of the Liver&quot;,&quot;issue&quot;:&quot;1&quot;,&quot;volume&quot;:&quot;24&quot;},&quot;isTemporary&quot;:false}],&quot;citationTag&quot;:&quot;MENDELEY_CITATION_v3_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&quot;},{&quot;citationID&quot;:&quot;MENDELEY_CITATION_e7676d1e-fcc1-4470-b3ac-e609f419330d&quot;,&quot;properties&quot;:{&quot;noteIndex&quot;:0},&quot;isEdited&quot;:false,&quot;manualOverride&quot;:{&quot;isManuallyOverridden&quot;:false,&quot;citeprocText&quot;:&quot;[54]&quot;,&quot;manualOverrideText&quot;:&quot;&quot;},&quot;citationTag&quot;:&quot;MENDELEY_CITATION_v3_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&quot;,&quot;citationItems&quot;:[{&quot;id&quot;:&quot;cce51b2e-354a-3416-a1c5-c2f5cc5e55fe&quot;,&quot;itemData&quot;:{&quot;type&quot;:&quot;article-journal&quot;,&quot;id&quot;:&quot;cce51b2e-354a-3416-a1c5-c2f5cc5e55fe&quot;,&quot;title&quot;:&quot;Dr. Liver: A preoperative planning system of liver graft volumetry for living donor liver transplantation&quot;,&quot;author&quot;:[{&quot;family&quot;:&quot;Yang&quot;,&quot;given&quot;:&quot;Xiaopeng&quot;,&quot;parse-names&quot;:false,&quot;dropping-particle&quot;:&quot;&quot;,&quot;non-dropping-particle&quot;:&quot;&quot;},{&quot;family&quot;:&quot;Yang&quot;,&quot;given&quot;:&quot;Jae&quot;,&quot;parse-names&quot;:false,&quot;dropping-particle&quot;:&quot;Do&quot;,&quot;non-dropping-particle&quot;:&quot;&quot;},{&quot;family&quot;:&quot;Yu&quot;,&quot;given&quot;:&quot;Hee Chul&quot;,&quot;parse-names&quot;:false,&quot;dropping-particle&quot;:&quot;&quot;,&quot;non-dropping-particle&quot;:&quot;&quot;},{&quot;family&quot;:&quot;Choi&quot;,&quot;given&quot;:&quot;Younggeun&quot;,&quot;parse-names&quot;:false,&quot;dropping-particle&quot;:&quot;&quot;,&quot;non-dropping-particle&quot;:&quot;&quot;},{&quot;family&quot;:&quot;Yang&quot;,&quot;given&quot;:&quot;Kwangho&quot;,&quot;parse-names&quot;:false,&quot;dropping-particle&quot;:&quot;&quot;,&quot;non-dropping-particle&quot;:&quot;&quot;},{&quot;family&quot;:&quot;Lee&quot;,&quot;given&quot;:&quot;Tae Beom&quot;,&quot;parse-names&quot;:false,&quot;dropping-particle&quot;:&quot;&quot;,&quot;non-dropping-particle&quot;:&quot;&quot;},{&quot;family&quot;:&quot;Hwang&quot;,&quot;given&quot;:&quot;Hong Pil&quot;,&quot;parse-names&quot;:false,&quot;dropping-particle&quot;:&quot;&quot;,&quot;non-dropping-particle&quot;:&quot;&quot;},{&quot;family&quot;:&quot;Ahn&quot;,&quot;given&quot;:&quot;Sungwoo&quot;,&quot;parse-names&quot;:false,&quot;dropping-particle&quot;:&quot;&quot;,&quot;non-dropping-particle&quot;:&quot;&quot;},{&quot;family&quot;:&quot;You&quot;,&quot;given&quot;:&quot;Heecheon&quot;,&quot;parse-names&quot;:false,&quot;dropping-particle&quot;:&quot;&quot;,&quot;non-dropping-particle&quot;:&quot;&quot;}],&quot;container-title&quot;:&quot;Computer Methods and Programs in Biomedicine&quot;,&quot;container-title-short&quot;:&quot;Comput Methods Programs Biomed&quot;,&quot;DOI&quot;:&quot;10.1016/j.cmpb.2018.01.024&quot;,&quot;ISSN&quot;:&quot;18727565&quot;,&quot;PMID&quot;:&quot;29544776&quot;,&quot;issued&quot;:{&quot;date-parts&quot;:[[2018,5,1]]},&quot;page&quot;:&quot;11-19&quot;,&quot;abstract&quot;:&quot;Background and Objective: Manual tracing of the right and left liver lobes from computed tomography (CT) images for graft volumetry in preoperative surgery planning of living donor liver transplantation (LDLT) is common at most medical centers. This study aims to develop an automatic system with advanced image processing algorithms and user-friendly interfaces for liver graft volumetry and evaluate its accuracy and efficiency in comparison with a manual tracing method. Methods: The proposed system provides a sequential procedure consisting of (1) liver segmentation, (2) blood vessel segmentation, and (3) virtual liver resection for liver graft volumetry. Automatic segmentation algorithms using histogram analysis, hybrid level-set methods, and a customized region growing method were developed. User-friendly interfaces such as sequential and hierarchical user menus, context-sensitive on-screen hotkey menus, and real-time sound and visual feedback were implemented. Blood vessels were excluded from the liver for accurate liver graft volumetry. A large sphere-based interactive method was developed for dividing the liver into left and right lobes with a customized cutting plane. The proposed system was evaluated using 50 CT datasets in terms of graft weight estimation accuracy and task completion time through comparison to the manual tracing method. The accuracy of liver graft weight estimation was assessed by absolute difference (AD) and percentage of AD (%AD) between preoperatively estimated graft weight and intraoperatively measured graft weight. Intra- and inter-observer agreements of liver graft weight estimation were assessed by intraclass correlation coefficients (ICCs) using ten cases randomly selected. Results: The proposed system showed significantly higher accuracy and efficiency in liver graft weight estimation (AD = 21.0 ± 18.4 g; %AD = 3.1% ± 2.8%; percentage of %AD &gt; 10% = none; task completion time = 7.3 ± 1.4 min) than the manual tracing method (AD = 70.5 ± 52.1 g; %AD = 10.2% ± 7.5%; percentage of %AD &gt; 10% = 46%; task completion time = 37.9 ± 7.0 min). The proposed system showed slightly higher intra- and inter-observer agreements (ICC = 0.996 to 0.998) than the manual tracing method (ICC = 0.979 to 0.999). Conclusions: The proposed system was proved accurate and efficient in liver graft volumetry for preoperative planning of LDLT.&quot;,&quot;publisher&quot;:&quot;Elsevier Ireland Ltd&quot;,&quot;volume&quot;:&quot;158&quot;},&quot;isTemporary&quot;:false}]},{&quot;citationID&quot;:&quot;MENDELEY_CITATION_f83cda7f-06cb-49af-bbdd-87dc7255db3e&quot;,&quot;properties&quot;:{&quot;noteIndex&quot;:0},&quot;isEdited&quot;:false,&quot;manualOverride&quot;:{&quot;isManuallyOverridden&quot;:false,&quot;citeprocText&quot;:&quot;[10]&quot;,&quot;manualOverrideText&quot;:&quot;&quot;},&quot;citationTag&quot;:&quot;MENDELEY_CITATION_v3_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&quot;,&quot;citationItems&quot;:[{&quot;id&quot;:&quot;85912826-55a8-3324-a123-4c9a9d6a6432&quot;,&quot;itemData&quot;:{&quot;type&quot;:&quot;article-journal&quot;,&quot;id&quot;:&quot;85912826-55a8-3324-a123-4c9a9d6a6432&quot;,&quot;title&quot;:&quot;Three-Dimensional Volumetric Assessment of Graft Volume in Living Donor Liver Transplantation: Does It Minimise Errors of Estimation?&quot;,&quot;author&quot;:[{&quot;family&quot;:&quot;Mohapatra&quot;,&quot;given&quot;:&quot;Nihar&quot;,&quot;parse-names&quot;:false,&quot;dropping-particle&quot;:&quot;&quot;,&quot;non-dropping-particle&quot;:&quot;&quot;},{&quot;family&quot;:&quot;Gurumoorthy Subramanya Bharathy&quot;,&quot;given&quot;:&quot;Kishore&quot;,&quot;parse-names&quot;:false,&quot;dropping-particle&quot;:&quot;&quot;,&quot;non-dropping-particle&quot;:&quot;&quot;},{&quot;family&quot;:&quot;Kumar Sinha&quot;,&quot;given&quot;:&quot;Piyush&quot;,&quot;parse-names&quot;:false,&quot;dropping-particle&quot;:&quot;&quot;,&quot;non-dropping-particle&quot;:&quot;&quot;},{&quot;family&quot;:&quot;Vasantrao Sasturkar&quot;,&quot;given&quot;:&quot;Shridhar&quot;,&quot;parse-names&quot;:false,&quot;dropping-particle&quot;:&quot;&quot;,&quot;non-dropping-particle&quot;:&quot;&quot;},{&quot;family&quot;:&quot;Patidar&quot;,&quot;given&quot;:&quot;Yashwant&quot;,&quot;parse-names&quot;:false,&quot;dropping-particle&quot;:&quot;&quot;,&quot;non-dropping-particle&quot;:&quot;&quot;},{&quot;family&quot;:&quot;Pamecha&quot;,&quot;given&quot;:&quot;Viniyendra&quot;,&quot;parse-names&quot;:false,&quot;dropping-particle&quot;:&quot;&quot;,&quot;non-dropping-particle&quot;:&quot;&quot;}],&quot;container-title&quot;:&quot;Journal of Clinical and Experimental Hepatology&quot;,&quot;container-title-short&quot;:&quot;J Clin Exp Hepatol&quot;,&quot;DOI&quot;:&quot;10.1016/j.jceh.2019.03.006&quot;,&quot;ISSN&quot;:&quot;22133453&quot;,&quot;issued&quot;:{&quot;date-parts&quot;:[[2020,1,1]]},&quot;page&quot;:&quot;1-8&quot;,&quot;abstract&quot;:&quot;Background: Accurate volumetric assessment of graft and remnant liver is essential in living donor liver transplantation (LDLT) for optimal clinical outcome in both donors and recipients. Recently, three-dimensional (3D) volumetry is proposed over conventional computed tomography (CT) volumetry to minimise errors. The aim of this study is to assess the correlation of estimated graft volume (EGV) by both the methods with actual graft weight (AGW). Methods: One hundred fifty-four consecutive donors were enrolled prospectively. Conventional CT volumetry (semiautomatic) and 3D volumetry were performed using Myrian software. Total liver volume (TLV), EGV, and remnant liver volume (RLV) were assessed using both methods and correlated with intraoperatively measured AGW as the reference standard. Error of estimation was calculated accordingly. Results: One hundred eighteen donors underwent right hepatectomy excluding middle hepatic vein (MHV), twenty-nine donors had left hepatectomy including MHV and six donors underwent left lateral sectionectomy. The median EGV on CT and 3D volumetry was 628.5 ml (140–1300) and 634.5 ml (156–1349), respectively. The median AGW was 647 gm (200–1004). Both CT and 3D volumetry showed strong correlation with AGW (correlation coefficients: 0.834 and 0.856, respectively). Linear correlation is as follows: (a) AGW = 99.75 + 0.818 × EGV (CT) and (b) AGW = 96.03 + 0.835 × EGV (3D). The mean percentage error for CT and 3D volumetry was 14.2 ± 12.5% and 12.2 ± 11.8%, respectively. The overall accuracy of estimation of EGV improved using 3D software (P=0.015). For the subgroup of types of graft, the difference did not reach statistical significance (P=0.062, 0.214 and 0.463 for right, left and left lateral grafts, respectively) Conclusion: Both conventional CT and 3D volumetric methods strongly correlate with AGW in donors of LDLT, whereas overall accuracy of estimation of graft weight improved marginally by 3D volumetry.&quot;,&quot;publisher&quot;:&quot;Elsevier B.V.&quot;,&quot;issue&quot;:&quot;1&quot;,&quot;volume&quot;:&quot;10&quot;},&quot;isTemporary&quot;:false}]},{&quot;citationID&quot;:&quot;MENDELEY_CITATION_97e9a965-1793-47b5-9fbd-eb13e1c5d3b7&quot;,&quot;properties&quot;:{&quot;noteIndex&quot;:0},&quot;isEdited&quot;:false,&quot;manualOverride&quot;:{&quot;isManuallyOverridden&quot;:false,&quot;citeprocText&quot;:&quot;[9]&quot;,&quot;manualOverrideText&quot;:&quot;&quot;},&quot;citationTag&quot;:&quot;MENDELEY_CITATION_v3_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&quot;,&quot;citationItems&quot;:[{&quot;id&quot;:&quot;4a8eb4d4-6832-3346-957e-285790984524&quot;,&quot;itemData&quot;:{&quot;type&quot;:&quot;article-journal&quot;,&quot;id&quot;:&quot;4a8eb4d4-6832-3346-957e-285790984524&quot;,&quot;title&quot;:&quot;Semi-automated computed tomography Volumetry can predict hemihepatectomy specimens' volumes in patients with hepatic malignancy&quot;,&quot;author&quot;:[{&quot;family&quot;:&quot;Mayer&quot;,&quot;given&quot;:&quot;Philipp&quot;,&quot;parse-names&quot;:false,&quot;dropping-particle&quot;:&quot;&quot;,&quot;non-dropping-particle&quot;:&quot;&quot;},{&quot;family&quot;:&quot;Grözinger&quot;,&quot;given&quot;:&quot;Martin&quot;,&quot;parse-names&quot;:false,&quot;dropping-particle&quot;:&quot;&quot;,&quot;non-dropping-particle&quot;:&quot;&quot;},{&quot;family&quot;:&quot;Mokry&quot;,&quot;given&quot;:&quot;Theresa&quot;,&quot;parse-names&quot;:false,&quot;dropping-particle&quot;:&quot;&quot;,&quot;non-dropping-particle&quot;:&quot;&quot;},{&quot;family&quot;:&quot;Schemmer&quot;,&quot;given&quot;:&quot;Peter&quot;,&quot;parse-names&quot;:false,&quot;dropping-particle&quot;:&quot;&quot;,&quot;non-dropping-particle&quot;:&quot;&quot;},{&quot;family&quot;:&quot;Waldburger&quot;,&quot;given&quot;:&quot;Nina&quot;,&quot;parse-names&quot;:false,&quot;dropping-particle&quot;:&quot;&quot;,&quot;non-dropping-particle&quot;:&quot;&quot;},{&quot;family&quot;:&quot;Kauczor&quot;,&quot;given&quot;:&quot;Hans-Ulrich&quot;,&quot;parse-names&quot;:false,&quot;dropping-particle&quot;:&quot;&quot;,&quot;non-dropping-particle&quot;:&quot;&quot;},{&quot;family&quot;:&quot;Klauss&quot;,&quot;given&quot;:&quot;Miriam&quot;,&quot;parse-names&quot;:false,&quot;dropping-particle&quot;:&quot;&quot;,&quot;non-dropping-particle&quot;:&quot;&quot;},{&quot;family&quot;:&quot;Sommer&quot;,&quot;given&quot;:&quot;Christof-Matthias&quot;,&quot;parse-names&quot;:false,&quot;dropping-particle&quot;:&quot;&quot;,&quot;non-dropping-particle&quot;:&quot;&quot;}],&quot;DOI&quot;:&quot;10.1186/s12880-019-0309&quot;,&quot;URL&quot;:&quot;https://doi.org/10.1186/s12880-019-0309-5&quot;,&quot;issued&quot;:{&quot;date-parts&quot;:[[2019]]},&quot;abstract&quot;:&quot;Background&quot;,&quot;container-title-short&quot;:&quot;&quot;},&quot;isTemporary&quot;:false}]},{&quot;citationID&quot;:&quot;MENDELEY_CITATION_bdae761b-7dda-4009-b3f8-6c4649cc47c5&quot;,&quot;properties&quot;:{&quot;noteIndex&quot;:0},&quot;isEdited&quot;:false,&quot;manualOverride&quot;:{&quot;isManuallyOverridden&quot;:false,&quot;citeprocText&quot;:&quot;[55]&quot;,&quot;manualOverrideText&quot;:&quot;&quot;},&quot;citationTag&quot;:&quot;MENDELEY_CITATION_v3_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&quot;,&quot;citationItems&quot;:[{&quot;id&quot;:&quot;4a5134ba-946a-399c-a44f-f233940c78fc&quot;,&quot;itemData&quot;:{&quot;type&quot;:&quot;article-journal&quot;,&quot;id&quot;:&quot;4a5134ba-946a-399c-a44f-f233940c78fc&quot;,&quot;title&quot;:&quot;A Comparison of Actual Graft Weight and Estimated Graft Volume Calculated with New Software Used for Anatomical and Volumetric Analysis of the Liver with Computed Tomography in Living Liver Donors&quot;,&quot;author&quot;:[{&quot;family&quot;:&quot;Özçelik&quot;,&quot;given&quot;:&quot;Ümit&quot;,&quot;parse-names&quot;:false,&quot;dropping-particle&quot;:&quot;&quot;,&quot;non-dropping-particle&quot;:&quot;&quot;},{&quot;family&quot;:&quot;Eren&quot;,&quot;given&quot;:&quot;Eryiğit&quot;,&quot;parse-names&quot;:false,&quot;dropping-particle&quot;:&quot;&quot;,&quot;non-dropping-particle&quot;:&quot;&quot;},{&quot;family&quot;:&quot;Tutpınar&quot;,&quot;given&quot;:&quot;Yıldıray&quot;,&quot;parse-names&quot;:false,&quot;dropping-particle&quot;:&quot;&quot;,&quot;non-dropping-particle&quot;:&quot;&quot;},{&quot;family&quot;:&quot;Urut&quot;,&quot;given&quot;:&quot;Devrim Ulaş&quot;,&quot;parse-names&quot;:false,&quot;dropping-particle&quot;:&quot;&quot;,&quot;non-dropping-particle&quot;:&quot;&quot;},{&quot;family&quot;:&quot;Tokaç&quot;,&quot;given&quot;:&quot;Mehmet&quot;,&quot;parse-names&quot;:false,&quot;dropping-particle&quot;:&quot;&quot;,&quot;non-dropping-particle&quot;:&quot;&quot;},{&quot;family&quot;:&quot;Dinçkan&quot;,&quot;given&quot;:&quot;Ayhan&quot;,&quot;parse-names&quot;:false,&quot;dropping-particle&quot;:&quot;&quot;,&quot;non-dropping-particle&quot;:&quot;&quot;}],&quot;container-title&quot;:&quot;Experimed&quot;,&quot;accessed&quot;:{&quot;date-parts&quot;:[[2024,10,17]]},&quot;DOI&quot;:&quot;10.26650/EXPERIMED.2021.942836&quot;,&quot;ISSN&quot;:&quot;26675846&quot;,&quot;issued&quot;:{&quot;date-parts&quot;:[[2021]]},&quot;page&quot;:&quot;96-101&quot;,&quot;abstract&quot;:&quot;Objective: In the living donor liver transplantation (LDLT) context, accurate estimation of the graft weight to recipient weight ratio (GRWR) and future donor liver remnant volume by pre-operative volumetric analysis is very important. We aimed to compare the estimated graft volume (EGV) calculated with the LiverVision® software with the actual graft weight (AGW) measured in the back-ta-ble in this study. Material and Method: Patients who underwent right lobe LDLT and liver donors between 01.01.2018-30.05.2020 were retrospec-tively evaluated. Demographic data, body mass index, EGV, AGW and GRWR were recorded. Linear regression analysis, Pearson correlation coefficient and Bland-Altman plots were utilized for evaluation of the relationships between continuous variables. Results: A total of 108 liver donors were included in the study. The mean age of the donors was 32.6±8.8 years and mean EGV was 902.5±147.1 mL for all donors. The mean AGW was 890.6±145.9 g for all donors. A significant correlation was found between EGV and AGW for all donors (r=0.856, p&lt;0.001). The mean difference between EGV and AGW was 11.9±78.5 for all donors. 105 of the 108 (97.2%) measurements were within the 95% ranges of agreement between EGV and AGW according to the Bland-Altman plot. According to the regression model created to calculate the AGW, the formula AGW (g)=0.85xEGV (mL)+124.5 was obtained (r2=0.732, p&lt;0.001). Conclusion: The liver volumes of the donors were successfully estimated with computed tomography (CT) with the newly developed Turkish semi-automatic LiverVision® software.&quot;,&quot;publisher&quot;:&quot;Istanbul University Press&quot;,&quot;issue&quot;:&quot;2&quot;,&quot;volume&quot;:&quot;11&quot;,&quot;container-title-short&quot;:&quot;&quot;},&quot;isTemporary&quot;:false}]},{&quot;citationID&quot;:&quot;MENDELEY_CITATION_0fc33471-df07-4f7c-a805-4b8296ff5e8b&quot;,&quot;properties&quot;:{&quot;noteIndex&quot;:0},&quot;isEdited&quot;:false,&quot;manualOverride&quot;:{&quot;isManuallyOverridden&quot;:false,&quot;citeprocText&quot;:&quot;[4]&quot;,&quot;manualOverrideText&quot;:&quot;&quot;},&quot;citationTag&quot;:&quot;MENDELEY_CITATION_v3_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&quot;,&quot;citationItems&quot;:[{&quot;id&quot;:&quot;4eecabdb-e70e-3901-8a02-ec8fc96eb936&quot;,&quot;itemData&quot;:{&quot;type&quot;:&quot;article-journal&quot;,&quot;id&quot;:&quot;4eecabdb-e70e-3901-8a02-ec8fc96eb936&quot;,&quot;title&quot;:&quot;Manual and semi-automated computed tomography volumetry significantly overestimates the right liver lobe graft weight: a single-center study with adult living liver donors&quot;,&quot;author&quot;:[{&quot;family&quot;:&quot;Çelik&quot;,&quot;given&quot;:&quot;Hakkı&quot;,&quot;parse-names&quot;:false,&quot;dropping-particle&quot;:&quot;&quot;,&quot;non-dropping-particle&quot;:&quot;&quot;},{&quot;family&quot;:&quot;Odaman&quot;,&quot;given&quot;:&quot;Hüseyin&quot;,&quot;parse-names&quot;:false,&quot;dropping-particle&quot;:&quot;&quot;,&quot;non-dropping-particle&quot;:&quot;&quot;},{&quot;family&quot;:&quot;Altay&quot;,&quot;given&quot;:&quot;Canan&quot;,&quot;parse-names&quot;:false,&quot;dropping-particle&quot;:&quot;&quot;,&quot;non-dropping-particle&quot;:&quot;&quot;},{&quot;family&quot;:&quot;Ünek&quot;,&quot;given&quot;:&quot;Tarkan&quot;,&quot;parse-names&quot;:false,&quot;dropping-particle&quot;:&quot;&quot;,&quot;non-dropping-particle&quot;:&quot;&quot;},{&quot;family&quot;:&quot;Özbilgin&quot;,&quot;given&quot;:&quot;Mücahit&quot;,&quot;parse-names&quot;:false,&quot;dropping-particle&quot;:&quot;&quot;,&quot;non-dropping-particle&quot;:&quot;&quot;},{&quot;family&quot;:&quot;Egeli&quot;,&quot;given&quot;:&quot;Tufan&quot;,&quot;parse-names&quot;:false,&quot;dropping-particle&quot;:&quot;&quot;,&quot;non-dropping-particle&quot;:&quot;&quot;},{&quot;family&quot;:&quot;Ağalar&quot;,&quot;given&quot;:&quot;Cihan&quot;,&quot;parse-names&quot;:false,&quot;dropping-particle&quot;:&quot;&quot;,&quot;non-dropping-particle&quot;:&quot;&quot;},{&quot;family&quot;:&quot;Astarcıoğlu&quot;,&quot;given&quot;:&quot;İbrahim Kemal&quot;,&quot;parse-names&quot;:false,&quot;dropping-particle&quot;:&quot;&quot;,&quot;non-dropping-particle&quot;:&quot;&quot;},{&quot;family&quot;:&quot;Barlık&quot;,&quot;given&quot;:&quot;Funda&quot;,&quot;parse-names&quot;:false,&quot;dropping-particle&quot;:&quot;&quot;,&quot;non-dropping-particle&quot;:&quot;&quot;}],&quot;container-title&quot;:&quot;Diagnostic and interventional radiology (Ankara, Turkey)&quot;,&quot;container-title-short&quot;:&quot;Diagn Interv Radiol&quot;,&quot;accessed&quot;:{&quot;date-parts&quot;:[[2023,6,15]]},&quot;DOI&quot;:&quot;10.4274/DIR.2023.221903&quot;,&quot;ISSN&quot;:&quot;1305-3612&quot;,&quot;PMID&quot;:&quot;37154817&quot;,&quot;URL&quot;:&quot;https://pubmed.ncbi.nlm.nih.gov/37154817/&quot;,&quot;issued&quot;:{&quot;date-parts&quot;:[[2023,5,8]]},&quot;page&quot;:&quot;0-0&quot;,&quot;publisher&quot;:&quot;Diagn Interv Radiol&quot;,&quot;issue&quot;:&quot;0&quot;,&quot;volume&quot;:&quot;0&quot;},&quot;isTemporary&quot;:false}]},{&quot;citationID&quot;:&quot;MENDELEY_CITATION_604734ff-782f-4473-a665-98206bba28b9&quot;,&quot;properties&quot;:{&quot;noteIndex&quot;:0},&quot;isEdited&quot;:false,&quot;manualOverride&quot;:{&quot;isManuallyOverridden&quot;:false,&quot;citeprocText&quot;:&quot;[56]&quot;,&quot;manualOverrideText&quot;:&quot;&quot;},&quot;citationTag&quot;:&quot;MENDELEY_CITATION_v3_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&quot;,&quot;citationItems&quot;:[{&quot;id&quot;:&quot;b86c0967-6869-384b-9bfd-bab426ea2b62&quot;,&quot;itemData&quot;:{&quot;type&quot;:&quot;paper-conference&quot;,&quot;id&quot;:&quot;b86c0967-6869-384b-9bfd-bab426ea2b62&quot;,&quot;title&quot;:&quot;Comparison of techniques for volumetric analysis of the future liver remnant: Implications for major hepatic resections&quot;,&quot;author&quot;:[{&quot;family&quot;:&quot;Martel&quot;,&quot;given&quot;:&quot;Guillaume&quot;,&quot;parse-names&quot;:false,&quot;dropping-particle&quot;:&quot;&quot;,&quot;non-dropping-particle&quot;:&quot;&quot;},{&quot;family&quot;:&quot;Cieslak&quot;,&quot;given&quot;:&quot;Kasia P.&quot;,&quot;parse-names&quot;:false,&quot;dropping-particle&quot;:&quot;&quot;,&quot;non-dropping-particle&quot;:&quot;&quot;},{&quot;family&quot;:&quot;Huang&quot;,&quot;given&quot;:&quot;Ruiyao&quot;,&quot;parse-names&quot;:false,&quot;dropping-particle&quot;:&quot;&quot;,&quot;non-dropping-particle&quot;:&quot;&quot;},{&quot;family&quot;:&quot;Lienden&quot;,&quot;given&quot;:&quot;Krijn P.&quot;,&quot;parse-names&quot;:false,&quot;dropping-particle&quot;:&quot;&quot;,&quot;non-dropping-particle&quot;:&quot;Van&quot;},{&quot;family&quot;:&quot;Wiggers&quot;,&quot;given&quot;:&quot;Jimme K.&quot;,&quot;parse-names&quot;:false,&quot;dropping-particle&quot;:&quot;&quot;,&quot;non-dropping-particle&quot;:&quot;&quot;},{&quot;family&quot;:&quot;Belblidia&quot;,&quot;given&quot;:&quot;Assia&quot;,&quot;parse-names&quot;:false,&quot;dropping-particle&quot;:&quot;&quot;,&quot;non-dropping-particle&quot;:&quot;&quot;},{&quot;family&quot;:&quot;Dagenais&quot;,&quot;given&quot;:&quot;Michel&quot;,&quot;parse-names&quot;:false,&quot;dropping-particle&quot;:&quot;&quot;,&quot;non-dropping-particle&quot;:&quot;&quot;},{&quot;family&quot;:&quot;Lapointe&quot;,&quot;given&quot;:&quot;Réal&quot;,&quot;parse-names&quot;:false,&quot;dropping-particle&quot;:&quot;&quot;,&quot;non-dropping-particle&quot;:&quot;&quot;},{&quot;family&quot;:&quot;Gulik&quot;,&quot;given&quot;:&quot;Thomas M.&quot;,&quot;parse-names&quot;:false,&quot;dropping-particle&quot;:&quot;&quot;,&quot;non-dropping-particle&quot;:&quot;Van&quot;},{&quot;family&quot;:&quot;Vandenbroucke-Menu&quot;,&quot;given&quot;:&quot;Franck&quot;,&quot;parse-names&quot;:false,&quot;dropping-particle&quot;:&quot;&quot;,&quot;non-dropping-particle&quot;:&quot;&quot;}],&quot;container-title&quot;:&quot;HPB&quot;,&quot;DOI&quot;:&quot;10.1111/hpb.12480&quot;,&quot;ISSN&quot;:&quot;14772574&quot;,&quot;PMID&quot;:&quot;26373675&quot;,&quot;issued&quot;:{&quot;date-parts&quot;:[[2015,12,1]]},&quot;page&quot;:&quot;1051-1057&quot;,&quot;abstract&quot;:&quot;Objective The purpose of this work was to compare measured and estimated volumetry prior to liver resection. Methods Data for consecutive patients submitted to major liver resection for colorectal liver metastases at two centres during 2004-2012 were reviewed. All patients underwent volumetric analysis to define the measured total liver volume (mTLV) and measured future liver remnant ratio (mRFLR). The estimated total liver volume (eTLV) standardized to body surface area and estimated future liver remnant ratio (eRFLR) were calculated. Descriptive statistics were generated and compared. A difference between mRFLR and eRFLR of ±5% was considered clinically relevant. Results Data for a total of 116 patients were included. All patients underwent major resection and 51% underwent portal vein embolization. The mean difference between mTLV and eTLV was 157 ml (P &lt; 0.0001), whereas the mean difference between mRFLR and eRFLR was -1.7% (P = 0.013). By linear regression, eTLV was only moderately predictive of mTLV (R2 = 0.35). The distribution of differences between mRFLR and eRFLR demonstrated that the formula over- or underestimated mRFLR by ≥5% in 31.9% of patients. Conclusions Measured and estimated volumetry yielded differences in the FLR of ≥5% in almost one-third of patients, potentially affecting clinical decision making. Estimated volumetry should be used cautiously and cannot be recommended for general use.&quot;,&quot;publisher&quot;:&quot;Blackwell Publishing Ltd&quot;,&quot;issue&quot;:&quot;12&quot;,&quot;volume&quot;:&quot;17&quot;,&quot;container-title-short&quot;:&quot;&quot;},&quot;isTemporary&quot;:false}]},{&quot;citationID&quot;:&quot;MENDELEY_CITATION_01c76e24-2e5f-4dad-ae6d-6666842bb03a&quot;,&quot;properties&quot;:{&quot;noteIndex&quot;:0},&quot;isEdited&quot;:false,&quot;manualOverride&quot;:{&quot;isManuallyOverridden&quot;:false,&quot;citeprocText&quot;:&quot;[6]&quot;,&quot;manualOverrideText&quot;:&quot;&quot;},&quot;citationTag&quot;:&quot;MENDELEY_CITATION_v3_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&quot;,&quot;citationItems&quot;:[{&quot;id&quot;:&quot;e1bd0865-2399-3e08-952f-09ed7685c985&quot;,&quot;itemData&quot;:{&quot;type&quot;:&quot;article-journal&quot;,&quot;id&quot;:&quot;e1bd0865-2399-3e08-952f-09ed7685c985&quot;,&quot;title&quot;:&quot;Liver volumetric and anatomic assessment in living donor liver transplantation: The role of modern imaging and artificial intelligence&quot;,&quot;author&quot;:[{&quot;family&quot;:&quot;Machry&quot;,&quot;given&quot;:&quot;Mayara&quot;,&quot;parse-names&quot;:false,&quot;dropping-particle&quot;:&quot;&quot;,&quot;non-dropping-particle&quot;:&quot;&quot;},{&quot;family&quot;:&quot;Ferreira&quot;,&quot;given&quot;:&quot;Luis Fernando&quot;,&quot;parse-names&quot;:false,&quot;dropping-particle&quot;:&quot;&quot;,&quot;non-dropping-particle&quot;:&quot;&quot;},{&quot;family&quot;:&quot;Lucchese&quot;,&quot;given&quot;:&quot;Angelica Maria&quot;,&quot;parse-names&quot;:false,&quot;dropping-particle&quot;:&quot;&quot;,&quot;non-dropping-particle&quot;:&quot;&quot;},{&quot;family&quot;:&quot;Kalil&quot;,&quot;given&quot;:&quot;Antonio Nocchi&quot;,&quot;parse-names&quot;:false,&quot;dropping-particle&quot;:&quot;&quot;,&quot;non-dropping-particle&quot;:&quot;&quot;},{&quot;family&quot;:&quot;Feier&quot;,&quot;given&quot;:&quot;Flavia Heinz&quot;,&quot;parse-names&quot;:false,&quot;dropping-particle&quot;:&quot;&quot;,&quot;non-dropping-particle&quot;:&quot;&quot;}],&quot;container-title&quot;:&quot;World journal of transplantation&quot;,&quot;container-title-short&quot;:&quot;World J Transplant&quot;,&quot;accessed&quot;:{&quot;date-parts&quot;:[[2024,4,22]]},&quot;DOI&quot;:&quot;10.5500/WJT.V13.I6.290&quot;,&quot;ISSN&quot;:&quot;2220-3230&quot;,&quot;PMID&quot;:&quot;38174151&quot;,&quot;URL&quot;:&quot;https://pubmed.ncbi.nlm.nih.gov/38174151/&quot;,&quot;issued&quot;:{&quot;date-parts&quot;:[[2023,12,18]]},&quot;page&quot;:&quot;290-298&quot;,&quot;abstract&quot;:&quot;The shortage of deceased donor organs has prompted the development of alternative liver grafts for transplantation. Living-donor liver transplantation (LDLT) has emerged as a viable option, expanding the donor pool and enabling timely transplantation with favorable graft function and improved long-term outcomes. An accurate evaluation of the donor liver’s volumetry (LV) and anatomical study is crucial to ensure adequate future liver remnant, graft volume and precise liver resection. Thus, ensuring donor safety and an appropriate graft-to-recipient weight ratio. Manual LV (MLV) using computed tomography has traditionally been considered the gold standard for assessing liver volume. However, the method has been limited by cost, subjectivity, and variability. Automated LV techniques employing advanced segmentation algorithms offer improved reproducibility, reduced variability, and enhanced efficiency compared to manual measurements. However, the accuracy of automated LV requires further investigation. The study provides a comprehensive review of traditional and emerging LV methods, including semi-automated image processing, automated LV techniques, and machine learning-based approaches. Additionally, the study discusses the respective strengths and weaknesses of each of the aforementioned techniques. The use of artificial intelligence (AI) technologies, including machine learning and deep learning, is expected to become a routine part of surgical planning in the near future. The implementation of AI is expected to enable faster and more accurate image study interpretations, improve workflow efficiency, and enhance the safety, speed, and cost-effectiveness of the procedures. Accurate preoperative assessment of the liver plays a crucial role in ensuring safe donor selection and improved outcomes in LDLT. MLV has inherent limitations that have led to the adoption of semi-automated and automated software solutions. Moreover, AI has tremendous potential for LV and segmentation; however, its widespread use is hindered by cost and availability. Therefore, the integration of multiple specialties is necessary to embrace technology and explore its possibilities, ranging from patient counseling to intraoperative decision-making through automation and AI.&quot;,&quot;publisher&quot;:&quot;World J Transplant&quot;,&quot;issue&quot;:&quot;6&quot;,&quot;volume&quot;:&quot;13&quot;},&quot;isTemporary&quot;:false}]},{&quot;citationID&quot;:&quot;MENDELEY_CITATION_a1e66d27-3359-4f27-b9a1-509343d0cc12&quot;,&quot;properties&quot;:{&quot;noteIndex&quot;:0},&quot;isEdited&quot;:false,&quot;manualOverride&quot;:{&quot;isManuallyOverridden&quot;:false,&quot;citeprocText&quot;:&quot;[57]&quot;,&quot;manualOverrideText&quot;:&quot;&quot;},&quot;citationTag&quot;:&quot;MENDELEY_CITATION_v3_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&quot;,&quot;citationItems&quot;:[{&quot;id&quot;:&quot;51f18543-692c-32d5-aac3-a16ca9f3f9d5&quot;,&quot;itemData&quot;:{&quot;type&quot;:&quot;article-journal&quot;,&quot;id&quot;:&quot;51f18543-692c-32d5-aac3-a16ca9f3f9d5&quot;,&quot;title&quot;:&quot;Computer-aided liver volumetry: performance of a fully-automated, prototype post-processing solution for whole-organ and lobar segmentation based on MDCT imaging&quot;,&quot;author&quot;:[{&quot;family&quot;:&quot;Fananapazir&quot;,&quot;given&quot;:&quot;Ghaneh&quot;,&quot;parse-names&quot;:false,&quot;dropping-particle&quot;:&quot;&quot;,&quot;non-dropping-particle&quot;:&quot;&quot;},{&quot;family&quot;:&quot;Bashir&quot;,&quot;given&quot;:&quot;Mustafa R.&quot;,&quot;parse-names&quot;:false,&quot;dropping-particle&quot;:&quot;&quot;,&quot;non-dropping-particle&quot;:&quot;&quot;},{&quot;family&quot;:&quot;Marin&quot;,&quot;given&quot;:&quot;Daniele&quot;,&quot;parse-names&quot;:false,&quot;dropping-particle&quot;:&quot;&quot;,&quot;non-dropping-particle&quot;:&quot;&quot;},{&quot;family&quot;:&quot;Boll&quot;,&quot;given&quot;:&quot;Daniel T.&quot;,&quot;parse-names&quot;:false,&quot;dropping-particle&quot;:&quot;&quot;,&quot;non-dropping-particle&quot;:&quot;&quot;}],&quot;container-title&quot;:&quot;Abdominal Imaging&quot;,&quot;container-title-short&quot;:&quot;Abdom Imaging&quot;,&quot;accessed&quot;:{&quot;date-parts&quot;:[[2024,4,22]]},&quot;DOI&quot;:&quot;10.1007/S00261-014-0276-9/FIGURES/6&quot;,&quot;ISSN&quot;:&quot;14320509&quot;,&quot;PMID&quot;:&quot;25326261&quot;,&quot;URL&quot;:&quot;https://link.springer.com/article/10.1007/s00261-014-0276-9&quot;,&quot;issued&quot;:{&quot;date-parts&quot;:[[2015,6,1]]},&quot;page&quot;:&quot;1203-1212&quot;,&quot;abstract&quot;:&quot;Purpose: To evaluate the performance of a prototype, fully-automated post-processing solution for whole-liver and lobar segmentation based on MDCT datasets. Materials and methods: A polymer liver phantom was used to assess accuracy of post-processing applications comparing phantom volumes determined via Archimedes’ principle with MDCT segmented datasets. For the IRB-approved, HIPAA-compliant study, 25 patients were enrolled. Volumetry performance compared the manual approach with the automated prototype, assessing intraobserver variability, and interclass correlation for whole-organ and lobar segmentation using ANOVA comparison. Fidelity of segmentation was evaluated qualitatively. Results: Phantom volume was 1581.0 ± 44.7 mL, manually segmented datasets estimated 1628.0 ± 47.8 mL, representing a mean overestimation of 3.0%, automatically segmented datasets estimated 1601.9 ± 0 mL, representing a mean overestimation of 1.3%. Whole-liver and segmental volumetry demonstrated no significant intraobserver variability for neither manual nor automated measurements. For whole-liver volumetry, automated measurement repetitions resulted in identical values; reproducible whole-organ volumetry was also achieved with manual segmentation, pANOVA 0.98. For lobar volumetry, automated segmentation improved reproducibility over manual approach, without significant measurement differences for either methodology, pANOVA 0.95–0.99. Whole-organ and lobar segmentation results from manual and automated segmentation showed no significant differences, pANOVA 0.96–1.00. Assessment of segmentation fidelity found that segments I–IV/VI showed greater segmentation inaccuracies compared to the remaining right hepatic lobe segments. Conclusion: Automated whole-liver segmentation showed non-inferiority of fully-automated whole-liver segmentation compared to manual approaches with improved reproducibility and post-processing duration; automated dual-seed lobar segmentation showed slight tendencies for underestimating the right hepatic lobe volume and greater variability in edge detection for the left hepatic lobe compared to manual segmentation.&quot;,&quot;publisher&quot;:&quot;Springer New York LLC&quot;,&quot;issue&quot;:&quot;5&quot;,&quot;volume&quot;:&quot;40&quot;},&quot;isTemporary&quot;:false}]},{&quot;citationID&quot;:&quot;MENDELEY_CITATION_69a0a584-8af3-4722-be96-4475ca577975&quot;,&quot;properties&quot;:{&quot;noteIndex&quot;:0},&quot;isEdited&quot;:false,&quot;manualOverride&quot;:{&quot;isManuallyOverridden&quot;:false,&quot;citeprocText&quot;:&quot;[32,49,52]&quot;,&quot;manualOverrideText&quot;:&quot;&quot;},&quot;citationTag&quot;:&quot;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&quot;,&quot;citationItems&quot;:[{&quot;id&quot;:&quot;b061bb4a-d7f0-30bc-b38f-6b4a64b48d36&quot;,&quot;itemData&quot;:{&quot;type&quot;:&quot;article-journal&quot;,&quot;id&quot;:&quot;b061bb4a-d7f0-30bc-b38f-6b4a64b48d36&quot;,&quot;title&quot;:&quot;Computer Aided Preoperative Evaluation of the Residual Liver Volume Using Computed Tomography Images&quot;,&quot;author&quot;:[{&quot;family&quot;:&quot;Bliznakova&quot;,&quot;given&quot;:&quot;Kristina&quot;,&quot;parse-names&quot;:false,&quot;dropping-particle&quot;:&quot;&quot;,&quot;non-dropping-particle&quot;:&quot;&quot;},{&quot;family&quot;:&quot;Kolev&quot;,&quot;given&quot;:&quot;Nikola&quot;,&quot;parse-names&quot;:false,&quot;dropping-particle&quot;:&quot;&quot;,&quot;non-dropping-particle&quot;:&quot;&quot;},{&quot;family&quot;:&quot;Buliev&quot;,&quot;given&quot;:&quot;Ivan&quot;,&quot;parse-names&quot;:false,&quot;dropping-particle&quot;:&quot;&quot;,&quot;non-dropping-particle&quot;:&quot;&quot;},{&quot;family&quot;:&quot;Tonev&quot;,&quot;given&quot;:&quot;Anton&quot;,&quot;parse-names&quot;:false,&quot;dropping-particle&quot;:&quot;&quot;,&quot;non-dropping-particle&quot;:&quot;&quot;},{&quot;family&quot;:&quot;Encheva&quot;,&quot;given&quot;:&quot;Elitsa&quot;,&quot;parse-names&quot;:false,&quot;dropping-particle&quot;:&quot;&quot;,&quot;non-dropping-particle&quot;:&quot;&quot;},{&quot;family&quot;:&quot;Bliznakov&quot;,&quot;given&quot;:&quot;Zhivko&quot;,&quot;parse-names&quot;:false,&quot;dropping-particle&quot;:&quot;&quot;,&quot;non-dropping-particle&quot;:&quot;&quot;},{&quot;family&quot;:&quot;Ivanov&quot;,&quot;given&quot;:&quot;Krasimir&quot;,&quot;parse-names&quot;:false,&quot;dropping-particle&quot;:&quot;&quot;,&quot;non-dropping-particle&quot;:&quot;&quot;}],&quot;container-title&quot;:&quot;Journal of Digital Imaging&quot;,&quot;container-title-short&quot;:&quot;J Digit Imaging&quot;,&quot;DOI&quot;:&quot;10.1007/s10278-014-9737-5&quot;,&quot;ISSN&quot;:&quot;1618727X&quot;,&quot;PMID&quot;:&quot;25273505&quot;,&quot;issued&quot;:{&quot;date-parts&quot;:[[2015,4,1]]},&quot;page&quot;:&quot;231-239&quot;,&quot;abstract&quot;:&quot;Major hepatectomy causes a risk of postoperative liver dysfunction, failure, and infections like surgical site infection. Preoperative assessment of the liver volume and function of the remnant liver is a mandatory prerequisite before performing such surgery. The aim of this work is to develop and test a software application for evaluation of the residual function of the liver prior to the intervention of the surgeons. For this purpose, a technique for evaluation of liver volume from computed tomography (CT) images has been developed. Furthermore, the methodology algorithms were implemented and incorporated within a software tool with three basic functionalities: volume determination based on segmentation of liver from CT images, virtual tumour resection and estimation of the residual liver function and 3D visualisation. Forty-one sets of abdominal CT images consisting of different number of tomographic slice images were used to test and evaluate the proposed approach. Volumes that were obtained after manual tracing by two surgeon experts showed a relative difference of 3.5 %. The suggested methodology was encapsulated within an application with user-friendly interface that allows surgeons interactively to perform virtual tumour resection, to evaluate the relative residual liver and render the final result. Thereby, it is a tool in the surgeons’ hands that significantly facilitates their duties, saves time, and allows them to objectively evaluate the situation and take the right decisions. At the same time, the tool appears to be appropriate educational instrument for virtual training of young surgeon specialists.&quot;,&quot;publisher&quot;:&quot;Springer Science and Business Media, LLC&quot;,&quot;issue&quot;:&quot;2&quot;,&quot;volume&quot;:&quot;28&quot;},&quot;isTemporary&quot;:false},{&quot;id&quot;:&quot;6cfcb8e3-6c89-3918-8c0c-350f06e97396&quot;,&quot;itemData&quot;:{&quot;type&quot;:&quot;article-journal&quot;,&quot;id&quot;:&quot;6cfcb8e3-6c89-3918-8c0c-350f06e97396&quot;,&quot;title&quot;:&quot;Fast and accurate liver volumetry prior to hepatectomy&quot;,&quot;author&quot;:[{&quot;family&quot;:&quot;Lodewick&quot;,&quot;given&quot;:&quot;Toine M.&quot;,&quot;parse-names&quot;:false,&quot;dropping-particle&quot;:&quot;&quot;,&quot;non-dropping-particle&quot;:&quot;&quot;},{&quot;family&quot;:&quot;Arnoldussen&quot;,&quot;given&quot;:&quot;Carsten W.K.P.&quot;,&quot;parse-names&quot;:false,&quot;dropping-particle&quot;:&quot;&quot;,&quot;non-dropping-particle&quot;:&quot;&quot;},{&quot;family&quot;:&quot;Lahaye&quot;,&quot;given&quot;:&quot;Max J.&quot;,&quot;parse-names&quot;:false,&quot;dropping-particle&quot;:&quot;&quot;,&quot;non-dropping-particle&quot;:&quot;&quot;},{&quot;family&quot;:&quot;Mierlo&quot;,&quot;given&quot;:&quot;Kim M.C.&quot;,&quot;parse-names&quot;:false,&quot;dropping-particle&quot;:&quot;&quot;,&quot;non-dropping-particle&quot;:&quot;van&quot;},{&quot;family&quot;:&quot;Neumann&quot;,&quot;given&quot;:&quot;Ulf P.&quot;,&quot;parse-names&quot;:false,&quot;dropping-particle&quot;:&quot;&quot;,&quot;non-dropping-particle&quot;:&quot;&quot;},{&quot;family&quot;:&quot;Beets-Tan&quot;,&quot;given&quot;:&quot;Regina G.&quot;,&quot;parse-names&quot;:false,&quot;dropping-particle&quot;:&quot;&quot;,&quot;non-dropping-particle&quot;:&quot;&quot;},{&quot;family&quot;:&quot;Dejong&quot;,&quot;given&quot;:&quot;Cornelis H.C.&quot;,&quot;parse-names&quot;:false,&quot;dropping-particle&quot;:&quot;&quot;,&quot;non-dropping-particle&quot;:&quot;&quot;},{&quot;family&quot;:&quot;Dam&quot;,&quot;given&quot;:&quot;Ronald M.&quot;,&quot;parse-names&quot;:false,&quot;dropping-particle&quot;:&quot;&quot;,&quot;non-dropping-particle&quot;:&quot;van&quot;}],&quot;container-title&quot;:&quot;HPB&quot;,&quot;DOI&quot;:&quot;10.1016/j.hpb.2016.06.009&quot;,&quot;ISSN&quot;:&quot;14772574&quot;,&quot;PMID&quot;:&quot;27593594&quot;,&quot;issued&quot;:{&quot;date-parts&quot;:[[2016,9,1]]},&quot;page&quot;:&quot;764-772&quot;,&quot;abstract&quot;:&quot;Background Volumetric assessment of the liver is essential in the prevention of postresectional liver failure after partial hepatectomy. Currently used methods are accurate but time-consuming. This study aimed to test a new automated method for preoperative volumetric liver assessment. Methods Patients who underwent a contrast enhanced portovenous phase CT-scan prior to hepatectomy in 2012 were included. Total liver volume (TLV) and future remnant liver volume (FRLV) were measured using TeraRecon Aquarius iNtuition® (autosegmentation) and OsiriX® (manual segmentation) software by two observers for each software package. Remnant liver volume percentage (RLV%) was calculated. Time needed to determine TLV and FRLV was measured. Inter-observer variability was assessed using Bland-Altman plots. Results Twenty-seven patients were included. There were no significant differences in measured volumes between OsiriX® and iNtuition®. Moreover, there were significant correlations between the OsiriX® observers, the iNtuition® observers and between OsiriX® and iNtuition® post-processing systems (all R2 &gt; 0.97). The median time needed for complete liver volumetric analysis was 18.4 ± 4.9 min with OsiriX® and 5.8 ± 1.7 min using iNtuition® (p &lt; 0.001). Conclusion Both OsiriX® and iNtuition® liver volumetry are accurate and easily applicable. However, volumetric assessment of the liver with iNtuition® auto-segmentation is three times faster compared to manual OsiriX® volumetry.&quot;,&quot;publisher&quot;:&quot;Elsevier B.V.&quot;,&quot;issue&quot;:&quot;9&quot;,&quot;volume&quot;:&quot;18&quot;,&quot;container-title-short&quot;:&quot;&quot;},&quot;isTemporary&quot;:false},{&quot;id&quot;:&quot;5c56126b-a5cd-33a8-9436-c350408f3c7e&quot;,&quot;itemData&quot;:{&quot;type&quot;:&quot;article&quot;,&quot;id&quot;:&quot;5c56126b-a5cd-33a8-9436-c350408f3c7e&quot;,&quot;title&quot;:&quot;CT volumetry of the liver: Where does it stand in clinical practice?&quot;,&quot;author&quot;:[{&quot;family&quot;:&quot;Lim&quot;,&quot;given&quot;:&quot;M. C.&quot;,&quot;parse-names&quot;:false,&quot;dropping-particle&quot;:&quot;&quot;,&quot;non-dropping-particle&quot;:&quot;&quot;},{&quot;family&quot;:&quot;Tan&quot;,&quot;given&quot;:&quot;C. H.&quot;,&quot;parse-names&quot;:false,&quot;dropping-particle&quot;:&quot;&quot;,&quot;non-dropping-particle&quot;:&quot;&quot;},{&quot;family&quot;:&quot;Cai&quot;,&quot;given&quot;:&quot;J.&quot;,&quot;parse-names&quot;:false,&quot;dropping-particle&quot;:&quot;&quot;,&quot;non-dropping-particle&quot;:&quot;&quot;},{&quot;family&quot;:&quot;Zheng&quot;,&quot;given&quot;:&quot;J.&quot;,&quot;parse-names&quot;:false,&quot;dropping-particle&quot;:&quot;&quot;,&quot;non-dropping-particle&quot;:&quot;&quot;},{&quot;family&quot;:&quot;Kow&quot;,&quot;given&quot;:&quot;A. W.C.&quot;,&quot;parse-names&quot;:false,&quot;dropping-particle&quot;:&quot;&quot;,&quot;non-dropping-particle&quot;:&quot;&quot;}],&quot;container-title&quot;:&quot;Clinical Radiology&quot;,&quot;container-title-short&quot;:&quot;Clin Radiol&quot;,&quot;DOI&quot;:&quot;10.1016/j.crad.2013.12.021&quot;,&quot;ISSN&quot;:&quot;1365229X&quot;,&quot;PMID&quot;:&quot;24824973&quot;,&quot;issued&quot;:{&quot;date-parts&quot;:[[2014]]},&quot;page&quot;:&quot;887-895&quot;,&quot;abstract&quot;:&quot;Imaging-based volumetry has been increasingly utilised in current clinical practice to obtain accurate measurements of the liver volume. This is particularly useful prior to major hepatic resection and living donor liver transplantation where the size of the remnant liver and liver graft, respectively, affects procedural success and postoperative mortality and morbidity. The use of imaging-based volumetry, with emphasis on computed tomography, will be reviewed. We will explore the various technical factors that contribute to accurate volumetric measurements, and demonstrate how the accuracies of these techniques are influenced by their methodologies. The strengths and limitations of using anatomical imaging to estimate liver volume will be discussed, in relation to laboratory and functional imaging methods of assessment. © 2014 The Royal College of Radiologists. Published by Elsevier Ltd. All rights reserved.&quot;,&quot;publisher&quot;:&quot;W.B. Saunders Ltd&quot;,&quot;issue&quot;:&quot;9&quot;,&quot;volume&quot;:&quot;69&quot;},&quot;isTemporary&quot;:false}]},{&quot;citationID&quot;:&quot;MENDELEY_CITATION_92a50b53-5da8-4e77-bef8-98c08a6fdd8b&quot;,&quot;properties&quot;:{&quot;noteIndex&quot;:0},&quot;isEdited&quot;:false,&quot;manualOverride&quot;:{&quot;isManuallyOverridden&quot;:false,&quot;citeprocText&quot;:&quot;[58]&quot;,&quot;manualOverrideText&quot;:&quot;&quot;},&quot;citationTag&quot;:&quot;MENDELEY_CITATION_v3_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&quot;,&quot;citationItems&quot;:[{&quot;id&quot;:&quot;e92a4ab6-ac64-397d-aeec-533cd2dc4e02&quot;,&quot;itemData&quot;:{&quot;type&quot;:&quot;article-journal&quot;,&quot;id&quot;:&quot;e92a4ab6-ac64-397d-aeec-533cd2dc4e02&quot;,&quot;title&quot;:&quot;Fully automated whole-liver volume quantification on CT-image data: Comparison with manual volumetry using enhanced and unenhanced images as well as two different radiation dose levels and two reconstruction kernels&quot;,&quot;author&quot;:[{&quot;family&quot;:&quot;Hagen&quot;,&quot;given&quot;:&quot;Florian&quot;,&quot;parse-names&quot;:false,&quot;dropping-particle&quot;:&quot;&quot;,&quot;non-dropping-particle&quot;:&quot;&quot;},{&quot;family&quot;:&quot;Mair&quot;,&quot;given&quot;:&quot;Antonia&quot;,&quot;parse-names&quot;:false,&quot;dropping-particle&quot;:&quot;&quot;,&quot;non-dropping-particle&quot;:&quot;&quot;},{&quot;family&quot;:&quot;Bitzer&quot;,&quot;given&quot;:&quot;Michael&quot;,&quot;parse-names&quot;:false,&quot;dropping-particle&quot;:&quot;&quot;,&quot;non-dropping-particle&quot;:&quot;&quot;},{&quot;family&quot;:&quot;Bösmüller&quot;,&quot;given&quot;:&quot;Hans&quot;,&quot;parse-names&quot;:false,&quot;dropping-particle&quot;:&quot;&quot;,&quot;non-dropping-particle&quot;:&quot;&quot;},{&quot;family&quot;:&quot;Horger&quot;,&quot;given&quot;:&quot;Marius&quot;,&quot;parse-names&quot;:false,&quot;dropping-particle&quot;:&quot;&quot;,&quot;non-dropping-particle&quot;:&quot;&quot;}],&quot;container-title&quot;:&quot;PloS one&quot;,&quot;container-title-short&quot;:&quot;PLoS One&quot;,&quot;accessed&quot;:{&quot;date-parts&quot;:[[2024,9,29]]},&quot;DOI&quot;:&quot;10.1371/JOURNAL.PONE.0255374&quot;,&quot;ISSN&quot;:&quot;1932-6203&quot;,&quot;PMID&quot;:&quot;34339472&quot;,&quot;URL&quot;:&quot;https://pubmed.ncbi.nlm.nih.gov/34339472/&quot;,&quot;issued&quot;:{&quot;date-parts&quot;:[[2021,8,1]]},&quot;abstract&quot;:&quot;Objectives To evaluate the accuracy of fully automated liver volume quantification vs. manual quantification using unenhanced as well as enhanced CT-image data as well as two different radiation dose levels and also two image reconstruction kernels. Material and methods The local ethics board gave its approval for retrospective data analysis. Automated liver volume quantification in 300 consecutive livers in 164 male and 103 female oncologic patients (64±12y) performed at our institution (between January 2020 and May 2020) using two different dual-energy helicals: portal-venous phase enhanced, ref. tube current 300mAs (CARE Dose4D) for tube A (100 kV) and ref. 232mAs tube current for tube B (Sn140kV), slice collimation 0.6mm, reconstruction kernel I30f/1, recon. thickness of 0.6mm and 5mm, 80-100 mL iodine contrast agent 350 mg/mL, (flow 2mL/s) and unenhanced ref. tube current 100mAs (CARE Dose4D) for tube A (100 kV) and ref. 77mAs tube current for tube B (Sn140kV), slice collimation 0.6mm (kernel Q40f) were analyzed. The post-processing tool (syngo.CT Liver Analysis) is already FDA-approved. Two resident radiologists with no and 1-year CT-experience performed both the automated measurements independently from each other. Results were compared with those of manual liver volume quantification using the same software which was supervised by a senior radiologist with 30-year CT-experience (ground truth). Results In total, a correlation of 98% was obtained for liver volumetry based on enhanced and unenhanced data sets compared to the manual liver quantification. Radiologist #1 and #2 achieved an inter-reader agreement of 99.8% for manual liver segmentation (p&lt;0.0001). Automated liver volumetry resulted in an overestimation (&gt;5% deviation) of 3.7% for unenhanced CT-image data and 4.0% for contrast-enhanced CT-images. Underestimation (&lt;5%) of liver volume was 2.0% for unenhanced CT-image data and 1.3% for enhanced images after automated liver volumetry. Number and distribution of erroneous volume measurements using either thin or thick slice reconstructions was exactly the same, both for the enhanced as well for the unenhanced image data sets (p&gt; 0.05). Conclusion Results of fully automated liver volume quantification are accurate and comparable with those of manual liver volume quantification and the technique seems to be confident even if unenhanced lower-dose CT image data is used. Copyright:&quot;,&quot;publisher&quot;:&quot;PLoS One&quot;,&quot;issue&quot;:&quot;8&quot;,&quot;volume&quot;:&quot;16&quot;},&quot;isTemporary&quot;:false}]},{&quot;citationID&quot;:&quot;MENDELEY_CITATION_ef23341d-a496-4789-a458-41b7af4af80a&quot;,&quot;properties&quot;:{&quot;noteIndex&quot;:0},&quot;isEdited&quot;:false,&quot;manualOverride&quot;:{&quot;isManuallyOverridden&quot;:false,&quot;citeprocText&quot;:&quot;[57]&quot;,&quot;manualOverrideText&quot;:&quot;&quot;},&quot;citationTag&quot;:&quot;MENDELEY_CITATION_v3_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&quot;,&quot;citationItems&quot;:[{&quot;id&quot;:&quot;51f18543-692c-32d5-aac3-a16ca9f3f9d5&quot;,&quot;itemData&quot;:{&quot;type&quot;:&quot;article-journal&quot;,&quot;id&quot;:&quot;51f18543-692c-32d5-aac3-a16ca9f3f9d5&quot;,&quot;title&quot;:&quot;Computer-aided liver volumetry: performance of a fully-automated, prototype post-processing solution for whole-organ and lobar segmentation based on MDCT imaging&quot;,&quot;author&quot;:[{&quot;family&quot;:&quot;Fananapazir&quot;,&quot;given&quot;:&quot;Ghaneh&quot;,&quot;parse-names&quot;:false,&quot;dropping-particle&quot;:&quot;&quot;,&quot;non-dropping-particle&quot;:&quot;&quot;},{&quot;family&quot;:&quot;Bashir&quot;,&quot;given&quot;:&quot;Mustafa R.&quot;,&quot;parse-names&quot;:false,&quot;dropping-particle&quot;:&quot;&quot;,&quot;non-dropping-particle&quot;:&quot;&quot;},{&quot;family&quot;:&quot;Marin&quot;,&quot;given&quot;:&quot;Daniele&quot;,&quot;parse-names&quot;:false,&quot;dropping-particle&quot;:&quot;&quot;,&quot;non-dropping-particle&quot;:&quot;&quot;},{&quot;family&quot;:&quot;Boll&quot;,&quot;given&quot;:&quot;Daniel T.&quot;,&quot;parse-names&quot;:false,&quot;dropping-particle&quot;:&quot;&quot;,&quot;non-dropping-particle&quot;:&quot;&quot;}],&quot;container-title&quot;:&quot;Abdominal Imaging&quot;,&quot;container-title-short&quot;:&quot;Abdom Imaging&quot;,&quot;accessed&quot;:{&quot;date-parts&quot;:[[2024,4,22]]},&quot;DOI&quot;:&quot;10.1007/S00261-014-0276-9/FIGURES/6&quot;,&quot;ISSN&quot;:&quot;14320509&quot;,&quot;PMID&quot;:&quot;25326261&quot;,&quot;URL&quot;:&quot;https://link.springer.com/article/10.1007/s00261-014-0276-9&quot;,&quot;issued&quot;:{&quot;date-parts&quot;:[[2015,6,1]]},&quot;page&quot;:&quot;1203-1212&quot;,&quot;abstract&quot;:&quot;Purpose: To evaluate the performance of a prototype, fully-automated post-processing solution for whole-liver and lobar segmentation based on MDCT datasets. Materials and methods: A polymer liver phantom was used to assess accuracy of post-processing applications comparing phantom volumes determined via Archimedes’ principle with MDCT segmented datasets. For the IRB-approved, HIPAA-compliant study, 25 patients were enrolled. Volumetry performance compared the manual approach with the automated prototype, assessing intraobserver variability, and interclass correlation for whole-organ and lobar segmentation using ANOVA comparison. Fidelity of segmentation was evaluated qualitatively. Results: Phantom volume was 1581.0 ± 44.7 mL, manually segmented datasets estimated 1628.0 ± 47.8 mL, representing a mean overestimation of 3.0%, automatically segmented datasets estimated 1601.9 ± 0 mL, representing a mean overestimation of 1.3%. Whole-liver and segmental volumetry demonstrated no significant intraobserver variability for neither manual nor automated measurements. For whole-liver volumetry, automated measurement repetitions resulted in identical values; reproducible whole-organ volumetry was also achieved with manual segmentation, pANOVA 0.98. For lobar volumetry, automated segmentation improved reproducibility over manual approach, without significant measurement differences for either methodology, pANOVA 0.95–0.99. Whole-organ and lobar segmentation results from manual and automated segmentation showed no significant differences, pANOVA 0.96–1.00. Assessment of segmentation fidelity found that segments I–IV/VI showed greater segmentation inaccuracies compared to the remaining right hepatic lobe segments. Conclusion: Automated whole-liver segmentation showed non-inferiority of fully-automated whole-liver segmentation compared to manual approaches with improved reproducibility and post-processing duration; automated dual-seed lobar segmentation showed slight tendencies for underestimating the right hepatic lobe volume and greater variability in edge detection for the left hepatic lobe compared to manual segmentation.&quot;,&quot;publisher&quot;:&quot;Springer New York LLC&quot;,&quot;issue&quot;:&quot;5&quot;,&quot;volume&quot;:&quot;40&quot;},&quot;isTemporary&quot;:false}]},{&quot;citationID&quot;:&quot;MENDELEY_CITATION_45072455-ca15-4709-badc-215ecb7194f0&quot;,&quot;properties&quot;:{&quot;noteIndex&quot;:0},&quot;isEdited&quot;:false,&quot;manualOverride&quot;:{&quot;isManuallyOverridden&quot;:false,&quot;citeprocText&quot;:&quot;[59]&quot;,&quot;manualOverrideText&quot;:&quot;&quot;},&quot;citationTag&quot;:&quot;MENDELEY_CITATION_v3_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&quot;,&quot;citationItems&quot;:[{&quot;id&quot;:&quot;940fa0e7-edf3-3474-8d29-29bad8042953&quot;,&quot;itemData&quot;:{&quot;type&quot;:&quot;article-journal&quot;,&quot;id&quot;:&quot;940fa0e7-edf3-3474-8d29-29bad8042953&quot;,&quot;title&quot;:&quot;Fully automated preoperative liver volumetry incorporating the anatomical location of the central hepatic vein&quot;,&quot;author&quot;:[{&quot;family&quot;:&quot;Koitka&quot;,&quot;given&quot;:&quot;Sven&quot;,&quot;parse-names&quot;:false,&quot;dropping-particle&quot;:&quot;&quot;,&quot;non-dropping-particle&quot;:&quot;&quot;},{&quot;family&quot;:&quot;Gudlin&quot;,&quot;given&quot;:&quot;Phillip&quot;,&quot;parse-names&quot;:false,&quot;dropping-particle&quot;:&quot;&quot;,&quot;non-dropping-particle&quot;:&quot;&quot;},{&quot;family&quot;:&quot;Theysohn&quot;,&quot;given&quot;:&quot;Jens M.&quot;,&quot;parse-names&quot;:false,&quot;dropping-particle&quot;:&quot;&quot;,&quot;non-dropping-particle&quot;:&quot;&quot;},{&quot;family&quot;:&quot;Oezcelik&quot;,&quot;given&quot;:&quot;Arzu&quot;,&quot;parse-names&quot;:false,&quot;dropping-particle&quot;:&quot;&quot;,&quot;non-dropping-particle&quot;:&quot;&quot;},{&quot;family&quot;:&quot;Hoyer&quot;,&quot;given&quot;:&quot;Dieter P.&quot;,&quot;parse-names&quot;:false,&quot;dropping-particle&quot;:&quot;&quot;,&quot;non-dropping-particle&quot;:&quot;&quot;},{&quot;family&quot;:&quot;Dayangac&quot;,&quot;given&quot;:&quot;Murat&quot;,&quot;parse-names&quot;:false,&quot;dropping-particle&quot;:&quot;&quot;,&quot;non-dropping-particle&quot;:&quot;&quot;},{&quot;family&quot;:&quot;Hosch&quot;,&quot;given&quot;:&quot;René&quot;,&quot;parse-names&quot;:false,&quot;dropping-particle&quot;:&quot;&quot;,&quot;non-dropping-particle&quot;:&quot;&quot;},{&quot;family&quot;:&quot;Haubold&quot;,&quot;given&quot;:&quot;Johannes&quot;,&quot;parse-names&quot;:false,&quot;dropping-particle&quot;:&quot;&quot;,&quot;non-dropping-particle&quot;:&quot;&quot;},{&quot;family&quot;:&quot;Flaschel&quot;,&quot;given&quot;:&quot;Nils&quot;,&quot;parse-names&quot;:false,&quot;dropping-particle&quot;:&quot;&quot;,&quot;non-dropping-particle&quot;:&quot;&quot;},{&quot;family&quot;:&quot;Nensa&quot;,&quot;given&quot;:&quot;Felix&quot;,&quot;parse-names&quot;:false,&quot;dropping-particle&quot;:&quot;&quot;,&quot;non-dropping-particle&quot;:&quot;&quot;},{&quot;family&quot;:&quot;Malamutmann&quot;,&quot;given&quot;:&quot;Eugen&quot;,&quot;parse-names&quot;:false,&quot;dropping-particle&quot;:&quot;&quot;,&quot;non-dropping-particle&quot;:&quot;&quot;}],&quot;container-title&quot;:&quot;Scientific reports&quot;,&quot;container-title-short&quot;:&quot;Sci Rep&quot;,&quot;accessed&quot;:{&quot;date-parts&quot;:[[2023,6,15]]},&quot;DOI&quot;:&quot;10.1038/S41598-022-20778-4&quot;,&quot;ISSN&quot;:&quot;2045-2322&quot;,&quot;PMID&quot;:&quot;36183002&quot;,&quot;issued&quot;:{&quot;date-parts&quot;:[[2022,12,1]]},&quot;abstract&quot;:&quot;The precise preoperative calculation of functional liver volumes is essential prior major liver resections, as well as for the evaluation of a suitable donor for living donor liver transplantation. The aim of this study was to develop a fully automated, reproducible, and quantitative 3D volumetry of the liver from standard CT examinations of the abdomen as part of routine clinical imaging. Therefore, an in-house dataset of 100 venous phase CT examinations for training and 30 venous phase ex-house CT examinations with a slice thickness of 5 mm for testing and validating were fully annotated with right and left liver lobe. Multi-Resolution U-Net 3D neural networks were employed for segmenting these liver regions. The Sørensen-Dice coefficient was greater than 0.9726 ± 0.0058, 0.9639 ± 0.0088, and 0.9223 ± 0.0187 and a mean volume difference of 32.12 ± 19.40 ml, 22.68 ± 21.67 ml, and 9.44 ± 27.08 ml compared to the standard of reference (SoR) liver, right lobe, and left lobe annotation was achieved. Our results show that fully automated 3D volumetry of the liver on routine CT imaging can provide reproducible, quantitative, fast and accurate results without needing any examiner in the preoperative work-up for hepatobiliary surgery and especially for living donor liver transplantation.&quot;,&quot;publisher&quot;:&quot;Sci Rep&quot;,&quot;issue&quot;:&quot;1&quot;,&quot;volume&quot;:&quot;12&quot;},&quot;isTemporary&quot;:false}]},{&quot;citationID&quot;:&quot;MENDELEY_CITATION_fe3b74c7-c0a2-433b-84e2-9154b6b69c54&quot;,&quot;properties&quot;:{&quot;noteIndex&quot;:0},&quot;isEdited&quot;:false,&quot;manualOverride&quot;:{&quot;isManuallyOverridden&quot;:false,&quot;citeprocText&quot;:&quot;[52,54]&quot;,&quot;manualOverrideText&quot;:&quot;&quot;},&quot;citationTag&quot;:&quot;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&quot;,&quot;citationItems&quot;:[{&quot;id&quot;:&quot;cce51b2e-354a-3416-a1c5-c2f5cc5e55fe&quot;,&quot;itemData&quot;:{&quot;type&quot;:&quot;article-journal&quot;,&quot;id&quot;:&quot;cce51b2e-354a-3416-a1c5-c2f5cc5e55fe&quot;,&quot;title&quot;:&quot;Dr. Liver: A preoperative planning system of liver graft volumetry for living donor liver transplantation&quot;,&quot;author&quot;:[{&quot;family&quot;:&quot;Yang&quot;,&quot;given&quot;:&quot;Xiaopeng&quot;,&quot;parse-names&quot;:false,&quot;dropping-particle&quot;:&quot;&quot;,&quot;non-dropping-particle&quot;:&quot;&quot;},{&quot;family&quot;:&quot;Yang&quot;,&quot;given&quot;:&quot;Jae&quot;,&quot;parse-names&quot;:false,&quot;dropping-particle&quot;:&quot;Do&quot;,&quot;non-dropping-particle&quot;:&quot;&quot;},{&quot;family&quot;:&quot;Yu&quot;,&quot;given&quot;:&quot;Hee Chul&quot;,&quot;parse-names&quot;:false,&quot;dropping-particle&quot;:&quot;&quot;,&quot;non-dropping-particle&quot;:&quot;&quot;},{&quot;family&quot;:&quot;Choi&quot;,&quot;given&quot;:&quot;Younggeun&quot;,&quot;parse-names&quot;:false,&quot;dropping-particle&quot;:&quot;&quot;,&quot;non-dropping-particle&quot;:&quot;&quot;},{&quot;family&quot;:&quot;Yang&quot;,&quot;given&quot;:&quot;Kwangho&quot;,&quot;parse-names&quot;:false,&quot;dropping-particle&quot;:&quot;&quot;,&quot;non-dropping-particle&quot;:&quot;&quot;},{&quot;family&quot;:&quot;Lee&quot;,&quot;given&quot;:&quot;Tae Beom&quot;,&quot;parse-names&quot;:false,&quot;dropping-particle&quot;:&quot;&quot;,&quot;non-dropping-particle&quot;:&quot;&quot;},{&quot;family&quot;:&quot;Hwang&quot;,&quot;given&quot;:&quot;Hong Pil&quot;,&quot;parse-names&quot;:false,&quot;dropping-particle&quot;:&quot;&quot;,&quot;non-dropping-particle&quot;:&quot;&quot;},{&quot;family&quot;:&quot;Ahn&quot;,&quot;given&quot;:&quot;Sungwoo&quot;,&quot;parse-names&quot;:false,&quot;dropping-particle&quot;:&quot;&quot;,&quot;non-dropping-particle&quot;:&quot;&quot;},{&quot;family&quot;:&quot;You&quot;,&quot;given&quot;:&quot;Heecheon&quot;,&quot;parse-names&quot;:false,&quot;dropping-particle&quot;:&quot;&quot;,&quot;non-dropping-particle&quot;:&quot;&quot;}],&quot;container-title&quot;:&quot;Computer Methods and Programs in Biomedicine&quot;,&quot;container-title-short&quot;:&quot;Comput Methods Programs Biomed&quot;,&quot;DOI&quot;:&quot;10.1016/j.cmpb.2018.01.024&quot;,&quot;ISSN&quot;:&quot;18727565&quot;,&quot;PMID&quot;:&quot;29544776&quot;,&quot;issued&quot;:{&quot;date-parts&quot;:[[2018,5,1]]},&quot;page&quot;:&quot;11-19&quot;,&quot;abstract&quot;:&quot;Background and Objective: Manual tracing of the right and left liver lobes from computed tomography (CT) images for graft volumetry in preoperative surgery planning of living donor liver transplantation (LDLT) is common at most medical centers. This study aims to develop an automatic system with advanced image processing algorithms and user-friendly interfaces for liver graft volumetry and evaluate its accuracy and efficiency in comparison with a manual tracing method. Methods: The proposed system provides a sequential procedure consisting of (1) liver segmentation, (2) blood vessel segmentation, and (3) virtual liver resection for liver graft volumetry. Automatic segmentation algorithms using histogram analysis, hybrid level-set methods, and a customized region growing method were developed. User-friendly interfaces such as sequential and hierarchical user menus, context-sensitive on-screen hotkey menus, and real-time sound and visual feedback were implemented. Blood vessels were excluded from the liver for accurate liver graft volumetry. A large sphere-based interactive method was developed for dividing the liver into left and right lobes with a customized cutting plane. The proposed system was evaluated using 50 CT datasets in terms of graft weight estimation accuracy and task completion time through comparison to the manual tracing method. The accuracy of liver graft weight estimation was assessed by absolute difference (AD) and percentage of AD (%AD) between preoperatively estimated graft weight and intraoperatively measured graft weight. Intra- and inter-observer agreements of liver graft weight estimation were assessed by intraclass correlation coefficients (ICCs) using ten cases randomly selected. Results: The proposed system showed significantly higher accuracy and efficiency in liver graft weight estimation (AD = 21.0 ± 18.4 g; %AD = 3.1% ± 2.8%; percentage of %AD &gt; 10% = none; task completion time = 7.3 ± 1.4 min) than the manual tracing method (AD = 70.5 ± 52.1 g; %AD = 10.2% ± 7.5%; percentage of %AD &gt; 10% = 46%; task completion time = 37.9 ± 7.0 min). The proposed system showed slightly higher intra- and inter-observer agreements (ICC = 0.996 to 0.998) than the manual tracing method (ICC = 0.979 to 0.999). Conclusions: The proposed system was proved accurate and efficient in liver graft volumetry for preoperative planning of LDLT.&quot;,&quot;publisher&quot;:&quot;Elsevier Ireland Ltd&quot;,&quot;volume&quot;:&quot;158&quot;},&quot;isTemporary&quot;:false},{&quot;id&quot;:&quot;6cfcb8e3-6c89-3918-8c0c-350f06e97396&quot;,&quot;itemData&quot;:{&quot;type&quot;:&quot;article-journal&quot;,&quot;id&quot;:&quot;6cfcb8e3-6c89-3918-8c0c-350f06e97396&quot;,&quot;title&quot;:&quot;Fast and accurate liver volumetry prior to hepatectomy&quot;,&quot;author&quot;:[{&quot;family&quot;:&quot;Lodewick&quot;,&quot;given&quot;:&quot;Toine M.&quot;,&quot;parse-names&quot;:false,&quot;dropping-particle&quot;:&quot;&quot;,&quot;non-dropping-particle&quot;:&quot;&quot;},{&quot;family&quot;:&quot;Arnoldussen&quot;,&quot;given&quot;:&quot;Carsten W.K.P.&quot;,&quot;parse-names&quot;:false,&quot;dropping-particle&quot;:&quot;&quot;,&quot;non-dropping-particle&quot;:&quot;&quot;},{&quot;family&quot;:&quot;Lahaye&quot;,&quot;given&quot;:&quot;Max J.&quot;,&quot;parse-names&quot;:false,&quot;dropping-particle&quot;:&quot;&quot;,&quot;non-dropping-particle&quot;:&quot;&quot;},{&quot;family&quot;:&quot;Mierlo&quot;,&quot;given&quot;:&quot;Kim M.C.&quot;,&quot;parse-names&quot;:false,&quot;dropping-particle&quot;:&quot;&quot;,&quot;non-dropping-particle&quot;:&quot;van&quot;},{&quot;family&quot;:&quot;Neumann&quot;,&quot;given&quot;:&quot;Ulf P.&quot;,&quot;parse-names&quot;:false,&quot;dropping-particle&quot;:&quot;&quot;,&quot;non-dropping-particle&quot;:&quot;&quot;},{&quot;family&quot;:&quot;Beets-Tan&quot;,&quot;given&quot;:&quot;Regina G.&quot;,&quot;parse-names&quot;:false,&quot;dropping-particle&quot;:&quot;&quot;,&quot;non-dropping-particle&quot;:&quot;&quot;},{&quot;family&quot;:&quot;Dejong&quot;,&quot;given&quot;:&quot;Cornelis H.C.&quot;,&quot;parse-names&quot;:false,&quot;dropping-particle&quot;:&quot;&quot;,&quot;non-dropping-particle&quot;:&quot;&quot;},{&quot;family&quot;:&quot;Dam&quot;,&quot;given&quot;:&quot;Ronald M.&quot;,&quot;parse-names&quot;:false,&quot;dropping-particle&quot;:&quot;&quot;,&quot;non-dropping-particle&quot;:&quot;van&quot;}],&quot;container-title&quot;:&quot;HPB&quot;,&quot;DOI&quot;:&quot;10.1016/j.hpb.2016.06.009&quot;,&quot;ISSN&quot;:&quot;14772574&quot;,&quot;PMID&quot;:&quot;27593594&quot;,&quot;issued&quot;:{&quot;date-parts&quot;:[[2016,9,1]]},&quot;page&quot;:&quot;764-772&quot;,&quot;abstract&quot;:&quot;Background Volumetric assessment of the liver is essential in the prevention of postresectional liver failure after partial hepatectomy. Currently used methods are accurate but time-consuming. This study aimed to test a new automated method for preoperative volumetric liver assessment. Methods Patients who underwent a contrast enhanced portovenous phase CT-scan prior to hepatectomy in 2012 were included. Total liver volume (TLV) and future remnant liver volume (FRLV) were measured using TeraRecon Aquarius iNtuition® (autosegmentation) and OsiriX® (manual segmentation) software by two observers for each software package. Remnant liver volume percentage (RLV%) was calculated. Time needed to determine TLV and FRLV was measured. Inter-observer variability was assessed using Bland-Altman plots. Results Twenty-seven patients were included. There were no significant differences in measured volumes between OsiriX® and iNtuition®. Moreover, there were significant correlations between the OsiriX® observers, the iNtuition® observers and between OsiriX® and iNtuition® post-processing systems (all R2 &gt; 0.97). The median time needed for complete liver volumetric analysis was 18.4 ± 4.9 min with OsiriX® and 5.8 ± 1.7 min using iNtuition® (p &lt; 0.001). Conclusion Both OsiriX® and iNtuition® liver volumetry are accurate and easily applicable. However, volumetric assessment of the liver with iNtuition® auto-segmentation is three times faster compared to manual OsiriX® volumetry.&quot;,&quot;publisher&quot;:&quot;Elsevier B.V.&quot;,&quot;issue&quot;:&quot;9&quot;,&quot;volume&quot;:&quot;18&quot;,&quot;container-title-short&quot;:&quot;&quot;},&quot;isTemporary&quot;:false}]},{&quot;citationID&quot;:&quot;MENDELEY_CITATION_7d72f57a-e8e7-4ab5-a1a6-66fe57128485&quot;,&quot;properties&quot;:{&quot;noteIndex&quot;:0},&quot;isEdited&quot;:false,&quot;manualOverride&quot;:{&quot;isManuallyOverridden&quot;:false,&quot;citeprocText&quot;:&quot;[60]&quot;,&quot;manualOverrideText&quot;:&quot;&quot;},&quot;citationTag&quot;:&quot;MENDELEY_CITATION_v3_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&quot;,&quot;citationItems&quot;:[{&quot;id&quot;:&quot;41f7405a-4e27-3507-86aa-f8c38c30eac9&quot;,&quot;itemData&quot;:{&quot;type&quot;:&quot;article-journal&quot;,&quot;id&quot;:&quot;41f7405a-4e27-3507-86aa-f8c38c30eac9&quot;,&quot;title&quot;:&quot;Comparative Evaluation of Three Software Packages for Liver and Spleen Segmentation and Volumetry&quot;,&quot;author&quot;:[{&quot;family&quot;:&quot;Pattanayak&quot;,&quot;given&quot;:&quot;Puskar&quot;,&quot;parse-names&quot;:false,&quot;dropping-particle&quot;:&quot;&quot;,&quot;non-dropping-particle&quot;:&quot;&quot;},{&quot;family&quot;:&quot;Turkbey&quot;,&quot;given&quot;:&quot;Evrim B.&quot;,&quot;parse-names&quot;:false,&quot;dropping-particle&quot;:&quot;&quot;,&quot;non-dropping-particle&quot;:&quot;&quot;},{&quot;family&quot;:&quot;Summers&quot;,&quot;given&quot;:&quot;Ronald M.&quot;,&quot;parse-names&quot;:false,&quot;dropping-particle&quot;:&quot;&quot;,&quot;non-dropping-particle&quot;:&quot;&quot;}],&quot;container-title&quot;:&quot;Academic radiology&quot;,&quot;container-title-short&quot;:&quot;Acad Radiol&quot;,&quot;accessed&quot;:{&quot;date-parts&quot;:[[2023,8,26]]},&quot;DOI&quot;:&quot;10.1016/J.ACRA.2017.02.001&quot;,&quot;ISSN&quot;:&quot;1878-4046&quot;,&quot;PMID&quot;:&quot;28258903&quot;,&quot;URL&quot;:&quot;https://pubmed.ncbi.nlm.nih.gov/28258903/&quot;,&quot;issued&quot;:{&quot;date-parts&quot;:[[2017,7,1]]},&quot;page&quot;:&quot;831-839&quot;,&quot;abstract&quot;:&quot;Rationale and Objectives This study aims to compare the speed and accuracy of three different software packages in segmenting the liver and the spleen. Materials and Methods The three software packages are Advantage Workstation Solutions (AWS), Claron Technology (Claron) Liver Segmentor, and Vitrea Core Fx (Vitrea). The dataset consisted of abdominal computed tomography scans of 30 patients obtained from the portal venous phase. All but two of the patients had a cancer diagnosis. The livers of 14 patients and the spleens of 24 patients were reported as normal; the remaining livers and spleens contained one or more abnormalities. The initial segmentation times and volumes were recorded in Claron and Vitrea as these created automatic segmentations. The total segmentation times and volumes following corrections were recorded. The livers and spleens were segmented separately by two radiologists who used all three packages. Accuracy was assessed by comparing volumes measured using fully manual segmentation on the AWS. Results Claron could not segment the spleen in four subjects for the first reader and in two subjects for the second reader. The final mean segmentation times for the liver for both readers were 6.5 and 5.5 minutes for AWS, 4.4 and 3.6 minutes for Claron, and 5.1 and 4.2 minutes for Vitrea. The final mean segmentation times for the spleen were 2.7 and 2.1 minutes for AWS, 2.1 and 1.4 minutes for Claron, and 1.8 and 1.2 minutes for Vitrea. No statistically significant difference was found between the organ volumes measured by the two readers when using Vitrea. The mean differences between the initial and final segmentation volumes ranged from −1.2% to 0.4% for the liver and from −4.0% to 9.8% for the spleen. The mean differences between the automated liver segmentation volumes and the AWS volumes were 2.5%–2.9% for Claron and 4.9%–6.6% for Vitrea. The mean differences between the automated splenic segmentation volumes and the AWS volumes were 5.0%–6.2% for Claron and 10.6%–12.0% for Vitrea. Conclusions Both automated packages (Claron and Vitrea) measured liver and spleen volumes that were accurate and quick before manual correction. Volumes for the liver were more accurate than those for the spleen, perhaps due to the much smaller splenic volumes compared to those of the liver. For both liver and spleen, manual corrections were time consuming and for most subjects did not significantly change the volume measurement.&quot;,&quot;publisher&quot;:&quot;Acad Radiol&quot;,&quot;issue&quot;:&quot;7&quot;,&quot;volume&quot;:&quot;24&quot;},&quot;isTemporary&quot;:false}]},{&quot;citationID&quot;:&quot;MENDELEY_CITATION_c05b7622-2b11-4632-a838-454793997a87&quot;,&quot;properties&quot;:{&quot;noteIndex&quot;:0},&quot;isEdited&quot;:false,&quot;manualOverride&quot;:{&quot;isManuallyOverridden&quot;:false,&quot;citeprocText&quot;:&quot;[61]&quot;,&quot;manualOverrideText&quot;:&quot;&quot;},&quot;citationTag&quot;:&quot;MENDELEY_CITATION_v3_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&quot;,&quot;citationItems&quot;:[{&quot;id&quot;:&quot;e3615b47-a509-3e63-89dd-96eff51e0c32&quot;,&quot;itemData&quot;:{&quot;type&quot;:&quot;article-journal&quot;,&quot;id&quot;:&quot;e3615b47-a509-3e63-89dd-96eff51e0c32&quot;,&quot;title&quot;:&quot;Practical Contribution of Virtual Hepatectomy for Colorectal Liver Metastases: a Propensity-Matched Analysis of Clinical Outcome&quot;,&quot;author&quot;:[{&quot;family&quot;:&quot;Takamoto&quot;,&quot;given&quot;:&quot;Takeshi&quot;,&quot;parse-names&quot;:false,&quot;dropping-particle&quot;:&quot;&quot;,&quot;non-dropping-particle&quot;:&quot;&quot;},{&quot;family&quot;:&quot;Sano&quot;,&quot;given&quot;:&quot;Keiji&quot;,&quot;parse-names&quot;:false,&quot;dropping-particle&quot;:&quot;&quot;,&quot;non-dropping-particle&quot;:&quot;&quot;},{&quot;family&quot;:&quot;Hashimoto&quot;,&quot;given&quot;:&quot;Takuya&quot;,&quot;parse-names&quot;:false,&quot;dropping-particle&quot;:&quot;&quot;,&quot;non-dropping-particle&quot;:&quot;&quot;},{&quot;family&quot;:&quot;Ichida&quot;,&quot;given&quot;:&quot;Akihiko&quot;,&quot;parse-names&quot;:false,&quot;dropping-particle&quot;:&quot;&quot;,&quot;non-dropping-particle&quot;:&quot;&quot;},{&quot;family&quot;:&quot;Shimada&quot;,&quot;given&quot;:&quot;Kei&quot;,&quot;parse-names&quot;:false,&quot;dropping-particle&quot;:&quot;&quot;,&quot;non-dropping-particle&quot;:&quot;&quot;},{&quot;family&quot;:&quot;Maruyama&quot;,&quot;given&quot;:&quot;Yoshikazu&quot;,&quot;parse-names&quot;:false,&quot;dropping-particle&quot;:&quot;&quot;,&quot;non-dropping-particle&quot;:&quot;&quot;},{&quot;family&quot;:&quot;Makuuchi&quot;,&quot;given&quot;:&quot;Masatoshi&quot;,&quot;parse-names&quot;:false,&quot;dropping-particle&quot;:&quot;&quot;,&quot;non-dropping-particle&quot;:&quot;&quot;}],&quot;container-title&quot;:&quot;Journal of Gastrointestinal Surgery&quot;,&quot;accessed&quot;:{&quot;date-parts&quot;:[[2024,9,29]]},&quot;DOI&quot;:&quot;10.1007/s11605-018-3860-4&quot;,&quot;ISSN&quot;:&quot;1091255X&quot;,&quot;PMID&quot;:&quot;29980979&quot;,&quot;URL&quot;:&quot;http://www.jogs.org/article/S1091255X23074851/fulltext&quot;,&quot;issued&quot;:{&quot;date-parts&quot;:[[2018,12,1]]},&quot;page&quot;:&quot;2037-2044&quot;,&quot;abstract&quot;:&quot;Background: Recent improvements in imaging technologies have enabled surgeons to perform precise planning using virtual hepatectomy (VH). However, the practical and clinical benefits of VH remain unclear. This study sought to assess how three-dimensional analysis using a VH contributed to preoperative planning and postoperative outcome in patients undergoing liver surgery for the treatment of colorectal liver metastases (CRLM). Methods: From 2007 to 2017, a total of 473 CRLM patients who received curative hepatectomy were retrospectively assessed. A 1:1 matched propensity analysis was performed between patients who did not receive a VH (without 3D group: n = 188) and received a VH (3D(+) group: n = 285). Result: The rate of VH increased over the study period (P &lt; 0.001). After propensity score matching (n = 150 for each group), no significant differences were observed in the intraoperative and postoperative outcome, including liver transection time, blood loss, or morbidity between the groups. More patients received a small anatomical resection (plus limited resections) in the 3D(+) group (25 vs 11%, [P = 0.03]). A submillimeter margin was less frequent in the 3D(+) group. No significant differences in the 5-year overall survival and disease-free survival rates were seen between the without 3D group and the 3D(+) group (38.0 vs. 45.9% [P = 0.99], 11.1 vs. 21.7%, respectively [P = 0.109]). Conclusion: Although VH did not significantly influenced on the long-term outcome after hepatectomy, a more parenchymal-sparing operative procedure (anatomical resections, plus limited resections) was selected and the risk of a submillimeter surgical margin was reduced after introduction of VH.&quot;,&quot;publisher&quot;:&quot;Springer New York LLC&quot;,&quot;issue&quot;:&quot;12&quot;,&quot;volume&quot;:&quot;22&quot;,&quot;container-title-short&quot;:&quot;&quot;},&quot;isTemporary&quot;:false}]},{&quot;citationID&quot;:&quot;MENDELEY_CITATION_39332bbc-6ad9-415e-9433-133343b702f8&quot;,&quot;properties&quot;:{&quot;noteIndex&quot;:0},&quot;isEdited&quot;:false,&quot;manualOverride&quot;:{&quot;isManuallyOverridden&quot;:false,&quot;citeprocText&quot;:&quot;[52,62]&quot;,&quot;manualOverrideText&quot;:&quot;&quot;},&quot;citationTag&quot;:&quot;MENDELEY_CITATION_v3_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&quot;,&quot;citationItems&quot;:[{&quot;id&quot;:&quot;6cfcb8e3-6c89-3918-8c0c-350f06e97396&quot;,&quot;itemData&quot;:{&quot;type&quot;:&quot;article-journal&quot;,&quot;id&quot;:&quot;6cfcb8e3-6c89-3918-8c0c-350f06e97396&quot;,&quot;title&quot;:&quot;Fast and accurate liver volumetry prior to hepatectomy&quot;,&quot;author&quot;:[{&quot;family&quot;:&quot;Lodewick&quot;,&quot;given&quot;:&quot;Toine M.&quot;,&quot;parse-names&quot;:false,&quot;dropping-particle&quot;:&quot;&quot;,&quot;non-dropping-particle&quot;:&quot;&quot;},{&quot;family&quot;:&quot;Arnoldussen&quot;,&quot;given&quot;:&quot;Carsten W.K.P.&quot;,&quot;parse-names&quot;:false,&quot;dropping-particle&quot;:&quot;&quot;,&quot;non-dropping-particle&quot;:&quot;&quot;},{&quot;family&quot;:&quot;Lahaye&quot;,&quot;given&quot;:&quot;Max J.&quot;,&quot;parse-names&quot;:false,&quot;dropping-particle&quot;:&quot;&quot;,&quot;non-dropping-particle&quot;:&quot;&quot;},{&quot;family&quot;:&quot;Mierlo&quot;,&quot;given&quot;:&quot;Kim M.C.&quot;,&quot;parse-names&quot;:false,&quot;dropping-particle&quot;:&quot;&quot;,&quot;non-dropping-particle&quot;:&quot;van&quot;},{&quot;family&quot;:&quot;Neumann&quot;,&quot;given&quot;:&quot;Ulf P.&quot;,&quot;parse-names&quot;:false,&quot;dropping-particle&quot;:&quot;&quot;,&quot;non-dropping-particle&quot;:&quot;&quot;},{&quot;family&quot;:&quot;Beets-Tan&quot;,&quot;given&quot;:&quot;Regina G.&quot;,&quot;parse-names&quot;:false,&quot;dropping-particle&quot;:&quot;&quot;,&quot;non-dropping-particle&quot;:&quot;&quot;},{&quot;family&quot;:&quot;Dejong&quot;,&quot;given&quot;:&quot;Cornelis H.C.&quot;,&quot;parse-names&quot;:false,&quot;dropping-particle&quot;:&quot;&quot;,&quot;non-dropping-particle&quot;:&quot;&quot;},{&quot;family&quot;:&quot;Dam&quot;,&quot;given&quot;:&quot;Ronald M.&quot;,&quot;parse-names&quot;:false,&quot;dropping-particle&quot;:&quot;&quot;,&quot;non-dropping-particle&quot;:&quot;van&quot;}],&quot;container-title&quot;:&quot;HPB&quot;,&quot;DOI&quot;:&quot;10.1016/j.hpb.2016.06.009&quot;,&quot;ISSN&quot;:&quot;14772574&quot;,&quot;PMID&quot;:&quot;27593594&quot;,&quot;issued&quot;:{&quot;date-parts&quot;:[[2016,9,1]]},&quot;page&quot;:&quot;764-772&quot;,&quot;abstract&quot;:&quot;Background Volumetric assessment of the liver is essential in the prevention of postresectional liver failure after partial hepatectomy. Currently used methods are accurate but time-consuming. This study aimed to test a new automated method for preoperative volumetric liver assessment. Methods Patients who underwent a contrast enhanced portovenous phase CT-scan prior to hepatectomy in 2012 were included. Total liver volume (TLV) and future remnant liver volume (FRLV) were measured using TeraRecon Aquarius iNtuition® (autosegmentation) and OsiriX® (manual segmentation) software by two observers for each software package. Remnant liver volume percentage (RLV%) was calculated. Time needed to determine TLV and FRLV was measured. Inter-observer variability was assessed using Bland-Altman plots. Results Twenty-seven patients were included. There were no significant differences in measured volumes between OsiriX® and iNtuition®. Moreover, there were significant correlations between the OsiriX® observers, the iNtuition® observers and between OsiriX® and iNtuition® post-processing systems (all R2 &gt; 0.97). The median time needed for complete liver volumetric analysis was 18.4 ± 4.9 min with OsiriX® and 5.8 ± 1.7 min using iNtuition® (p &lt; 0.001). Conclusion Both OsiriX® and iNtuition® liver volumetry are accurate and easily applicable. However, volumetric assessment of the liver with iNtuition® auto-segmentation is three times faster compared to manual OsiriX® volumetry.&quot;,&quot;publisher&quot;:&quot;Elsevier B.V.&quot;,&quot;issue&quot;:&quot;9&quot;,&quot;volume&quot;:&quot;18&quot;,&quot;container-title-short&quot;:&quot;&quot;},&quot;isTemporary&quot;:false},{&quot;id&quot;:&quot;d390690f-03a1-3a0b-a9d2-ee2610ebb1f4&quot;,&quot;itemData&quot;:{&quot;type&quot;:&quot;article-journal&quot;,&quot;id&quot;:&quot;d390690f-03a1-3a0b-a9d2-ee2610ebb1f4&quot;,&quot;title&quot;:&quot;Liver Segmentation on CT and MR Using Laplacian Mesh Optimization&quot;,&quot;author&quot;:[{&quot;family&quot;:&quot;Chartrand&quot;,&quot;given&quot;:&quot;Gabriel&quot;,&quot;parse-names&quot;:false,&quot;dropping-particle&quot;:&quot;&quot;,&quot;non-dropping-particle&quot;:&quot;&quot;},{&quot;family&quot;:&quot;Cresson&quot;,&quot;given&quot;:&quot;Thierry&quot;,&quot;parse-names&quot;:false,&quot;dropping-particle&quot;:&quot;&quot;,&quot;non-dropping-particle&quot;:&quot;&quot;},{&quot;family&quot;:&quot;Chav&quot;,&quot;given&quot;:&quot;Ramnada&quot;,&quot;parse-names&quot;:false,&quot;dropping-particle&quot;:&quot;&quot;,&quot;non-dropping-particle&quot;:&quot;&quot;},{&quot;family&quot;:&quot;Gotra&quot;,&quot;given&quot;:&quot;Akshat&quot;,&quot;parse-names&quot;:false,&quot;dropping-particle&quot;:&quot;&quot;,&quot;non-dropping-particle&quot;:&quot;&quot;},{&quot;family&quot;:&quot;Tang&quot;,&quot;given&quot;:&quot;An&quot;,&quot;parse-names&quot;:false,&quot;dropping-particle&quot;:&quot;&quot;,&quot;non-dropping-particle&quot;:&quot;&quot;},{&quot;family&quot;:&quot;Guise&quot;,&quot;given&quot;:&quot;Jacques A.&quot;,&quot;parse-names&quot;:false,&quot;dropping-particle&quot;:&quot;&quot;,&quot;non-dropping-particle&quot;:&quot;De&quot;}],&quot;container-title&quot;:&quot;IEEE transactions on bio-medical engineering&quot;,&quot;container-title-short&quot;:&quot;IEEE Trans Biomed Eng&quot;,&quot;accessed&quot;:{&quot;date-parts&quot;:[[2023,8,23]]},&quot;DOI&quot;:&quot;10.1109/TBME.2016.2631139&quot;,&quot;ISSN&quot;:&quot;1558-2531&quot;,&quot;PMID&quot;:&quot;27893375&quot;,&quot;URL&quot;:&quot;https://pubmed.ncbi.nlm.nih.gov/27893375/&quot;,&quot;issued&quot;:{&quot;date-parts&quot;:[[2017,9,1]]},&quot;page&quot;:&quot;2110-2121&quot;,&quot;abstract&quot;:&quot;The purpose of this paper is to describe a semiautomated segmentation method for the liver and evaluate its performance on CT-scan and MR images. Methods: First, an approximate 3-D model of the liver is initialized from a few user-generated contours to globally outline the liver shape. The model is then automatically deformed by a Laplacian mesh optimization scheme until it precisely delineates the patient's liver. A correction tool was implemented to allow the user to improve the segmentation until satisfaction. Results: The proposed method was tested against 30 CT-scans from the SLIVER07 challenge repository and 20 MR studies from the Montreal University Hospital Center, covering a wide spectrum of liver morphologies and pathologies. The average volumetric overlap error was 5.1% for CT and 7.6% for MRI and the average segmentation time was 6 min. Conclusion: The obtained results show that the proposed method is efficient, reliable, and could effectively be used routinely in the clinical setting. Significance: The proposed approach can alleviate the cumbersome and tedious process of slice-wise segmentation required for precise hepatic volumetry, virtual surgery, and treatment planning.&quot;,&quot;publisher&quot;:&quot;IEEE Trans Biomed Eng&quot;,&quot;issue&quot;:&quot;9&quot;,&quot;volume&quot;:&quot;64&quot;},&quot;isTemporary&quot;:false}]},{&quot;citationID&quot;:&quot;MENDELEY_CITATION_eb58ae4b-ad79-4c35-affc-e4325f88bc41&quot;,&quot;properties&quot;:{&quot;noteIndex&quot;:0},&quot;isEdited&quot;:false,&quot;manualOverride&quot;:{&quot;isManuallyOverridden&quot;:false,&quot;citeprocText&quot;:&quot;[63]&quot;,&quot;manualOverrideText&quot;:&quot;&quot;},&quot;citationTag&quot;:&quot;MENDELEY_CITATION_v3_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&quot;,&quot;citationItems&quot;:[{&quot;id&quot;:&quot;8afaa37e-4beb-34c4-b224-632fd7b7d9ad&quot;,&quot;itemData&quot;:{&quot;type&quot;:&quot;article-journal&quot;,&quot;id&quot;:&quot;8afaa37e-4beb-34c4-b224-632fd7b7d9ad&quot;,&quot;title&quot;:&quot;Deep learning for fully automated segmentation and volumetry of Couinaud liver segments and future liver remnants shown with CT before major hepatectomy: a validation study of a predictive model&quot;,&quot;author&quot;:[{&quot;family&quot;:&quot;Xie&quot;,&quot;given&quot;:&quot;Tingting&quot;,&quot;parse-names&quot;:false,&quot;dropping-particle&quot;:&quot;&quot;,&quot;non-dropping-particle&quot;:&quot;&quot;},{&quot;family&quot;:&quot;Li&quot;,&quot;given&quot;:&quot;Yongbin&quot;,&quot;parse-names&quot;:false,&quot;dropping-particle&quot;:&quot;&quot;,&quot;non-dropping-particle&quot;:&quot;&quot;},{&quot;family&quot;:&quot;Lin&quot;,&quot;given&quot;:&quot;Ziying&quot;,&quot;parse-names&quot;:false,&quot;dropping-particle&quot;:&quot;&quot;,&quot;non-dropping-particle&quot;:&quot;&quot;},{&quot;family&quot;:&quot;Liu&quot;,&quot;given&quot;:&quot;Xiang&quot;,&quot;parse-names&quot;:false,&quot;dropping-particle&quot;:&quot;&quot;,&quot;non-dropping-particle&quot;:&quot;&quot;},{&quot;family&quot;:&quot;Zhang&quot;,&quot;given&quot;:&quot;Xiaodong&quot;,&quot;parse-names&quot;:false,&quot;dropping-particle&quot;:&quot;&quot;,&quot;non-dropping-particle&quot;:&quot;&quot;},{&quot;family&quot;:&quot;Zhang&quot;,&quot;given&quot;:&quot;Yaofeng&quot;,&quot;parse-names&quot;:false,&quot;dropping-particle&quot;:&quot;&quot;,&quot;non-dropping-particle&quot;:&quot;&quot;},{&quot;family&quot;:&quot;Zhang&quot;,&quot;given&quot;:&quot;Dadou&quot;,&quot;parse-names&quot;:false,&quot;dropping-particle&quot;:&quot;&quot;,&quot;non-dropping-particle&quot;:&quot;&quot;},{&quot;family&quot;:&quot;Cheng&quot;,&quot;given&quot;:&quot;Guanxun&quot;,&quot;parse-names&quot;:false,&quot;dropping-particle&quot;:&quot;&quot;,&quot;non-dropping-particle&quot;:&quot;&quot;},{&quot;family&quot;:&quot;Wang&quot;,&quot;given&quot;:&quot;Xiaoying&quot;,&quot;parse-names&quot;:false,&quot;dropping-particle&quot;:&quot;&quot;,&quot;non-dropping-particle&quot;:&quot;&quot;}],&quot;container-title&quot;:&quot;Quantitative imaging in medicine and surgery&quot;,&quot;container-title-short&quot;:&quot;Quant Imaging Med Surg&quot;,&quot;accessed&quot;:{&quot;date-parts&quot;:[[2023,6,15]]},&quot;DOI&quot;:&quot;10.21037/QIMS-22-1008&quot;,&quot;ISSN&quot;:&quot;2223-4292&quot;,&quot;PMID&quot;:&quot;37179921&quot;,&quot;URL&quot;:&quot;https://pubmed.ncbi.nlm.nih.gov/37179921/&quot;,&quot;issued&quot;:{&quot;date-parts&quot;:[[2023,5]]},&quot;page&quot;:&quot;0-0&quot;,&quot;publisher&quot;:&quot;Quant Imaging Med Surg&quot;,&quot;issue&quot;:&quot;5&quot;,&quot;volume&quot;:&quot;13&quot;},&quot;isTemporary&quot;:false}]},{&quot;citationID&quot;:&quot;MENDELEY_CITATION_df945ced-675f-41d4-a5b4-61b846577668&quot;,&quot;properties&quot;:{&quot;noteIndex&quot;:0},&quot;isEdited&quot;:false,&quot;manualOverride&quot;:{&quot;isManuallyOverridden&quot;:false,&quot;citeprocText&quot;:&quot;[64]&quot;,&quot;manualOverrideText&quot;:&quot;&quot;},&quot;citationTag&quot;:&quot;MENDELEY_CITATION_v3_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&quot;,&quot;citationItems&quot;:[{&quot;id&quot;:&quot;9f306845-a98a-31ed-8eb1-8a09688067bf&quot;,&quot;itemData&quot;:{&quot;type&quot;:&quot;article-journal&quot;,&quot;id&quot;:&quot;9f306845-a98a-31ed-8eb1-8a09688067bf&quot;,&quot;title&quot;:&quot;Deep Learning Algorithm for Automated Segmentation and Volume Measurement of the Liver and Spleen Using Portal Venous Phase Computed Tomography Images&quot;,&quot;author&quot;:[{&quot;family&quot;:&quot;Ahn&quot;,&quot;given&quot;:&quot;Yura&quot;,&quot;parse-names&quot;:false,&quot;dropping-particle&quot;:&quot;&quot;,&quot;non-dropping-particle&quot;:&quot;&quot;},{&quot;family&quot;:&quot;Yoon&quot;,&quot;given&quot;:&quot;Jee Seok&quot;,&quot;parse-names&quot;:false,&quot;dropping-particle&quot;:&quot;&quot;,&quot;non-dropping-particle&quot;:&quot;&quot;},{&quot;family&quot;:&quot;Lee&quot;,&quot;given&quot;:&quot;Seung Soo&quot;,&quot;parse-names&quot;:false,&quot;dropping-particle&quot;:&quot;&quot;,&quot;non-dropping-particle&quot;:&quot;&quot;},{&quot;family&quot;:&quot;Suk&quot;,&quot;given&quot;:&quot;Heung&quot;,&quot;parse-names&quot;:false,&quot;dropping-particle&quot;:&quot;Il&quot;,&quot;non-dropping-particle&quot;:&quot;&quot;},{&quot;family&quot;:&quot;Son&quot;,&quot;given&quot;:&quot;Jung Hee&quot;,&quot;parse-names&quot;:false,&quot;dropping-particle&quot;:&quot;&quot;,&quot;non-dropping-particle&quot;:&quot;&quot;},{&quot;family&quot;:&quot;Sung&quot;,&quot;given&quot;:&quot;Yu Sub&quot;,&quot;parse-names&quot;:false,&quot;dropping-particle&quot;:&quot;&quot;,&quot;non-dropping-particle&quot;:&quot;&quot;},{&quot;family&quot;:&quot;Lee&quot;,&quot;given&quot;:&quot;Yedaun&quot;,&quot;parse-names&quot;:false,&quot;dropping-particle&quot;:&quot;&quot;,&quot;non-dropping-particle&quot;:&quot;&quot;},{&quot;family&quot;:&quot;Kang&quot;,&quot;given&quot;:&quot;Bo Kyeong&quot;,&quot;parse-names&quot;:false,&quot;dropping-particle&quot;:&quot;&quot;,&quot;non-dropping-particle&quot;:&quot;&quot;},{&quot;family&quot;:&quot;Kim&quot;,&quot;given&quot;:&quot;Ho Sung&quot;,&quot;parse-names&quot;:false,&quot;dropping-particle&quot;:&quot;&quot;,&quot;non-dropping-particle&quot;:&quot;&quot;}],&quot;container-title&quot;:&quot;Korean Journal of Radiology&quot;,&quot;container-title-short&quot;:&quot;Korean J Radiol&quot;,&quot;accessed&quot;:{&quot;date-parts&quot;:[[2024,4,22]]},&quot;DOI&quot;:&quot;10.3348/KJR.2020.0237&quot;,&quot;ISSN&quot;:&quot;1229-6929&quot;,&quot;PMID&quot;:&quot;32677383&quot;,&quot;URL&quot;:&quot;https://doi.org/10.3348/kjr.2020.0237&quot;,&quot;issued&quot;:{&quot;date-parts&quot;:[[2020,8,1]]},&quot;page&quot;:&quot;987-997&quot;,&quot;abstract&quot;:&quot;Objective: Measurement of the liver and spleen volumes has clinical implications. Although computed tomography (CT) volumetry is considered to be the most reliable noninvasive method for liver and spleen volume measurement, it has limited application in clinical practice due to its time-consuming segmentation process. We aimed to develop and validate a deep learning algorithm (DLA) for fully automated liver and spleen segmentation using portal venous phase CT images in various liver conditions. Materials and Methods: A DLA for liver and spleen segmentation was trained using a development dataset of portal venous CT images from 813 patients. Performance of the DLA was evaluated in two separate test datasets: dataset-1 which included 150 CT examinations in patients with various liver conditions (i.e., healthy liver, fatty liver, chronic liver disease, cirrhosis, and post-hepatectomy) and dataset-2 which included 50 pairs of CT examinations performed at ours and other institutions. The performance of the DLA was evaluated using the dice similarity score (DSS) for segmentation and Bland-Altman 95% limits of agreement (LOA) for measurement of the volumetric indices, which was compared with that of ground truth manual segmentation. Results: In test dataset-1, the DLA achieved a mean DSS of 0.973 and 0.974 for liver and spleen segmentation, respectively, with no significant difference in DSS across different liver conditions (p = 0.60 and 0.26 for the liver and spleen, respectively). For the measurement of volumetric indices, the Bland-Altman 95% LOA was-0.17 ± 3.07% for liver volume and-0.56 ± 3.78% for spleen volume. In test dataset-2, DLA performance using CT images obtained at outside institutions and our institution was comparable for liver (DSS, 0.982 vs. 0.983; p = 0.28) and spleen (DSS, 0.969 vs. 0.968; p = 0.41) segmentation. Conclusion: The DLA enabled highly accurate segmentation and volume measurement of the liver and spleen using portal venous phase CT images of patients with various liver conditions.&quot;,&quot;publisher&quot;:&quot;Korean Radiological Society&quot;,&quot;issue&quot;:&quot;8&quot;,&quot;volume&quot;:&quot;21&quot;},&quot;isTemporary&quot;:false}]},{&quot;citationID&quot;:&quot;MENDELEY_CITATION_2d39608d-5bdf-405c-99ff-b3077ba55a68&quot;,&quot;properties&quot;:{&quot;noteIndex&quot;:0},&quot;isEdited&quot;:false,&quot;manualOverride&quot;:{&quot;isManuallyOverridden&quot;:false,&quot;citeprocText&quot;:&quot;[6]&quot;,&quot;manualOverrideText&quot;:&quot;&quot;},&quot;citationTag&quot;:&quot;MENDELEY_CITATION_v3_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&quot;,&quot;citationItems&quot;:[{&quot;id&quot;:&quot;e1bd0865-2399-3e08-952f-09ed7685c985&quot;,&quot;itemData&quot;:{&quot;type&quot;:&quot;article-journal&quot;,&quot;id&quot;:&quot;e1bd0865-2399-3e08-952f-09ed7685c985&quot;,&quot;title&quot;:&quot;Liver volumetric and anatomic assessment in living donor liver transplantation: The role of modern imaging and artificial intelligence&quot;,&quot;author&quot;:[{&quot;family&quot;:&quot;Machry&quot;,&quot;given&quot;:&quot;Mayara&quot;,&quot;parse-names&quot;:false,&quot;dropping-particle&quot;:&quot;&quot;,&quot;non-dropping-particle&quot;:&quot;&quot;},{&quot;family&quot;:&quot;Ferreira&quot;,&quot;given&quot;:&quot;Luis Fernando&quot;,&quot;parse-names&quot;:false,&quot;dropping-particle&quot;:&quot;&quot;,&quot;non-dropping-particle&quot;:&quot;&quot;},{&quot;family&quot;:&quot;Lucchese&quot;,&quot;given&quot;:&quot;Angelica Maria&quot;,&quot;parse-names&quot;:false,&quot;dropping-particle&quot;:&quot;&quot;,&quot;non-dropping-particle&quot;:&quot;&quot;},{&quot;family&quot;:&quot;Kalil&quot;,&quot;given&quot;:&quot;Antonio Nocchi&quot;,&quot;parse-names&quot;:false,&quot;dropping-particle&quot;:&quot;&quot;,&quot;non-dropping-particle&quot;:&quot;&quot;},{&quot;family&quot;:&quot;Feier&quot;,&quot;given&quot;:&quot;Flavia Heinz&quot;,&quot;parse-names&quot;:false,&quot;dropping-particle&quot;:&quot;&quot;,&quot;non-dropping-particle&quot;:&quot;&quot;}],&quot;container-title&quot;:&quot;World journal of transplantation&quot;,&quot;container-title-short&quot;:&quot;World J Transplant&quot;,&quot;accessed&quot;:{&quot;date-parts&quot;:[[2024,4,22]]},&quot;DOI&quot;:&quot;10.5500/WJT.V13.I6.290&quot;,&quot;ISSN&quot;:&quot;2220-3230&quot;,&quot;PMID&quot;:&quot;38174151&quot;,&quot;URL&quot;:&quot;https://pubmed.ncbi.nlm.nih.gov/38174151/&quot;,&quot;issued&quot;:{&quot;date-parts&quot;:[[2023,12,18]]},&quot;page&quot;:&quot;290-298&quot;,&quot;abstract&quot;:&quot;The shortage of deceased donor organs has prompted the development of alternative liver grafts for transplantation. Living-donor liver transplantation (LDLT) has emerged as a viable option, expanding the donor pool and enabling timely transplantation with favorable graft function and improved long-term outcomes. An accurate evaluation of the donor liver’s volumetry (LV) and anatomical study is crucial to ensure adequate future liver remnant, graft volume and precise liver resection. Thus, ensuring donor safety and an appropriate graft-to-recipient weight ratio. Manual LV (MLV) using computed tomography has traditionally been considered the gold standard for assessing liver volume. However, the method has been limited by cost, subjectivity, and variability. Automated LV techniques employing advanced segmentation algorithms offer improved reproducibility, reduced variability, and enhanced efficiency compared to manual measurements. However, the accuracy of automated LV requires further investigation. The study provides a comprehensive review of traditional and emerging LV methods, including semi-automated image processing, automated LV techniques, and machine learning-based approaches. Additionally, the study discusses the respective strengths and weaknesses of each of the aforementioned techniques. The use of artificial intelligence (AI) technologies, including machine learning and deep learning, is expected to become a routine part of surgical planning in the near future. The implementation of AI is expected to enable faster and more accurate image study interpretations, improve workflow efficiency, and enhance the safety, speed, and cost-effectiveness of the procedures. Accurate preoperative assessment of the liver plays a crucial role in ensuring safe donor selection and improved outcomes in LDLT. MLV has inherent limitations that have led to the adoption of semi-automated and automated software solutions. Moreover, AI has tremendous potential for LV and segmentation; however, its widespread use is hindered by cost and availability. Therefore, the integration of multiple specialties is necessary to embrace technology and explore its possibilities, ranging from patient counseling to intraoperative decision-making through automation and AI.&quot;,&quot;publisher&quot;:&quot;World J Transplant&quot;,&quot;issue&quot;:&quot;6&quot;,&quot;volume&quot;:&quot;13&quot;},&quot;isTemporary&quot;:false}]},{&quot;citationID&quot;:&quot;MENDELEY_CITATION_85d4d94b-4592-4e52-bd55-ec97053f4698&quot;,&quot;properties&quot;:{&quot;noteIndex&quot;:0},&quot;isEdited&quot;:false,&quot;manualOverride&quot;:{&quot;isManuallyOverridden&quot;:false,&quot;citeprocText&quot;:&quot;[59,65]&quot;,&quot;manualOverrideText&quot;:&quot;&quot;},&quot;citationTag&quot;:&quot;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&quot;,&quot;citationItems&quot;:[{&quot;id&quot;:&quot;940fa0e7-edf3-3474-8d29-29bad8042953&quot;,&quot;itemData&quot;:{&quot;type&quot;:&quot;article-journal&quot;,&quot;id&quot;:&quot;940fa0e7-edf3-3474-8d29-29bad8042953&quot;,&quot;title&quot;:&quot;Fully automated preoperative liver volumetry incorporating the anatomical location of the central hepatic vein&quot;,&quot;author&quot;:[{&quot;family&quot;:&quot;Koitka&quot;,&quot;given&quot;:&quot;Sven&quot;,&quot;parse-names&quot;:false,&quot;dropping-particle&quot;:&quot;&quot;,&quot;non-dropping-particle&quot;:&quot;&quot;},{&quot;family&quot;:&quot;Gudlin&quot;,&quot;given&quot;:&quot;Phillip&quot;,&quot;parse-names&quot;:false,&quot;dropping-particle&quot;:&quot;&quot;,&quot;non-dropping-particle&quot;:&quot;&quot;},{&quot;family&quot;:&quot;Theysohn&quot;,&quot;given&quot;:&quot;Jens M.&quot;,&quot;parse-names&quot;:false,&quot;dropping-particle&quot;:&quot;&quot;,&quot;non-dropping-particle&quot;:&quot;&quot;},{&quot;family&quot;:&quot;Oezcelik&quot;,&quot;given&quot;:&quot;Arzu&quot;,&quot;parse-names&quot;:false,&quot;dropping-particle&quot;:&quot;&quot;,&quot;non-dropping-particle&quot;:&quot;&quot;},{&quot;family&quot;:&quot;Hoyer&quot;,&quot;given&quot;:&quot;Dieter P.&quot;,&quot;parse-names&quot;:false,&quot;dropping-particle&quot;:&quot;&quot;,&quot;non-dropping-particle&quot;:&quot;&quot;},{&quot;family&quot;:&quot;Dayangac&quot;,&quot;given&quot;:&quot;Murat&quot;,&quot;parse-names&quot;:false,&quot;dropping-particle&quot;:&quot;&quot;,&quot;non-dropping-particle&quot;:&quot;&quot;},{&quot;family&quot;:&quot;Hosch&quot;,&quot;given&quot;:&quot;René&quot;,&quot;parse-names&quot;:false,&quot;dropping-particle&quot;:&quot;&quot;,&quot;non-dropping-particle&quot;:&quot;&quot;},{&quot;family&quot;:&quot;Haubold&quot;,&quot;given&quot;:&quot;Johannes&quot;,&quot;parse-names&quot;:false,&quot;dropping-particle&quot;:&quot;&quot;,&quot;non-dropping-particle&quot;:&quot;&quot;},{&quot;family&quot;:&quot;Flaschel&quot;,&quot;given&quot;:&quot;Nils&quot;,&quot;parse-names&quot;:false,&quot;dropping-particle&quot;:&quot;&quot;,&quot;non-dropping-particle&quot;:&quot;&quot;},{&quot;family&quot;:&quot;Nensa&quot;,&quot;given&quot;:&quot;Felix&quot;,&quot;parse-names&quot;:false,&quot;dropping-particle&quot;:&quot;&quot;,&quot;non-dropping-particle&quot;:&quot;&quot;},{&quot;family&quot;:&quot;Malamutmann&quot;,&quot;given&quot;:&quot;Eugen&quot;,&quot;parse-names&quot;:false,&quot;dropping-particle&quot;:&quot;&quot;,&quot;non-dropping-particle&quot;:&quot;&quot;}],&quot;container-title&quot;:&quot;Scientific reports&quot;,&quot;container-title-short&quot;:&quot;Sci Rep&quot;,&quot;accessed&quot;:{&quot;date-parts&quot;:[[2023,6,15]]},&quot;DOI&quot;:&quot;10.1038/S41598-022-20778-4&quot;,&quot;ISSN&quot;:&quot;2045-2322&quot;,&quot;PMID&quot;:&quot;36183002&quot;,&quot;issued&quot;:{&quot;date-parts&quot;:[[2022,12,1]]},&quot;abstract&quot;:&quot;The precise preoperative calculation of functional liver volumes is essential prior major liver resections, as well as for the evaluation of a suitable donor for living donor liver transplantation. The aim of this study was to develop a fully automated, reproducible, and quantitative 3D volumetry of the liver from standard CT examinations of the abdomen as part of routine clinical imaging. Therefore, an in-house dataset of 100 venous phase CT examinations for training and 30 venous phase ex-house CT examinations with a slice thickness of 5 mm for testing and validating were fully annotated with right and left liver lobe. Multi-Resolution U-Net 3D neural networks were employed for segmenting these liver regions. The Sørensen-Dice coefficient was greater than 0.9726 ± 0.0058, 0.9639 ± 0.0088, and 0.9223 ± 0.0187 and a mean volume difference of 32.12 ± 19.40 ml, 22.68 ± 21.67 ml, and 9.44 ± 27.08 ml compared to the standard of reference (SoR) liver, right lobe, and left lobe annotation was achieved. Our results show that fully automated 3D volumetry of the liver on routine CT imaging can provide reproducible, quantitative, fast and accurate results without needing any examiner in the preoperative work-up for hepatobiliary surgery and especially for living donor liver transplantation.&quot;,&quot;publisher&quot;:&quot;Sci Rep&quot;,&quot;issue&quot;:&quot;1&quot;,&quot;volume&quot;:&quot;12&quot;},&quot;isTemporary&quot;:false},{&quot;id&quot;:&quot;d77c45be-33fd-3afb-ba0d-5a5313f89262&quot;,&quot;itemData&quot;:{&quot;type&quot;:&quot;article-journal&quot;,&quot;id&quot;:&quot;d77c45be-33fd-3afb-ba0d-5a5313f89262&quot;,&quot;title&quot;:&quot;nnU-Net Deep Learning Method for Segmenting Parenchyma and Determining Liver Volume From Computed Tomography Images&quot;,&quot;author&quot;:[{&quot;family&quot;:&quot;Pettit&quot;,&quot;given&quot;:&quot;Rowland W.&quot;,&quot;parse-names&quot;:false,&quot;dropping-particle&quot;:&quot;&quot;,&quot;non-dropping-particle&quot;:&quot;&quot;},{&quot;family&quot;:&quot;Marlatt&quot;,&quot;given&quot;:&quot;Britton B.&quot;,&quot;parse-names&quot;:false,&quot;dropping-particle&quot;:&quot;&quot;,&quot;non-dropping-particle&quot;:&quot;&quot;},{&quot;family&quot;:&quot;Corr&quot;,&quot;given&quot;:&quot;Stuart J.&quot;,&quot;parse-names&quot;:false,&quot;dropping-particle&quot;:&quot;&quot;,&quot;non-dropping-particle&quot;:&quot;&quot;},{&quot;family&quot;:&quot;Havelka&quot;,&quot;given&quot;:&quot;Jim&quot;,&quot;parse-names&quot;:false,&quot;dropping-particle&quot;:&quot;&quot;,&quot;non-dropping-particle&quot;:&quot;&quot;},{&quot;family&quot;:&quot;Rana&quot;,&quot;given&quot;:&quot;Abbas&quot;,&quot;parse-names&quot;:false,&quot;dropping-particle&quot;:&quot;&quot;,&quot;non-dropping-particle&quot;:&quot;&quot;}],&quot;container-title&quot;:&quot;Annals of surgery open : perspectives of surgical history, education, and clinical approaches&quot;,&quot;container-title-short&quot;:&quot;Ann Surg Open&quot;,&quot;accessed&quot;:{&quot;date-parts&quot;:[[2024,1,20]]},&quot;DOI&quot;:&quot;10.1097/AS9.0000000000000155&quot;,&quot;ISSN&quot;:&quot;2691-3593&quot;,&quot;PMID&quot;:&quot;36275876&quot;,&quot;URL&quot;:&quot;https://pubmed.ncbi.nlm.nih.gov/36275876/&quot;,&quot;issued&quot;:{&quot;date-parts&quot;:[[2022,6]]},&quot;page&quot;:&quot;e155&quot;,&quot;abstract&quot;:&quot;Background:Recipient donor matching in liver transplantation can require precise estimations of liver volume. Currently utilized demographic-based organ volume estimates are imprecise and nonspecific. Manual image organ annotation from medical imaging is effective; however, this process is cumbersome, often taking an undesirable length of time to complete. Additionally, manual organ segmentation and volume measurement incurs additional direct costs to payers for either a clinician or trained technician to complete. Deep learning-based image automatic segmentation tools are well positioned to address this clinical need.Objectives:To build a deep learning model that could accurately estimate liver volumes and create 3D organ renderings from computed tomography (CT) medical images.Methods:We trained a nnU-Net deep learning model to identify liver borders in images of the abdominal cavity. We used 151 publicly available CT scans. For each CT scan, a board-certified radiologist annotated the liver margins (ground truth annotations). We split our image dataset into training, validation, and test sets. We trained our nnU-Net model on these data to identify liver borders in 3D voxels and integrated these to reconstruct a total organ volume estimate.Results:The nnU-Net model accurately identified the border of the liver with a mean overlap accuracy of 97.5% compared with ground truth annotations. Our calculated volume estimates achieved a mean percent error of 1.92% + 1.54% on the test set.Conclusions:Precise volume estimation of livers from CT scans is accurate using a nnU-Net deep learning architecture. Appropriately deployed, a nnU-Net algorithm is accurate and quick, making it suitable for incorporation into the pretransplant clinical decision-making workflow.&quot;,&quot;publisher&quot;:&quot;Ann Surg Open&quot;,&quot;issue&quot;:&quot;2&quot;,&quot;volume&quot;:&quot;3&quot;},&quot;isTemporary&quot;:false}]},{&quot;citationID&quot;:&quot;MENDELEY_CITATION_f1baf685-b66a-4bc5-a158-2e1da3ff4f0d&quot;,&quot;properties&quot;:{&quot;noteIndex&quot;:0},&quot;isEdited&quot;:false,&quot;manualOverride&quot;:{&quot;isManuallyOverridden&quot;:false,&quot;citeprocText&quot;:&quot;[66]&quot;,&quot;manualOverrideText&quot;:&quot;&quot;},&quot;citationTag&quot;:&quot;MENDELEY_CITATION_v3_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&quot;,&quot;citationItems&quot;:[{&quot;id&quot;:&quot;8556f7ac-05ef-3378-a977-c577f73d2230&quot;,&quot;itemData&quot;:{&quot;type&quot;:&quot;article-journal&quot;,&quot;id&quot;:&quot;8556f7ac-05ef-3378-a977-c577f73d2230&quot;,&quot;title&quot;:&quot;Estimation of Right-Lobe Graft Weight From Computed Tomographic Volumetry for Living Donor Liver Transplantation&quot;,&quot;author&quot;:[{&quot;family&quot;:&quot;Yang&quot;,&quot;given&quot;:&quot;X.&quot;,&quot;parse-names&quot;:false,&quot;dropping-particle&quot;:&quot;&quot;,&quot;non-dropping-particle&quot;:&quot;&quot;},{&quot;family&quot;:&quot;Chu&quot;,&quot;given&quot;:&quot;C. W.&quot;,&quot;parse-names&quot;:false,&quot;dropping-particle&quot;:&quot;&quot;,&quot;non-dropping-particle&quot;:&quot;&quot;},{&quot;family&quot;:&quot;Yang&quot;,&quot;given&quot;:&quot;J. D.&quot;,&quot;parse-names&quot;:false,&quot;dropping-particle&quot;:&quot;&quot;,&quot;non-dropping-particle&quot;:&quot;&quot;},{&quot;family&quot;:&quot;Yang&quot;,&quot;given&quot;:&quot;K. H.&quot;,&quot;parse-names&quot;:false,&quot;dropping-particle&quot;:&quot;&quot;,&quot;non-dropping-particle&quot;:&quot;&quot;},{&quot;family&quot;:&quot;Yu&quot;,&quot;given&quot;:&quot;H. C.&quot;,&quot;parse-names&quot;:false,&quot;dropping-particle&quot;:&quot;&quot;,&quot;non-dropping-particle&quot;:&quot;&quot;},{&quot;family&quot;:&quot;Cho&quot;,&quot;given&quot;:&quot;B. H.&quot;,&quot;parse-names&quot;:false,&quot;dropping-particle&quot;:&quot;&quot;,&quot;non-dropping-particle&quot;:&quot;&quot;},{&quot;family&quot;:&quot;You&quot;,&quot;given&quot;:&quot;H.&quot;,&quot;parse-names&quot;:false,&quot;dropping-particle&quot;:&quot;&quot;,&quot;non-dropping-particle&quot;:&quot;&quot;}],&quot;container-title&quot;:&quot;Transplantation Proceedings&quot;,&quot;container-title-short&quot;:&quot;Transplant Proc&quot;,&quot;DOI&quot;:&quot;10.1016/j.transproceed.2016.12.010&quot;,&quot;ISSN&quot;:&quot;18732623&quot;,&quot;PMID&quot;:&quot;28219589&quot;,&quot;issued&quot;:{&quot;date-parts&quot;:[[2017,3,1]]},&quot;page&quot;:&quot;303-308&quot;,&quot;abstract&quot;:&quot;Background The objective of the study was to establish a right-lobe graft weight (GW) estimation formula for living donor liver transplantation (LDLT) from right-lobe graft volume without veins (GVw/o_veins), including portal vein and hepatic vein measured by computed tomographic (CT) volumetry, and to compare its estimation accuracy with those of existing formulas. Right-lobe GW estimation formulas established with the use of graft volume with veins (GVw_veins) sacrifice accuracy because GW measured intra-operatively excludes the weight of blood in the veins. Right-lobe GW estimation formulas have been established with the use of right-lobe GVw/o_veins, but a more accurate formula must be developed. Methods The present study developed right-lobe GW estimation formulas based on GVw/o_veins as well as GVw_veins, using 40 cases of Korean donors: GW = 29.1 + 0.943 × GVw/o_veins (adjusted R2 = 0.94) and GW = 74.7 + 0.773 × GVw_veins (adjusted R2 = 0.87). The proposed GW estimation formulas were compared with existing GVw_veins- and GVw/o_veins-based models, using 43 cases additionally obtained from two medical centers for cross-validation. Results The GVw/o_veins-based formula developed in the present study was most preferred (absolute error = 21.5 ± 16.5 g and percentage of absolute error = 3.0 ± 2.3%). Conclusions The GVw/o_veins-based formula is preferred to the GVw_veins-based formula in GW estimation. Accurate CT volumetry and alignment between planned and actual surgical cutting lines are crucial in the establishment of a better GW estimation formula.&quot;,&quot;publisher&quot;:&quot;Elsevier USA&quot;,&quot;issue&quot;:&quot;2&quot;,&quot;volume&quot;:&quot;49&quot;},&quot;isTemporary&quot;:false}]},{&quot;citationID&quot;:&quot;MENDELEY_CITATION_03a62572-8b1c-4135-94ab-645f7cc252ae&quot;,&quot;properties&quot;:{&quot;noteIndex&quot;:0},&quot;isEdited&quot;:false,&quot;manualOverride&quot;:{&quot;isManuallyOverridden&quot;:false,&quot;citeprocText&quot;:&quot;[8]&quot;,&quot;manualOverrideText&quot;:&quot;&quot;},&quot;citationTag&quot;:&quot;MENDELEY_CITATION_v3_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&quot;,&quot;citationItems&quot;:[{&quot;id&quot;:&quot;ff7b18f4-2ddd-316d-8cb7-5a77e87b4783&quot;,&quot;itemData&quot;:{&quot;type&quot;:&quot;article-journal&quot;,&quot;id&quot;:&quot;ff7b18f4-2ddd-316d-8cb7-5a77e87b4783&quot;,&quot;title&quot;:&quot;Reproducibility and reliability of computed tomography volumetry in estimation of the right-lobe graft weight in adult-to-adult living donor liver transplantation: Cantlie's line vs portal vein territorialization&quot;,&quot;author&quot;:[{&quot;family&quot;:&quot;Kwon&quot;,&quot;given&quot;:&quot;Heon Ju&quot;,&quot;parse-names&quot;:false,&quot;dropping-particle&quot;:&quot;&quot;,&quot;non-dropping-particle&quot;:&quot;&quot;},{&quot;family&quot;:&quot;Kim&quot;,&quot;given&quot;:&quot;Kyoung Won&quot;,&quot;parse-names&quot;:false,&quot;dropping-particle&quot;:&quot;&quot;,&quot;non-dropping-particle&quot;:&quot;&quot;},{&quot;family&quot;:&quot;Jang&quot;,&quot;given&quot;:&quot;Jin Kyoo&quot;,&quot;parse-names&quot;:false,&quot;dropping-particle&quot;:&quot;&quot;,&quot;non-dropping-particle&quot;:&quot;&quot;},{&quot;family&quot;:&quot;Lee&quot;,&quot;given&quot;:&quot;Jeongjin&quot;,&quot;parse-names&quot;:false,&quot;dropping-particle&quot;:&quot;&quot;,&quot;non-dropping-particle&quot;:&quot;&quot;},{&quot;family&quot;:&quot;Song&quot;,&quot;given&quot;:&quot;Gi Won&quot;,&quot;parse-names&quot;:false,&quot;dropping-particle&quot;:&quot;&quot;,&quot;non-dropping-particle&quot;:&quot;&quot;},{&quot;family&quot;:&quot;Lee&quot;,&quot;given&quot;:&quot;Sung Gyu&quot;,&quot;parse-names&quot;:false,&quot;dropping-particle&quot;:&quot;&quot;,&quot;non-dropping-particle&quot;:&quot;&quot;}],&quot;container-title&quot;:&quot;Journal of hepato-biliary-pancreatic sciences&quot;,&quot;container-title-short&quot;:&quot;J Hepatobiliary Pancreat Sci&quot;,&quot;accessed&quot;:{&quot;date-parts&quot;:[[2023,8,13]]},&quot;DOI&quot;:&quot;10.1002/JHBP.749&quot;,&quot;ISSN&quot;:&quot;1868-6982&quot;,&quot;PMID&quot;:&quot;32353894&quot;,&quot;URL&quot;:&quot;https://pubmed.ncbi.nlm.nih.gov/32353894/&quot;,&quot;issued&quot;:{&quot;date-parts&quot;:[[2020,8,1]]},&quot;page&quot;:&quot;541-547&quot;,&quot;abstract&quot;:&quot;Background/Purpose: In living-donor liver transplantation (LDLT), liver volume assessment is a mandatory step in determining donor appropriateness. This study aimed to compare reliability and reproducibility between two major methods to define virtual hepatectomy plane, based on Cantlie's line (CTV-Cantlie) and portal vein territorialization (CTV-PVT) for right-lobe graft weight estimation in LDLT. Methods: A total of 188 donors who underwent preoperative CT scans were included. The liver was divided into right and left lobes using CTV-Cantlie and CTV-PTV measurements by two readers. Intraclass correlation coefficient (ICC) was used to determine interreader variability of hepatic weight measured using each CTV method. Intraoperative graft weight (IOW) was used as reference standard of right-lobe graft weight. Pearson correlation test was performed to determine correlation coefficients between presumed graft weight by each CTV method and IOW. Results: Intraclass correlation coefficients for total liver weight were roughly equivalent between the two CTV methods (CTV-Cantlie: 0.965 [95% CI, 0.954-0.974], CTV-PVT: 0.977 [0.970-0.983]). However, ICCs of right-and left-lobe weights between two readers were higher with CTV-PVT (0.997 and 0.850) than with CTV-Cantlie (0.829 and 0.668). The IOW was 716.0 ± 162.0 g. Correlation coefficients between presumed graft weight by CTV-Cantlie or CTV-PVT and IOW were 0.722 and 0.807, respectively (both P &lt;.001). Conclusions: For estimation of the right-lobe graft weight in LDLT, CTV-PVT may provide higher reliability and reproducibility than CTV-Cantlie.&quot;,&quot;publisher&quot;:&quot;J Hepatobiliary Pancreat Sci&quot;,&quot;issue&quot;:&quot;8&quot;,&quot;volume&quot;:&quot;27&quot;},&quot;isTemporary&quot;:false}]},{&quot;citationID&quot;:&quot;MENDELEY_CITATION_758dcc60-c67b-4d91-887a-a2b79eb84634&quot;,&quot;properties&quot;:{&quot;noteIndex&quot;:0},&quot;isEdited&quot;:false,&quot;manualOverride&quot;:{&quot;isManuallyOverridden&quot;:false,&quot;citeprocText&quot;:&quot;[67]&quot;,&quot;manualOverrideText&quot;:&quot;&quot;},&quot;citationTag&quot;:&quot;MENDELEY_CITATION_v3_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&quot;,&quot;citationItems&quot;:[{&quot;id&quot;:&quot;169b5aaa-1bc3-34e2-b9d9-f89def07e7be&quot;,&quot;itemData&quot;:{&quot;type&quot;:&quot;article-journal&quot;,&quot;id&quot;:&quot;169b5aaa-1bc3-34e2-b9d9-f89def07e7be&quot;,&quot;title&quot;:&quot;Deep 3D attention CLSTM U-Net based automated liver segmentation and volumetry for the liver transplantation in abdominal CT volumes&quot;,&quot;author&quot;:[{&quot;family&quot;:&quot;Jeong&quot;,&quot;given&quot;:&quot;Jin Gyo&quot;,&quot;parse-names&quot;:false,&quot;dropping-particle&quot;:&quot;&quot;,&quot;non-dropping-particle&quot;:&quot;&quot;},{&quot;family&quot;:&quot;Choi&quot;,&quot;given&quot;:&quot;Sangtae&quot;,&quot;parse-names&quot;:false,&quot;dropping-particle&quot;:&quot;&quot;,&quot;non-dropping-particle&quot;:&quot;&quot;},{&quot;family&quot;:&quot;Kim&quot;,&quot;given&quot;:&quot;Young Jae&quot;,&quot;parse-names&quot;:false,&quot;dropping-particle&quot;:&quot;&quot;,&quot;non-dropping-particle&quot;:&quot;&quot;},{&quot;family&quot;:&quot;Lee&quot;,&quot;given&quot;:&quot;Won Suk&quot;,&quot;parse-names&quot;:false,&quot;dropping-particle&quot;:&quot;&quot;,&quot;non-dropping-particle&quot;:&quot;&quot;},{&quot;family&quot;:&quot;Kim&quot;,&quot;given&quot;:&quot;Kwang Gi&quot;,&quot;parse-names&quot;:false,&quot;dropping-particle&quot;:&quot;&quot;,&quot;non-dropping-particle&quot;:&quot;&quot;}],&quot;container-title&quot;:&quot;Scientific Reports 2022 12:1&quot;,&quot;accessed&quot;:{&quot;date-parts&quot;:[[2023,12,6]]},&quot;DOI&quot;:&quot;10.1038/s41598-022-09978-0&quot;,&quot;ISBN&quot;:&quot;0123456789&quot;,&quot;ISSN&quot;:&quot;2045-2322&quot;,&quot;PMID&quot;:&quot;35430594&quot;,&quot;URL&quot;:&quot;https://www.nature.com/articles/s41598-022-09978-0&quot;,&quot;issued&quot;:{&quot;date-parts&quot;:[[2022,4,16]]},&quot;page&quot;:&quot;1-9&quot;,&quot;abstract&quot;:&quot;In living-donor liver transplantation, the safety of the donor is critical. In addition, accurately measuring the liver volume is significant as the amount that can be resected from living donors is limited. In this paper, we propose an automated segmentation and volume estimation method for the liver in computed tomography imaging based on a deep learning-based segmentation network. Our framework was trained using the data of 191 donors, achieved a dice similarity coefficient of 0.789, 0.869, 0.955, and 0.899, respectively, in the segmentation task for the left lobe, right lobe, caudate lobe, and whole liver. Moreover, the R^2 score reached 0.980, 0.996, 0.953, and 0.996 in the volume estimation task. We demonstrate that our approach provides accurate and quantitative liver segmentation results, reducing the error in liver volume estimation. Therefore, we expected to be used as an aid in estimating liver volume from CT volume data for living-donor liver transplantation.&quot;,&quot;publisher&quot;:&quot;Nature Publishing Group&quot;,&quot;issue&quot;:&quot;1&quot;,&quot;volume&quot;:&quot;12&quot;,&quot;container-title-short&quot;:&quot;&quot;},&quot;isTemporary&quot;:false}]},{&quot;citationID&quot;:&quot;MENDELEY_CITATION_51d817b4-0da1-4b88-8e5d-219074972812&quot;,&quot;properties&quot;:{&quot;noteIndex&quot;:0},&quot;isEdited&quot;:false,&quot;manualOverride&quot;:{&quot;isManuallyOverridden&quot;:false,&quot;citeprocText&quot;:&quot;[68]&quot;,&quot;manualOverrideText&quot;:&quot;&quot;},&quot;citationTag&quot;:&quot;MENDELEY_CITATION_v3_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&quot;,&quot;citationItems&quot;:[{&quot;id&quot;:&quot;9784b76b-197f-3867-9aee-6b6042bc9f41&quot;,&quot;itemData&quot;:{&quot;type&quot;:&quot;article-journal&quot;,&quot;id&quot;:&quot;9784b76b-197f-3867-9aee-6b6042bc9f41&quot;,&quot;title&quot;:&quot;Correlation between liver volume and liver weight in a cohort with chronic liver disease: a semiautomated CT-volumetry study&quot;,&quot;author&quot;:[{&quot;family&quot;:&quot;Hagen&quot;,&quot;given&quot;:&quot;Florian&quot;,&quot;parse-names&quot;:false,&quot;dropping-particle&quot;:&quot;&quot;,&quot;non-dropping-particle&quot;:&quot;&quot;},{&quot;family&quot;:&quot;Mair&quot;,&quot;given&quot;:&quot;Antonia&quot;,&quot;parse-names&quot;:false,&quot;dropping-particle&quot;:&quot;&quot;,&quot;non-dropping-particle&quot;:&quot;&quot;},{&quot;family&quot;:&quot;Bösmüller&quot;,&quot;given&quot;:&quot;Hans&quot;,&quot;parse-names&quot;:false,&quot;dropping-particle&quot;:&quot;&quot;,&quot;non-dropping-particle&quot;:&quot;&quot;},{&quot;family&quot;:&quot;Horger&quot;,&quot;given&quot;:&quot;Marius&quot;,&quot;parse-names&quot;:false,&quot;dropping-particle&quot;:&quot;&quot;,&quot;non-dropping-particle&quot;:&quot;&quot;}],&quot;container-title&quot;:&quot;Quantitative imaging in medicine and surgery&quot;,&quot;container-title-short&quot;:&quot;Quant Imaging Med Surg&quot;,&quot;accessed&quot;:{&quot;date-parts&quot;:[[2023,6,15]]},&quot;DOI&quot;:&quot;10.21037/QIMS-21-299&quot;,&quot;ISSN&quot;:&quot;2223-4292&quot;,&quot;PMID&quot;:&quot;34993086&quot;,&quot;URL&quot;:&quot;https://pubmed.ncbi.nlm.nih.gov/34993086/&quot;,&quot;issued&quot;:{&quot;date-parts&quot;:[[2022,1,1]]},&quot;page&quot;:&quot;376-383&quot;,&quot;abstract&quot;:&quot;Background: To estimate the optimal density coefficient for conversion of liver volume into liver weight in patients with chronic liver disease based on semiautomated CT-liver volumetry data and the histologic Ishak score of explanted liver. Methods: A total of 114 patients (39 female; age, 46±20 years) with chronic liver diseases who underwent liver transplantation between January 2010 and September 2020 were identified over a patient chart search at our institution and subsequently analyzed in retrospect. All patients had contrast-enhanced CT-examinations (mean, 24 days) to liver transplantation. Liver volume was calculated by a semiautomated software and results compared with the liver weight registered by the pathologist. Each explanted liver was histologically scored into six classes according to the Ishak classification where the categories were subgrouped based on recommendation of the pathologists into the following categories 0–3, 4–5 and 6. Results: Mean liver volume was 1,870±1,195, 1,162±679 and 1,278±510 mL for the categories 0–3, 4–5 and 6, respectively. Mean liver weight was 1,624±999, 1,082±669 and 1,346±559 g for the categories 0–3, 4–5 and 6, respectively. A coefficient of 0.92±0.22, 0.98±0.28 and 1.06±0.20 g/mL was found at best for conversion of liver volume into liver weight in these subgroups. Differences between Ishak-subgroups proved significant (0.002). In 4 patients with cystic liver disease, density coefficients varied significantly and were found generally lower compared to the other liver disorders. Conclusions: Our results yielded significant differences between the density coefficients calculated along with the Ishak score and also for the subgroup with cystic liver disease.&quot;,&quot;publisher&quot;:&quot;Quant Imaging Med Surg&quot;,&quot;issue&quot;:&quot;1&quot;,&quot;volume&quot;:&quot;12&quot;},&quot;isTemporary&quot;:false}]},{&quot;citationID&quot;:&quot;MENDELEY_CITATION_3ed7ad0a-5036-4e8a-9ebf-9171772ca553&quot;,&quot;properties&quot;:{&quot;noteIndex&quot;:0},&quot;isEdited&quot;:false,&quot;manualOverride&quot;:{&quot;isManuallyOverridden&quot;:false,&quot;citeprocText&quot;:&quot;[69]&quot;,&quot;manualOverrideText&quot;:&quot;&quot;},&quot;citationTag&quot;:&quot;MENDELEY_CITATION_v3_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&quot;,&quot;citationItems&quot;:[{&quot;id&quot;:&quot;38173e31-ac4e-3511-9920-620c056bbe39&quot;,&quot;itemData&quot;:{&quot;type&quot;:&quot;article-journal&quot;,&quot;id&quot;:&quot;38173e31-ac4e-3511-9920-620c056bbe39&quot;,&quot;title&quot;:&quot;3D Printing Model of Abdominal Cavity of Liver Transplantation Recipient to Prevent Large-for-Size Syndrome&quot;,&quot;author&quot;:[{&quot;family&quot;:&quot;Park&quot;,&quot;given&quot;:&quot;Sunghae&quot;,&quot;parse-names&quot;:false,&quot;dropping-particle&quot;:&quot;&quot;,&quot;non-dropping-particle&quot;:&quot;&quot;},{&quot;family&quot;:&quot;Choi&quot;,&quot;given&quot;:&quot;Gyu Seong&quot;,&quot;parse-names&quot;:false,&quot;dropping-particle&quot;:&quot;&quot;,&quot;non-dropping-particle&quot;:&quot;&quot;},{&quot;family&quot;:&quot;Kim&quot;,&quot;given&quot;:&quot;Jong Man&quot;,&quot;parse-names&quot;:false,&quot;dropping-particle&quot;:&quot;&quot;,&quot;non-dropping-particle&quot;:&quot;&quot;},{&quot;family&quot;:&quot;Lee&quot;,&quot;given&quot;:&quot;Sanghoon&quot;,&quot;parse-names&quot;:false,&quot;dropping-particle&quot;:&quot;&quot;,&quot;non-dropping-particle&quot;:&quot;&quot;},{&quot;family&quot;:&quot;Joh&quot;,&quot;given&quot;:&quot;Jae Won&quot;,&quot;parse-names&quot;:false,&quot;dropping-particle&quot;:&quot;&quot;,&quot;non-dropping-particle&quot;:&quot;&quot;},{&quot;family&quot;:&quot;Rhu&quot;,&quot;given&quot;:&quot;Jinsoo&quot;,&quot;parse-names&quot;:false,&quot;dropping-particle&quot;:&quot;&quot;,&quot;non-dropping-particle&quot;:&quot;&quot;}],&quot;container-title&quot;:&quot;International Journal of Bioprinting 2022, 8(4), 609&quot;,&quot;accessed&quot;:{&quot;date-parts&quot;:[[2024,4,22]]},&quot;DOI&quot;:&quot;10.18063/IJB.V8I4.609&quot;,&quot;ISSN&quot;:&quot;2424-7723&quot;,&quot;URL&quot;:&quot;https://www.accscience.com/journal/IJB/8/4/10.18063/ijb.v8i4.609&quot;,&quot;issued&quot;:{&quot;date-parts&quot;:[[2022,8,24]]},&quot;page&quot;:&quot;609&quot;,&quot;abstract&quot;:&quot;The application of three-dimensional (3D) printing has been increasing and we invented cost-effective and timesaving 3D printed model of intra-abdominal cavity which was utilized in liver transplantation (LT) to prevent large-for-size syndrome. 3D printings were performed on potential adult recipients with small cavity and pediatric patients scheduled for transplantation during July 2020 &amp;ndash; September 2021. Based on the computed tomography of the recipient, the inner surface of the abdominal cavity was outlined. The line was marked with a distance of 1 &amp;ndash; 3 cm. Then, the outlined data were reconstructed as a 3D model and printed by a fused deposition modeling type 3D printer with a thickness of 2 mm. Pillars and footings for holding the lines were printed and assembled altogether. During deceased donor organ procurement, the size of the graft was compared to that of the printed model. For living donor LT, preoperatively planned liver graft was printed and was physically placed into the 3D printed abdominal cavity. All the 16 cases with 3D printed abdominal cavity showed appropriate fitting of the donor&amp;rsquo;s liver graft to both the 3D printed model and actual recipient&amp;rsquo;s abdominal cavity with no large-for-size syndrome after LT. Median time for manufacturing the model was 576 min (IQR 434 &amp;ndash; 680) and estimated median cost for the filament was US$ 1.6 (IQR 1.2 &amp;ndash; 1.7). The 3D printed abdominal cavity model can be manufactured in &amp;lt;10 h and was useful for preventing large-for-size syndrome in small-sized recipients.&quot;,&quot;publisher&quot;:&quot;AccScience Publishing&quot;,&quot;issue&quot;:&quot;4&quot;,&quot;volume&quot;:&quot;8&quot;,&quot;container-title-short&quot;:&quot;&quot;},&quot;isTemporary&quot;:false}]},{&quot;citationID&quot;:&quot;MENDELEY_CITATION_9febabba-1df5-4eda-aa66-96bd895e5bde&quot;,&quot;properties&quot;:{&quot;noteIndex&quot;:0},&quot;isEdited&quot;:false,&quot;manualOverride&quot;:{&quot;isManuallyOverridden&quot;:false,&quot;citeprocText&quot;:&quot;[70]&quot;,&quot;manualOverrideText&quot;:&quot;&quot;},&quot;citationTag&quot;:&quot;MENDELEY_CITATION_v3_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&quot;,&quot;citationItems&quot;:[{&quot;id&quot;:&quot;bd8a13a6-b9c5-349a-bae3-cb1afb8f7203&quot;,&quot;itemData&quot;:{&quot;type&quot;:&quot;article-journal&quot;,&quot;id&quot;:&quot;bd8a13a6-b9c5-349a-bae3-cb1afb8f7203&quot;,&quot;title&quot;:&quot;Mask Mining for Improved Liver Lesion Segmentation&quot;,&quot;author&quot;:[{&quot;family&quot;:&quot;Roth&quot;,&quot;given&quot;:&quot;Karsten&quot;,&quot;parse-names&quot;:false,&quot;dropping-particle&quot;:&quot;&quot;,&quot;non-dropping-particle&quot;:&quot;&quot;},{&quot;family&quot;:&quot;Hesser&quot;,&quot;given&quot;:&quot;Jurgen&quot;,&quot;parse-names&quot;:false,&quot;dropping-particle&quot;:&quot;&quot;,&quot;non-dropping-particle&quot;:&quot;&quot;},{&quot;family&quot;:&quot;Konopczynski&quot;,&quot;given&quot;:&quot;Tomasz&quot;,&quot;parse-names&quot;:false,&quot;dropping-particle&quot;:&quot;&quot;,&quot;non-dropping-particle&quot;:&quot;&quot;}],&quot;container-title&quot;:&quot;2020 IEEE 17th International Symposium on Biomedical Imaging (ISBI)&quot;,&quot;accessed&quot;:{&quot;date-parts&quot;:[[2023,8,12]]},&quot;DOI&quot;:&quot;10.1109/ISBI45749.2020.9098460&quot;,&quot;ISBN&quot;:&quot;9781538693308&quot;,&quot;ISSN&quot;:&quot;19458452&quot;,&quot;issued&quot;:{&quot;date-parts&quot;:[[2019,4,1]]},&quot;page&quot;:&quot;943-947&quot;,&quot;abstract&quot;:&quot;We propose a novel procedure to improve liver and lesion segmentation from CT scans for U-Net based models. Our method extends standard segmentation pipelines to focus on higher target recall or reduction of noisy false-positive predictions, boosting overall segmentation performance. To achieve this, we include segmentation errors into a new learning process appended to the main training setup, allowing the model to find features which explain away previous errors. We evaluate this on semantically distinct architectures: cascaded two-and three-dimensional as well as combined learning setups for multitask segmentation. Liver and lesion segmentation data are provided by the Liver Tumor Segmentation challenge (LiTS), with an increase in dice score of up to 2 points.&quot;,&quot;publisher&quot;:&quot;IEEE Computer Society&quot;,&quot;volume&quot;:&quot;2020-April&quot;,&quot;container-title-short&quot;:&quot;&quot;},&quot;isTemporary&quot;:false}]},{&quot;citationID&quot;:&quot;MENDELEY_CITATION_53a3d6fc-8e8d-4e7a-bd2d-4f301f60e312&quot;,&quot;properties&quot;:{&quot;noteIndex&quot;:0},&quot;isEdited&quot;:false,&quot;manualOverride&quot;:{&quot;isManuallyOverridden&quot;:false,&quot;citeprocText&quot;:&quot;[71]&quot;,&quot;manualOverrideText&quot;:&quot;&quot;},&quot;citationTag&quot;:&quot;MENDELEY_CITATION_v3_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&quot;,&quot;citationItems&quot;:[{&quot;id&quot;:&quot;18d852d6-1cad-3357-88a6-9164ed04e811&quot;,&quot;itemData&quot;:{&quot;type&quot;:&quot;article-journal&quot;,&quot;id&quot;:&quot;18d852d6-1cad-3357-88a6-9164ed04e811&quot;,&quot;title&quot;:&quot;Machine learning improves the accuracy of graft weight prediction in living donor liver transplantation&quot;,&quot;author&quot;:[{&quot;family&quot;:&quot;Giglio&quot;,&quot;given&quot;:&quot;Mariano Cesare&quot;,&quot;parse-names&quot;:false,&quot;dropping-particle&quot;:&quot;&quot;,&quot;non-dropping-particle&quot;:&quot;&quot;},{&quot;family&quot;:&quot;Zanfardino&quot;,&quot;given&quot;:&quot;Mario&quot;,&quot;parse-names&quot;:false,&quot;dropping-particle&quot;:&quot;&quot;,&quot;non-dropping-particle&quot;:&quot;&quot;},{&quot;family&quot;:&quot;Franzese&quot;,&quot;given&quot;:&quot;Monica&quot;,&quot;parse-names&quot;:false,&quot;dropping-particle&quot;:&quot;&quot;,&quot;non-dropping-particle&quot;:&quot;&quot;},{&quot;family&quot;:&quot;Zakaria&quot;,&quot;given&quot;:&quot;Hazem&quot;,&quot;parse-names&quot;:false,&quot;dropping-particle&quot;:&quot;&quot;,&quot;non-dropping-particle&quot;:&quot;&quot;},{&quot;family&quot;:&quot;Alobthani&quot;,&quot;given&quot;:&quot;Salah&quot;,&quot;parse-names&quot;:false,&quot;dropping-particle&quot;:&quot;&quot;,&quot;non-dropping-particle&quot;:&quot;&quot;},{&quot;family&quot;:&quot;Zidan&quot;,&quot;given&quot;:&quot;Ahmed&quot;,&quot;parse-names&quot;:false,&quot;dropping-particle&quot;:&quot;&quot;,&quot;non-dropping-particle&quot;:&quot;&quot;},{&quot;family&quot;:&quot;Ayoub&quot;,&quot;given&quot;:&quot;Islam Ismail&quot;,&quot;parse-names&quot;:false,&quot;dropping-particle&quot;:&quot;&quot;,&quot;non-dropping-particle&quot;:&quot;&quot;},{&quot;family&quot;:&quot;Shoreem&quot;,&quot;given&quot;:&quot;Hany Abdelmeguid&quot;,&quot;parse-names&quot;:false,&quot;dropping-particle&quot;:&quot;&quot;,&quot;non-dropping-particle&quot;:&quot;&quot;},{&quot;family&quot;:&quot;Lee&quot;,&quot;given&quot;:&quot;Boram&quot;,&quot;parse-names&quot;:false,&quot;dropping-particle&quot;:&quot;&quot;,&quot;non-dropping-particle&quot;:&quot;&quot;},{&quot;family&quot;:&quot;Han&quot;,&quot;given&quot;:&quot;Ho Seong&quot;,&quot;parse-names&quot;:false,&quot;dropping-particle&quot;:&quot;&quot;,&quot;non-dropping-particle&quot;:&quot;&quot;},{&quot;family&quot;:&quot;Penna&quot;,&quot;given&quot;:&quot;Andrea&quot;,&quot;parse-names&quot;:false,&quot;dropping-particle&quot;:&quot;Della&quot;,&quot;non-dropping-particle&quot;:&quot;&quot;},{&quot;family&quot;:&quot;Nadalin&quot;,&quot;given&quot;:&quot;Silvio&quot;,&quot;parse-names&quot;:false,&quot;dropping-particle&quot;:&quot;&quot;,&quot;non-dropping-particle&quot;:&quot;&quot;},{&quot;family&quot;:&quot;Troisi&quot;,&quot;given&quot;:&quot;Roberto Ivan&quot;,&quot;parse-names&quot;:false,&quot;dropping-particle&quot;:&quot;&quot;,&quot;non-dropping-particle&quot;:&quot;&quot;},{&quot;family&quot;:&quot;Broering&quot;,&quot;given&quot;:&quot;Dieter Clemens&quot;,&quot;parse-names&quot;:false,&quot;dropping-particle&quot;:&quot;&quot;,&quot;non-dropping-particle&quot;:&quot;&quot;}],&quot;container-title&quot;:&quot;Liver transplantation : official publication of the American Association for the Study of Liver Diseases and the International Liver Transplantation Society&quot;,&quot;container-title-short&quot;:&quot;Liver Transpl&quot;,&quot;accessed&quot;:{&quot;date-parts&quot;:[[2024,1,20]]},&quot;DOI&quot;:&quot;10.1002/LT.26578&quot;,&quot;ISSN&quot;:&quot;1527-6473&quot;,&quot;PMID&quot;:&quot;36168270&quot;,&quot;URL&quot;:&quot;https://pubmed.ncbi.nlm.nih.gov/36168270/&quot;,&quot;issued&quot;:{&quot;date-parts&quot;:[[2023,2,1]]},&quot;page&quot;:&quot;172-183&quot;,&quot;abstract&quot;:&quot;Precise graft weight (GW) estimation is essential for planning living donor liver transplantation to select grafts of adequate size for the recipient. This study aimed to investigate whether a machine-learning model can improve the accuracy of GW estimation. Data from 872 consecutive living donors of a left lateral sector, left lobe, or right lobe to adults or children for living-related liver transplantation were collected from January 2011 to December 2019. Supervised machine-learning models were trained (80% of observations) to predict GW using the following information: donor's age, sex, height, weight, and body mass index; graft type (left, right, or left lateral lobe); computed tomography estimated graft volume and total liver volume. Model performance was measured in a random independent set (20% of observations) and in an external validation cohort using the mean absolute error (MAE) and the mean absolute percentage error and compared with methods currently available for GW estimation. The best-performing machine-learning model showed an MAE value of 50 ± 62 g in predicting GW, with a mean error of 10.3%. These errors were significantly lower than those observed with alternative methods. In addition, 62% of predictions had errors &lt;10%, whereas errors &gt;15% were observed in only 18.4% of the cases compared with the 34.6% of the predictions obtained with the best alternative method (p &lt; 0.001). The machine-learning model is made available as a web application (http://graftweight.shinyapps.io/prediction). Machine learning can improve the precision of GW estimation compared with currently available methods by reducing the frequency of significant errors. The coupling of anthropometric variables to the preoperatively estimated graft volume seems necessary to improve the accuracy of GW estimation.&quot;,&quot;publisher&quot;:&quot;Liver Transpl&quot;,&quot;issue&quot;:&quot;2&quot;,&quot;volume&quot;:&quot;29&quot;},&quot;isTemporary&quot;:false}]},{&quot;citationID&quot;:&quot;MENDELEY_CITATION_01ded495-bbf4-45df-8e78-7ac794cfd515&quot;,&quot;properties&quot;:{&quot;noteIndex&quot;:0},&quot;isEdited&quot;:false,&quot;manualOverride&quot;:{&quot;isManuallyOverridden&quot;:false,&quot;citeprocText&quot;:&quot;[72]&quot;,&quot;manualOverrideText&quot;:&quot;&quot;},&quot;citationTag&quot;:&quot;MENDELEY_CITATION_v3_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&quot;,&quot;citationItems&quot;:[{&quot;id&quot;:&quot;ad1ced27-458c-3bd7-95c6-9868dddec370&quot;,&quot;itemData&quot;:{&quot;type&quot;:&quot;article-journal&quot;,&quot;id&quot;:&quot;ad1ced27-458c-3bd7-95c6-9868dddec370&quot;,&quot;title&quot;:&quot;CT-derived extracellular volume and liver volumetry can predict posthepatectomy liver failure in hepatocellular carcinoma&quot;,&quot;author&quot;:[{&quot;family&quot;:&quot;Peng&quot;,&quot;given&quot;:&quot;Yangling&quot;,&quot;parse-names&quot;:false,&quot;dropping-particle&quot;:&quot;&quot;,&quot;non-dropping-particle&quot;:&quot;&quot;},{&quot;family&quot;:&quot;Tang&quot;,&quot;given&quot;:&quot;Hao&quot;,&quot;parse-names&quot;:false,&quot;dropping-particle&quot;:&quot;&quot;,&quot;non-dropping-particle&quot;:&quot;&quot;},{&quot;family&quot;:&quot;Huang&quot;,&quot;given&quot;:&quot;Yuanying&quot;,&quot;parse-names&quot;:false,&quot;dropping-particle&quot;:&quot;&quot;,&quot;non-dropping-particle&quot;:&quot;&quot;},{&quot;family&quot;:&quot;Yuan&quot;,&quot;given&quot;:&quot;Xiaoqian&quot;,&quot;parse-names&quot;:false,&quot;dropping-particle&quot;:&quot;&quot;,&quot;non-dropping-particle&quot;:&quot;&quot;},{&quot;family&quot;:&quot;Wang&quot;,&quot;given&quot;:&quot;Xing&quot;,&quot;parse-names&quot;:false,&quot;dropping-particle&quot;:&quot;&quot;,&quot;non-dropping-particle&quot;:&quot;&quot;},{&quot;family&quot;:&quot;Ran&quot;,&quot;given&quot;:&quot;Zijuan&quot;,&quot;parse-names&quot;:false,&quot;dropping-particle&quot;:&quot;&quot;,&quot;non-dropping-particle&quot;:&quot;&quot;},{&quot;family&quot;:&quot;Deng&quot;,&quot;given&quot;:&quot;Wei&quot;,&quot;parse-names&quot;:false,&quot;dropping-particle&quot;:&quot;&quot;,&quot;non-dropping-particle&quot;:&quot;&quot;},{&quot;family&quot;:&quot;Liu&quot;,&quot;given&quot;:&quot;Renwei&quot;,&quot;parse-names&quot;:false,&quot;dropping-particle&quot;:&quot;&quot;,&quot;non-dropping-particle&quot;:&quot;&quot;},{&quot;family&quot;:&quot;Lan&quot;,&quot;given&quot;:&quot;Xiaosong&quot;,&quot;parse-names&quot;:false,&quot;dropping-particle&quot;:&quot;&quot;,&quot;non-dropping-particle&quot;:&quot;&quot;},{&quot;family&quot;:&quot;Shen&quot;,&quot;given&quot;:&quot;Hesong&quot;,&quot;parse-names&quot;:false,&quot;dropping-particle&quot;:&quot;&quot;,&quot;non-dropping-particle&quot;:&quot;&quot;},{&quot;family&quot;:&quot;Zhang&quot;,&quot;given&quot;:&quot;Jiuquan&quot;,&quot;parse-names&quot;:false,&quot;dropping-particle&quot;:&quot;&quot;,&quot;non-dropping-particle&quot;:&quot;&quot;}],&quot;container-title&quot;:&quot;Insights into Imaging&quot;,&quot;container-title-short&quot;:&quot;Insights Imaging&quot;,&quot;accessed&quot;:{&quot;date-parts&quot;:[[2023,12,6]]},&quot;DOI&quot;:&quot;10.1186/S13244-023-01496-5/TABLES/4&quot;,&quot;ISSN&quot;:&quot;18694101&quot;,&quot;URL&quot;:&quot;https://insightsimaging.springeropen.com/articles/10.1186/s13244-023-01496-5&quot;,&quot;issued&quot;:{&quot;date-parts&quot;:[[2023,12,1]]},&quot;page&quot;:&quot;1-12&quot;,&quot;abstract&quot;:&quot;Objectives: Posthepatectomy liver failure (PHLF) is a severe complication of liver resection. We aimed to develop and validate a model based on extracellular volume (ECV) and liver volumetry derived from computed tomography (CT) for preoperative predicting PHLF in resectable hepatocellular carcinoma (HCC) patients. Methods: A total of 393 resectable HCC patients from two hospitals were enrolled and underwent multiphasic contrast-enhanced CT before surgery. A total of 281 patients from our hospital were randomly divided into a training cohort (n = 181) and an internal validation cohort (n = 100), and 112 patients from another hospital formed the external validation cohort. CT-derived ECV was measured on nonenhanced and equilibrium phase images, and liver volumetry was measured on portal phase images. The model is composed of independent predictors of PHLF. The under the receiver operator characteristic curve (AUC) and calibration curve were used to reflect the predictive performance and calibration of the model. Comparison of AUCs used the DeLong test. Results: CT-derived ECV, measured future liver remnant (mFLR) ratio, and serum albumin were independent predictors for PHLF in resectable HCC patients. The AUC of the model was significantly higher than that of the ALBI score in the training cohort, internal validation cohort, and external validation cohort (all p &lt; 0.001). The calibration curve of the model showed good consistency in the training cohort and the internal and external validation cohorts. Conclusions: The novel model contributes to the preoperative prediction of PHLF in resectable HCC patients. Critical relevance statement: The novel model combined CT–derived extracellular volume, measured future liver remnant ratio, and serum albumin outperforms the albumin–bilirubin score for predicting posthepatectomy liver failure in patients with resectable hepatocellular carcinoma. Key points: • CT-derived ECV correlated well with the fibrosis stage of the background liver. • CT-derived ECV and mFLR ratio were independent predictors for PHLF in HCC. • The AUC of the model was higher than the CT-derived ECV and mFLR ratio. • The model showed a superior predictive performance than that of the ALBI score. Graphical Abstract: [Figure not available: see fulltext.].&quot;,&quot;publisher&quot;:&quot;Springer Science and Business Media Deutschland GmbH&quot;,&quot;issue&quot;:&quot;1&quot;,&quot;volume&quot;:&quot;14&quot;},&quot;isTemporary&quot;:false}]},{&quot;citationID&quot;:&quot;MENDELEY_CITATION_e909ad74-ede8-4ff3-9cd5-b87e36db1080&quot;,&quot;properties&quot;:{&quot;noteIndex&quot;:0},&quot;isEdited&quot;:false,&quot;manualOverride&quot;:{&quot;isManuallyOverridden&quot;:false,&quot;citeprocText&quot;:&quot;[34]&quot;,&quot;manualOverrideText&quot;:&quot;&quot;},&quot;citationTag&quot;:&quot;MENDELEY_CITATION_v3_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&quot;,&quot;citationItems&quot;:[{&quot;id&quot;:&quot;13d993ea-c229-3ce0-93ad-f13515ea76bb&quot;,&quot;itemData&quot;:{&quot;type&quot;:&quot;article-journal&quot;,&quot;id&quot;:&quot;13d993ea-c229-3ce0-93ad-f13515ea76bb&quot;,&quot;title&quot;:&quot;Achieving clinically optimal balance between accuracy and simplicity of a formula for manual use: Development of a simple formula for estimating liver graft weight with donor anthropometrics Introduction Importance of simplicity in developing formulas for manual use&quot;,&quot;author&quot;:[{&quot;family&quot;:&quot;Ichihara&quot;,&quot;given&quot;:&quot;Nao&quot;,&quot;parse-names&quot;:false,&quot;dropping-particle&quot;:&quot;&quot;,&quot;non-dropping-particle&quot;:&quot;&quot;},{&quot;family&quot;:&quot;1☯&quot;,&quot;given&quot;:&quot;I D&quot;,&quot;parse-names&quot;:false,&quot;dropping-particle&quot;:&quot;&quot;,&quot;non-dropping-particle&quot;:&quot;&quot;},{&quot;family&quot;:&quot;Sato&quot;,&quot;given&quot;:&quot;Naoya&quot;,&quot;parse-names&quot;:false,&quot;dropping-particle&quot;:&quot;&quot;,&quot;non-dropping-particle&quot;:&quot;&quot;},{&quot;family&quot;:&quot;2☯&quot;,&quot;given&quot;:&quot;I D&quot;,&quot;parse-names&quot;:false,&quot;dropping-particle&quot;:&quot;&quot;,&quot;non-dropping-particle&quot;:&quot;&quot;},{&quot;family&quot;:&quot;Marubashi&quot;,&quot;given&quot;:&quot;Shigeru&quot;,&quot;parse-names&quot;:false,&quot;dropping-particle&quot;:&quot;&quot;,&quot;non-dropping-particle&quot;:&quot;&quot;},{&quot;family&quot;:&quot;Miyata&quot;,&quot;given&quot;:&quot;Hiroaki&quot;,&quot;parse-names&quot;:false,&quot;dropping-particle&quot;:&quot;&quot;,&quot;non-dropping-particle&quot;:&quot;&quot;},{&quot;family&quot;:&quot;Eguchi&quot;,&quot;given&quot;:&quot;Susumu&quot;,&quot;parse-names&quot;:false,&quot;dropping-particle&quot;:&quot;&quot;,&quot;non-dropping-particle&quot;:&quot;&quot;},{&quot;family&quot;:&quot;Ohdan&quot;,&quot;given&quot;:&quot;Hideki&quot;,&quot;parse-names&quot;:false,&quot;dropping-particle&quot;:&quot;&quot;,&quot;non-dropping-particle&quot;:&quot;&quot;},{&quot;family&quot;:&quot;Umeshita&quot;,&quot;given&quot;:&quot;Koji&quot;,&quot;parse-names&quot;:false,&quot;dropping-particle&quot;:&quot;&quot;,&quot;non-dropping-particle&quot;:&quot;&quot;},{&quot;family&quot;:&quot;Gotoh&quot;,&quot;given&quot;:&quot;Mitsukazu&quot;,&quot;parse-names&quot;:false,&quot;dropping-particle&quot;:&quot;&quot;,&quot;non-dropping-particle&quot;:&quot;&quot;}],&quot;accessed&quot;:{&quot;date-parts&quot;:[[2024,5,5]]},&quot;DOI&quot;:&quot;10.1371/journal.pone.0280569&quot;,&quot;ISBN&quot;:&quot;1111111111&quot;,&quot;issued&quot;:{&quot;date-parts&quot;:[[2023]]},&quot;abstract&quot;:&quot;In developing a formula for manual use in clinical settings, simplicity is as important as accuracy. Whole-liver (WL) mass is often estimated using demographic and anthropo-metric information to calculate the standard liver volume or recommended graft volume in liver transplantation. Multiple formulas for estimating WL mass have been reported, including those with multiple independent variables. However, it is unknown whether multivariable models lead to clinically meaningful improvements in accuracy over uni-variable models. Our goal was to quantitatively define clinically meaningful improvements in accuracy, which justifies an additional independent variable, and to identify an estimation formula for WL graft weight that best balances accuracy and simplicity given the criterion. From the Japanese Liver Transplantation Society registry, which contains data on all liver transplant cases in Japan, 129 WL donor-graft pairs were extracted. Among the candidate models, those with the smallest cross-validation (CV) root-mean-square error (RMSE) were selected, penalizing model complexity by requiring more complex models to yield a �5% decrease in CV RMSE. The winning model by voting with random subsets was fitted to the entire dataset to obtain the final formula. External validity was assessed using CV. A simple univariable linear regression formula using body weight (BW) was obtained as follows: WL graft weight [g] = 14.8 × BW [kg] + 439.2. The CV RMSE (g) and coefficient of determination (R 2) were 195.2 and 0.548, respectively. In summary, in the development of a simple formula for manually estimating WL weight using demographic and anthropometric variables, a clinically acceptable trade-off PLOS ONE PLOS ONE | https://doi.org/10.1371/journal.pone. between accuracy and simplicity was quantitatively defined, and the best model was selected using this criterion. A univariable linear model using BW achieved a clinically optimal balance between simplicity and accuracy, while one using body surface area performed similarly.&quot;,&quot;container-title-short&quot;:&quot;&quot;},&quot;isTemporary&quot;:false}]},{&quot;citationID&quot;:&quot;MENDELEY_CITATION_294a47dc-af2d-4aec-9a48-9e1687c73114&quot;,&quot;properties&quot;:{&quot;noteIndex&quot;:0},&quot;isEdited&quot;:false,&quot;manualOverride&quot;:{&quot;isManuallyOverridden&quot;:false,&quot;citeprocText&quot;:&quot;[58]&quot;,&quot;manualOverrideText&quot;:&quot;&quot;},&quot;citationTag&quot;:&quot;MENDELEY_CITATION_v3_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&quot;,&quot;citationItems&quot;:[{&quot;id&quot;:&quot;e92a4ab6-ac64-397d-aeec-533cd2dc4e02&quot;,&quot;itemData&quot;:{&quot;type&quot;:&quot;article-journal&quot;,&quot;id&quot;:&quot;e92a4ab6-ac64-397d-aeec-533cd2dc4e02&quot;,&quot;title&quot;:&quot;Fully automated whole-liver volume quantification on CT-image data: Comparison with manual volumetry using enhanced and unenhanced images as well as two different radiation dose levels and two reconstruction kernels&quot;,&quot;author&quot;:[{&quot;family&quot;:&quot;Hagen&quot;,&quot;given&quot;:&quot;Florian&quot;,&quot;parse-names&quot;:false,&quot;dropping-particle&quot;:&quot;&quot;,&quot;non-dropping-particle&quot;:&quot;&quot;},{&quot;family&quot;:&quot;Mair&quot;,&quot;given&quot;:&quot;Antonia&quot;,&quot;parse-names&quot;:false,&quot;dropping-particle&quot;:&quot;&quot;,&quot;non-dropping-particle&quot;:&quot;&quot;},{&quot;family&quot;:&quot;Bitzer&quot;,&quot;given&quot;:&quot;Michael&quot;,&quot;parse-names&quot;:false,&quot;dropping-particle&quot;:&quot;&quot;,&quot;non-dropping-particle&quot;:&quot;&quot;},{&quot;family&quot;:&quot;Bösmüller&quot;,&quot;given&quot;:&quot;Hans&quot;,&quot;parse-names&quot;:false,&quot;dropping-particle&quot;:&quot;&quot;,&quot;non-dropping-particle&quot;:&quot;&quot;},{&quot;family&quot;:&quot;Horger&quot;,&quot;given&quot;:&quot;Marius&quot;,&quot;parse-names&quot;:false,&quot;dropping-particle&quot;:&quot;&quot;,&quot;non-dropping-particle&quot;:&quot;&quot;}],&quot;container-title&quot;:&quot;PloS one&quot;,&quot;container-title-short&quot;:&quot;PLoS One&quot;,&quot;accessed&quot;:{&quot;date-parts&quot;:[[2024,9,29]]},&quot;DOI&quot;:&quot;10.1371/JOURNAL.PONE.0255374&quot;,&quot;ISSN&quot;:&quot;1932-6203&quot;,&quot;PMID&quot;:&quot;34339472&quot;,&quot;URL&quot;:&quot;https://pubmed.ncbi.nlm.nih.gov/34339472/&quot;,&quot;issued&quot;:{&quot;date-parts&quot;:[[2021,8,1]]},&quot;abstract&quot;:&quot;Objectives To evaluate the accuracy of fully automated liver volume quantification vs. manual quantification using unenhanced as well as enhanced CT-image data as well as two different radiation dose levels and also two image reconstruction kernels. Material and methods The local ethics board gave its approval for retrospective data analysis. Automated liver volume quantification in 300 consecutive livers in 164 male and 103 female oncologic patients (64±12y) performed at our institution (between January 2020 and May 2020) using two different dual-energy helicals: portal-venous phase enhanced, ref. tube current 300mAs (CARE Dose4D) for tube A (100 kV) and ref. 232mAs tube current for tube B (Sn140kV), slice collimation 0.6mm, reconstruction kernel I30f/1, recon. thickness of 0.6mm and 5mm, 80-100 mL iodine contrast agent 350 mg/mL, (flow 2mL/s) and unenhanced ref. tube current 100mAs (CARE Dose4D) for tube A (100 kV) and ref. 77mAs tube current for tube B (Sn140kV), slice collimation 0.6mm (kernel Q40f) were analyzed. The post-processing tool (syngo.CT Liver Analysis) is already FDA-approved. Two resident radiologists with no and 1-year CT-experience performed both the automated measurements independently from each other. Results were compared with those of manual liver volume quantification using the same software which was supervised by a senior radiologist with 30-year CT-experience (ground truth). Results In total, a correlation of 98% was obtained for liver volumetry based on enhanced and unenhanced data sets compared to the manual liver quantification. Radiologist #1 and #2 achieved an inter-reader agreement of 99.8% for manual liver segmentation (p&lt;0.0001). Automated liver volumetry resulted in an overestimation (&gt;5% deviation) of 3.7% for unenhanced CT-image data and 4.0% for contrast-enhanced CT-images. Underestimation (&lt;5%) of liver volume was 2.0% for unenhanced CT-image data and 1.3% for enhanced images after automated liver volumetry. Number and distribution of erroneous volume measurements using either thin or thick slice reconstructions was exactly the same, both for the enhanced as well for the unenhanced image data sets (p&gt; 0.05). Conclusion Results of fully automated liver volume quantification are accurate and comparable with those of manual liver volume quantification and the technique seems to be confident even if unenhanced lower-dose CT image data is used. Copyright:&quot;,&quot;publisher&quot;:&quot;PLoS One&quot;,&quot;issue&quot;:&quot;8&quot;,&quot;volume&quot;:&quot;16&quot;},&quot;isTemporary&quot;:false}]},{&quot;citationID&quot;:&quot;MENDELEY_CITATION_f94542ac-7a51-4668-8b34-fa571bfdd1c5&quot;,&quot;properties&quot;:{&quot;noteIndex&quot;:0},&quot;isEdited&quot;:false,&quot;manualOverride&quot;:{&quot;isManuallyOverridden&quot;:false,&quot;citeprocText&quot;:&quot;[4]&quot;,&quot;manualOverrideText&quot;:&quot;&quot;},&quot;citationTag&quot;:&quot;MENDELEY_CITATION_v3_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&quot;,&quot;citationItems&quot;:[{&quot;id&quot;:&quot;4eecabdb-e70e-3901-8a02-ec8fc96eb936&quot;,&quot;itemData&quot;:{&quot;type&quot;:&quot;article-journal&quot;,&quot;id&quot;:&quot;4eecabdb-e70e-3901-8a02-ec8fc96eb936&quot;,&quot;title&quot;:&quot;Manual and semi-automated computed tomography volumetry significantly overestimates the right liver lobe graft weight: a single-center study with adult living liver donors&quot;,&quot;author&quot;:[{&quot;family&quot;:&quot;Çelik&quot;,&quot;given&quot;:&quot;Hakkı&quot;,&quot;parse-names&quot;:false,&quot;dropping-particle&quot;:&quot;&quot;,&quot;non-dropping-particle&quot;:&quot;&quot;},{&quot;family&quot;:&quot;Odaman&quot;,&quot;given&quot;:&quot;Hüseyin&quot;,&quot;parse-names&quot;:false,&quot;dropping-particle&quot;:&quot;&quot;,&quot;non-dropping-particle&quot;:&quot;&quot;},{&quot;family&quot;:&quot;Altay&quot;,&quot;given&quot;:&quot;Canan&quot;,&quot;parse-names&quot;:false,&quot;dropping-particle&quot;:&quot;&quot;,&quot;non-dropping-particle&quot;:&quot;&quot;},{&quot;family&quot;:&quot;Ünek&quot;,&quot;given&quot;:&quot;Tarkan&quot;,&quot;parse-names&quot;:false,&quot;dropping-particle&quot;:&quot;&quot;,&quot;non-dropping-particle&quot;:&quot;&quot;},{&quot;family&quot;:&quot;Özbilgin&quot;,&quot;given&quot;:&quot;Mücahit&quot;,&quot;parse-names&quot;:false,&quot;dropping-particle&quot;:&quot;&quot;,&quot;non-dropping-particle&quot;:&quot;&quot;},{&quot;family&quot;:&quot;Egeli&quot;,&quot;given&quot;:&quot;Tufan&quot;,&quot;parse-names&quot;:false,&quot;dropping-particle&quot;:&quot;&quot;,&quot;non-dropping-particle&quot;:&quot;&quot;},{&quot;family&quot;:&quot;Ağalar&quot;,&quot;given&quot;:&quot;Cihan&quot;,&quot;parse-names&quot;:false,&quot;dropping-particle&quot;:&quot;&quot;,&quot;non-dropping-particle&quot;:&quot;&quot;},{&quot;family&quot;:&quot;Astarcıoğlu&quot;,&quot;given&quot;:&quot;İbrahim Kemal&quot;,&quot;parse-names&quot;:false,&quot;dropping-particle&quot;:&quot;&quot;,&quot;non-dropping-particle&quot;:&quot;&quot;},{&quot;family&quot;:&quot;Barlık&quot;,&quot;given&quot;:&quot;Funda&quot;,&quot;parse-names&quot;:false,&quot;dropping-particle&quot;:&quot;&quot;,&quot;non-dropping-particle&quot;:&quot;&quot;}],&quot;container-title&quot;:&quot;Diagnostic and interventional radiology (Ankara, Turkey)&quot;,&quot;container-title-short&quot;:&quot;Diagn Interv Radiol&quot;,&quot;accessed&quot;:{&quot;date-parts&quot;:[[2023,6,15]]},&quot;DOI&quot;:&quot;10.4274/DIR.2023.221903&quot;,&quot;ISSN&quot;:&quot;1305-3612&quot;,&quot;PMID&quot;:&quot;37154817&quot;,&quot;URL&quot;:&quot;https://pubmed.ncbi.nlm.nih.gov/37154817/&quot;,&quot;issued&quot;:{&quot;date-parts&quot;:[[2023,5,8]]},&quot;page&quot;:&quot;0-0&quot;,&quot;publisher&quot;:&quot;Diagn Interv Radiol&quot;,&quot;issue&quot;:&quot;0&quot;,&quot;volume&quot;:&quot;0&quot;},&quot;isTemporary&quot;:false}]},{&quot;citationID&quot;:&quot;MENDELEY_CITATION_5db14cbc-4cdf-48a1-b4e3-a19442d6a279&quot;,&quot;properties&quot;:{&quot;noteIndex&quot;:0},&quot;isEdited&quot;:false,&quot;manualOverride&quot;:{&quot;isManuallyOverridden&quot;:false,&quot;citeprocText&quot;:&quot;[52]&quot;,&quot;manualOverrideText&quot;:&quot;&quot;},&quot;citationTag&quot;:&quot;MENDELEY_CITATION_v3_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&quot;,&quot;citationItems&quot;:[{&quot;id&quot;:&quot;6cfcb8e3-6c89-3918-8c0c-350f06e97396&quot;,&quot;itemData&quot;:{&quot;type&quot;:&quot;article-journal&quot;,&quot;id&quot;:&quot;6cfcb8e3-6c89-3918-8c0c-350f06e97396&quot;,&quot;title&quot;:&quot;Fast and accurate liver volumetry prior to hepatectomy&quot;,&quot;author&quot;:[{&quot;family&quot;:&quot;Lodewick&quot;,&quot;given&quot;:&quot;Toine M.&quot;,&quot;parse-names&quot;:false,&quot;dropping-particle&quot;:&quot;&quot;,&quot;non-dropping-particle&quot;:&quot;&quot;},{&quot;family&quot;:&quot;Arnoldussen&quot;,&quot;given&quot;:&quot;Carsten W.K.P.&quot;,&quot;parse-names&quot;:false,&quot;dropping-particle&quot;:&quot;&quot;,&quot;non-dropping-particle&quot;:&quot;&quot;},{&quot;family&quot;:&quot;Lahaye&quot;,&quot;given&quot;:&quot;Max J.&quot;,&quot;parse-names&quot;:false,&quot;dropping-particle&quot;:&quot;&quot;,&quot;non-dropping-particle&quot;:&quot;&quot;},{&quot;family&quot;:&quot;Mierlo&quot;,&quot;given&quot;:&quot;Kim M.C.&quot;,&quot;parse-names&quot;:false,&quot;dropping-particle&quot;:&quot;&quot;,&quot;non-dropping-particle&quot;:&quot;van&quot;},{&quot;family&quot;:&quot;Neumann&quot;,&quot;given&quot;:&quot;Ulf P.&quot;,&quot;parse-names&quot;:false,&quot;dropping-particle&quot;:&quot;&quot;,&quot;non-dropping-particle&quot;:&quot;&quot;},{&quot;family&quot;:&quot;Beets-Tan&quot;,&quot;given&quot;:&quot;Regina G.&quot;,&quot;parse-names&quot;:false,&quot;dropping-particle&quot;:&quot;&quot;,&quot;non-dropping-particle&quot;:&quot;&quot;},{&quot;family&quot;:&quot;Dejong&quot;,&quot;given&quot;:&quot;Cornelis H.C.&quot;,&quot;parse-names&quot;:false,&quot;dropping-particle&quot;:&quot;&quot;,&quot;non-dropping-particle&quot;:&quot;&quot;},{&quot;family&quot;:&quot;Dam&quot;,&quot;given&quot;:&quot;Ronald M.&quot;,&quot;parse-names&quot;:false,&quot;dropping-particle&quot;:&quot;&quot;,&quot;non-dropping-particle&quot;:&quot;van&quot;}],&quot;container-title&quot;:&quot;HPB&quot;,&quot;DOI&quot;:&quot;10.1016/j.hpb.2016.06.009&quot;,&quot;ISSN&quot;:&quot;14772574&quot;,&quot;PMID&quot;:&quot;27593594&quot;,&quot;issued&quot;:{&quot;date-parts&quot;:[[2016,9,1]]},&quot;page&quot;:&quot;764-772&quot;,&quot;abstract&quot;:&quot;Background Volumetric assessment of the liver is essential in the prevention of postresectional liver failure after partial hepatectomy. Currently used methods are accurate but time-consuming. This study aimed to test a new automated method for preoperative volumetric liver assessment. Methods Patients who underwent a contrast enhanced portovenous phase CT-scan prior to hepatectomy in 2012 were included. Total liver volume (TLV) and future remnant liver volume (FRLV) were measured using TeraRecon Aquarius iNtuition® (autosegmentation) and OsiriX® (manual segmentation) software by two observers for each software package. Remnant liver volume percentage (RLV%) was calculated. Time needed to determine TLV and FRLV was measured. Inter-observer variability was assessed using Bland-Altman plots. Results Twenty-seven patients were included. There were no significant differences in measured volumes between OsiriX® and iNtuition®. Moreover, there were significant correlations between the OsiriX® observers, the iNtuition® observers and between OsiriX® and iNtuition® post-processing systems (all R2 &gt; 0.97). The median time needed for complete liver volumetric analysis was 18.4 ± 4.9 min with OsiriX® and 5.8 ± 1.7 min using iNtuition® (p &lt; 0.001). Conclusion Both OsiriX® and iNtuition® liver volumetry are accurate and easily applicable. However, volumetric assessment of the liver with iNtuition® auto-segmentation is three times faster compared to manual OsiriX® volumetry.&quot;,&quot;publisher&quot;:&quot;Elsevier B.V.&quot;,&quot;issue&quot;:&quot;9&quot;,&quot;volume&quot;:&quot;18&quot;,&quot;container-title-short&quot;:&quot;&quot;},&quot;isTemporary&quot;:false}]},{&quot;citationID&quot;:&quot;MENDELEY_CITATION_192eccf6-1bca-4270-8a38-0275476b4d4f&quot;,&quot;properties&quot;:{&quot;noteIndex&quot;:0},&quot;isEdited&quot;:false,&quot;manualOverride&quot;:{&quot;isManuallyOverridden&quot;:false,&quot;citeprocText&quot;:&quot;[73]&quot;,&quot;manualOverrideText&quot;:&quot;&quot;},&quot;citationTag&quot;:&quot;MENDELEY_CITATION_v3_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&quot;,&quot;citationItems&quot;:[{&quot;id&quot;:&quot;3116c10e-c88b-346c-80fe-94733a962c33&quot;,&quot;itemData&quot;:{&quot;type&quot;:&quot;article-journal&quot;,&quot;id&quot;:&quot;3116c10e-c88b-346c-80fe-94733a962c33&quot;,&quot;title&quot;:&quot;Validating New Software for Semiautomated Liver Volumetry--Better than Manual Measurement?&quot;,&quot;author&quot;:[{&quot;family&quot;:&quot;Noschinski&quot;,&quot;given&quot;:&quot;L. E.&quot;,&quot;parse-names&quot;:false,&quot;dropping-particle&quot;:&quot;&quot;,&quot;non-dropping-particle&quot;:&quot;&quot;},{&quot;family&quot;:&quot;Maiwald&quot;,&quot;given&quot;:&quot;B.&quot;,&quot;parse-names&quot;:false,&quot;dropping-particle&quot;:&quot;&quot;,&quot;non-dropping-particle&quot;:&quot;&quot;},{&quot;family&quot;:&quot;Voigt&quot;,&quot;given&quot;:&quot;P.&quot;,&quot;parse-names&quot;:false,&quot;dropping-particle&quot;:&quot;&quot;,&quot;non-dropping-particle&quot;:&quot;&quot;},{&quot;family&quot;:&quot;Wiltberger&quot;,&quot;given&quot;:&quot;G.&quot;,&quot;parse-names&quot;:false,&quot;dropping-particle&quot;:&quot;&quot;,&quot;non-dropping-particle&quot;:&quot;&quot;},{&quot;family&quot;:&quot;Kahn&quot;,&quot;given&quot;:&quot;T.&quot;,&quot;parse-names&quot;:false,&quot;dropping-particle&quot;:&quot;&quot;,&quot;non-dropping-particle&quot;:&quot;&quot;},{&quot;family&quot;:&quot;Stumpp&quot;,&quot;given&quot;:&quot;P.&quot;,&quot;parse-names&quot;:false,&quot;dropping-particle&quot;:&quot;&quot;,&quot;non-dropping-particle&quot;:&quot;&quot;}],&quot;container-title&quot;:&quot;RoFo : Fortschritte auf dem Gebiete der Rontgenstrahlen und der Nuklearmedizin&quot;,&quot;container-title-short&quot;:&quot;Rofo&quot;,&quot;accessed&quot;:{&quot;date-parts&quot;:[[2024,2,4]]},&quot;DOI&quot;:&quot;10.1055/S-0035-1553230&quot;,&quot;ISSN&quot;:&quot;1438-9010&quot;,&quot;PMID&quot;:&quot;26085174&quot;,&quot;URL&quot;:&quot;https://pubmed.ncbi.nlm.nih.gov/26085174/&quot;,&quot;issued&quot;:{&quot;date-parts&quot;:[[2015,9,28]]},&quot;page&quot;:&quot;788-794&quot;,&quot;abstract&quot;:&quot;Purpose: This prospective study compared a manual program for liver volumetry with semiautomated software. The hypothesis was that the semiautomated software would be faster, more accurate and less dependent on the evaluators experience. Materials and Methods: Ten patients undergoing hemihepatectomy were included in this IRB approved study after written informed consent. All patients underwent a preoperative abdominal 3-phase CT scan, which was used for whole liver volumetry and volume prediction for the liver part to be resected. Two different types of software were used: 1) manual method: borders of the liver had to be defined per slice by the user; 2) semiautomated software: automatic identification of liver volume with manual assistance for definition of Couinaud segments. Measurements were done by six observers with different experience levels. Water displacement volumetry immediately after partial liver resection served as the gold standard. The resected part was examined with a CT scan after displacement volumetry. Results: Volumetry of the resected liver scan showed excellent correlation to water displacement volumetry (manual: ρ=0.997; semiautomated software: ρ=0.995). The difference between the predicted volume and the real volume was significantly smaller with the semiautomated software than with the manual method (33% vs. 57%,p=0.002). The semiautomated software was almost four times faster for volumetry of the whole liver (manual: 6:59±3:04min; semiautomated: 1:47±1:11min). Conclusion: Both methods for liver volumetry give an estimated liver volume close to the real one. The tested semiautomated software is faster, more accurate in predicting the volume of the resected liver part, gives more reproducible results and is less dependent on the users experience.&quot;,&quot;publisher&quot;:&quot;Rofo&quot;,&quot;issue&quot;:&quot;9&quot;,&quot;volume&quot;:&quot;187&quot;},&quot;isTemporary&quot;:false}]},{&quot;citationID&quot;:&quot;MENDELEY_CITATION_b36b2f23-4b4f-49c1-beb7-cf7502cc0584&quot;,&quot;properties&quot;:{&quot;noteIndex&quot;:0},&quot;isEdited&quot;:false,&quot;manualOverride&quot;:{&quot;isManuallyOverridden&quot;:false,&quot;citeprocText&quot;:&quot;[74]&quot;,&quot;manualOverrideText&quot;:&quot;&quot;},&quot;citationTag&quot;:&quot;MENDELEY_CITATION_v3_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&quot;,&quot;citationItems&quot;:[{&quot;id&quot;:&quot;734e4c0c-c522-3ef3-83e3-17c9889b63b7&quot;,&quot;itemData&quot;:{&quot;type&quot;:&quot;article-journal&quot;,&quot;id&quot;:&quot;734e4c0c-c522-3ef3-83e3-17c9889b63b7&quot;,&quot;title&quot;:&quot;Validation of a fully automated liver segmentation algorithm using multi-scale deep reinforcement learning and comparison versus manual segmentation&quot;,&quot;author&quot;:[{&quot;family&quot;:&quot;Winkel&quot;,&quot;given&quot;:&quot;David J.&quot;,&quot;parse-names&quot;:false,&quot;dropping-particle&quot;:&quot;&quot;,&quot;non-dropping-particle&quot;:&quot;&quot;},{&quot;family&quot;:&quot;Weikert&quot;,&quot;given&quot;:&quot;Thomas J.&quot;,&quot;parse-names&quot;:false,&quot;dropping-particle&quot;:&quot;&quot;,&quot;non-dropping-particle&quot;:&quot;&quot;},{&quot;family&quot;:&quot;Breit&quot;,&quot;given&quot;:&quot;Hanns Christian&quot;,&quot;parse-names&quot;:false,&quot;dropping-particle&quot;:&quot;&quot;,&quot;non-dropping-particle&quot;:&quot;&quot;},{&quot;family&quot;:&quot;Chabin&quot;,&quot;given&quot;:&quot;Guillaume&quot;,&quot;parse-names&quot;:false,&quot;dropping-particle&quot;:&quot;&quot;,&quot;non-dropping-particle&quot;:&quot;&quot;},{&quot;family&quot;:&quot;Gibson&quot;,&quot;given&quot;:&quot;Eli&quot;,&quot;parse-names&quot;:false,&quot;dropping-particle&quot;:&quot;&quot;,&quot;non-dropping-particle&quot;:&quot;&quot;},{&quot;family&quot;:&quot;Heye&quot;,&quot;given&quot;:&quot;Tobias J.&quot;,&quot;parse-names&quot;:false,&quot;dropping-particle&quot;:&quot;&quot;,&quot;non-dropping-particle&quot;:&quot;&quot;},{&quot;family&quot;:&quot;Comaniciu&quot;,&quot;given&quot;:&quot;Dorin&quot;,&quot;parse-names&quot;:false,&quot;dropping-particle&quot;:&quot;&quot;,&quot;non-dropping-particle&quot;:&quot;&quot;},{&quot;family&quot;:&quot;Boll&quot;,&quot;given&quot;:&quot;Daniel T.&quot;,&quot;parse-names&quot;:false,&quot;dropping-particle&quot;:&quot;&quot;,&quot;non-dropping-particle&quot;:&quot;&quot;}],&quot;container-title&quot;:&quot;European Journal of Radiology&quot;,&quot;container-title-short&quot;:&quot;Eur J Radiol&quot;,&quot;accessed&quot;:{&quot;date-parts&quot;:[[2023,7,24]]},&quot;DOI&quot;:&quot;10.1016/J.EJRAD.2020.108918&quot;,&quot;ISSN&quot;:&quot;0720-048X&quot;,&quot;PMID&quot;:&quot;32171914&quot;,&quot;issued&quot;:{&quot;date-parts&quot;:[[2020,5,1]]},&quot;page&quot;:&quot;108918&quot;,&quot;abstract&quot;:&quot;Purpose: To evaluate the performance of an artificial intelligence (AI) based software solution tested on liver volumetric analyses and to compare the results to the manual contour segmentation. Materials and methods: We retrospectively obtained 462 multiphasic CT datasets with six series for each patient: three different contrast phases and two slice thickness reconstructions (1.5/5 mm), totaling 2772 series. AI-based liver volumes were determined using multi-scale deep-reinforcement learning for 3D body markers detection and 3D structure segmentation. The algorithm was trained for liver volumetry on approximately 5000 datasets. We computed the absolute error of each automatically- and manually-derived volume relative to the mean manual volume. The mean processing time/dataset and method was recorded. Variations of liver volumes were compared using univariate generalized linear model analyses. A subgroup of 60 datasets was manually segmented by three radiologists, with a further subgroup of 20 segmented three times by each, to compare the automatically-derived results with the ground-truth. Results: The mean absolute error of the automatically-derived measurement was 44.3 mL (representing 2.37 % of the averaged liver volumes). The liver volume was neither dependent on the contrast phase (p = 0.697), nor on the slice thickness (p = 0.446). The mean processing time/dataset with the algorithm was 9.94 s (sec) compared to manual segmentation with 219.34 s. We found an excellent agreement between both approaches with an ICC value of 0.996. Conclusion: The results of our study demonstrate that AI-powered fully automated liver volumetric analyses can be done with excellent accuracy, reproducibility, robustness, speed and agreement with the manual segmentation.&quot;,&quot;publisher&quot;:&quot;Elsevier&quot;,&quot;volume&quot;:&quot;126&quot;},&quot;isTemporary&quot;:false}]},{&quot;citationID&quot;:&quot;MENDELEY_CITATION_97faa62d-1299-4a15-95d0-9dd6123d7f64&quot;,&quot;properties&quot;:{&quot;noteIndex&quot;:0},&quot;isEdited&quot;:false,&quot;manualOverride&quot;:{&quot;isManuallyOverridden&quot;:false,&quot;citeprocText&quot;:&quot;[75]&quot;,&quot;manualOverrideText&quot;:&quot;&quot;},&quot;citationTag&quot;:&quot;MENDELEY_CITATION_v3_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&quot;,&quot;citationItems&quot;:[{&quot;id&quot;:&quot;e585fe44-cbe2-3774-9841-631a31b63d5f&quot;,&quot;itemData&quot;:{&quot;type&quot;:&quot;article-journal&quot;,&quot;id&quot;:&quot;e585fe44-cbe2-3774-9841-631a31b63d5f&quot;,&quot;title&quot;:&quot;Science Repository Should We Have Blind Faith in Liver Volumetry?&quot;,&quot;author&quot;:[{&quot;family&quot;:&quot;Golse&quot;,&quot;given&quot;:&quot;N&quot;,&quot;parse-names&quot;:false,&quot;dropping-particle&quot;:&quot;&quot;,&quot;non-dropping-particle&quot;:&quot;&quot;},{&quot;family&quot;:&quot;Cosse&quot;,&quot;given&quot;:&quot;C&quot;,&quot;parse-names&quot;:false,&quot;dropping-particle&quot;:&quot;&quot;,&quot;non-dropping-particle&quot;:&quot;&quot;},{&quot;family&quot;:&quot;Gayet&quot;,&quot;given&quot;:&quot;B&quot;,&quot;parse-names&quot;:false,&quot;dropping-particle&quot;:&quot;&quot;,&quot;non-dropping-particle&quot;:&quot;&quot;},{&quot;family&quot;:&quot;Tréchot&quot;,&quot;given&quot;:&quot;B&quot;,&quot;parse-names&quot;:false,&quot;dropping-particle&quot;:&quot;&quot;,&quot;non-dropping-particle&quot;:&quot;&quot;},{&quot;family&quot;:&quot;Rode&quot;,&quot;given&quot;:&quot;A&quot;,&quot;parse-names&quot;:false,&quot;dropping-particle&quot;:&quot;&quot;,&quot;non-dropping-particle&quot;:&quot;&quot;},{&quot;family&quot;:&quot;Lewin&quot;,&quot;given&quot;:&quot;M&quot;,&quot;parse-names&quot;:false,&quot;dropping-particle&quot;:&quot;&quot;,&quot;non-dropping-particle&quot;:&quot;&quot;},{&quot;family&quot;:&quot;Roy&quot;,&quot;given&quot;:&quot;B&quot;,&quot;parse-names&quot;:false,&quot;dropping-particle&quot;:&quot;&quot;,&quot;non-dropping-particle&quot;:&quot;Le&quot;},{&quot;family&quot;:&quot;Gallon&quot;,&quot;given&quot;:&quot;A&quot;,&quot;parse-names&quot;:false,&quot;dropping-particle&quot;:&quot;&quot;,&quot;non-dropping-particle&quot;:&quot;&quot;},{&quot;family&quot;:&quot;Vibert&quot;,&quot;given&quot;:&quot;E&quot;,&quot;parse-names&quot;:false,&quot;dropping-particle&quot;:&quot;&quot;,&quot;non-dropping-particle&quot;:&quot;&quot;}],&quot;accessed&quot;:{&quot;date-parts&quot;:[[2023,6,18]]},&quot;DOI&quot;:&quot;10.31487/j.SCR.2019.01.003&quot;,&quot;URL&quot;:&quot;www.sciencerepository.org&quot;,&quot;issued&quot;:{&quot;date-parts&quot;:[[2019]]},&quot;abstract&quot;:&quot;Introduction: Liver volumetry is a routine procedure performed before major hepatectomy or living donor liver transplantation (LDLT) to anticipate the remnant liver volume and prevent liver failure. However, many parameters may impact its accuracy and no large-scale studies have evaluated inter-rater variabilities. We aimed to determine the reliability of volumetric assessments for whole organs in deceased-donor liver transplantations (DDLT) and partial organs in LDLT settings. Patients &amp; Methods: Eight operators (four surgeons + four radiologists) analysed 30 preoperative CT scans (15 whole cirrhotic livers in the DDLT group + 15 partial healthy grafts in the LDLT group), using five software systems. The computed volumes were compared with liver weight; liver density being considered as1. Results: Inter-rater and inter-software concordances were excellent with coefficients of correlation &gt;0.9. However, calculations overestimated the real volumes in 25 cases by a mean of 249 ± 206 [14-771] cc in the DDLT group and 138 ± 92cc [39-375] in the LDLT group. The mean calculations were significantly higher than liver weights in the LDLT group only (p=0.04). The radiologists overestimated the surgeons' assessment in 24 cases, the differences exceeding 6% in some cases. The type of software used significantly impacted results in the DDLTgroup. Conclusions: Despite its unanimously recognised utility, we highlight significant discrepancies between estimated and real liver volumes. The global overestimation may lead to leave of too small remnant liver, with potentially dramatic consequences. In case of borderline estimations, we recommend a repetition of the evaluation by another operator (surgeon + radiologist working in concert).&quot;,&quot;container-title-short&quot;:&quot;&quot;},&quot;isTemporary&quot;:false}]},{&quot;citationID&quot;:&quot;MENDELEY_CITATION_15ae143a-fb42-429f-9488-f5c249217efa&quot;,&quot;properties&quot;:{&quot;noteIndex&quot;:0},&quot;isEdited&quot;:false,&quot;manualOverride&quot;:{&quot;isManuallyOverridden&quot;:false,&quot;citeprocText&quot;:&quot;[9]&quot;,&quot;manualOverrideText&quot;:&quot;&quot;},&quot;citationTag&quot;:&quot;MENDELEY_CITATION_v3_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&quot;,&quot;citationItems&quot;:[{&quot;id&quot;:&quot;4a8eb4d4-6832-3346-957e-285790984524&quot;,&quot;itemData&quot;:{&quot;type&quot;:&quot;article-journal&quot;,&quot;id&quot;:&quot;4a8eb4d4-6832-3346-957e-285790984524&quot;,&quot;title&quot;:&quot;Semi-automated computed tomography Volumetry can predict hemihepatectomy specimens' volumes in patients with hepatic malignancy&quot;,&quot;author&quot;:[{&quot;family&quot;:&quot;Mayer&quot;,&quot;given&quot;:&quot;Philipp&quot;,&quot;parse-names&quot;:false,&quot;dropping-particle&quot;:&quot;&quot;,&quot;non-dropping-particle&quot;:&quot;&quot;},{&quot;family&quot;:&quot;Grözinger&quot;,&quot;given&quot;:&quot;Martin&quot;,&quot;parse-names&quot;:false,&quot;dropping-particle&quot;:&quot;&quot;,&quot;non-dropping-particle&quot;:&quot;&quot;},{&quot;family&quot;:&quot;Mokry&quot;,&quot;given&quot;:&quot;Theresa&quot;,&quot;parse-names&quot;:false,&quot;dropping-particle&quot;:&quot;&quot;,&quot;non-dropping-particle&quot;:&quot;&quot;},{&quot;family&quot;:&quot;Schemmer&quot;,&quot;given&quot;:&quot;Peter&quot;,&quot;parse-names&quot;:false,&quot;dropping-particle&quot;:&quot;&quot;,&quot;non-dropping-particle&quot;:&quot;&quot;},{&quot;family&quot;:&quot;Waldburger&quot;,&quot;given&quot;:&quot;Nina&quot;,&quot;parse-names&quot;:false,&quot;dropping-particle&quot;:&quot;&quot;,&quot;non-dropping-particle&quot;:&quot;&quot;},{&quot;family&quot;:&quot;Kauczor&quot;,&quot;given&quot;:&quot;Hans-Ulrich&quot;,&quot;parse-names&quot;:false,&quot;dropping-particle&quot;:&quot;&quot;,&quot;non-dropping-particle&quot;:&quot;&quot;},{&quot;family&quot;:&quot;Klauss&quot;,&quot;given&quot;:&quot;Miriam&quot;,&quot;parse-names&quot;:false,&quot;dropping-particle&quot;:&quot;&quot;,&quot;non-dropping-particle&quot;:&quot;&quot;},{&quot;family&quot;:&quot;Sommer&quot;,&quot;given&quot;:&quot;Christof-Matthias&quot;,&quot;parse-names&quot;:false,&quot;dropping-particle&quot;:&quot;&quot;,&quot;non-dropping-particle&quot;:&quot;&quot;}],&quot;DOI&quot;:&quot;10.1186/s12880-019-0309&quot;,&quot;URL&quot;:&quot;https://doi.org/10.1186/s12880-019-0309-5&quot;,&quot;issued&quot;:{&quot;date-parts&quot;:[[2019]]},&quot;abstract&quot;:&quot;Background&quot;,&quot;container-title-short&quot;:&quot;&quot;},&quot;isTemporary&quot;:false}]},{&quot;citationID&quot;:&quot;MENDELEY_CITATION_bd997293-704e-4ad9-b1c8-1845cc28386e&quot;,&quot;properties&quot;:{&quot;noteIndex&quot;:0},&quot;isEdited&quot;:false,&quot;manualOverride&quot;:{&quot;isManuallyOverridden&quot;:false,&quot;citeprocText&quot;:&quot;[76]&quot;,&quot;manualOverrideText&quot;:&quot;&quot;},&quot;citationTag&quot;:&quot;MENDELEY_CITATION_v3_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&quot;,&quot;citationItems&quot;:[{&quot;id&quot;:&quot;87aae9ce-3bad-34a6-8e7c-07161652086c&quot;,&quot;itemData&quot;:{&quot;type&quot;:&quot;article-journal&quot;,&quot;id&quot;:&quot;87aae9ce-3bad-34a6-8e7c-07161652086c&quot;,&quot;title&quot;:&quot;Accuracy of preoperative liver volumetry in living donor liver transplantation—A systematic review and meta-analysis&quot;,&quot;author&quot;:[{&quot;family&quot;:&quot;er volumetry is used for volumetric assessment of the donor hepatectomy. However&quot;,&quot;given&quot;:&quot;the degree of accuracy of the preoperative predicted volumetric measurements remains unclear.ika S.&quot;,&quot;parse-names&quot;:false,&quot;dropping-particle&quot;:&quot;&quot;,&quot;non-dropping-particle&quot;:&quot;&quot;},{&quot;family&quot;:&quot;Dijkshoorn&quot;,&quot;given&quot;:&quot;Marcel&quot;,&quot;parse-names&quot;:false,&quot;dropping-particle&quot;:&quot;&quot;,&quot;non-dropping-particle&quot;:&quot;&quot;},{&quot;family&quot;:&quot;Dwarkasing&quot;,&quot;given&quot;:&quot;Roy S.&quot;,&quot;parse-names&quot;:false,&quot;dropping-particle&quot;:&quot;&quot;,&quot;non-dropping-particle&quot;:&quot;&quot;},{&quot;family&quot;:&quot;Chorley&quot;,&quot;given&quot;:&quot;Alicia C.&quot;,&quot;parse-names&quot;:false,&quot;dropping-particle&quot;:&quot;&quot;,&quot;non-dropping-particle&quot;:&quot;&quot;},{&quot;family&quot;:&quot;Minnee&quot;,&quot;given&quot;:&quot;Robert C.&quot;,&quot;parse-names&quot;:false,&quot;dropping-particle&quot;:&quot;&quot;,&quot;non-dropping-particle&quot;:&quot;&quot;},{&quot;family&quot;:&quot;Boehnert&quot;,&quot;given&quot;:&quot;Markus U.&quot;,&quot;parse-names&quot;:false,&quot;dropping-particle&quot;:&quot;&quot;,&quot;non-dropping-particle&quot;:&quot;&quot;}],&quot;container-title&quot;:&quot;Journal of Liver Transplantation&quot;,&quot;accessed&quot;:{&quot;date-parts&quot;:[[2023,8,8]]},&quot;DOI&quot;:&quot;10.1016/J.LIVER.2023.100150&quot;,&quot;ISSN&quot;:&quot;2666-9676&quot;,&quot;issued&quot;:{&quot;date-parts&quot;:[[2023,5,1]]},&quot;page&quot;:&quot;100150&quot;,&quot;publisher&quot;:&quot;Elsevier Masson&quot;,&quot;volume&quot;:&quot;10&quot;,&quot;container-title-short&quot;:&quot;&quot;},&quot;isTemporary&quot;:false}]},{&quot;citationID&quot;:&quot;MENDELEY_CITATION_9c746286-d22e-4a91-b120-e80d89233ab0&quot;,&quot;properties&quot;:{&quot;noteIndex&quot;:0},&quot;isEdited&quot;:false,&quot;manualOverride&quot;:{&quot;isManuallyOverridden&quot;:false,&quot;citeprocText&quot;:&quot;[53]&quot;,&quot;manualOverrideText&quot;:&quot;&quot;},&quot;citationTag&quot;:&quot;MENDELEY_CITATION_v3_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&quot;,&quot;citationItems&quot;:[{&quot;id&quot;:&quot;10e5456d-72df-3298-bc87-d93a5dbf0ed8&quot;,&quot;itemData&quot;:{&quot;type&quot;:&quot;article-journal&quot;,&quot;id&quot;:&quot;10e5456d-72df-3298-bc87-d93a5dbf0ed8&quot;,&quot;title&quot;:&quot;Resection plane-dependent error in computed tomography volumetry of the right hepatic lobe in living liver donors&quot;,&quot;author&quot;:[{&quot;family&quot;:&quot;Kwon&quot;,&quot;given&quot;:&quot;Heon Ju&quot;,&quot;parse-names&quot;:false,&quot;dropping-particle&quot;:&quot;&quot;,&quot;non-dropping-particle&quot;:&quot;&quot;},{&quot;family&quot;:&quot;Kim&quot;,&quot;given&quot;:&quot;Kyoung Won&quot;,&quot;parse-names&quot;:false,&quot;dropping-particle&quot;:&quot;&quot;,&quot;non-dropping-particle&quot;:&quot;&quot;},{&quot;family&quot;:&quot;Kim&quot;,&quot;given&quot;:&quot;Bohyun&quot;,&quot;parse-names&quot;:false,&quot;dropping-particle&quot;:&quot;&quot;,&quot;non-dropping-particle&quot;:&quot;&quot;},{&quot;family&quot;:&quot;Kim&quot;,&quot;given&quot;:&quot;So Yeon&quot;,&quot;parse-names&quot;:false,&quot;dropping-particle&quot;:&quot;&quot;,&quot;non-dropping-particle&quot;:&quot;&quot;},{&quot;family&quot;:&quot;Lee&quot;,&quot;given&quot;:&quot;Chul Seung&quot;,&quot;parse-names&quot;:false,&quot;dropping-particle&quot;:&quot;&quot;,&quot;non-dropping-particle&quot;:&quot;&quot;},{&quot;family&quot;:&quot;Lee&quot;,&quot;given&quot;:&quot;Jeongjin&quot;,&quot;parse-names&quot;:false,&quot;dropping-particle&quot;:&quot;&quot;,&quot;non-dropping-particle&quot;:&quot;&quot;},{&quot;family&quot;:&quot;Song&quot;,&quot;given&quot;:&quot;Gi Won&quot;,&quot;parse-names&quot;:false,&quot;dropping-particle&quot;:&quot;&quot;,&quot;non-dropping-particle&quot;:&quot;&quot;},{&quot;family&quot;:&quot;Lee&quot;,&quot;given&quot;:&quot;Sung Gyu&quot;,&quot;parse-names&quot;:false,&quot;dropping-particle&quot;:&quot;&quot;,&quot;non-dropping-particle&quot;:&quot;&quot;}],&quot;container-title&quot;:&quot;Clinical and Molecular Hepatology&quot;,&quot;container-title-short&quot;:&quot;Clin Mol Hepatol&quot;,&quot;DOI&quot;:&quot;10.3350/cmh.2017.0023&quot;,&quot;ISSN&quot;:&quot;2287285X&quot;,&quot;PMID&quot;:&quot;28759989&quot;,&quot;issued&quot;:{&quot;date-parts&quot;:[[2018,3,1]]},&quot;page&quot;:&quot;54-60&quot;,&quot;abstract&quot;:&quot;Background/Aims: Computed tomography (CT) hepatic volumetry is currently accepted as the most reliable method for preoperative estimation of graft weight in living donor liver transplantation (LDLT). However, several factors can cause inaccuracies in CT volumetry compared to real graft weight. The purpose of this study was to determine the frequency and degree of resection plane-dependent error in CT volumetry of the right hepatic lobe in LDLT. Methods: Forty-six living liver donors underwent CT before donor surgery and on postoperative day 7. Prospective CT volumetry (V P ) was measured via the assumptive hepatectomy plane. Retrospective liver volume (V R ) was measured using the actual plane by comparing preoperative and postoperative CT. Compared with intraoperatively measured weight (W), errors in percentage (%) V P and V R were evaluated. Plane-dependent error in V P was defined as the absolute difference between V P and V R . % plane-dependent error was defined as follows: |V P –V R |/W∙100. Results: Mean V P , V R , and W were 761.9 mL, 755.0 mL, and 696.9 g. Mean and % errors in V P were 73.3 mL and 10.7%. Mean error and % error in V R were 64.4 mL and 9.3%. Mean plane-dependent error in V P was 32.4 mL. Mean % plane-dependent error was 4.7%. Plane-dependent error in V P exceeded 10% of W in approximately 10% of the subjects in our study. Conclusions: There was approximately 5% plane-dependent error in liver V P on CT volumetry. Plane-dependent error in V P exceeded 10% of W in approximately 10% of LDLT donors in our study. This error should be considered, especially when CT volumetry is performed by a less experienced operator who is not well acquainted with the donor hepatectomy plane.&quot;,&quot;publisher&quot;:&quot;Korean Association for the Study of the Liver&quot;,&quot;issue&quot;:&quot;1&quot;,&quot;volume&quot;:&quot;24&quot;},&quot;isTemporary&quot;:false}]},{&quot;citationID&quot;:&quot;MENDELEY_CITATION_95d0fa40-ed92-4afe-b3b8-8767fa3f1c26&quot;,&quot;properties&quot;:{&quot;noteIndex&quot;:0},&quot;isEdited&quot;:false,&quot;manualOverride&quot;:{&quot;isManuallyOverridden&quot;:false,&quot;citeprocText&quot;:&quot;[54]&quot;,&quot;manualOverrideText&quot;:&quot;&quot;},&quot;citationTag&quot;:&quot;MENDELEY_CITATION_v3_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&quot;,&quot;citationItems&quot;:[{&quot;id&quot;:&quot;cce51b2e-354a-3416-a1c5-c2f5cc5e55fe&quot;,&quot;itemData&quot;:{&quot;type&quot;:&quot;article-journal&quot;,&quot;id&quot;:&quot;cce51b2e-354a-3416-a1c5-c2f5cc5e55fe&quot;,&quot;title&quot;:&quot;Dr. Liver: A preoperative planning system of liver graft volumetry for living donor liver transplantation&quot;,&quot;author&quot;:[{&quot;family&quot;:&quot;Yang&quot;,&quot;given&quot;:&quot;Xiaopeng&quot;,&quot;parse-names&quot;:false,&quot;dropping-particle&quot;:&quot;&quot;,&quot;non-dropping-particle&quot;:&quot;&quot;},{&quot;family&quot;:&quot;Yang&quot;,&quot;given&quot;:&quot;Jae&quot;,&quot;parse-names&quot;:false,&quot;dropping-particle&quot;:&quot;Do&quot;,&quot;non-dropping-particle&quot;:&quot;&quot;},{&quot;family&quot;:&quot;Yu&quot;,&quot;given&quot;:&quot;Hee Chul&quot;,&quot;parse-names&quot;:false,&quot;dropping-particle&quot;:&quot;&quot;,&quot;non-dropping-particle&quot;:&quot;&quot;},{&quot;family&quot;:&quot;Choi&quot;,&quot;given&quot;:&quot;Younggeun&quot;,&quot;parse-names&quot;:false,&quot;dropping-particle&quot;:&quot;&quot;,&quot;non-dropping-particle&quot;:&quot;&quot;},{&quot;family&quot;:&quot;Yang&quot;,&quot;given&quot;:&quot;Kwangho&quot;,&quot;parse-names&quot;:false,&quot;dropping-particle&quot;:&quot;&quot;,&quot;non-dropping-particle&quot;:&quot;&quot;},{&quot;family&quot;:&quot;Lee&quot;,&quot;given&quot;:&quot;Tae Beom&quot;,&quot;parse-names&quot;:false,&quot;dropping-particle&quot;:&quot;&quot;,&quot;non-dropping-particle&quot;:&quot;&quot;},{&quot;family&quot;:&quot;Hwang&quot;,&quot;given&quot;:&quot;Hong Pil&quot;,&quot;parse-names&quot;:false,&quot;dropping-particle&quot;:&quot;&quot;,&quot;non-dropping-particle&quot;:&quot;&quot;},{&quot;family&quot;:&quot;Ahn&quot;,&quot;given&quot;:&quot;Sungwoo&quot;,&quot;parse-names&quot;:false,&quot;dropping-particle&quot;:&quot;&quot;,&quot;non-dropping-particle&quot;:&quot;&quot;},{&quot;family&quot;:&quot;You&quot;,&quot;given&quot;:&quot;Heecheon&quot;,&quot;parse-names&quot;:false,&quot;dropping-particle&quot;:&quot;&quot;,&quot;non-dropping-particle&quot;:&quot;&quot;}],&quot;container-title&quot;:&quot;Computer Methods and Programs in Biomedicine&quot;,&quot;container-title-short&quot;:&quot;Comput Methods Programs Biomed&quot;,&quot;DOI&quot;:&quot;10.1016/j.cmpb.2018.01.024&quot;,&quot;ISSN&quot;:&quot;18727565&quot;,&quot;PMID&quot;:&quot;29544776&quot;,&quot;issued&quot;:{&quot;date-parts&quot;:[[2018,5,1]]},&quot;page&quot;:&quot;11-19&quot;,&quot;abstract&quot;:&quot;Background and Objective: Manual tracing of the right and left liver lobes from computed tomography (CT) images for graft volumetry in preoperative surgery planning of living donor liver transplantation (LDLT) is common at most medical centers. This study aims to develop an automatic system with advanced image processing algorithms and user-friendly interfaces for liver graft volumetry and evaluate its accuracy and efficiency in comparison with a manual tracing method. Methods: The proposed system provides a sequential procedure consisting of (1) liver segmentation, (2) blood vessel segmentation, and (3) virtual liver resection for liver graft volumetry. Automatic segmentation algorithms using histogram analysis, hybrid level-set methods, and a customized region growing method were developed. User-friendly interfaces such as sequential and hierarchical user menus, context-sensitive on-screen hotkey menus, and real-time sound and visual feedback were implemented. Blood vessels were excluded from the liver for accurate liver graft volumetry. A large sphere-based interactive method was developed for dividing the liver into left and right lobes with a customized cutting plane. The proposed system was evaluated using 50 CT datasets in terms of graft weight estimation accuracy and task completion time through comparison to the manual tracing method. The accuracy of liver graft weight estimation was assessed by absolute difference (AD) and percentage of AD (%AD) between preoperatively estimated graft weight and intraoperatively measured graft weight. Intra- and inter-observer agreements of liver graft weight estimation were assessed by intraclass correlation coefficients (ICCs) using ten cases randomly selected. Results: The proposed system showed significantly higher accuracy and efficiency in liver graft weight estimation (AD = 21.0 ± 18.4 g; %AD = 3.1% ± 2.8%; percentage of %AD &gt; 10% = none; task completion time = 7.3 ± 1.4 min) than the manual tracing method (AD = 70.5 ± 52.1 g; %AD = 10.2% ± 7.5%; percentage of %AD &gt; 10% = 46%; task completion time = 37.9 ± 7.0 min). The proposed system showed slightly higher intra- and inter-observer agreements (ICC = 0.996 to 0.998) than the manual tracing method (ICC = 0.979 to 0.999). Conclusions: The proposed system was proved accurate and efficient in liver graft volumetry for preoperative planning of LDLT.&quot;,&quot;publisher&quot;:&quot;Elsevier Ireland Ltd&quot;,&quot;volume&quot;:&quot;158&quot;},&quot;isTemporary&quot;:false}]},{&quot;citationID&quot;:&quot;MENDELEY_CITATION_ff9e8935-174c-45dc-9588-1b8f69b54c65&quot;,&quot;properties&quot;:{&quot;noteIndex&quot;:0},&quot;isEdited&quot;:false,&quot;manualOverride&quot;:{&quot;isManuallyOverridden&quot;:false,&quot;citeprocText&quot;:&quot;[54]&quot;,&quot;manualOverrideText&quot;:&quot;&quot;},&quot;citationTag&quot;:&quot;MENDELEY_CITATION_v3_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&quot;,&quot;citationItems&quot;:[{&quot;id&quot;:&quot;cce51b2e-354a-3416-a1c5-c2f5cc5e55fe&quot;,&quot;itemData&quot;:{&quot;type&quot;:&quot;article-journal&quot;,&quot;id&quot;:&quot;cce51b2e-354a-3416-a1c5-c2f5cc5e55fe&quot;,&quot;title&quot;:&quot;Dr. Liver: A preoperative planning system of liver graft volumetry for living donor liver transplantation&quot;,&quot;author&quot;:[{&quot;family&quot;:&quot;Yang&quot;,&quot;given&quot;:&quot;Xiaopeng&quot;,&quot;parse-names&quot;:false,&quot;dropping-particle&quot;:&quot;&quot;,&quot;non-dropping-particle&quot;:&quot;&quot;},{&quot;family&quot;:&quot;Yang&quot;,&quot;given&quot;:&quot;Jae&quot;,&quot;parse-names&quot;:false,&quot;dropping-particle&quot;:&quot;Do&quot;,&quot;non-dropping-particle&quot;:&quot;&quot;},{&quot;family&quot;:&quot;Yu&quot;,&quot;given&quot;:&quot;Hee Chul&quot;,&quot;parse-names&quot;:false,&quot;dropping-particle&quot;:&quot;&quot;,&quot;non-dropping-particle&quot;:&quot;&quot;},{&quot;family&quot;:&quot;Choi&quot;,&quot;given&quot;:&quot;Younggeun&quot;,&quot;parse-names&quot;:false,&quot;dropping-particle&quot;:&quot;&quot;,&quot;non-dropping-particle&quot;:&quot;&quot;},{&quot;family&quot;:&quot;Yang&quot;,&quot;given&quot;:&quot;Kwangho&quot;,&quot;parse-names&quot;:false,&quot;dropping-particle&quot;:&quot;&quot;,&quot;non-dropping-particle&quot;:&quot;&quot;},{&quot;family&quot;:&quot;Lee&quot;,&quot;given&quot;:&quot;Tae Beom&quot;,&quot;parse-names&quot;:false,&quot;dropping-particle&quot;:&quot;&quot;,&quot;non-dropping-particle&quot;:&quot;&quot;},{&quot;family&quot;:&quot;Hwang&quot;,&quot;given&quot;:&quot;Hong Pil&quot;,&quot;parse-names&quot;:false,&quot;dropping-particle&quot;:&quot;&quot;,&quot;non-dropping-particle&quot;:&quot;&quot;},{&quot;family&quot;:&quot;Ahn&quot;,&quot;given&quot;:&quot;Sungwoo&quot;,&quot;parse-names&quot;:false,&quot;dropping-particle&quot;:&quot;&quot;,&quot;non-dropping-particle&quot;:&quot;&quot;},{&quot;family&quot;:&quot;You&quot;,&quot;given&quot;:&quot;Heecheon&quot;,&quot;parse-names&quot;:false,&quot;dropping-particle&quot;:&quot;&quot;,&quot;non-dropping-particle&quot;:&quot;&quot;}],&quot;container-title&quot;:&quot;Computer Methods and Programs in Biomedicine&quot;,&quot;container-title-short&quot;:&quot;Comput Methods Programs Biomed&quot;,&quot;DOI&quot;:&quot;10.1016/j.cmpb.2018.01.024&quot;,&quot;ISSN&quot;:&quot;18727565&quot;,&quot;PMID&quot;:&quot;29544776&quot;,&quot;issued&quot;:{&quot;date-parts&quot;:[[2018,5,1]]},&quot;page&quot;:&quot;11-19&quot;,&quot;abstract&quot;:&quot;Background and Objective: Manual tracing of the right and left liver lobes from computed tomography (CT) images for graft volumetry in preoperative surgery planning of living donor liver transplantation (LDLT) is common at most medical centers. This study aims to develop an automatic system with advanced image processing algorithms and user-friendly interfaces for liver graft volumetry and evaluate its accuracy and efficiency in comparison with a manual tracing method. Methods: The proposed system provides a sequential procedure consisting of (1) liver segmentation, (2) blood vessel segmentation, and (3) virtual liver resection for liver graft volumetry. Automatic segmentation algorithms using histogram analysis, hybrid level-set methods, and a customized region growing method were developed. User-friendly interfaces such as sequential and hierarchical user menus, context-sensitive on-screen hotkey menus, and real-time sound and visual feedback were implemented. Blood vessels were excluded from the liver for accurate liver graft volumetry. A large sphere-based interactive method was developed for dividing the liver into left and right lobes with a customized cutting plane. The proposed system was evaluated using 50 CT datasets in terms of graft weight estimation accuracy and task completion time through comparison to the manual tracing method. The accuracy of liver graft weight estimation was assessed by absolute difference (AD) and percentage of AD (%AD) between preoperatively estimated graft weight and intraoperatively measured graft weight. Intra- and inter-observer agreements of liver graft weight estimation were assessed by intraclass correlation coefficients (ICCs) using ten cases randomly selected. Results: The proposed system showed significantly higher accuracy and efficiency in liver graft weight estimation (AD = 21.0 ± 18.4 g; %AD = 3.1% ± 2.8%; percentage of %AD &gt; 10% = none; task completion time = 7.3 ± 1.4 min) than the manual tracing method (AD = 70.5 ± 52.1 g; %AD = 10.2% ± 7.5%; percentage of %AD &gt; 10% = 46%; task completion time = 37.9 ± 7.0 min). The proposed system showed slightly higher intra- and inter-observer agreements (ICC = 0.996 to 0.998) than the manual tracing method (ICC = 0.979 to 0.999). Conclusions: The proposed system was proved accurate and efficient in liver graft volumetry for preoperative planning of LDLT.&quot;,&quot;publisher&quot;:&quot;Elsevier Ireland Ltd&quot;,&quot;volume&quot;:&quot;158&quot;},&quot;isTemporary&quot;:false}]},{&quot;citationID&quot;:&quot;MENDELEY_CITATION_fa6f44dd-2bfb-43f5-b7c4-5d2b4df52c68&quot;,&quot;properties&quot;:{&quot;noteIndex&quot;:0},&quot;isEdited&quot;:false,&quot;manualOverride&quot;:{&quot;isManuallyOverridden&quot;:false,&quot;citeprocText&quot;:&quot;[4]&quot;,&quot;manualOverrideText&quot;:&quot;&quot;},&quot;citationTag&quot;:&quot;MENDELEY_CITATION_v3_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&quot;,&quot;citationItems&quot;:[{&quot;id&quot;:&quot;4eecabdb-e70e-3901-8a02-ec8fc96eb936&quot;,&quot;itemData&quot;:{&quot;type&quot;:&quot;article-journal&quot;,&quot;id&quot;:&quot;4eecabdb-e70e-3901-8a02-ec8fc96eb936&quot;,&quot;title&quot;:&quot;Manual and semi-automated computed tomography volumetry significantly overestimates the right liver lobe graft weight: a single-center study with adult living liver donors&quot;,&quot;author&quot;:[{&quot;family&quot;:&quot;Çelik&quot;,&quot;given&quot;:&quot;Hakkı&quot;,&quot;parse-names&quot;:false,&quot;dropping-particle&quot;:&quot;&quot;,&quot;non-dropping-particle&quot;:&quot;&quot;},{&quot;family&quot;:&quot;Odaman&quot;,&quot;given&quot;:&quot;Hüseyin&quot;,&quot;parse-names&quot;:false,&quot;dropping-particle&quot;:&quot;&quot;,&quot;non-dropping-particle&quot;:&quot;&quot;},{&quot;family&quot;:&quot;Altay&quot;,&quot;given&quot;:&quot;Canan&quot;,&quot;parse-names&quot;:false,&quot;dropping-particle&quot;:&quot;&quot;,&quot;non-dropping-particle&quot;:&quot;&quot;},{&quot;family&quot;:&quot;Ünek&quot;,&quot;given&quot;:&quot;Tarkan&quot;,&quot;parse-names&quot;:false,&quot;dropping-particle&quot;:&quot;&quot;,&quot;non-dropping-particle&quot;:&quot;&quot;},{&quot;family&quot;:&quot;Özbilgin&quot;,&quot;given&quot;:&quot;Mücahit&quot;,&quot;parse-names&quot;:false,&quot;dropping-particle&quot;:&quot;&quot;,&quot;non-dropping-particle&quot;:&quot;&quot;},{&quot;family&quot;:&quot;Egeli&quot;,&quot;given&quot;:&quot;Tufan&quot;,&quot;parse-names&quot;:false,&quot;dropping-particle&quot;:&quot;&quot;,&quot;non-dropping-particle&quot;:&quot;&quot;},{&quot;family&quot;:&quot;Ağalar&quot;,&quot;given&quot;:&quot;Cihan&quot;,&quot;parse-names&quot;:false,&quot;dropping-particle&quot;:&quot;&quot;,&quot;non-dropping-particle&quot;:&quot;&quot;},{&quot;family&quot;:&quot;Astarcıoğlu&quot;,&quot;given&quot;:&quot;İbrahim Kemal&quot;,&quot;parse-names&quot;:false,&quot;dropping-particle&quot;:&quot;&quot;,&quot;non-dropping-particle&quot;:&quot;&quot;},{&quot;family&quot;:&quot;Barlık&quot;,&quot;given&quot;:&quot;Funda&quot;,&quot;parse-names&quot;:false,&quot;dropping-particle&quot;:&quot;&quot;,&quot;non-dropping-particle&quot;:&quot;&quot;}],&quot;container-title&quot;:&quot;Diagnostic and interventional radiology (Ankara, Turkey)&quot;,&quot;container-title-short&quot;:&quot;Diagn Interv Radiol&quot;,&quot;accessed&quot;:{&quot;date-parts&quot;:[[2023,6,15]]},&quot;DOI&quot;:&quot;10.4274/DIR.2023.221903&quot;,&quot;ISSN&quot;:&quot;1305-3612&quot;,&quot;PMID&quot;:&quot;37154817&quot;,&quot;URL&quot;:&quot;https://pubmed.ncbi.nlm.nih.gov/37154817/&quot;,&quot;issued&quot;:{&quot;date-parts&quot;:[[2023,5,8]]},&quot;page&quot;:&quot;0-0&quot;,&quot;publisher&quot;:&quot;Diagn Interv Radiol&quot;,&quot;issue&quot;:&quot;0&quot;,&quot;volume&quot;:&quot;0&quot;},&quot;isTemporary&quot;:false}]},{&quot;citationID&quot;:&quot;MENDELEY_CITATION_0f9ee5c5-e0a7-470b-a37b-79796c70f497&quot;,&quot;properties&quot;:{&quot;noteIndex&quot;:0},&quot;isEdited&quot;:false,&quot;manualOverride&quot;:{&quot;isManuallyOverridden&quot;:false,&quot;citeprocText&quot;:&quot;[53]&quot;,&quot;manualOverrideText&quot;:&quot;&quot;},&quot;citationTag&quot;:&quot;MENDELEY_CITATION_v3_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&quot;,&quot;citationItems&quot;:[{&quot;id&quot;:&quot;10e5456d-72df-3298-bc87-d93a5dbf0ed8&quot;,&quot;itemData&quot;:{&quot;type&quot;:&quot;article-journal&quot;,&quot;id&quot;:&quot;10e5456d-72df-3298-bc87-d93a5dbf0ed8&quot;,&quot;title&quot;:&quot;Resection plane-dependent error in computed tomography volumetry of the right hepatic lobe in living liver donors&quot;,&quot;author&quot;:[{&quot;family&quot;:&quot;Kwon&quot;,&quot;given&quot;:&quot;Heon Ju&quot;,&quot;parse-names&quot;:false,&quot;dropping-particle&quot;:&quot;&quot;,&quot;non-dropping-particle&quot;:&quot;&quot;},{&quot;family&quot;:&quot;Kim&quot;,&quot;given&quot;:&quot;Kyoung Won&quot;,&quot;parse-names&quot;:false,&quot;dropping-particle&quot;:&quot;&quot;,&quot;non-dropping-particle&quot;:&quot;&quot;},{&quot;family&quot;:&quot;Kim&quot;,&quot;given&quot;:&quot;Bohyun&quot;,&quot;parse-names&quot;:false,&quot;dropping-particle&quot;:&quot;&quot;,&quot;non-dropping-particle&quot;:&quot;&quot;},{&quot;family&quot;:&quot;Kim&quot;,&quot;given&quot;:&quot;So Yeon&quot;,&quot;parse-names&quot;:false,&quot;dropping-particle&quot;:&quot;&quot;,&quot;non-dropping-particle&quot;:&quot;&quot;},{&quot;family&quot;:&quot;Lee&quot;,&quot;given&quot;:&quot;Chul Seung&quot;,&quot;parse-names&quot;:false,&quot;dropping-particle&quot;:&quot;&quot;,&quot;non-dropping-particle&quot;:&quot;&quot;},{&quot;family&quot;:&quot;Lee&quot;,&quot;given&quot;:&quot;Jeongjin&quot;,&quot;parse-names&quot;:false,&quot;dropping-particle&quot;:&quot;&quot;,&quot;non-dropping-particle&quot;:&quot;&quot;},{&quot;family&quot;:&quot;Song&quot;,&quot;given&quot;:&quot;Gi Won&quot;,&quot;parse-names&quot;:false,&quot;dropping-particle&quot;:&quot;&quot;,&quot;non-dropping-particle&quot;:&quot;&quot;},{&quot;family&quot;:&quot;Lee&quot;,&quot;given&quot;:&quot;Sung Gyu&quot;,&quot;parse-names&quot;:false,&quot;dropping-particle&quot;:&quot;&quot;,&quot;non-dropping-particle&quot;:&quot;&quot;}],&quot;container-title&quot;:&quot;Clinical and Molecular Hepatology&quot;,&quot;container-title-short&quot;:&quot;Clin Mol Hepatol&quot;,&quot;DOI&quot;:&quot;10.3350/cmh.2017.0023&quot;,&quot;ISSN&quot;:&quot;2287285X&quot;,&quot;PMID&quot;:&quot;28759989&quot;,&quot;issued&quot;:{&quot;date-parts&quot;:[[2018,3,1]]},&quot;page&quot;:&quot;54-60&quot;,&quot;abstract&quot;:&quot;Background/Aims: Computed tomography (CT) hepatic volumetry is currently accepted as the most reliable method for preoperative estimation of graft weight in living donor liver transplantation (LDLT). However, several factors can cause inaccuracies in CT volumetry compared to real graft weight. The purpose of this study was to determine the frequency and degree of resection plane-dependent error in CT volumetry of the right hepatic lobe in LDLT. Methods: Forty-six living liver donors underwent CT before donor surgery and on postoperative day 7. Prospective CT volumetry (V P ) was measured via the assumptive hepatectomy plane. Retrospective liver volume (V R ) was measured using the actual plane by comparing preoperative and postoperative CT. Compared with intraoperatively measured weight (W), errors in percentage (%) V P and V R were evaluated. Plane-dependent error in V P was defined as the absolute difference between V P and V R . % plane-dependent error was defined as follows: |V P –V R |/W∙100. Results: Mean V P , V R , and W were 761.9 mL, 755.0 mL, and 696.9 g. Mean and % errors in V P were 73.3 mL and 10.7%. Mean error and % error in V R were 64.4 mL and 9.3%. Mean plane-dependent error in V P was 32.4 mL. Mean % plane-dependent error was 4.7%. Plane-dependent error in V P exceeded 10% of W in approximately 10% of the subjects in our study. Conclusions: There was approximately 5% plane-dependent error in liver V P on CT volumetry. Plane-dependent error in V P exceeded 10% of W in approximately 10% of LDLT donors in our study. This error should be considered, especially when CT volumetry is performed by a less experienced operator who is not well acquainted with the donor hepatectomy plane.&quot;,&quot;publisher&quot;:&quot;Korean Association for the Study of the Liver&quot;,&quot;issue&quot;:&quot;1&quot;,&quot;volume&quot;:&quot;24&quot;},&quot;isTemporary&quot;:false}]},{&quot;citationID&quot;:&quot;MENDELEY_CITATION_f3b17987-05d3-404e-9af1-4c0254ec5a82&quot;,&quot;properties&quot;:{&quot;noteIndex&quot;:0},&quot;isEdited&quot;:false,&quot;manualOverride&quot;:{&quot;isManuallyOverridden&quot;:false,&quot;citeprocText&quot;:&quot;[77]&quot;,&quot;manualOverrideText&quot;:&quot;&quot;},&quot;citationTag&quot;:&quot;MENDELEY_CITATION_v3_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&quot;,&quot;citationItems&quot;:[{&quot;id&quot;:&quot;bbb424c1-8354-342f-9726-66cbfb5cc2cc&quot;,&quot;itemData&quot;:{&quot;type&quot;:&quot;article-journal&quot;,&quot;id&quot;:&quot;bbb424c1-8354-342f-9726-66cbfb5cc2cc&quot;,&quot;title&quot;:&quot;Fully automated assessment of the future liver remnant in a blood-free setting via CT before major hepatectomy via deep learning&quot;,&quot;author&quot;:[{&quot;family&quot;:&quot;Xie&quot;,&quot;given&quot;:&quot;Tingting&quot;,&quot;parse-names&quot;:false,&quot;dropping-particle&quot;:&quot;&quot;,&quot;non-dropping-particle&quot;:&quot;&quot;},{&quot;family&quot;:&quot;Zhou&quot;,&quot;given&quot;:&quot;Jingyu&quot;,&quot;parse-names&quot;:false,&quot;dropping-particle&quot;:&quot;&quot;,&quot;non-dropping-particle&quot;:&quot;&quot;},{&quot;family&quot;:&quot;Zhang&quot;,&quot;given&quot;:&quot;Xiaodong&quot;,&quot;parse-names&quot;:false,&quot;dropping-particle&quot;:&quot;&quot;,&quot;non-dropping-particle&quot;:&quot;&quot;},{&quot;family&quot;:&quot;Zhang&quot;,&quot;given&quot;:&quot;Yaofeng&quot;,&quot;parse-names&quot;:false,&quot;dropping-particle&quot;:&quot;&quot;,&quot;non-dropping-particle&quot;:&quot;&quot;},{&quot;family&quot;:&quot;Wang&quot;,&quot;given&quot;:&quot;Xiaoying&quot;,&quot;parse-names&quot;:false,&quot;dropping-particle&quot;:&quot;&quot;,&quot;non-dropping-particle&quot;:&quot;&quot;},{&quot;family&quot;:&quot;Li&quot;,&quot;given&quot;:&quot;Yongbin&quot;,&quot;parse-names&quot;:false,&quot;dropping-particle&quot;:&quot;&quot;,&quot;non-dropping-particle&quot;:&quot;&quot;},{&quot;family&quot;:&quot;Cheng&quot;,&quot;given&quot;:&quot;Guanxun&quot;,&quot;parse-names&quot;:false,&quot;dropping-particle&quot;:&quot;&quot;,&quot;non-dropping-particle&quot;:&quot;&quot;}],&quot;container-title&quot;:&quot;Insights into imaging&quot;,&quot;container-title-short&quot;:&quot;Insights Imaging&quot;,&quot;accessed&quot;:{&quot;date-parts&quot;:[[2024,9,29]]},&quot;DOI&quot;:&quot;10.1186/S13244-024-01724-6&quot;,&quot;ISSN&quot;:&quot;1869-4101&quot;,&quot;PMID&quot;:&quot;38935177&quot;,&quot;URL&quot;:&quot;https://pubmed.ncbi.nlm.nih.gov/38935177/&quot;,&quot;issued&quot;:{&quot;date-parts&quot;:[[2024,12,1]]},&quot;abstract&quot;:&quot;Objectives: To develop and validate a deep learning (DL) model for automated segmentation of hepatic and portal veins, and apply the model in blood-free future liver remnant (FLR) assessments via CT before major hepatectomy. Methods: 3-dimensional 3D U-Net models were developed for the automatic segmentation of hepatic veins and portal veins on contrast-enhanced CT images. A total of 170 patients treated from January 2018 to March 2019 were included. 3D U-Net models were trained and tested under various liver conditions. The Dice similarity coefficient (DSC) and volumetric similarity (VS) were used to evaluate the segmentation accuracy. The use of quantitative volumetry for evaluating resection was compared between blood-filled and blood-free settings and between manual and automated segmentation. Results: The DSC values in the test dataset for hepatic veins and portal veins were 0.66 ± 0.08 (95% CI: (0.65, 0.68)) and 0.67 ± 0.07 (95% CI: (0.66, 0.69)), the VS values were 0.80 ± 0.10 (95% CI: (0.79, 0.84)) and 0.74 ± 0.08 (95% CI: (0.73, 0.76)), respectively No significant differences in FLR, FLR% assessments, or the percentage of major hepatectomy patients were noted between the blood-filled and blood-free settings (p = 0.67, 0.59 and 0.99 for manual methods, p = 0.66, 0.99 and 0.99 for automated methods, respectively) according to the use of manual and automated segmentation methods. Conclusion: Fully automated segmentation of hepatic veins and portal veins and FLR assessment via blood-free CT before major hepatectomy are accurate and applicable in clinical cases involving the use of DL. Critical relevance statement: Our fully automatic models could segment hepatic veins, portal veins, and future liver remnant in blood-free setting on CT images before major hepatectomy with reliable outcomes. Key Points: Fully automatic segmentation of hepatic veins and portal veins was feasible in clinical practice. Fully automatic volumetry of future liver remnant (FLR)% in a blood-free setting was robust. No significant differences in FLR% assessments were noted between the blood-filled and blood-free settings. Graphical Abstract: (Figure presented.)&quot;,&quot;publisher&quot;:&quot;Insights Imaging&quot;,&quot;issue&quot;:&quot;1&quot;,&quot;volume&quot;:&quot;15&quot;},&quot;isTemporary&quot;:false}]},{&quot;citationID&quot;:&quot;MENDELEY_CITATION_ffde54cb-8523-4986-b3ff-242cbf233f13&quot;,&quot;properties&quot;:{&quot;noteIndex&quot;:0},&quot;isEdited&quot;:false,&quot;manualOverride&quot;:{&quot;isManuallyOverridden&quot;:false,&quot;citeprocText&quot;:&quot;[48]&quot;,&quot;manualOverrideText&quot;:&quot;&quot;},&quot;citationTag&quot;:&quot;MENDELEY_CITATION_v3_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&quot;,&quot;citationItems&quot;:[{&quot;id&quot;:&quot;8f229207-e9a6-3cf3-8175-4f524b0533cf&quot;,&quot;itemData&quot;:{&quot;type&quot;:&quot;article-journal&quot;,&quot;id&quot;:&quot;8f229207-e9a6-3cf3-8175-4f524b0533cf&quot;,&quot;title&quot;:&quot;The correlation between preoperative volumetry and real graft weight: Comparison of two volumetry programs&quot;,&quot;author&quot;:[{&quot;family&quot;:&quot;Mussin&quot;,&quot;given&quot;:&quot;Nadiar&quot;,&quot;parse-names&quot;:false,&quot;dropping-particle&quot;:&quot;&quot;,&quot;non-dropping-particle&quot;:&quot;&quot;},{&quot;family&quot;:&quot;Sumo&quot;,&quot;given&quot;:&quot;Marco&quot;,&quot;parse-names&quot;:false,&quot;dropping-particle&quot;:&quot;&quot;,&quot;non-dropping-particle&quot;:&quot;&quot;},{&quot;family&quot;:&quot;Lee&quot;,&quot;given&quot;:&quot;Kwang Woong&quot;,&quot;parse-names&quot;:false,&quot;dropping-particle&quot;:&quot;&quot;,&quot;non-dropping-particle&quot;:&quot;&quot;},{&quot;family&quot;:&quot;Choi&quot;,&quot;given&quot;:&quot;Young Rok&quot;,&quot;parse-names&quot;:false,&quot;dropping-particle&quot;:&quot;&quot;,&quot;non-dropping-particle&quot;:&quot;&quot;},{&quot;family&quot;:&quot;Choi&quot;,&quot;given&quot;:&quot;Jin Yong&quot;,&quot;parse-names&quot;:false,&quot;dropping-particle&quot;:&quot;&quot;,&quot;non-dropping-particle&quot;:&quot;&quot;},{&quot;family&quot;:&quot;Ahn&quot;,&quot;given&quot;:&quot;Sung Woo&quot;,&quot;parse-names&quot;:false,&quot;dropping-particle&quot;:&quot;&quot;,&quot;non-dropping-particle&quot;:&quot;&quot;},{&quot;family&quot;:&quot;Yoon&quot;,&quot;given&quot;:&quot;Kyung Chul&quot;,&quot;parse-names&quot;:false,&quot;dropping-particle&quot;:&quot;&quot;,&quot;non-dropping-particle&quot;:&quot;&quot;},{&quot;family&quot;:&quot;Kim&quot;,&quot;given&quot;:&quot;Hyo Sin&quot;,&quot;parse-names&quot;:false,&quot;dropping-particle&quot;:&quot;&quot;,&quot;non-dropping-particle&quot;:&quot;&quot;},{&quot;family&quot;:&quot;Hong&quot;,&quot;given&quot;:&quot;Suk Kyun&quot;,&quot;parse-names&quot;:false,&quot;dropping-particle&quot;:&quot;&quot;,&quot;non-dropping-particle&quot;:&quot;&quot;},{&quot;family&quot;:&quot;Yi&quot;,&quot;given&quot;:&quot;Nam Joon&quot;,&quot;parse-names&quot;:false,&quot;dropping-particle&quot;:&quot;&quot;,&quot;non-dropping-particle&quot;:&quot;&quot;},{&quot;family&quot;:&quot;Suh&quot;,&quot;given&quot;:&quot;Kyung Suk&quot;,&quot;parse-names&quot;:false,&quot;dropping-particle&quot;:&quot;&quot;,&quot;non-dropping-particle&quot;:&quot;&quot;}],&quot;container-title&quot;:&quot;Annals of Surgical Treatment and Research&quot;,&quot;container-title-short&quot;:&quot;Ann Surg Treat Res&quot;,&quot;DOI&quot;:&quot;10.4174/astr.2017.92.4.214&quot;,&quot;ISSN&quot;:&quot;22886796&quot;,&quot;issued&quot;:{&quot;date-parts&quot;:[[2017,4,1]]},&quot;page&quot;:&quot;214-220&quot;,&quot;abstract&quot;:&quot;Purpose: Liver volumetry is a vital component in living donor liver transplantation to determine an adequate graft volume that meets the metabolic demands of the recipient and at the same time ensures donor safety. Most institutions use preoperative contrast-enhanced CT image-based software programs to estimate graft volume. The objective of this study was to evaluate the accuracy of 2 liver volumetry programs (Rapidia vs. Dr. Liver) in preoperative right liver graft estimation compared with real graft weight. Methods: Data from 215 consecutive right lobe living donors between October 2013 and August 2015 were retrospectively reviewed. One hundred seven patients were enrolled in Rapidia group and 108 patients were included in the Dr. Liver group. Estimated graft volumes generated by both software programs were compared with real graft weight measured during surgery, and further classified into minimal difference (&lt;15%) and big difference (&gt;15%). Correlation coefficients and degree of difference were determined. Linear regressions were calculated and results depicted as scatterplots. Results: Minimal difference was observed in 69.4% of cases from Dr. Liver group and big difference was seen in 44.9% of cases from Rapidia group (P = 0.035). Linear regression analysis showed positive correlation in both groups (P &lt; 0.01). However, the correlation coefficient was better for the Dr. Liver group (R2 = 0.719), than for the Rapidia group (R2 = 0.688). Conclusion: Dr. Liver can accurately predict right liver graft size better and faster than Rapidia, and can facilitate preoperative planning in living donor liver transplantation.&quot;,&quot;publisher&quot;:&quot;Korean Surgical Society&quot;,&quot;issue&quot;:&quot;4&quot;,&quot;volume&quot;:&quot;92&quot;},&quot;isTemporary&quot;:false}]},{&quot;citationID&quot;:&quot;MENDELEY_CITATION_5155d7d6-b8db-4b86-98f4-4cec474d09c8&quot;,&quot;properties&quot;:{&quot;noteIndex&quot;:0},&quot;isEdited&quot;:false,&quot;manualOverride&quot;:{&quot;isManuallyOverridden&quot;:false,&quot;citeprocText&quot;:&quot;[58]&quot;,&quot;manualOverrideText&quot;:&quot;&quot;},&quot;citationTag&quot;:&quot;MENDELEY_CITATION_v3_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&quot;,&quot;citationItems&quot;:[{&quot;id&quot;:&quot;e92a4ab6-ac64-397d-aeec-533cd2dc4e02&quot;,&quot;itemData&quot;:{&quot;type&quot;:&quot;article-journal&quot;,&quot;id&quot;:&quot;e92a4ab6-ac64-397d-aeec-533cd2dc4e02&quot;,&quot;title&quot;:&quot;Fully automated whole-liver volume quantification on CT-image data: Comparison with manual volumetry using enhanced and unenhanced images as well as two different radiation dose levels and two reconstruction kernels&quot;,&quot;author&quot;:[{&quot;family&quot;:&quot;Hagen&quot;,&quot;given&quot;:&quot;Florian&quot;,&quot;parse-names&quot;:false,&quot;dropping-particle&quot;:&quot;&quot;,&quot;non-dropping-particle&quot;:&quot;&quot;},{&quot;family&quot;:&quot;Mair&quot;,&quot;given&quot;:&quot;Antonia&quot;,&quot;parse-names&quot;:false,&quot;dropping-particle&quot;:&quot;&quot;,&quot;non-dropping-particle&quot;:&quot;&quot;},{&quot;family&quot;:&quot;Bitzer&quot;,&quot;given&quot;:&quot;Michael&quot;,&quot;parse-names&quot;:false,&quot;dropping-particle&quot;:&quot;&quot;,&quot;non-dropping-particle&quot;:&quot;&quot;},{&quot;family&quot;:&quot;Bösmüller&quot;,&quot;given&quot;:&quot;Hans&quot;,&quot;parse-names&quot;:false,&quot;dropping-particle&quot;:&quot;&quot;,&quot;non-dropping-particle&quot;:&quot;&quot;},{&quot;family&quot;:&quot;Horger&quot;,&quot;given&quot;:&quot;Marius&quot;,&quot;parse-names&quot;:false,&quot;dropping-particle&quot;:&quot;&quot;,&quot;non-dropping-particle&quot;:&quot;&quot;}],&quot;container-title&quot;:&quot;PloS one&quot;,&quot;container-title-short&quot;:&quot;PLoS One&quot;,&quot;accessed&quot;:{&quot;date-parts&quot;:[[2024,9,29]]},&quot;DOI&quot;:&quot;10.1371/JOURNAL.PONE.0255374&quot;,&quot;ISSN&quot;:&quot;1932-6203&quot;,&quot;PMID&quot;:&quot;34339472&quot;,&quot;URL&quot;:&quot;https://pubmed.ncbi.nlm.nih.gov/34339472/&quot;,&quot;issued&quot;:{&quot;date-parts&quot;:[[2021,8,1]]},&quot;abstract&quot;:&quot;Objectives To evaluate the accuracy of fully automated liver volume quantification vs. manual quantification using unenhanced as well as enhanced CT-image data as well as two different radiation dose levels and also two image reconstruction kernels. Material and methods The local ethics board gave its approval for retrospective data analysis. Automated liver volume quantification in 300 consecutive livers in 164 male and 103 female oncologic patients (64±12y) performed at our institution (between January 2020 and May 2020) using two different dual-energy helicals: portal-venous phase enhanced, ref. tube current 300mAs (CARE Dose4D) for tube A (100 kV) and ref. 232mAs tube current for tube B (Sn140kV), slice collimation 0.6mm, reconstruction kernel I30f/1, recon. thickness of 0.6mm and 5mm, 80-100 mL iodine contrast agent 350 mg/mL, (flow 2mL/s) and unenhanced ref. tube current 100mAs (CARE Dose4D) for tube A (100 kV) and ref. 77mAs tube current for tube B (Sn140kV), slice collimation 0.6mm (kernel Q40f) were analyzed. The post-processing tool (syngo.CT Liver Analysis) is already FDA-approved. Two resident radiologists with no and 1-year CT-experience performed both the automated measurements independently from each other. Results were compared with those of manual liver volume quantification using the same software which was supervised by a senior radiologist with 30-year CT-experience (ground truth). Results In total, a correlation of 98% was obtained for liver volumetry based on enhanced and unenhanced data sets compared to the manual liver quantification. Radiologist #1 and #2 achieved an inter-reader agreement of 99.8% for manual liver segmentation (p&lt;0.0001). Automated liver volumetry resulted in an overestimation (&gt;5% deviation) of 3.7% for unenhanced CT-image data and 4.0% for contrast-enhanced CT-images. Underestimation (&lt;5%) of liver volume was 2.0% for unenhanced CT-image data and 1.3% for enhanced images after automated liver volumetry. Number and distribution of erroneous volume measurements using either thin or thick slice reconstructions was exactly the same, both for the enhanced as well for the unenhanced image data sets (p&gt; 0.05). Conclusion Results of fully automated liver volume quantification are accurate and comparable with those of manual liver volume quantification and the technique seems to be confident even if unenhanced lower-dose CT image data is used. Copyright:&quot;,&quot;publisher&quot;:&quot;PLoS One&quot;,&quot;issue&quot;:&quot;8&quot;,&quot;volume&quot;:&quot;16&quot;},&quot;isTemporary&quot;:false}]},{&quot;citationID&quot;:&quot;MENDELEY_CITATION_b6107714-3d05-4137-85f3-f9e990ca8383&quot;,&quot;properties&quot;:{&quot;noteIndex&quot;:0},&quot;isEdited&quot;:false,&quot;manualOverride&quot;:{&quot;isManuallyOverridden&quot;:false,&quot;citeprocText&quot;:&quot;[78]&quot;,&quot;manualOverrideText&quot;:&quot;&quot;},&quot;citationTag&quot;:&quot;MENDELEY_CITATION_v3_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&quot;,&quot;citationItems&quot;:[{&quot;id&quot;:&quot;67ab04d1-5274-3f09-a12e-e8fb65bbfd0d&quot;,&quot;itemData&quot;:{&quot;type&quot;:&quot;article-journal&quot;,&quot;id&quot;:&quot;67ab04d1-5274-3f09-a12e-e8fb65bbfd0d&quot;,&quot;title&quot;:&quot;Correlation Between Liver Volumetric Computed Tomography Results and Measured Liver Weight: A Tool for Preoperative Planning of Liver Transplant&quot;,&quot;author&quot;:[{&quot;family&quot;:&quot;Sonnemans&quot;,&quot;given&quot;:&quot;Lianne J.P.&quot;,&quot;parse-names&quot;:false,&quot;dropping-particle&quot;:&quot;&quot;,&quot;non-dropping-particle&quot;:&quot;&quot;},{&quot;family&quot;:&quot;Ho&quot;,&quot;given&quot;:&quot;Jeroen C.&quot;,&quot;parse-names&quot;:false,&quot;dropping-particle&quot;:&quot;&quot;,&quot;non-dropping-particle&quot;:&quot;&quot;},{&quot;family&quot;:&quot;Monshouwer&quot;,&quot;given&quot;:&quot;René&quot;,&quot;parse-names&quot;:false,&quot;dropping-particle&quot;:&quot;&quot;,&quot;non-dropping-particle&quot;:&quot;&quot;},{&quot;family&quot;:&quot;Prokop&quot;,&quot;given&quot;:&quot;Mathias&quot;,&quot;parse-names&quot;:false,&quot;dropping-particle&quot;:&quot;&quot;,&quot;non-dropping-particle&quot;:&quot;&quot;},{&quot;family&quot;:&quot;Klein&quot;,&quot;given&quot;:&quot;Willemijn M.&quot;,&quot;parse-names&quot;:false,&quot;dropping-particle&quot;:&quot;&quot;,&quot;non-dropping-particle&quot;:&quot;&quot;}],&quot;container-title&quot;:&quot;Experimental and clinical transplantation : official journal of the Middle East Society for Organ Transplantation&quot;,&quot;container-title-short&quot;:&quot;Exp Clin Transplant&quot;,&quot;accessed&quot;:{&quot;date-parts&quot;:[[2024,3,4]]},&quot;DOI&quot;:&quot;10.6002/ECT.2015.0142&quot;,&quot;ISSN&quot;:&quot;2146-8427&quot;,&quot;PMID&quot;:&quot;26643225&quot;,&quot;URL&quot;:&quot;https://pubmed.ncbi.nlm.nih.gov/26643225/&quot;,&quot;issued&quot;:{&quot;date-parts&quot;:[[2016,2,1]]},&quot;page&quot;:&quot;72-78&quot;,&quot;abstract&quot;:&quot;Objectives: Before liver transplant, it is necessary to know the size of the organ in advance of the procedure. We studied the correlation between liver volumetric computed tomography results and liver weight. Materials and Methods: Postmortem volumetric computed tomography was conducted on cadavers before autopsy, and 3-dimensional liver volume was estimated with semiautomated software. Liver weight was then determined at autopsy. Linear regression and univariate analysis of variance results were used to determine the accuracy of volumetric 3-dimensional computed tomography in estimating liver weight. We also used 2-dimensional liver sizes to design a 2-dimensional formula to estimate liver volume. Results: We found that 3-dimensional volumetric computed tomography was able to accurately estimate liver weight (standard error = 157 g) with a liver density of 0.99 g/mL. Intraobserver and interobserver variabilities were small. The 2-dimensional formula estimatedliver weight slightly less accurately (standard error = 212 g). Conclusions: We conclude that liver weight can be estimated accurately with 3-dimensional volumetric computed tomography; estimates were more precise than with the 2-dimensional formula-based liver volume estimation. Volumetric computed tomography can be an important tool during preoperative workup before transplant surgery.&quot;,&quot;publisher&quot;:&quot;Exp Clin Transplant&quot;,&quot;issue&quot;:&quot;1&quot;,&quot;volume&quot;:&quot;14&quot;},&quot;isTemporary&quot;:false}]},{&quot;citationID&quot;:&quot;MENDELEY_CITATION_476846d4-9539-4416-aa06-1a9262375982&quot;,&quot;properties&quot;:{&quot;noteIndex&quot;:0},&quot;isEdited&quot;:false,&quot;manualOverride&quot;:{&quot;isManuallyOverridden&quot;:false,&quot;citeprocText&quot;:&quot;[20]&quot;,&quot;manualOverrideText&quot;:&quot;&quot;},&quot;citationTag&quot;:&quot;MENDELEY_CITATION_v3_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&quot;,&quot;citationItems&quot;:[{&quot;id&quot;:&quot;cded2ed7-e9ff-3876-b21a-6911c7976d4c&quot;,&quot;itemData&quot;:{&quot;type&quot;:&quot;article-journal&quot;,&quot;id&quot;:&quot;cded2ed7-e9ff-3876-b21a-6911c7976d4c&quot;,&quot;title&quot;:&quot;Accuracy and Efficiency of Right-Lobe Graft Weight Estimation Using Deep-Learning-Assisted CT Volumetry for Living-Donor Liver Transplantation&quot;,&quot;author&quot;:[{&quot;family&quot;:&quot;Park&quot;,&quot;given&quot;:&quot;Rohee&quot;,&quot;parse-names&quot;:false,&quot;dropping-particle&quot;:&quot;&quot;,&quot;non-dropping-particle&quot;:&quot;&quot;},{&quot;family&quot;:&quot;Lee&quot;,&quot;given&quot;:&quot;Seungsoo&quot;,&quot;parse-names&quot;:false,&quot;dropping-particle&quot;:&quot;&quot;,&quot;non-dropping-particle&quot;:&quot;&quot;},{&quot;family&quot;:&quot;Sung&quot;,&quot;given&quot;:&quot;Yusub&quot;,&quot;parse-names&quot;:false,&quot;dropping-particle&quot;:&quot;&quot;,&quot;non-dropping-particle&quot;:&quot;&quot;},{&quot;family&quot;:&quot;Yoon&quot;,&quot;given&quot;:&quot;Jeeseok&quot;,&quot;parse-names&quot;:false,&quot;dropping-particle&quot;:&quot;&quot;,&quot;non-dropping-particle&quot;:&quot;&quot;},{&quot;family&quot;:&quot;Suk&quot;,&quot;given&quot;:&quot;Heung&quot;,&quot;parse-names&quot;:false,&quot;dropping-particle&quot;:&quot;Il&quot;,&quot;non-dropping-particle&quot;:&quot;&quot;},{&quot;family&quot;:&quot;Kim&quot;,&quot;given&quot;:&quot;Hyoungjung&quot;,&quot;parse-names&quot;:false,&quot;dropping-particle&quot;:&quot;&quot;,&quot;non-dropping-particle&quot;:&quot;&quot;},{&quot;family&quot;:&quot;Choi&quot;,&quot;given&quot;:&quot;Sanghyun&quot;,&quot;parse-names&quot;:false,&quot;dropping-particle&quot;:&quot;&quot;,&quot;non-dropping-particle&quot;:&quot;&quot;}],&quot;container-title&quot;:&quot;Diagnostics&quot;,&quot;accessed&quot;:{&quot;date-parts&quot;:[[2022,12,21]]},&quot;DOI&quot;:&quot;10.3390/DIAGNOSTICS12030590/S1&quot;,&quot;ISSN&quot;:&quot;20754418&quot;,&quot;URL&quot;:&quot;https://www.mdpi.com/2075-4418/12/3/590/htm&quot;,&quot;issued&quot;:{&quot;date-parts&quot;:[[2022,3,1]]},&quot;page&quot;:&quot;590&quot;,&quot;abstract&quot;:&quot;CT volumetry (CTV) has been widely used for pre-operative graft weight (GW) estimation in living-donor liver transplantation (LDLT), and the use of a deep-learning algorithm (DLA) may further improve its efficiency. However, its accuracy has not been well determined. To evaluate the efficiency and accuracy of DLA-assisted CTV in GW estimation, we performed a retrospective study including 581 consecutive LDLT donors who donated a right-lobe graft. Right-lobe graft volume (GV) was measured on CT using the software implemented with the DLA for automated liver segmentation. In the development group (n = 207), a volume-to-weight conversion formula was constructed by linear regression analysis between the CTV-measured GV and the intraoperative GW. In the validation group (n = 374), the agreement between the estimated and measured GWs was assessed using the Bland–Altman 95% limit-of-agreement (LOA). The mean process time for GV measurement was 1.8 ± 0.6 min (range, 1.3–8.0 min). In the validation group, the GW was estimated using the volume-to-weight conversion formula (estimated GW [g] = 206.3 + 0.653 × CTV-measured GV [mL]), and the Bland–Altman 95% LOA between the estimated and measured GWs was −1.7% ± 17.1%. The DLA-assisted CT volumetry allows for time-efficient and accurate estimation of GW in LDLT.&quot;,&quot;publisher&quot;:&quot;MDPI&quot;,&quot;issue&quot;:&quot;3&quot;,&quot;volume&quot;:&quot;12&quot;,&quot;container-title-short&quot;:&quot;&quot;},&quot;isTemporary&quot;:false}]},{&quot;citationID&quot;:&quot;MENDELEY_CITATION_1ef8ca40-0cb4-4135-9b92-5f1d19ba840a&quot;,&quot;properties&quot;:{&quot;noteIndex&quot;:0},&quot;isEdited&quot;:false,&quot;manualOverride&quot;:{&quot;isManuallyOverridden&quot;:false,&quot;citeprocText&quot;:&quot;[79]&quot;,&quot;manualOverrideText&quot;:&quot;&quot;},&quot;citationTag&quot;:&quot;MENDELEY_CITATION_v3_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&quot;,&quot;citationItems&quot;:[{&quot;id&quot;:&quot;337c031e-d250-37b7-9537-11cb6409d25f&quot;,&quot;itemData&quot;:{&quot;type&quot;:&quot;article-journal&quot;,&quot;id&quot;:&quot;337c031e-d250-37b7-9537-11cb6409d25f&quot;,&quot;title&quot;:&quot;A novel formula for graft weight estimation from preoperative computed tomography volumetric measurement in living donor liver transplantation&quot;,&quot;author&quot;:[{&quot;family&quot;:&quot;Zakareya&quot;,&quot;given&quot;:&quot;Talaat&quot;,&quot;parse-names&quot;:false,&quot;dropping-particle&quot;:&quot;&quot;,&quot;non-dropping-particle&quot;:&quot;&quot;},{&quot;family&quot;:&quot;Abbasy&quot;,&quot;given&quot;:&quot;Mohamed&quot;,&quot;parse-names&quot;:false,&quot;dropping-particle&quot;:&quot;&quot;,&quot;non-dropping-particle&quot;:&quot;&quot;},{&quot;family&quot;:&quot;Abdel-Razek&quot;,&quot;given&quot;:&quot;Wael&quot;,&quot;parse-names&quot;:false,&quot;dropping-particle&quot;:&quot;&quot;,&quot;non-dropping-particle&quot;:&quot;&quot;},{&quot;family&quot;:&quot;Salama&quot;,&quot;given&quot;:&quot;Ibrahim Abdelkader&quot;,&quot;parse-names&quot;:false,&quot;dropping-particle&quot;:&quot;&quot;,&quot;non-dropping-particle&quot;:&quot;&quot;},{&quot;family&quot;:&quot;Deif&quot;,&quot;given&quot;:&quot;Mohamed&quot;,&quot;parse-names&quot;:false,&quot;dropping-particle&quot;:&quot;&quot;,&quot;non-dropping-particle&quot;:&quot;&quot;}],&quot;accessed&quot;:{&quot;date-parts&quot;:[[2023,9,30]]},&quot;DOI&quot;:&quot;10.7243/2053-6623-5-1&quot;,&quot;URL&quot;:&quot;http://www.hoajonline.com/journals/pdf/2053-6623-5-1.pdf&quot;,&quot;issued&quot;:{&quot;date-parts&quot;:[[2017]]},&quot;abstract&quot;:&quot;Background: Computed tomography (CT) is the current gold standard for preoperative assessment of graft volume in the context of living donor liver transplantation (LDLT) despite the commonly noted mismatch between CT estimated graft volume (CT-GV) and actual graft weight (AGW). Aim: to find a formula that correlates preoperative virtual CT graft volume with AGW measured on the back table. Methods: CT volumetric data as well as AGW of 125 consecutive living liver donors in the period between 2010 and 2016 were reviewed. Correlation between CT-GV and AGW was done. Formula for line of best fit was obtained by plotting CT-GV against AGW for right and left lobes using linear regression analysis. Results: One hundred and nineteen living donors had complete data allowing downstream analysis. Donors were mostly males (59.7%) with mean age of 28.4±6.7 years. Ninety-seven of them (81.5%) donated right lobe while 22 (18.5%) left lobe grafts. Mean CT-GV was 870.0±142.9 ml for right lobe grafts and 335.5±112.1 ml for left lobe grafts. Mean AGW was 851.7±162.9 g for right lobe grafts and 296.2±74.5 g for left lobe grafts. The following formulae were derived to calculate AGW (g): [0.92xCT-GV (ml)+51.48; R 2 =0.651, P&lt;0.0001] and [0.53xCT-GV (ml)+120; R 2 =0.625, P&lt;0.0001)] for the right and left lobe grafts respectively. Conclusion: We postulate reliable formulae to convert virtual CT-GV into AGW, to accurately correct the discrepancy between preoperative CT-GV and AGW in the setting of LDLT.&quot;,&quot;container-title-short&quot;:&quot;&quot;},&quot;isTemporary&quot;:false}]},{&quot;citationID&quot;:&quot;MENDELEY_CITATION_e0683d11-6db0-4f7d-b77d-a3b5307b85f5&quot;,&quot;properties&quot;:{&quot;noteIndex&quot;:0},&quot;isEdited&quot;:false,&quot;manualOverride&quot;:{&quot;isManuallyOverridden&quot;:false,&quot;citeprocText&quot;:&quot;[80]&quot;,&quot;manualOverrideText&quot;:&quot;&quot;},&quot;citationTag&quot;:&quot;MENDELEY_CITATION_v3_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&quot;,&quot;citationItems&quot;:[{&quot;id&quot;:&quot;86bf14d8-0f73-3b4b-ab3f-4f9809d59019&quot;,&quot;itemData&quot;:{&quot;type&quot;:&quot;article-journal&quot;,&quot;id&quot;:&quot;86bf14d8-0f73-3b4b-ab3f-4f9809d59019&quot;,&quot;title&quot;:&quot;Standard Formulae in Predicting Liver Volumes: A South East Asian Series of Adult Living Donors&quot;,&quot;author&quot;:[{&quot;family&quot;:&quot;Sa&quot;,&quot;given&quot;:&quot;Lui&quot;,&quot;parse-names&quot;:false,&quot;dropping-particle&quot;:&quot;&quot;,&quot;non-dropping-particle&quot;:&quot;&quot;},{&quot;family&quot;:&quot;Gk&quot;,&quot;given&quot;:&quot;Bonney&quot;,&quot;parse-names&quot;:false,&quot;dropping-particle&quot;:&quot;&quot;,&quot;non-dropping-particle&quot;:&quot;&quot;},{&quot;family&quot;:&quot;Wca&quot;,&quot;given&quot;:&quot;Kow&quot;,&quot;parse-names&quot;:false,&quot;dropping-particle&quot;:&quot;&quot;,&quot;non-dropping-particle&quot;:&quot;&quot;},{&quot;family&quot;:&quot;Sg&quot;,&quot;given&quot;:&quot;Iyer&quot;,&quot;parse-names&quot;:false,&quot;dropping-particle&quot;:&quot;&quot;,&quot;non-dropping-particle&quot;:&quot;&quot;},{&quot;family&quot;:&quot;Sky&quot;,&quot;given&quot;:&quot;Chang&quot;,&quot;parse-names&quot;:false,&quot;dropping-particle&quot;:&quot;&quot;,&quot;non-dropping-particle&quot;:&quot;&quot;},{&quot;family&quot;:&quot;Kk&quot;,&quot;given&quot;:&quot;Madhavan&quot;,&quot;parse-names&quot;:false,&quot;dropping-particle&quot;:&quot;&quot;,&quot;non-dropping-particle&quot;:&quot;&quot;}],&quot;container-title&quot;:&quot;J Transplant Technol Res&quot;,&quot;accessed&quot;:{&quot;date-parts&quot;:[[2024,2,4]]},&quot;DOI&quot;:&quot;10.4172/2161-0991.1000153&quot;,&quot;issued&quot;:{&quot;date-parts&quot;:[[2016]]},&quot;page&quot;:&quot;1&quot;,&quot;abstract&quot;:&quot;Introduction&quot;,&quot;volume&quot;:&quot;6&quot;,&quot;container-title-short&quot;:&quot;&quot;},&quot;isTemporary&quot;:false}]},{&quot;citationID&quot;:&quot;MENDELEY_CITATION_e81c8ddb-fd32-452d-b758-4ad63e2da764&quot;,&quot;properties&quot;:{&quot;noteIndex&quot;:0},&quot;isEdited&quot;:false,&quot;manualOverride&quot;:{&quot;isManuallyOverridden&quot;:false,&quot;citeprocText&quot;:&quot;[38]&quot;,&quot;manualOverrideText&quot;:&quot;&quot;},&quot;citationTag&quot;:&quot;MENDELEY_CITATION_v3_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&quot;,&quot;citationItems&quot;:[{&quot;id&quot;:&quot;dc707ef2-03d0-3e3d-9bec-abb0bb52ee70&quot;,&quot;itemData&quot;:{&quot;type&quot;:&quot;article-journal&quot;,&quot;id&quot;:&quot;dc707ef2-03d0-3e3d-9bec-abb0bb52ee70&quot;,&quot;title&quot;:&quot;Preoperative estimation of hemi-liver volume using standard liver volume and portal vein diameter ratio in living donor liver transplantation&quot;,&quot;author&quot;:[{&quot;family&quot;:&quot;Kim&quot;,&quot;given&quot;:&quot;Sung Min&quot;,&quot;parse-names&quot;:false,&quot;dropping-particle&quot;:&quot;&quot;,&quot;non-dropping-particle&quot;:&quot;&quot;},{&quot;family&quot;:&quot;Ageel&quot;,&quot;given&quot;:&quot;Amro Hasan&quot;,&quot;parse-names&quot;:false,&quot;dropping-particle&quot;:&quot;&quot;,&quot;non-dropping-particle&quot;:&quot;&quot;},{&quot;family&quot;:&quot;Hwang&quot;,&quot;given&quot;:&quot;Shin&quot;,&quot;parse-names&quot;:false,&quot;dropping-particle&quot;:&quot;&quot;,&quot;non-dropping-particle&quot;:&quot;&quot;},{&quot;family&quot;:&quot;Jung&quot;,&quot;given&quot;:&quot;Dong Hwan&quot;,&quot;parse-names&quot;:false,&quot;dropping-particle&quot;:&quot;&quot;,&quot;non-dropping-particle&quot;:&quot;&quot;},{&quot;family&quot;:&quot;Ha&quot;,&quot;given&quot;:&quot;Tae Yong&quot;,&quot;parse-names&quot;:false,&quot;dropping-particle&quot;:&quot;&quot;,&quot;non-dropping-particle&quot;:&quot;&quot;},{&quot;family&quot;:&quot;Song&quot;,&quot;given&quot;:&quot;Gi Won&quot;,&quot;parse-names&quot;:false,&quot;dropping-particle&quot;:&quot;&quot;,&quot;non-dropping-particle&quot;:&quot;&quot;},{&quot;family&quot;:&quot;Park&quot;,&quot;given&quot;:&quot;Gil Chun&quot;,&quot;parse-names&quot;:false,&quot;dropping-particle&quot;:&quot;&quot;,&quot;non-dropping-particle&quot;:&quot;&quot;},{&quot;family&quot;:&quot;Ahn&quot;,&quot;given&quot;:&quot;Chul Soo&quot;,&quot;parse-names&quot;:false,&quot;dropping-particle&quot;:&quot;&quot;,&quot;non-dropping-particle&quot;:&quot;&quot;},{&quot;family&quot;:&quot;Moon&quot;,&quot;given&quot;:&quot;Deok Bog&quot;,&quot;parse-names&quot;:false,&quot;dropping-particle&quot;:&quot;&quot;,&quot;non-dropping-particle&quot;:&quot;&quot;}],&quot;container-title&quot;:&quot;Annals of hepato-biliary-pancreatic surgery&quot;,&quot;container-title-short&quot;:&quot;Ann Hepatobiliary Pancreat Surg&quot;,&quot;accessed&quot;:{&quot;date-parts&quot;:[[2023,10,29]]},&quot;DOI&quot;:&quot;10.14701/AHBPS.22-030&quot;,&quot;ISSN&quot;:&quot;2508-5859&quot;,&quot;PMID&quot;:&quot;35999792&quot;,&quot;URL&quot;:&quot;https://pubmed.ncbi.nlm.nih.gov/35999792/&quot;,&quot;issued&quot;:{&quot;date-parts&quot;:[[2022,11,1]]},&quot;page&quot;:&quot;308-312&quot;,&quot;abstract&quot;:&quot;Backgrounds/Aims: Although body surface area (BSA)-based standard liver volume (SLV) formulae have been used for living donor liver transplantation and hepatic resection, hemi-liver volume (HLV) is needed more frequently. HLV can be assessed using right or left portal vein diameter (RPVD or LPVD). The aim of this study was to validate the reliability of using portal vein diameter ratio (PVDR) for assessing HLV in living liver donors. Methods: This study included 92 living liver donors (59 males and 33 females) who underwent surgery between January 2020 and De-cember 2020. Computed tomography (CT) images were used for measurements. Results: Mean age of donors was 35.5 ± 7.2 years. CT volumetry-measured total liver volume (TLV), right HLV, left HLV, and percent-age of right HLV in TLV were 1,442.9 ± 314.2 mL, 931.5 ± 206.4 mL, 551.4 ± 126.5 mL, and 64.6% ± 3.6%, respectively. RPVD, LPVD, and main portal vein diameter were 12.2 ± 1.5 mm, 10.0 ± 1.3 mm, and 15.3 ± 1.7 mm, respectively (corresponding square values: 149.9 ± 36.9 mm2, 101.5 ± 25.2 mm2, and 237.2 ± 52.2 mm2, respectively). The sum of RPVD2 and LPVD2 was 251.1 ± 56.9 mm2 . BSA-based SLV was 1,279.5 ± 188.7 mL (error rate: 9.1% ± 14.4%). SLV formula-and PVDR-based right HLV was 760.0 ± 130.7 mL (error rate: 16.2% ± 13.3%). Conclusions: Combining BSA-based SLV and PVDR appears to be a simple method to predict right or left HLV in living donors or split liver transplantation.&quot;,&quot;publisher&quot;:&quot;Ann Hepatobiliary Pancreat Surg&quot;,&quot;issue&quot;:&quot;4&quot;,&quot;volume&quot;:&quot;26&quot;},&quot;isTemporary&quot;:false}]},{&quot;citationID&quot;:&quot;MENDELEY_CITATION_f529388d-1fdd-4c5b-b491-8327b1d8c968&quot;,&quot;properties&quot;:{&quot;noteIndex&quot;:0},&quot;isEdited&quot;:false,&quot;manualOverride&quot;:{&quot;isManuallyOverridden&quot;:false,&quot;citeprocText&quot;:&quot;[22]&quot;,&quot;manualOverrideText&quot;:&quot;&quot;},&quot;citationTag&quot;:&quot;MENDELEY_CITATION_v3_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&quot;,&quot;citationItems&quot;:[{&quot;id&quot;:&quot;b73ac358-625e-374f-9a76-f8a1b5ea60f7&quot;,&quot;itemData&quot;:{&quot;type&quot;:&quot;article-journal&quot;,&quot;id&quot;:&quot;b73ac358-625e-374f-9a76-f8a1b5ea60f7&quot;,&quot;title&quot;:&quot;Extreme large-for-size syndrome after adult liver transplantation: A model for predicting a potentially lethal complication&quot;,&quot;author&quot;:[{&quot;family&quot;:&quot;Allard&quot;,&quot;given&quot;:&quot;Marc Antoine&quot;,&quot;parse-names&quot;:false,&quot;dropping-particle&quot;:&quot;&quot;,&quot;non-dropping-particle&quot;:&quot;&quot;},{&quot;family&quot;:&quot;Lopes&quot;,&quot;given&quot;:&quot;Felipe&quot;,&quot;parse-names&quot;:false,&quot;dropping-particle&quot;:&quot;&quot;,&quot;non-dropping-particle&quot;:&quot;&quot;},{&quot;family&quot;:&quot;Frosio&quot;,&quot;given&quot;:&quot;Fabio&quot;,&quot;parse-names&quot;:false,&quot;dropping-particle&quot;:&quot;&quot;,&quot;non-dropping-particle&quot;:&quot;&quot;},{&quot;family&quot;:&quot;Golse&quot;,&quot;given&quot;:&quot;Nicolas&quot;,&quot;parse-names&quot;:false,&quot;dropping-particle&quot;:&quot;&quot;,&quot;non-dropping-particle&quot;:&quot;&quot;},{&quot;family&quot;:&quot;Sa Cunha&quot;,&quot;given&quot;:&quot;Antonio&quot;,&quot;parse-names&quot;:false,&quot;dropping-particle&quot;:&quot;&quot;,&quot;non-dropping-particle&quot;:&quot;&quot;},{&quot;family&quot;:&quot;Cherqui&quot;,&quot;given&quot;:&quot;Daniel&quot;,&quot;parse-names&quot;:false,&quot;dropping-particle&quot;:&quot;&quot;,&quot;non-dropping-particle&quot;:&quot;&quot;},{&quot;family&quot;:&quot;Castaing&quot;,&quot;given&quot;:&quot;Denis&quot;,&quot;parse-names&quot;:false,&quot;dropping-particle&quot;:&quot;&quot;,&quot;non-dropping-particle&quot;:&quot;&quot;},{&quot;family&quot;:&quot;Adam&quot;,&quot;given&quot;:&quot;René&quot;,&quot;parse-names&quot;:false,&quot;dropping-particle&quot;:&quot;&quot;,&quot;non-dropping-particle&quot;:&quot;&quot;},{&quot;family&quot;:&quot;Vibert&quot;,&quot;given&quot;:&quot;Eric&quot;,&quot;parse-names&quot;:false,&quot;dropping-particle&quot;:&quot;&quot;,&quot;non-dropping-particle&quot;:&quot;&quot;}],&quot;container-title&quot;:&quot;Liver transplantation : official publication of the American Association for the Study of Liver Diseases and the International Liver Transplantation Society&quot;,&quot;container-title-short&quot;:&quot;Liver Transpl&quot;,&quot;accessed&quot;:{&quot;date-parts&quot;:[[2024,1,20]]},&quot;DOI&quot;:&quot;10.1002/LT.24835&quot;,&quot;ISSN&quot;:&quot;1527-6473&quot;,&quot;PMID&quot;:&quot;28779555&quot;,&quot;URL&quot;:&quot;https://pubmed.ncbi.nlm.nih.gov/28779555/&quot;,&quot;issued&quot;:{&quot;date-parts&quot;:[[2017,10,1]]},&quot;page&quot;:&quot;1294-1304&quot;,&quot;abstract&quot;:&quot;There is currently no tool available to predict extreme large-for-size (LFS) syndrome, a potentially disastrous complication after adult liver transplantation (LT). We aimed to identify the risk factors for extreme LFS and to build a simple predictive model. A cohort of consecutive patients who underwent LT with full grafts in a single institution was studied. The extreme LFS was defined by the impossibility to achieve direct fascial closure, even after delayed management, associated with early allograft dysfunction or nonfunction. Computed tomography scan–based measurements of the recipient were done at the lower extremity of the xiphoid. After 424 LTs for 394 patients, extreme LFS occurred in 10 (2.4%) cases. The 90-day mortality after extreme LFS was 40.0% versus 6.5% in other patients (P = 0.003). In the extreme LFS group, the male donor–female recipient combination was more often observed (80.0% versus 17.4%; P &lt; 0.001). The graft weight (GW)/right anteroposterior (RAP) distance ratio was predictive of extreme LFS with the highest area under the curve (area under the curve, 0.95). The optimal cutoff was 100 (sensitivity, 100%; specificity, 88%). The other ratios based on height, weight, body mass index, body surface area, and standard liver volume exhibited lower predictive performance. The final multivariate model included the male donor–female recipient combination and the GW/RAP. When the GW to RAP ratio increases from 80, 100, to 120, the probability of extreme LFS was 2.6%, 9.6%, and 29.1% in the male donor–female recipient combination, and &lt;1%, 1.2%, and 4.5% in other combinations. In conclusion, the GW/RAP ratio predicts extreme LFS and may be helpful to avoid futile refusal for morphological reasons or to anticipate situation at risk, especially in female recipients. Liver Transplantation 23 1294–1304 2017 AASLD.&quot;,&quot;publisher&quot;:&quot;Liver Transpl&quot;,&quot;issue&quot;:&quot;10&quot;,&quot;volume&quot;:&quot;23&quot;},&quot;isTemporary&quot;:false}]},{&quot;citationID&quot;:&quot;MENDELEY_CITATION_fff5652f-0f8e-4932-8591-5e6289d4e870&quot;,&quot;properties&quot;:{&quot;noteIndex&quot;:0},&quot;isEdited&quot;:false,&quot;manualOverride&quot;:{&quot;isManuallyOverridden&quot;:false,&quot;citeprocText&quot;:&quot;[81]&quot;,&quot;manualOverrideText&quot;:&quot;&quot;},&quot;citationTag&quot;:&quot;MENDELEY_CITATION_v3_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&quot;,&quot;citationItems&quot;:[{&quot;id&quot;:&quot;caecf474-4847-39fe-8794-e86ddb0bc004&quot;,&quot;itemData&quot;:{&quot;type&quot;:&quot;article-journal&quot;,&quot;id&quot;:&quot;caecf474-4847-39fe-8794-e86ddb0bc004&quot;,&quot;title&quot;:&quot;PREOPERATIVE COMPUTED TOMOGRAPHY VOLUMETRY AND GRAFT WEIGHT ESTIMATION IN ADULT LIVING DONOR LIVER TRANSPLANTATION&quot;,&quot;author&quot;:[{&quot;family&quot;:&quot;Pinheiro&quot;,&quot;given&quot;:&quot;Rafael S.&quot;,&quot;parse-names&quot;:false,&quot;dropping-particle&quot;:&quot;&quot;,&quot;non-dropping-particle&quot;:&quot;&quot;},{&quot;family&quot;:&quot;Cruz&quot;,&quot;given&quot;:&quot;Ruy J.&quot;,&quot;parse-names&quot;:false,&quot;dropping-particle&quot;:&quot;&quot;,&quot;non-dropping-particle&quot;:&quot;&quot;},{&quot;family&quot;:&quot;Andraus&quot;,&quot;given&quot;:&quot;Wellington&quot;,&quot;parse-names&quot;:false,&quot;dropping-particle&quot;:&quot;&quot;,&quot;non-dropping-particle&quot;:&quot;&quot;},{&quot;family&quot;:&quot;Ducatti&quot;,&quot;given&quot;:&quot;Liliana&quot;,&quot;parse-names&quot;:false,&quot;dropping-particle&quot;:&quot;&quot;,&quot;non-dropping-particle&quot;:&quot;&quot;},{&quot;family&quot;:&quot;Martino&quot;,&quot;given&quot;:&quot;Rodrigo B.&quot;,&quot;parse-names&quot;:false,&quot;dropping-particle&quot;:&quot;&quot;,&quot;non-dropping-particle&quot;:&quot;&quot;},{&quot;family&quot;:&quot;Nacif&quot;,&quot;given&quot;:&quot;Lucas S.&quot;,&quot;parse-names&quot;:false,&quot;dropping-particle&quot;:&quot;&quot;,&quot;non-dropping-particle&quot;:&quot;&quot;},{&quot;family&quot;:&quot;Rocha-Santos&quot;,&quot;given&quot;:&quot;Vinicius&quot;,&quot;parse-names&quot;:false,&quot;dropping-particle&quot;:&quot;&quot;,&quot;non-dropping-particle&quot;:&quot;&quot;},{&quot;family&quot;:&quot;Arantes&quot;,&quot;given&quot;:&quot;Rubens M.&quot;,&quot;parse-names&quot;:false,&quot;dropping-particle&quot;:&quot;&quot;,&quot;non-dropping-particle&quot;:&quot;&quot;},{&quot;family&quot;:&quot;Lai&quot;,&quot;given&quot;:&quot;Quirino&quot;,&quot;parse-names&quot;:false,&quot;dropping-particle&quot;:&quot;&quot;,&quot;non-dropping-particle&quot;:&quot;&quot;},{&quot;family&quot;:&quot;Ibuki&quot;,&quot;given&quot;:&quot;Felicia S.&quot;,&quot;parse-names&quot;:false,&quot;dropping-particle&quot;:&quot;&quot;,&quot;non-dropping-particle&quot;:&quot;&quot;},{&quot;family&quot;:&quot;Rocha&quot;,&quot;given&quot;:&quot;Manoel S.&quot;,&quot;parse-names&quot;:false,&quot;dropping-particle&quot;:&quot;&quot;,&quot;non-dropping-particle&quot;:&quot;&quot;},{&quot;family&quot;:&quot;D Albuquerque&quot;,&quot;given&quot;:&quot;Luiz A.C.&quot;,&quot;parse-names&quot;:false,&quot;dropping-particle&quot;:&quot;&quot;,&quot;non-dropping-particle&quot;:&quot;&quot;}],&quot;container-title&quot;:&quot;Arquivos brasileiros de cirurgia digestiva : ABCD = Brazilian archives of digestive surgery&quot;,&quot;container-title-short&quot;:&quot;Arq Bras Cir Dig&quot;,&quot;accessed&quot;:{&quot;date-parts&quot;:[[2023,8,9]]},&quot;DOI&quot;:&quot;10.1590/0102-6720201700010011&quot;,&quot;ISSN&quot;:&quot;2317-6326&quot;,&quot;PMID&quot;:&quot;28489167&quot;,&quot;URL&quot;:&quot;https://pubmed.ncbi.nlm.nih.gov/28489167/&quot;,&quot;issued&quot;:{&quot;date-parts&quot;:[[2017,1,1]]},&quot;page&quot;:&quot;38-41&quot;,&quot;abstract&quot;:&quot;Background: Computed tomography volumetry (CTV) is a useful tool for predicting graft weights (GW) for living donor liver transplantation (LDLT). Few studies have examined the correlation between CTV and GW in normal liver parenchyma.\nAim: To analyze the correlation between CTV and GW in an adult LDLT population and provide a systematic review of the existing mathematical models to calculate partial liver graft weight.\nMethods: Between January 2009 and January 2013, 28 consecutive donors undergoing right hepatectomy for LDLT were retrospectively reviewed. All grafts were perfused with HTK solution. Estimated graft volume was estimated by CTV and these values were compared to the actual graft weight, which was measured after liver harvesting and perfusion.\nResults: Median actual GW was 782.5 g, averaged 791.43±136 g and ranged from 520-1185 g. Median estimated graft volume was 927.5 ml, averaged 944.86±200.74 ml and ranged from 600-1477 ml. Linear regression of estimated graft volume and actual GW was significantly linear (GW=0.82 estimated graft volume, r2=0.98, slope=0.47, standard deviation of 0.024 and p&lt;0.0001). Spearman Linear correlation was 0.65 with 95% CI of 0.45 - 0.99 (p&lt;0.0001).\nConclusion: The one-to-one rule did not applied in patients with normal liver parenchyma. A better estimation of graft weight could be reached by multiplying estimated graft volume by 0.82.\nRacional: A volumetria por tomografia computadorizada (VTC) é uma ferramenta útil para a previsão do peso do enxerto (PE) para o transplante hepático com doador vivo (TFDV). Poucos estudos examinaram a correlação entre o VTC e PE no parênquima hepático normal.\nObjetivo: Analisar a correlação entre VTC e PE em uma população adulta de doadores para o TFDV e realização de revisão sistemática dos modelos matemáticos existentes para calcular o peso de enxertos hepáticos parciais.\nMétodos: Foram revisados retrospectivamente 28 doadores consecutivos submetidos à hepatectomia direita para o TFDV entre janeiro de 2009 a janeiro de 2013. Todos os doadores eram adultos saudáveis ​​com VTC pré-operatório. Os enxertos foram perfundidos com solução de preservação HTK. O volume estimado foi obtido por VTC e estes valores foram comparados com o peso real do enxerto, o qual foi aferido depois da hepatectomia e perfusão do enxerto.\nResultados: A mediana do PE real foi de 782,5 g, média de 791,43±136 g, variando de 520-1185 g. A mediana do volume estimado do enxerto foi de 927,5 ml, média de 944,86±200,74 ml e variou de 600-1477 ml. A regressão linear volume estimado do enxerto e PE real foi significativamente linear (PE=0.82 do volume estimado do enxerto, r2=0,98, declive=0,47, desvio-padrão de 0,024 e p&lt;0,0001). Correlação linear de Spearman foi de 0,65, com IC de 95% do 0,45-0,99 (p&lt;0,0001).\nConclusão: A regra de \&quot;um-para-um\&quot; não deve ser empregada em pacientes com parênquima hepático normal. A melhor estimativa do peso do enxerto hepático de doador vivo pode ser alcançado através da multiplicação do VTC por 0,82.&quot;,&quot;publisher&quot;:&quot;Arq Bras Cir Dig&quot;,&quot;issue&quot;:&quot;1&quot;,&quot;volume&quot;:&quot;30&quot;},&quot;isTemporary&quot;:false}]},{&quot;citationID&quot;:&quot;MENDELEY_CITATION_4ce299e5-57de-46c4-bd19-49f0d1e09c07&quot;,&quot;properties&quot;:{&quot;noteIndex&quot;:0},&quot;isEdited&quot;:false,&quot;manualOverride&quot;:{&quot;isManuallyOverridden&quot;:false,&quot;citeprocText&quot;:&quot;[82]&quot;,&quot;manualOverrideText&quot;:&quot;&quot;},&quot;citationTag&quot;:&quot;MENDELEY_CITATION_v3_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&quot;,&quot;citationItems&quot;:[{&quot;id&quot;:&quot;934058f3-8984-35e0-ad00-d4d40cce13c2&quot;,&quot;itemData&quot;:{&quot;type&quot;:&quot;article-journal&quot;,&quot;id&quot;:&quot;934058f3-8984-35e0-ad00-d4d40cce13c2&quot;,&quot;title&quot;:&quot;Comparison Between Pre-operative Radiologic Findings and the Actual Operative Findings of the Graft in Adult Living Donor Liver Transplantation&quot;,&quot;author&quot;:[{&quot;family&quot;:&quot;Seleem&quot;,&quot;given&quot;:&quot;Mohamed Ismail&quot;,&quot;parse-names&quot;:false,&quot;dropping-particle&quot;:&quot;&quot;,&quot;non-dropping-particle&quot;:&quot;&quot;},{&quot;family&quot;:&quot;Salaam&quot;,&quot;given&quot;:&quot;Mohamed Adel&quot;,&quot;parse-names&quot;:false,&quot;dropping-particle&quot;:&quot;&quot;,&quot;non-dropping-particle&quot;:&quot;&quot;},{&quot;family&quot;:&quot;Abd El Hamid&quot;,&quot;given&quot;:&quot;Nader Mohamed&quot;,&quot;parse-names&quot;:false,&quot;dropping-particle&quot;:&quot;&quot;,&quot;non-dropping-particle&quot;:&quot;&quot;}],&quot;container-title&quot;:&quot;Transplantation Proceedings&quot;,&quot;container-title-short&quot;:&quot;Transplant Proc&quot;,&quot;accessed&quot;:{&quot;date-parts&quot;:[[2023,6,17]]},&quot;DOI&quot;:&quot;10.1016/J.TRANSPROCEED.2019.12.042&quot;,&quot;ISSN&quot;:&quot;0041-1345&quot;,&quot;PMID&quot;:&quot;32199646&quot;,&quot;issued&quot;:{&quot;date-parts&quot;:[[2020,4,1]]},&quot;page&quot;:&quot;894-899&quot;,&quot;abstract&quot;:&quot;Background: Computed tomography (CT) volumetry and magnetic resonance cholangiopancreatography (MRCP) are mandatory steps for the evaluation of potential donors in living donor liver transplantation. The aim of this study is to compare the preoperative CT volumetry and biliary orifices of the donor graft to the actual operative findings. Methods: Between December 2013 and December 2017, 45 donors (27 men and 18 women) with a mean age of 27.3 years (range, 19-41 years) were evaluated preoperatively by CT volumetry and MRCP at the National Hepatology and Tropical Medicine Research Institute in Cairo, Egypt. Of the donors, 43 out of 45 underwent intraoperative cholangiography before and after bile duct division. The right hepatectomies for all donors, as well as the actual weight and apparent biliary orifices in the graft, were documented. Results: The mean estimated graft volume (EGV) preoperatively by CT volumetry was 894.9 ± 184.2 mL (range, 480-1687 mL), whereas the actual graft weight (AGW) intraoperatively after washout was 862.6 ± 124.4 g (range, 676-1110 g). The correlation coefficient between the EGV and AGW was significantly linear (Y = 0.96X, r2 = 0.72, slope: 0.96, P &lt; .001). The accuracy of the MRCP in preoperative biliary mapping was 76.7% whereas the accuracy of the MRCP in predicting the number of graft biliary orifices was 74.4% compared with the intraoperative cholangiography (IOC), which was 95.3% (P &lt; .001). Conclusion: The weight of the right lobe of the liver graft in living donor liver transplants (LDLTs) can be accurately predicted preoperatively by multiplying the EGV by 0.96. Also, the IOC is an essential technique for LDLT.&quot;,&quot;publisher&quot;:&quot;Elsevier&quot;,&quot;issue&quot;:&quot;3&quot;,&quot;volume&quot;:&quot;52&quot;},&quot;isTemporary&quot;:false}]},{&quot;citationID&quot;:&quot;MENDELEY_CITATION_6337c110-6eee-4df1-b183-aab0e2537775&quot;,&quot;properties&quot;:{&quot;noteIndex&quot;:0},&quot;isEdited&quot;:false,&quot;manualOverride&quot;:{&quot;isManuallyOverridden&quot;:false,&quot;citeprocText&quot;:&quot;[83,84]&quot;,&quot;manualOverrideText&quot;:&quot;&quot;},&quot;citationTag&quot;:&quot;MENDELEY_CITATION_v3_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&quot;,&quot;citationItems&quot;:[{&quot;id&quot;:&quot;1919e350-6343-3d2f-b208-8ee05d545af2&quot;,&quot;itemData&quot;:{&quot;type&quot;:&quot;article-journal&quot;,&quot;id&quot;:&quot;1919e350-6343-3d2f-b208-8ee05d545af2&quot;,&quot;title&quot;:&quot;A Formula to Calculate Standard Liver Volume Using Thoracoabdominal Circumference&quot;,&quot;author&quot;:[{&quot;family&quot;:&quot;Shaw&quot;,&quot;given&quot;:&quot;Brian I.&quot;,&quot;parse-names&quot;:false,&quot;dropping-particle&quot;:&quot;&quot;,&quot;non-dropping-particle&quot;:&quot;&quot;},{&quot;family&quot;:&quot;Burdine&quot;,&quot;given&quot;:&quot;Lyle J.&quot;,&quot;parse-names&quot;:false,&quot;dropping-particle&quot;:&quot;&quot;,&quot;non-dropping-particle&quot;:&quot;&quot;},{&quot;family&quot;:&quot;Braun&quot;,&quot;given&quot;:&quot;Hillary J.&quot;,&quot;parse-names&quot;:false,&quot;dropping-particle&quot;:&quot;&quot;,&quot;non-dropping-particle&quot;:&quot;&quot;},{&quot;family&quot;:&quot;Ascher&quot;,&quot;given&quot;:&quot;Nancy L.&quot;,&quot;parse-names&quot;:false,&quot;dropping-particle&quot;:&quot;&quot;,&quot;non-dropping-particle&quot;:&quot;&quot;},{&quot;family&quot;:&quot;Roberts&quot;,&quot;given&quot;:&quot;John P.&quot;,&quot;parse-names&quot;:false,&quot;dropping-particle&quot;:&quot;&quot;,&quot;non-dropping-particle&quot;:&quot;&quot;}],&quot;container-title&quot;:&quot;Transplantation Direct&quot;,&quot;container-title-short&quot;:&quot;Transplant Direct&quot;,&quot;accessed&quot;:{&quot;date-parts&quot;:[[2024,10,8]]},&quot;DOI&quot;:&quot;10.1097/TXD.0000000000000745&quot;,&quot;ISSN&quot;:&quot;23738731&quot;,&quot;URL&quot;:&quot;https://journals.lww.com/transplantationdirect/fulltext/2017/12000/a_formula_to_calculate_standard_liver_volume_using.6.aspx&quot;,&quot;issued&quot;:{&quot;date-parts&quot;:[[2017,12,1]]},&quot;page&quot;:&quot;E225&quot;,&quot;abstract&quot;:&quot;Background. With the use of split liver grafts as well as living donor liver transplantation (LDLT) it is imperative to know the minimum graft volume to avoid complications. Most current formulas to predict standard liver volume (SLV) rely on weight-based measures that are likely inaccurate in the setting of cirrhosis. Therefore, we sought to create a formula for estimating SLV without weight-based covariates. Methods. LDLT donors underwent computed tomography scan volumetric evaluation of their livers. An optimal formula for calculating SLV using the anthropomorphic measure thoracoabdominal circumference (TAC) was determined using leave-one-out cross-validation. The ability of this formula to correctly predict liver volume was checked against other existing formulas by analysis of variance. The ability of the formula to predict small grafts in LDLT was evaluated by exact logistic regression. Results. The optimal formula using TAC was determined to be SLV = (TAC x 3.5816) − (Age x 3.9844) − (Sex x 109.7386) − 934.5949. When compared to historic formulas, the current formula was the only one which was not significantly different than computed tomography determined liver volumes when compared by analysis of variance with Dunnett posttest. When evaluating the ability of the formula to predict small for size syndrome, many (10/16) of the formulas tested had significant results by exact logistic regression, with our formula predicting small for size syndrome with an odds ratio of 7.94 (95% confidence interval, 1.23-91.36; P = 0.025). Conclusion. We report a formula for calculating SLV that does not rely on weight-based variables that has good ability to predict SLV and identify patients with potentially small grafts.&quot;,&quot;publisher&quot;:&quot;Wolters Kluwer Health&quot;,&quot;issue&quot;:&quot;12&quot;,&quot;volume&quot;:&quot;3&quot;},&quot;isTemporary&quot;:false},{&quot;id&quot;:&quot;cca0cd4e-c5fd-375f-b6b4-a5acca3e4924&quot;,&quot;itemData&quot;:{&quot;type&quot;:&quot;article-journal&quot;,&quot;id&quot;:&quot;cca0cd4e-c5fd-375f-b6b4-a5acca3e4924&quot;,&quot;title&quot;:&quot;EASL Clinical Practice Guidelines: Liver transplantation&quot;,&quot;author&quot;:[{&quot;family&quot;:&quot;Burra&quot;,&quot;given&quot;:&quot;Patrizia&quot;,&quot;parse-names&quot;:false,&quot;dropping-particle&quot;:&quot;&quot;,&quot;non-dropping-particle&quot;:&quot;&quot;},{&quot;family&quot;:&quot;Burroughs&quot;,&quot;given&quot;:&quot;Andrew&quot;,&quot;parse-names&quot;:false,&quot;dropping-particle&quot;:&quot;&quot;,&quot;non-dropping-particle&quot;:&quot;&quot;},{&quot;family&quot;:&quot;Graziadei&quot;,&quot;given&quot;:&quot;Ivo&quot;,&quot;parse-names&quot;:false,&quot;dropping-particle&quot;:&quot;&quot;,&quot;non-dropping-particle&quot;:&quot;&quot;},{&quot;family&quot;:&quot;Pirenne&quot;,&quot;given&quot;:&quot;Jacques&quot;,&quot;parse-names&quot;:false,&quot;dropping-particle&quot;:&quot;&quot;,&quot;non-dropping-particle&quot;:&quot;&quot;},{&quot;family&quot;:&quot;Valdecasas&quot;,&quot;given&quot;:&quot;Juan Carlos&quot;,&quot;parse-names&quot;:false,&quot;dropping-particle&quot;:&quot;&quot;,&quot;non-dropping-particle&quot;:&quot;&quot;},{&quot;family&quot;:&quot;Muiesan&quot;,&quot;given&quot;:&quot;Paolo&quot;,&quot;parse-names&quot;:false,&quot;dropping-particle&quot;:&quot;&quot;,&quot;non-dropping-particle&quot;:&quot;&quot;},{&quot;family&quot;:&quot;Samuel&quot;,&quot;given&quot;:&quot;Didier&quot;,&quot;parse-names&quot;:false,&quot;dropping-particle&quot;:&quot;&quot;,&quot;non-dropping-particle&quot;:&quot;&quot;},{&quot;family&quot;:&quot;Forns&quot;,&quot;given&quot;:&quot;Xavier&quot;,&quot;parse-names&quot;:false,&quot;dropping-particle&quot;:&quot;&quot;,&quot;non-dropping-particle&quot;:&quot;&quot;}],&quot;container-title&quot;:&quot;Journal of hepatology&quot;,&quot;container-title-short&quot;:&quot;J Hepatol&quot;,&quot;accessed&quot;:{&quot;date-parts&quot;:[[2024,1,20]]},&quot;DOI&quot;:&quot;10.1016/J.JHEP.2015.10.006&quot;,&quot;ISSN&quot;:&quot;1600-0641&quot;,&quot;PMID&quot;:&quot;26597456&quot;,&quot;URL&quot;:&quot;https://pubmed.ncbi.nlm.nih.gov/26597456/&quot;,&quot;issued&quot;:{&quot;date-parts&quot;:[[2016,2,1]]},&quot;page&quot;:&quot;433-485&quot;,&quot;publisher&quot;:&quot;J Hepatol&quot;,&quot;issue&quot;:&quot;2&quot;,&quot;volume&quot;:&quot;64&quot;},&quot;isTemporary&quot;:false}]},{&quot;citationID&quot;:&quot;MENDELEY_CITATION_89bbcb97-d554-426e-9d5c-1358c2732719&quot;,&quot;properties&quot;:{&quot;noteIndex&quot;:0},&quot;isEdited&quot;:false,&quot;manualOverride&quot;:{&quot;isManuallyOverridden&quot;:false,&quot;citeprocText&quot;:&quot;[16]&quot;,&quot;manualOverrideText&quot;:&quot;&quot;},&quot;citationTag&quot;:&quot;MENDELEY_CITATION_v3_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&quot;,&quot;citationItems&quot;:[{&quot;id&quot;:&quot;68a8108e-ea4d-35fe-8f79-7737c8cbce1b&quot;,&quot;itemData&quot;:{&quot;type&quot;:&quot;article-journal&quot;,&quot;id&quot;:&quot;68a8108e-ea4d-35fe-8f79-7737c8cbce1b&quot;,&quot;title&quot;:&quot;Outcomes of living donor liver transplantation using elderly donors&quot;,&quot;author&quot;:[{&quot;family&quot;:&quot;Han&quot;,&quot;given&quot;:&quot;Jae Hyun&quot;,&quot;parse-names&quot;:false,&quot;dropping-particle&quot;:&quot;&quot;,&quot;non-dropping-particle&quot;:&quot;&quot;},{&quot;family&quot;:&quot;You&quot;,&quot;given&quot;:&quot;Young Kyoung&quot;,&quot;parse-names&quot;:false,&quot;dropping-particle&quot;:&quot;&quot;,&quot;non-dropping-particle&quot;:&quot;&quot;},{&quot;family&quot;:&quot;Na&quot;,&quot;given&quot;:&quot;Gun Hyung&quot;,&quot;parse-names&quot;:false,&quot;dropping-particle&quot;:&quot;&quot;,&quot;non-dropping-particle&quot;:&quot;&quot;},{&quot;family&quot;:&quot;Kim&quot;,&quot;given&quot;:&quot;Eun Young&quot;,&quot;parse-names&quot;:false,&quot;dropping-particle&quot;:&quot;&quot;,&quot;non-dropping-particle&quot;:&quot;&quot;},{&quot;family&quot;:&quot;Lee&quot;,&quot;given&quot;:&quot;Soo Ho&quot;,&quot;parse-names&quot;:false,&quot;dropping-particle&quot;:&quot;&quot;,&quot;non-dropping-particle&quot;:&quot;&quot;},{&quot;family&quot;:&quot;Hong&quot;,&quot;given&quot;:&quot;Tae Ho&quot;,&quot;parse-names&quot;:false,&quot;dropping-particle&quot;:&quot;&quot;,&quot;non-dropping-particle&quot;:&quot;&quot;},{&quot;family&quot;:&quot;Kim&quot;,&quot;given&quot;:&quot;Dong Goo&quot;,&quot;parse-names&quot;:false,&quot;dropping-particle&quot;:&quot;&quot;,&quot;non-dropping-particle&quot;:&quot;&quot;}],&quot;container-title&quot;:&quot;Annals of surgical treatment and research&quot;,&quot;container-title-short&quot;:&quot;Ann Surg Treat Res&quot;,&quot;accessed&quot;:{&quot;date-parts&quot;:[[2023,10,26]]},&quot;DOI&quot;:&quot;10.4174/ASTR.2014.86.4.184&quot;,&quot;ISSN&quot;:&quot;2288-6575&quot;,&quot;PMID&quot;:&quot;24783177&quot;,&quot;URL&quot;:&quot;https://pubmed.ncbi.nlm.nih.gov/24783177/&quot;,&quot;issued&quot;:{&quot;date-parts&quot;:[[2014]]},&quot;page&quot;:&quot;184-191&quot;,&quot;abstract&quot;:&quot;Purpose: Living donor liver transplantation (LDLT) using elderly donors is increasing in frequency in response to organ shortage. However, elderly donor graft has been reported to negatively affect graft patency and patient survival. Methods: We retrospectively reviewed the medical records of 604 patients who underwent LDLT at Seoul St. Mary's Hospital, The Catholic University of Korea between May 1999 and September 2012. Elderly donors were defined as those ≤55 years of age. Here, we evaluate the survival differences and causes of death of recipients of elderly donor grafts. Results: The overall mortality rate of the recipients was significantly higher in the elderly donor group (group A) than in the younger donor group (group B: 46.2% vs. 18.1%, P = 0.004). The survival length of group A was significantly shorter than that of group B (31.2 ± 31.3 and 51.4 ± 40.8 months, P = 0.014). The significantly common causes of death in group A were biliary (41.7%) and arterial complication (16.7%), and it was higher than those in group B (P = 0.000 and P = 0.043, respectively). Conclusion: LDLT using elderly donors could induce more serious complications and higher mortality rates than those at using younger donors. As such, careful donor selection is needed, especially with regard to assessing the condition of potential elderly donor livers. Furthermore, a large-volume and multicenter study of complications and outcomes of LDLT using elderly donor liver is required. Copyright © 2014, the Korean Surgical Society.&quot;,&quot;publisher&quot;:&quot;Ann Surg Treat Res&quot;,&quot;issue&quot;:&quot;4&quot;,&quot;volume&quot;:&quot;86&quot;},&quot;isTemporary&quot;:false}]},{&quot;citationID&quot;:&quot;MENDELEY_CITATION_242bb06e-1cac-456d-9d2b-5c7c0ab8078f&quot;,&quot;properties&quot;:{&quot;noteIndex&quot;:0},&quot;isEdited&quot;:false,&quot;manualOverride&quot;:{&quot;isManuallyOverridden&quot;:false,&quot;citeprocText&quot;:&quot;[38]&quot;,&quot;manualOverrideText&quot;:&quot;&quot;},&quot;citationTag&quot;:&quot;MENDELEY_CITATION_v3_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&quot;,&quot;citationItems&quot;:[{&quot;id&quot;:&quot;dc707ef2-03d0-3e3d-9bec-abb0bb52ee70&quot;,&quot;itemData&quot;:{&quot;type&quot;:&quot;article-journal&quot;,&quot;id&quot;:&quot;dc707ef2-03d0-3e3d-9bec-abb0bb52ee70&quot;,&quot;title&quot;:&quot;Preoperative estimation of hemi-liver volume using standard liver volume and portal vein diameter ratio in living donor liver transplantation&quot;,&quot;author&quot;:[{&quot;family&quot;:&quot;Kim&quot;,&quot;given&quot;:&quot;Sung Min&quot;,&quot;parse-names&quot;:false,&quot;dropping-particle&quot;:&quot;&quot;,&quot;non-dropping-particle&quot;:&quot;&quot;},{&quot;family&quot;:&quot;Ageel&quot;,&quot;given&quot;:&quot;Amro Hasan&quot;,&quot;parse-names&quot;:false,&quot;dropping-particle&quot;:&quot;&quot;,&quot;non-dropping-particle&quot;:&quot;&quot;},{&quot;family&quot;:&quot;Hwang&quot;,&quot;given&quot;:&quot;Shin&quot;,&quot;parse-names&quot;:false,&quot;dropping-particle&quot;:&quot;&quot;,&quot;non-dropping-particle&quot;:&quot;&quot;},{&quot;family&quot;:&quot;Jung&quot;,&quot;given&quot;:&quot;Dong Hwan&quot;,&quot;parse-names&quot;:false,&quot;dropping-particle&quot;:&quot;&quot;,&quot;non-dropping-particle&quot;:&quot;&quot;},{&quot;family&quot;:&quot;Ha&quot;,&quot;given&quot;:&quot;Tae Yong&quot;,&quot;parse-names&quot;:false,&quot;dropping-particle&quot;:&quot;&quot;,&quot;non-dropping-particle&quot;:&quot;&quot;},{&quot;family&quot;:&quot;Song&quot;,&quot;given&quot;:&quot;Gi Won&quot;,&quot;parse-names&quot;:false,&quot;dropping-particle&quot;:&quot;&quot;,&quot;non-dropping-particle&quot;:&quot;&quot;},{&quot;family&quot;:&quot;Park&quot;,&quot;given&quot;:&quot;Gil Chun&quot;,&quot;parse-names&quot;:false,&quot;dropping-particle&quot;:&quot;&quot;,&quot;non-dropping-particle&quot;:&quot;&quot;},{&quot;family&quot;:&quot;Ahn&quot;,&quot;given&quot;:&quot;Chul Soo&quot;,&quot;parse-names&quot;:false,&quot;dropping-particle&quot;:&quot;&quot;,&quot;non-dropping-particle&quot;:&quot;&quot;},{&quot;family&quot;:&quot;Moon&quot;,&quot;given&quot;:&quot;Deok Bog&quot;,&quot;parse-names&quot;:false,&quot;dropping-particle&quot;:&quot;&quot;,&quot;non-dropping-particle&quot;:&quot;&quot;}],&quot;container-title&quot;:&quot;Annals of hepato-biliary-pancreatic surgery&quot;,&quot;container-title-short&quot;:&quot;Ann Hepatobiliary Pancreat Surg&quot;,&quot;accessed&quot;:{&quot;date-parts&quot;:[[2023,10,29]]},&quot;DOI&quot;:&quot;10.14701/AHBPS.22-030&quot;,&quot;ISSN&quot;:&quot;2508-5859&quot;,&quot;PMID&quot;:&quot;35999792&quot;,&quot;URL&quot;:&quot;https://pubmed.ncbi.nlm.nih.gov/35999792/&quot;,&quot;issued&quot;:{&quot;date-parts&quot;:[[2022,11,1]]},&quot;page&quot;:&quot;308-312&quot;,&quot;abstract&quot;:&quot;Backgrounds/Aims: Although body surface area (BSA)-based standard liver volume (SLV) formulae have been used for living donor liver transplantation and hepatic resection, hemi-liver volume (HLV) is needed more frequently. HLV can be assessed using right or left portal vein diameter (RPVD or LPVD). The aim of this study was to validate the reliability of using portal vein diameter ratio (PVDR) for assessing HLV in living liver donors. Methods: This study included 92 living liver donors (59 males and 33 females) who underwent surgery between January 2020 and De-cember 2020. Computed tomography (CT) images were used for measurements. Results: Mean age of donors was 35.5 ± 7.2 years. CT volumetry-measured total liver volume (TLV), right HLV, left HLV, and percent-age of right HLV in TLV were 1,442.9 ± 314.2 mL, 931.5 ± 206.4 mL, 551.4 ± 126.5 mL, and 64.6% ± 3.6%, respectively. RPVD, LPVD, and main portal vein diameter were 12.2 ± 1.5 mm, 10.0 ± 1.3 mm, and 15.3 ± 1.7 mm, respectively (corresponding square values: 149.9 ± 36.9 mm2, 101.5 ± 25.2 mm2, and 237.2 ± 52.2 mm2, respectively). The sum of RPVD2 and LPVD2 was 251.1 ± 56.9 mm2 . BSA-based SLV was 1,279.5 ± 188.7 mL (error rate: 9.1% ± 14.4%). SLV formula-and PVDR-based right HLV was 760.0 ± 130.7 mL (error rate: 16.2% ± 13.3%). Conclusions: Combining BSA-based SLV and PVDR appears to be a simple method to predict right or left HLV in living donors or split liver transplantation.&quot;,&quot;publisher&quot;:&quot;Ann Hepatobiliary Pancreat Surg&quot;,&quot;issue&quot;:&quot;4&quot;,&quot;volume&quot;:&quot;26&quot;},&quot;isTemporary&quot;:false}]},{&quot;citationID&quot;:&quot;MENDELEY_CITATION_5e8b0cd7-e9e4-4dd6-8529-dace14ca6044&quot;,&quot;properties&quot;:{&quot;noteIndex&quot;:0},&quot;isEdited&quot;:false,&quot;manualOverride&quot;:{&quot;isManuallyOverridden&quot;:false,&quot;citeprocText&quot;:&quot;[85]&quot;,&quot;manualOverrideText&quot;:&quot;&quot;},&quot;citationTag&quot;:&quot;MENDELEY_CITATION_v3_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&quot;,&quot;citationItems&quot;:[{&quot;id&quot;:&quot;270e2456-52a8-34f5-a71d-05f623ba5aab&quot;,&quot;itemData&quot;:{&quot;type&quot;:&quot;article-journal&quot;,&quot;id&quot;:&quot;270e2456-52a8-34f5-a71d-05f623ba5aab&quot;,&quot;title&quot;:&quot;Predicting the available space for liver transplantation in cirrhotic patients: a computed tomography-based volumetric study&quot;,&quot;author&quot;:[{&quot;family&quot;:&quot;Addeo&quot;,&quot;given&quot;:&quot;Pietro&quot;,&quot;parse-names&quot;:false,&quot;dropping-particle&quot;:&quot;&quot;,&quot;non-dropping-particle&quot;:&quot;&quot;},{&quot;family&quot;:&quot;Naegel&quot;,&quot;given&quot;:&quot;Benoit&quot;,&quot;parse-names&quot;:false,&quot;dropping-particle&quot;:&quot;&quot;,&quot;non-dropping-particle&quot;:&quot;&quot;},{&quot;family&quot;:&quot;Mathelin&quot;,&quot;given&quot;:&quot;Pierre&quot;,&quot;parse-names&quot;:false,&quot;dropping-particle&quot;:&quot;&quot;,&quot;non-dropping-particle&quot;:&quot;De&quot;},{&quot;family&quot;:&quot;Paul&quot;,&quot;given&quot;:&quot;Chloe&quot;,&quot;parse-names&quot;:false,&quot;dropping-particle&quot;:&quot;&quot;,&quot;non-dropping-particle&quot;:&quot;&quot;},{&quot;family&quot;:&quot;Faitot&quot;,&quot;given&quot;:&quot;François&quot;,&quot;parse-names&quot;:false,&quot;dropping-particle&quot;:&quot;&quot;,&quot;non-dropping-particle&quot;:&quot;&quot;},{&quot;family&quot;:&quot;Schaaf&quot;,&quot;given&quot;:&quot;Caroline&quot;,&quot;parse-names&quot;:false,&quot;dropping-particle&quot;:&quot;&quot;,&quot;non-dropping-particle&quot;:&quot;&quot;},{&quot;family&quot;:&quot;Terrone&quot;,&quot;given&quot;:&quot;Alfonso&quot;,&quot;parse-names&quot;:false,&quot;dropping-particle&quot;:&quot;&quot;,&quot;non-dropping-particle&quot;:&quot;&quot;},{&quot;family&quot;:&quot;Serfaty&quot;,&quot;given&quot;:&quot;Lawrence&quot;,&quot;parse-names&quot;:false,&quot;dropping-particle&quot;:&quot;&quot;,&quot;non-dropping-particle&quot;:&quot;&quot;},{&quot;family&quot;:&quot;Bachellier&quot;,&quot;given&quot;:&quot;Philippe&quot;,&quot;parse-names&quot;:false,&quot;dropping-particle&quot;:&quot;&quot;,&quot;non-dropping-particle&quot;:&quot;&quot;},{&quot;family&quot;:&quot;Noblet&quot;,&quot;given&quot;:&quot;Vincent&quot;,&quot;parse-names&quot;:false,&quot;dropping-particle&quot;:&quot;&quot;,&quot;non-dropping-particle&quot;:&quot;&quot;}],&quot;container-title&quot;:&quot;Hepatology International&quot;,&quot;container-title-short&quot;:&quot;Hepatol Int&quot;,&quot;accessed&quot;:{&quot;date-parts&quot;:[[2023,8,13]]},&quot;DOI&quot;:&quot;10.1007/S12072-021-10187-6&quot;,&quot;ISSN&quot;:&quot;19360541&quot;,&quot;PMID&quot;:&quot;33851323&quot;,&quot;issued&quot;:{&quot;date-parts&quot;:[[2021,6,1]]},&quot;page&quot;:&quot;780-790&quot;,&quot;abstract&quot;:&quot;Background: Anthropometric parameters (weight, height) are usually used for quick matching between two individuals (donor and recipient) in liver transplantation (LT). This study aimed to evaluate clinical factors influencing the overall available space for implanting a liver graft in cirrhotic patients. Methods: In a cohort of 275 cirrhotic patients undergoing LT, we calculated the liver volume (LV), cavity volume (CV), which is considered the additional space between the liver and the right hypocondrium, and the overall volume (OV = LV + CV) using a computed tomography (CT)-based volumetric system. We then chose the formula based on anthropometric parameters that showed the best predictive value for LV. This formula was used to predict the OV in the same population. Factors influencing OV variations were identified by multivariable logistic analysis. Results: The Hashimoto formula (961.3 × BSA_D-404.8) yielded the lowest median absolute percentage error (21.7%) in predicting the LV. The median LV was 1531 ml. One-hundred eighty-five patients (67.2%) had a median CV of 1156 ml (range: 70–7006), and the median OV was 2240 ml (range: 592–8537). Forty-nine patients (17%) had an OV lower than that predicted by the Hashimoto formula. Independent factors influencing the OV included the number of portosystemic shunts, right anteroposterior abdominal diameter, model for end-stage liver disease (MELD) score &gt; 25, high albumin value, and BMI &gt; 30. Conclusions: Additional anthropometric characteristics (right anteroposterior diameter, body mass index) clinical (number of portosystemic shunts), and biological (MELD, albumin) factors might influence the overall volume available for liver graft implantation. Knowledge of these factors might be helpful during the donor–recipient matching.&quot;,&quot;publisher&quot;:&quot;Springer&quot;,&quot;issue&quot;:&quot;3&quot;,&quot;volume&quot;:&quot;15&quot;},&quot;isTemporary&quot;:false}]},{&quot;citationID&quot;:&quot;MENDELEY_CITATION_12d97b33-f88d-41eb-99da-4a3bd5f987b3&quot;,&quot;properties&quot;:{&quot;noteIndex&quot;:0},&quot;isEdited&quot;:false,&quot;manualOverride&quot;:{&quot;isManuallyOverridden&quot;:false,&quot;citeprocText&quot;:&quot;[86]&quot;,&quot;manualOverrideText&quot;:&quot;&quot;},&quot;citationTag&quot;:&quot;MENDELEY_CITATION_v3_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&quot;,&quot;citationItems&quot;:[{&quot;id&quot;:&quot;401ec5f2-b676-3805-ab52-229fabb12885&quot;,&quot;itemData&quot;:{&quot;type&quot;:&quot;article-journal&quot;,&quot;id&quot;:&quot;401ec5f2-b676-3805-ab52-229fabb12885&quot;,&quot;title&quot;:&quot;Donor BMI &gt;30 Is Not a Contraindication for Live Liver Donation&quot;,&quot;author&quot;:[{&quot;family&quot;:&quot;Knaak&quot;,&quot;given&quot;:&quot;M&quot;,&quot;parse-names&quot;:false,&quot;dropping-particle&quot;:&quot;&quot;,&quot;non-dropping-particle&quot;:&quot;&quot;},{&quot;family&quot;:&quot;Goldaracena&quot;,&quot;given&quot;:&quot;N&quot;,&quot;parse-names&quot;:false,&quot;dropping-particle&quot;:&quot;&quot;,&quot;non-dropping-particle&quot;:&quot;&quot;},{&quot;family&quot;:&quot;Doyle&quot;,&quot;given&quot;:&quot;A&quot;,&quot;parse-names&quot;:false,&quot;dropping-particle&quot;:&quot;&quot;,&quot;non-dropping-particle&quot;:&quot;&quot;},{&quot;family&quot;:&quot;Cattral&quot;,&quot;given&quot;:&quot;M S&quot;,&quot;parse-names&quot;:false,&quot;dropping-particle&quot;:&quot;&quot;,&quot;non-dropping-particle&quot;:&quot;&quot;},{&quot;family&quot;:&quot;Greig&quot;,&quot;given&quot;:&quot;P D&quot;,&quot;parse-names&quot;:false,&quot;dropping-particle&quot;:&quot;&quot;,&quot;non-dropping-particle&quot;:&quot;&quot;},{&quot;family&quot;:&quot;Lilly&quot;,&quot;given&quot;:&quot;L&quot;,&quot;parse-names&quot;:false,&quot;dropping-particle&quot;:&quot;&quot;,&quot;non-dropping-particle&quot;:&quot;&quot;},{&quot;family&quot;:&quot;McGilvray&quot;,&quot;given&quot;:&quot;I D&quot;,&quot;parse-names&quot;:false,&quot;dropping-particle&quot;:&quot;&quot;,&quot;non-dropping-particle&quot;:&quot;&quot;},{&quot;family&quot;:&quot;Levy&quot;,&quot;given&quot;:&quot;G A&quot;,&quot;parse-names&quot;:false,&quot;dropping-particle&quot;:&quot;&quot;,&quot;non-dropping-particle&quot;:&quot;&quot;},{&quot;family&quot;:&quot;Ghanekar&quot;,&quot;given&quot;:&quot;A&quot;,&quot;parse-names&quot;:false,&quot;dropping-particle&quot;:&quot;&quot;,&quot;non-dropping-particle&quot;:&quot;&quot;},{&quot;family&quot;:&quot;Renner&quot;,&quot;given&quot;:&quot;E L&quot;,&quot;parse-names&quot;:false,&quot;dropping-particle&quot;:&quot;&quot;,&quot;non-dropping-particle&quot;:&quot;&quot;},{&quot;family&quot;:&quot;Grant&quot;,&quot;given&quot;:&quot;D R&quot;,&quot;parse-names&quot;:false,&quot;dropping-particle&quot;:&quot;&quot;,&quot;non-dropping-particle&quot;:&quot;&quot;},{&quot;family&quot;:&quot;Selzner&quot;,&quot;given&quot;:&quot;M&quot;,&quot;parse-names&quot;:false,&quot;dropping-particle&quot;:&quot;&quot;,&quot;non-dropping-particle&quot;:&quot;&quot;},{&quot;family&quot;:&quot;Selzner&quot;,&quot;given&quot;:&quot;N&quot;,&quot;parse-names&quot;:false,&quot;dropping-particle&quot;:&quot;&quot;,&quot;non-dropping-particle&quot;:&quot;&quot;}],&quot;container-title&quot;:&quot;American Journal of Transplantation&quot;,&quot;accessed&quot;:{&quot;date-parts&quot;:[[2023,10,29]]},&quot;DOI&quot;:&quot;10.1111/ajt.14019&quot;,&quot;issued&quot;:{&quot;date-parts&quot;:[[2017]]},&quot;page&quot;:&quot;756-762&quot;,&quot;abstract&quot;:&quot;Both authors contributed equally to the study. The increased prevalence of obesity worldwide threatens the pool of living liver donors. Although the negative effects of graft steatosis on liver donation and transplantation are well known, the impact of obesity in the absence of hepatic steatosis on outcome of living donor liver transplantation (LDLT) is unknown. Consequently, we compared the outcome of LDLT using donors with BMI &lt;30 versus donors with BMI ≥30. Between April 2000 and May 2014, 105 patients received a right-lobe liver graft from donors with BMI ≥30, whereas 364 recipients were transplanted with grafts from donors with BMI &lt;30. Liver steatosis &gt;10% was excluded in all donors with BMI &gt;30 by imaging and liver biopsies. None of the donors had any other comorbidity. Donors with BMI &lt;30 versus ≥30 had similar postoperative complication rates (Dindo-Clavien ≥3b: 2% vs. 3%; p = 0.71) and lengths of hospital stay (6 vs. 6 days; p = 0.13). Recipient graft function, assessed by posttransplant peak serum bilirubin and international normalized ratio was identical. Furthermore, no difference was observed in recipient complication rates (Dindo-Cla-vien ≥3b: 25% vs. 20%; p = 0.3) or lengths of hospital stay between groups. We concluded that donors with BMI ≥30, in the absence of graft steatosis, are not contraindicated for LDLT.&quot;,&quot;volume&quot;:&quot;17&quot;,&quot;container-title-short&quot;:&quot;&quot;},&quot;isTemporary&quot;:false}]},{&quot;citationID&quot;:&quot;MENDELEY_CITATION_1792e9df-5a5b-4393-90d5-7d524697371d&quot;,&quot;properties&quot;:{&quot;noteIndex&quot;:0},&quot;isEdited&quot;:false,&quot;manualOverride&quot;:{&quot;isManuallyOverridden&quot;:false,&quot;citeprocText&quot;:&quot;[87]&quot;,&quot;manualOverrideText&quot;:&quot;&quot;},&quot;citationTag&quot;:&quot;MENDELEY_CITATION_v3_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&quot;,&quot;citationItems&quot;:[{&quot;id&quot;:&quot;31ad38c1-ad42-3a6e-a57e-85a7c2745c7d&quot;,&quot;itemData&quot;:{&quot;type&quot;:&quot;article-journal&quot;,&quot;id&quot;:&quot;31ad38c1-ad42-3a6e-a57e-85a7c2745c7d&quot;,&quot;title&quot;:&quot;Subcutaneous Fat Obesity in a High Body Mass Index Donor Is Not a Contraindication to Living Donor Hepatectomy&quot;,&quot;author&quot;:[{&quot;family&quot;:&quot;Pahari&quot;,&quot;given&quot;:&quot;Hirak&quot;,&quot;parse-names&quot;:false,&quot;dropping-particle&quot;:&quot;&quot;,&quot;non-dropping-particle&quot;:&quot;&quot;},{&quot;family&quot;:&quot;Sonavane&quot;,&quot;given&quot;:&quot;Amey&quot;,&quot;parse-names&quot;:false,&quot;dropping-particle&quot;:&quot;&quot;,&quot;non-dropping-particle&quot;:&quot;&quot;},{&quot;family&quot;:&quot;Raj&quot;,&quot;given&quot;:&quot;Amruth&quot;,&quot;parse-names&quot;:false,&quot;dropping-particle&quot;:&quot;&quot;,&quot;non-dropping-particle&quot;:&quot;&quot;},{&quot;family&quot;:&quot;Agrawal&quot;,&quot;given&quot;:&quot;Anup Kumar&quot;,&quot;parse-names&quot;:false,&quot;dropping-particle&quot;:&quot;&quot;,&quot;non-dropping-particle&quot;:&quot;&quot;},{&quot;family&quot;:&quot;Sawant&quot;,&quot;given&quot;:&quot;Ambreen&quot;,&quot;parse-names&quot;:false,&quot;dropping-particle&quot;:&quot;&quot;,&quot;non-dropping-particle&quot;:&quot;&quot;},{&quot;family&quot;:&quot;Gupta&quot;,&quot;given&quot;:&quot;Deepak Kumar&quot;,&quot;parse-names&quot;:false,&quot;dropping-particle&quot;:&quot;&quot;,&quot;non-dropping-particle&quot;:&quot;&quot;},{&quot;family&quot;:&quot;Gharat&quot;,&quot;given&quot;:&quot;Amit&quot;,&quot;parse-names&quot;:false,&quot;dropping-particle&quot;:&quot;&quot;,&quot;non-dropping-particle&quot;:&quot;&quot;},{&quot;family&quot;:&quot;Raut&quot;,&quot;given&quot;:&quot;Vikram&quot;,&quot;parse-names&quot;:false,&quot;dropping-particle&quot;:&quot;&quot;,&quot;non-dropping-particle&quot;:&quot;&quot;}],&quot;container-title&quot;:&quot;Case reports in hepatology&quot;,&quot;container-title-short&quot;:&quot;Case Reports Hepatol&quot;,&quot;accessed&quot;:{&quot;date-parts&quot;:[[2023,10,29]]},&quot;DOI&quot;:&quot;10.1155/2023/9540002&quot;,&quot;ISSN&quot;:&quot;2090-6587&quot;,&quot;PMID&quot;:&quot;37547905&quot;,&quot;URL&quot;:&quot;https://pubmed.ncbi.nlm.nih.gov/37547905/&quot;,&quot;issued&quot;:{&quot;date-parts&quot;:[[2023,7,29]]},&quot;page&quot;:&quot;1-5&quot;,&quot;abstract&quot;:&quot;Background. Living donor liver transplantation (LDLT) has revolutionized the field of transplantation without compromising donor safety. Donor safety is of paramount concern to the transplant team. BMI &gt;35 kg/m2 is mostly considered a contraindication to liver donation. Here, we present a successful right donor hepatectomy from a donor with a BMI of 36.5 kg/m2. Case Summary. A 39-year-old wife donated her right lobe of liver to her 43-year-old husband with nonalcoholic steatohepatitis-related chronic liver disease (CLD). His indications were refractory ascites, hepatic encephalopathy, acute kidney injury, recurrent elbow and urine infections leading to cachexia. She was initially rejected due to a high BMI but failed to lose weight over the next 2 months, and the need for a transplant in her husband was imminent. With no other potential living donors, we decided to proceed with donor evaluation as she had no other comorbidity. We were surprised to find normal liver function tests and a good liver attenuation index (LAI) of +16 on a computed tomography (CT) scan. Magnetic resonance (MR) imaging revealed a fat fraction of 3%. Volumetry confirmed a remnant of 37.9% and a potential graft-to-recipient weight ratio of 1.23. V/S ratio on CT scan (visceral fat area/subcutaneous fat area at L4-level) was &lt;0.4 confirming subcutaneous fat obesity. Both surgeries were uneventful and both donor and recipient recovered well except recipient re-exploration on postoperative day (POD)-1 due to surgical bleeding. The donor was discharged on POD-6 and recipient was discharged on POD-15. At 3 weeks of follow-up, the donor’s wound is clean and well-healed, and she is already back to doing her daily life activities without any pain with normal laboratory parameters. Conclusion. Subcutaneous fat obesity should not be considered as a contraindication to liver donation even with a BMI &gt;35 kg/m2. A small percentage of healthy individuals will not have visceral fat obesity and may not have steatotic livers. The CT scan and MR fat fraction estimation can confirm the findings. Biopsy may be avoided if MR fat estimation is &lt;10% in obese donors. Intraoperative visualization in these donors remains the gold standard to decide the need for biopsy. Living donor hepatectomy may be safely performed in a select group of high BMI patients (&gt;35 kg/m2) with pure subcutaneous fat obesity in the absence of other suitable living donors.&quot;,&quot;publisher&quot;:&quot;Case Reports Hepatol&quot;,&quot;volume&quot;:&quot;2023&quot;},&quot;isTemporary&quot;:false}]},{&quot;citationID&quot;:&quot;MENDELEY_CITATION_e55940fb-0bbe-4bc3-bc6c-fad7a816b5f5&quot;,&quot;properties&quot;:{&quot;noteIndex&quot;:0},&quot;isEdited&quot;:false,&quot;manualOverride&quot;:{&quot;isManuallyOverridden&quot;:false,&quot;citeprocText&quot;:&quot;[88]&quot;,&quot;manualOverrideText&quot;:&quot;&quot;},&quot;citationTag&quot;:&quot;MENDELEY_CITATION_v3_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&quot;,&quot;citationItems&quot;:[{&quot;id&quot;:&quot;a087acdf-7731-3b81-abfe-69d8689562d4&quot;,&quot;itemData&quot;:{&quot;type&quot;:&quot;article-journal&quot;,&quot;id&quot;:&quot;a087acdf-7731-3b81-abfe-69d8689562d4&quot;,&quot;title&quot;:&quot;Sarcopenic obesity may predict worse liver regeneration after right graft living donor liver transplantation&quot;,&quot;author&quot;:[{&quot;family&quot;:&quot;Ali Deeb&quot;,&quot;given&quot;:&quot;Aladdin&quot;,&quot;parse-names&quot;:false,&quot;dropping-particle&quot;:&quot;&quot;,&quot;non-dropping-particle&quot;:&quot;&quot;},{&quot;family&quot;:&quot;Settmacher&quot;,&quot;given&quot;:&quot;Utz&quot;,&quot;parse-names&quot;:false,&quot;dropping-particle&quot;:&quot;&quot;,&quot;non-dropping-particle&quot;:&quot;&quot;},{&quot;family&quot;:&quot;Fritsch&quot;,&quot;given&quot;:&quot;Johannes&quot;,&quot;parse-names&quot;:false,&quot;dropping-particle&quot;:&quot;&quot;,&quot;non-dropping-particle&quot;:&quot;&quot;},{&quot;family&quot;:&quot;Dondorf&quot;,&quot;given&quot;:&quot;Felix&quot;,&quot;parse-names&quot;:false,&quot;dropping-particle&quot;:&quot;&quot;,&quot;non-dropping-particle&quot;:&quot;&quot;},{&quot;family&quot;:&quot;Rohland&quot;,&quot;given&quot;:&quot;Oliver&quot;,&quot;parse-names&quot;:false,&quot;dropping-particle&quot;:&quot;&quot;,&quot;non-dropping-particle&quot;:&quot;&quot;},{&quot;family&quot;:&quot;Rauchfuß&quot;,&quot;given&quot;:&quot;Falk&quot;,&quot;parse-names&quot;:false,&quot;dropping-particle&quot;:&quot;&quot;,&quot;non-dropping-particle&quot;:&quot;&quot;}],&quot;container-title&quot;:&quot;Liver transplantation : official publication of the American Association for the Study of Liver Diseases and the International Liver Transplantation Society&quot;,&quot;container-title-short&quot;:&quot;Liver Transpl&quot;,&quot;accessed&quot;:{&quot;date-parts&quot;:[[2023,10,29]]},&quot;DOI&quot;:&quot;10.1097/LVT.0000000000000238&quot;,&quot;ISSN&quot;:&quot;1527-6473&quot;,&quot;PMID&quot;:&quot;37548548&quot;,&quot;URL&quot;:&quot;https://pubmed.ncbi.nlm.nih.gov/37548548/&quot;,&quot;issued&quot;:{&quot;date-parts&quot;:[[2023,8,7]]},&quot;abstract&quot;:&quot; Sarcopenic obesity impairs the outcome after liver transplantation. The effect of this on liver regeneration has not yet been studied. The aim of this study was to evaluate the potential effect of body composition changes on liver volume gain after living donor liver transplantation. We observed liver regeneration in 100 patients who underwent living donor liver transplantation using right lobe grafts (Segments V-VIII). Liver volumetry and body composition analysis were performed based on CT images with special software. The gain of liver volume was calculated between 2 points in time considering the absolute and percentage values: before surgery and early after surgery, with a median time of 10 days. Pearson’s correlation and multivariate analysis using stepwise multiple regression were used to examine the potential correlation between body composition and liver volume gain. The liver volume increase was significantly negatively correlated with adipose tissue in the body stem ( r = −0.4, p &lt; 0.001) and positively correlated with psoas mass ( r = 0.24, p = 0.02). These results correspond with those of the multiple regression analysis, which indicated adipose tissue (ß = −1.0, p &lt; 0.001) and psoas mass (ß = 0.12, p &lt; 0.001). The presence of malignancy as an indication for liver transplantation was another significant independent factor negatively affecting liver growth (ß = −13.1, p = 0.046). Sarcopenic obesity predicts an impaired liver volume increase after living donation. This could worsen the postoperative outcome. The role of alimentary interventions and exercises in improving body composition and thus postoperative outcome should be evaluated through prospective interventional studies. &quot;,&quot;publisher&quot;:&quot;Liver Transpl&quot;},&quot;isTemporary&quot;:false}]},{&quot;citationID&quot;:&quot;MENDELEY_CITATION_6e3428f3-4da5-47d9-adf9-7b2f69e999b8&quot;,&quot;properties&quot;:{&quot;noteIndex&quot;:0},&quot;isEdited&quot;:false,&quot;manualOverride&quot;:{&quot;isManuallyOverridden&quot;:false,&quot;citeprocText&quot;:&quot;[14]&quot;,&quot;manualOverrideText&quot;:&quot;&quot;},&quot;citationTag&quot;:&quot;MENDELEY_CITATION_v3_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&quot;,&quot;citationItems&quot;:[{&quot;id&quot;:&quot;136e15cb-32a6-3738-a0dc-c52c9759f3fe&quot;,&quot;itemData&quot;:{&quot;type&quot;:&quot;article-journal&quot;,&quot;id&quot;:&quot;136e15cb-32a6-3738-a0dc-c52c9759f3fe&quot;,&quot;title&quot;:&quot;Donor BMI and Post–living Donor Liver Transplantation Outcomes: A Preliminary Report&quot;,&quot;author&quot;:[{&quot;family&quot;:&quot;Lin&quot;,&quot;given&quot;:&quot;Jessica S.&quot;,&quot;parse-names&quot;:false,&quot;dropping-particle&quot;:&quot;&quot;,&quot;non-dropping-particle&quot;:&quot;&quot;},{&quot;family&quot;:&quot;Muhammad&quot;,&quot;given&quot;:&quot;Haris&quot;,&quot;parse-names&quot;:false,&quot;dropping-particle&quot;:&quot;&quot;,&quot;non-dropping-particle&quot;:&quot;&quot;},{&quot;family&quot;:&quot;Lin&quot;,&quot;given&quot;:&quot;Timothy&quot;,&quot;parse-names&quot;:false,&quot;dropping-particle&quot;:&quot;&quot;,&quot;non-dropping-particle&quot;:&quot;&quot;},{&quot;family&quot;:&quot;Kamel&quot;,&quot;given&quot;:&quot;Ihab&quot;,&quot;parse-names&quot;:false,&quot;dropping-particle&quot;:&quot;&quot;,&quot;non-dropping-particle&quot;:&quot;&quot;},{&quot;family&quot;:&quot;Baghdadi&quot;,&quot;given&quot;:&quot;Azarakhsh&quot;,&quot;parse-names&quot;:false,&quot;dropping-particle&quot;:&quot;&quot;,&quot;non-dropping-particle&quot;:&quot;&quot;},{&quot;family&quot;:&quot;Rizkalla&quot;,&quot;given&quot;:&quot;Nicole&quot;,&quot;parse-names&quot;:false,&quot;dropping-particle&quot;:&quot;&quot;,&quot;non-dropping-particle&quot;:&quot;&quot;},{&quot;family&quot;:&quot;Ottmann&quot;,&quot;given&quot;:&quot;Shane E.&quot;,&quot;parse-names&quot;:false,&quot;dropping-particle&quot;:&quot;&quot;,&quot;non-dropping-particle&quot;:&quot;&quot;},{&quot;family&quot;:&quot;Wesson&quot;,&quot;given&quot;:&quot;Russell&quot;,&quot;parse-names&quot;:false,&quot;dropping-particle&quot;:&quot;&quot;,&quot;non-dropping-particle&quot;:&quot;&quot;},{&quot;family&quot;:&quot;Philosophe&quot;,&quot;given&quot;:&quot;Benjamin&quot;,&quot;parse-names&quot;:false,&quot;dropping-particle&quot;:&quot;&quot;,&quot;non-dropping-particle&quot;:&quot;&quot;},{&quot;family&quot;:&quot;Gurakar&quot;,&quot;given&quot;:&quot;Ahmet&quot;,&quot;parse-names&quot;:false,&quot;dropping-particle&quot;:&quot;&quot;,&quot;non-dropping-particle&quot;:&quot;&quot;}],&quot;container-title&quot;:&quot;Transplantation Direct&quot;,&quot;container-title-short&quot;:&quot;Transplant Direct&quot;,&quot;accessed&quot;:{&quot;date-parts&quot;:[[2023,10,29]]},&quot;DOI&quot;:&quot;10.1097/TXD.0000000000001431&quot;,&quot;ISSN&quot;:&quot;23738731&quot;,&quot;PMID&quot;:&quot;36700065&quot;,&quot;URL&quot;:&quot;/pmc/articles/PMC9835892/&quot;,&quot;issued&quot;:{&quot;date-parts&quot;:[[2023,1,12]]},&quot;abstract&quot;:&quot;Background. Living liver donor obesity has been considered a relative contraindication to living donation given the association with hepatic steatosis and potential for poor donor and recipient outcomes. We investigated the association between donor body mass index (BMI) and donor and recipient posttransplant outcomes. Methods. We studied 66 living donors and their recipients who underwent living donor liver transplant at our center between 2013 and 2020. BMI was divided into 3 categories (&lt;25, 25-29.9, and ≥30 kg/m2). Magnetic resonance imaging-derived proton density fat fraction was used to quantify steatosis. Donor outcomes included length of stay (LOS), emergency department visits within 90 d, hospital readmissions within 90 d, and complication severity. Recipient outcomes included LOS and in-hospital mortality. The Student t test was used to compare normally distributed variables, and Kruskal-Wallis tests were used for nonparametric data. Results. There was no difference in donor or recipient characteristics based on donor BMI. There was no significant difference in mean magnetic resonance imaging fat percentage among the 3 groups. Additionally, there was no difference in donor LOS (P = 0.058), emergency department visits (P = 0.64), and hospital readmissions (P = 0.66) across BMI category. Donor complications occurred in 30 patients. There was no difference in postdonation complications across BMI category (P = 0.19); however, there was a difference in wound complications, with the highest rate being seen in the highest BMI group (0% versus 16% versus 37%; P = 0.041). Finally, there was no difference in recipient LOS (P = 0.83) and recipient in-hospital mortality (P = 0.29) across BMI category. Conclusions. Selecting donors with BMI ≥30 kg/m2can result in successful living donor liver transplantation; however, they are at risk for perioperative wound complications. Donor counseling and perioperative strategies to mitigate wound-related issues should be used when considering obese living donors.&quot;,&quot;publisher&quot;:&quot;Wolters Kluwer Health&quot;,&quot;issue&quot;:&quot;2&quot;,&quot;volume&quot;:&quot;9&quot;},&quot;isTemporary&quot;:false}]},{&quot;citationID&quot;:&quot;MENDELEY_CITATION_07ed8e7a-ab4c-4b89-8df9-f195e2363df6&quot;,&quot;properties&quot;:{&quot;noteIndex&quot;:0},&quot;isEdited&quot;:false,&quot;manualOverride&quot;:{&quot;isManuallyOverridden&quot;:false,&quot;citeprocText&quot;:&quot;[43]&quot;,&quot;manualOverrideText&quot;:&quot;&quot;},&quot;citationTag&quot;:&quot;MENDELEY_CITATION_v3_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&quot;,&quot;citationItems&quot;:[{&quot;id&quot;:&quot;80c8e96f-47ff-3097-9749-97dce1b220c4&quot;,&quot;itemData&quot;:{&quot;type&quot;:&quot;article-journal&quot;,&quot;id&quot;:&quot;80c8e96f-47ff-3097-9749-97dce1b220c4&quot;,&quot;title&quot;:&quot;Impact of Hepatic Artery Variations and Reconstructions on the Outcome of Orthotopic Liver Transplantation&quot;,&quot;author&quot;:[{&quot;family&quot;:&quot;Karakoyun&quot;,&quot;given&quot;:&quot;Rojbin&quot;,&quot;parse-names&quot;:false,&quot;dropping-particle&quot;:&quot;&quot;,&quot;non-dropping-particle&quot;:&quot;&quot;},{&quot;family&quot;:&quot;Romano&quot;,&quot;given&quot;:&quot;Antonio&quot;,&quot;parse-names&quot;:false,&quot;dropping-particle&quot;:&quot;&quot;,&quot;non-dropping-particle&quot;:&quot;&quot;},{&quot;family&quot;:&quot;Yao&quot;,&quot;given&quot;:&quot;Ming&quot;,&quot;parse-names&quot;:false,&quot;dropping-particle&quot;:&quot;&quot;,&quot;non-dropping-particle&quot;:&quot;&quot;},{&quot;family&quot;:&quot;Dlugosz&quot;,&quot;given&quot;:&quot;Rafal&quot;,&quot;parse-names&quot;:false,&quot;dropping-particle&quot;:&quot;&quot;,&quot;non-dropping-particle&quot;:&quot;&quot;},{&quot;family&quot;:&quot;Ericzon&quot;,&quot;given&quot;:&quot;Bo Göran&quot;,&quot;parse-names&quot;:false,&quot;dropping-particle&quot;:&quot;&quot;,&quot;non-dropping-particle&quot;:&quot;&quot;},{&quot;family&quot;:&quot;Nowak&quot;,&quot;given&quot;:&quot;Greg&quot;,&quot;parse-names&quot;:false,&quot;dropping-particle&quot;:&quot;&quot;,&quot;non-dropping-particle&quot;:&quot;&quot;}],&quot;container-title&quot;:&quot;World Journal of Surgery&quot;,&quot;container-title-short&quot;:&quot;World J Surg&quot;,&quot;DOI&quot;:&quot;10.1007/s00268-020-05406-4&quot;,&quot;ISSN&quot;:&quot;14322323&quot;,&quot;PMID&quot;:&quot;32030440&quot;,&quot;issued&quot;:{&quot;date-parts&quot;:[[2020,6,1]]},&quot;page&quot;:&quot;1954-1965&quot;,&quot;abstract&quot;:&quot;Background: Donor variational arteries often require complex reconstruction. Methods: We analysed the incidence of different variations, types of arterial reconstructions and their impact on post-operative results from 409 patients undergoing liver transplantation at Karolinska Institute between 2007 and 2015. Results: A total of 292 (71.4%) liver grafts had a standard hepatic artery (SHA), and 117 (28.6%) showed hepatic artery variants (HAV). 58% of HAV needed reconstruction. The main variations were variant left hepatic artery (45.3%) from the gastric artery; variant right hepatic artery (38.5%); and a triple combination of variant right and left hepatic artery and the proper hepatic artery from the common hepatic artery (12.8%); other 3.4%. Patients/graft survival and arterial complications were not different between SHA and HAV. Incidence of biliary stricture was numerically higher in left hepatic artery variants (p = 0.058) and in variants where no arterial reconstruction was performed (p = 0.001). Operation and arterial warm ischaemia time were longer in the HAV group. The need for intraoperative re-reconstruction was higher in the HAV group (p = 0.04). Intraoperative bleeding was larger after back-table reconstruction than with intraoperative reconstruction (p = 0.04). Conclusion: No overall differences were found between the HAV and the SHA groups. Occurrence of a variant left hepatic artery and HAV with no reconstruction seems to increase the risk of biliary strictures.&quot;,&quot;publisher&quot;:&quot;Springer&quot;,&quot;issue&quot;:&quot;6&quot;,&quot;volume&quot;:&quot;44&quot;},&quot;isTemporary&quot;:false}]},{&quot;citationID&quot;:&quot;MENDELEY_CITATION_f7f55a62-11d7-4b9d-ace3-87f584eeddea&quot;,&quot;properties&quot;:{&quot;noteIndex&quot;:0},&quot;isEdited&quot;:false,&quot;manualOverride&quot;:{&quot;isManuallyOverridden&quot;:false,&quot;citeprocText&quot;:&quot;[44]&quot;,&quot;manualOverrideText&quot;:&quot;&quot;},&quot;citationTag&quot;:&quot;MENDELEY_CITATION_v3_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&quot;,&quot;citationItems&quot;:[{&quot;id&quot;:&quot;87fdcd4c-7b50-384a-a885-44e577675009&quot;,&quot;itemData&quot;:{&quot;type&quot;:&quot;article&quot;,&quot;id&quot;:&quot;87fdcd4c-7b50-384a-a885-44e577675009&quot;,&quot;title&quot;:&quot;Vascular surgery in liver resection&quot;,&quot;author&quot;:[{&quot;family&quot;:&quot;Radulova-Mauersberger&quot;,&quot;given&quot;:&quot;Olga&quot;,&quot;parse-names&quot;:false,&quot;dropping-particle&quot;:&quot;&quot;,&quot;non-dropping-particle&quot;:&quot;&quot;},{&quot;family&quot;:&quot;Weitz&quot;,&quot;given&quot;:&quot;Jürgen&quot;,&quot;parse-names&quot;:false,&quot;dropping-particle&quot;:&quot;&quot;,&quot;non-dropping-particle&quot;:&quot;&quot;},{&quot;family&quot;:&quot;Riediger&quot;,&quot;given&quot;:&quot;Carina&quot;,&quot;parse-names&quot;:false,&quot;dropping-particle&quot;:&quot;&quot;,&quot;non-dropping-particle&quot;:&quot;&quot;}],&quot;container-title&quot;:&quot;Langenbeck's Archives of Surgery&quot;,&quot;container-title-short&quot;:&quot;Langenbecks Arch Surg&quot;,&quot;DOI&quot;:&quot;10.1007/s00423-021-02310-w&quot;,&quot;ISSN&quot;:&quot;14352451&quot;,&quot;PMID&quot;:&quot;34519878&quot;,&quot;issued&quot;:{&quot;date-parts&quot;:[[2021,11,1]]},&quot;page&quot;:&quot;2217-2248&quot;,&quot;abstract&quot;:&quot;Vascular surgery in liver resection is a standard part of liver transplantation, but is also used in oncological liver surgery. Malignant liver tumors with vascular involvement have a poor prognosis without resection. Surgery is currently the only treatment to provide long-term survival in advanced hepatic malignancy. Even though extended liver resections are increasingly performed, vascular involvement with need of vascular reconstruction is still considered a contraindication for surgery in many institutions. However, vascular resection and reconstruction in liver surgery—despite being complex procedures—are safely performed in specialized centers. The improvements of the postoperative results with reduced postoperative morbidity and mortality are a result of rising surgical and anesthesiological experience and advancements in multimodal treatment concepts with preconditioning measures regarding liver function and systemic treatment options. This review focuses on vascular surgery in oncological liver resections. Even though many surgical techniques were developed and are also used during liver transplantation, this special procedure is not particularly covered within this review article. We provide a summary of vascular reconstruction techniques in oncological liver surgery according to the literature and present also our own experience. We aim to outline the current advances and standards in extended surgical procedures for liver tumors with vascular involvement established in specialized centers, since curative resection improves long-term survival and shifts palliative concepts to curative therapy.&quot;,&quot;publisher&quot;:&quot;Springer Science and Business Media Deutschland GmbH&quot;,&quot;issue&quot;:&quot;7&quot;,&quot;volume&quot;:&quot;406&quot;},&quot;isTemporary&quot;:false}]},{&quot;citationID&quot;:&quot;MENDELEY_CITATION_a6cbef10-3685-490b-9a4d-b3a051953f86&quot;,&quot;properties&quot;:{&quot;noteIndex&quot;:0},&quot;isEdited&quot;:false,&quot;manualOverride&quot;:{&quot;isManuallyOverridden&quot;:false,&quot;citeprocText&quot;:&quot;[1]&quot;,&quot;manualOverrideText&quot;:&quot;&quot;},&quot;citationTag&quot;:&quot;MENDELEY_CITATION_v3_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&quot;,&quot;citationItems&quot;:[{&quot;id&quot;:&quot;2e990494-900e-3bde-bf18-ca7f40fbbdf4&quot;,&quot;itemData&quot;:{&quot;type&quot;:&quot;article-journal&quot;,&quot;id&quot;:&quot;2e990494-900e-3bde-bf18-ca7f40fbbdf4&quot;,&quot;title&quot;:&quot;Reliability of CT volumetry as a tool to calculate the preoperative donor liver volume: Correlation with the intraoperative graft weight in living donor liver transplantation (LDLT)&quot;,&quot;author&quot;:[{&quot;family&quot;:&quot;Sharma&quot;,&quot;given&quot;:&quot;Sachal&quot;,&quot;parse-names&quot;:false,&quot;dropping-particle&quot;:&quot;&quot;,&quot;non-dropping-particle&quot;:&quot;&quot;},{&quot;family&quot;:&quot;Radiodiagnosis&quot;,&quot;given&quot;:&quot;&quot;,&quot;parse-names&quot;:false,&quot;dropping-particle&quot;:&quot;&quot;,&quot;non-dropping-particle&quot;:&quot;&quot;},{&quot;family&quot;:&quot;Jain&quot;,&quot;given&quot;:&quot;Sajal&quot;,&quot;parse-names&quot;:false,&quot;dropping-particle&quot;:&quot;&quot;,&quot;non-dropping-particle&quot;:&quot;&quot;},{&quot;family&quot;:&quot;Chandermohan&quot;,&quot;given&quot;:&quot;&quot;,&quot;parse-names&quot;:false,&quot;dropping-particle&quot;:&quot;&quot;,&quot;non-dropping-particle&quot;:&quot;&quot;},{&quot;family&quot;:&quot;Malhotra&quot;,&quot;given&quot;:&quot;P.&quot;,&quot;parse-names&quot;:false,&quot;dropping-particle&quot;:&quot;&quot;,&quot;non-dropping-particle&quot;:&quot;&quot;}],&quot;container-title&quot;:&quot;IP Journal of Surgery and Allied Sciences&quot;,&quot;accessed&quot;:{&quot;date-parts&quot;:[[2023,9,30]]},&quot;DOI&quot;:&quot;10.18231/J.JSAS.2020.015&quot;,&quot;issued&quot;:{&quot;date-parts&quot;:[[2020,11,28]]},&quot;page&quot;:&quot;95-98&quot;,&quot;abstract&quot;:&quot;Liver transplantation has become an ideal management for end stage liver diseases. The preoperative volumetric assessment of donor liver is an important factor in determining the surgical strategy and in predicting post operative donor and recipient mortality and morbidity. CT has high spatial and contrast resolution and provides comprehensive parenchymal vascular and volumetric preoperative evaluation of donor undergoing live donor liver transplant and its accuracy can be established by comparing it with the intraoperative actual graft volume.52 patients who underwent donor right hepatectomy were included in the study and underwent CT scanning during the period from July 2017 to June 2019. Manual tracing of CT volumetry was done for calculating liver volume. The actual liver volume is obtained by weighing the graft immediately after resection. The difference between preoperative CT volume and intraoperative graft weight was defined as a percentage error ratio, which was classified as overestimation (+) and underestimation (-).In 28 (53.8%) cases, right lobe liver grafts obtained including MHV, whereas in 24(46.2%) cases right liver lobe grafts obtained excluding MHV. The mean preoperative liver volume calculated was 816.5+ 142.5g, while the mean volume measured intraoperatively was 812.6 g + 136.8g. The mean volume difference between preoperative and actual graft volume was 51.96+33.65cm(range 4-131cm). The mean error ratio was 6.59+4.623%. 30(57.7%) cases had underestimation, whereas 22(42.3%) cases had overestimation of liver volume. The mean preoperative volume had a good correlation with actual graft volume.The present study concludes that CT volumetry accurately predicted preoperative graft volume and showed excellent correlation with actual graft volume.&quot;,&quot;publisher&quot;:&quot;IP Innovative Publication Pvt Ltd&quot;,&quot;issue&quot;:&quot;3&quot;,&quot;volume&quot;:&quot;2&quot;,&quot;container-title-short&quot;:&quot;&quot;},&quot;isTemporary&quot;:false}]},{&quot;citationID&quot;:&quot;MENDELEY_CITATION_722df4c8-e9f5-4a5c-82a9-4abfda6d84d7&quot;,&quot;properties&quot;:{&quot;noteIndex&quot;:0},&quot;isEdited&quot;:false,&quot;manualOverride&quot;:{&quot;isManuallyOverridden&quot;:false,&quot;citeprocText&quot;:&quot;[16]&quot;,&quot;manualOverrideText&quot;:&quot;&quot;},&quot;citationTag&quot;:&quot;MENDELEY_CITATION_v3_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&quot;,&quot;citationItems&quot;:[{&quot;id&quot;:&quot;68a8108e-ea4d-35fe-8f79-7737c8cbce1b&quot;,&quot;itemData&quot;:{&quot;type&quot;:&quot;article-journal&quot;,&quot;id&quot;:&quot;68a8108e-ea4d-35fe-8f79-7737c8cbce1b&quot;,&quot;title&quot;:&quot;Outcomes of living donor liver transplantation using elderly donors&quot;,&quot;author&quot;:[{&quot;family&quot;:&quot;Han&quot;,&quot;given&quot;:&quot;Jae Hyun&quot;,&quot;parse-names&quot;:false,&quot;dropping-particle&quot;:&quot;&quot;,&quot;non-dropping-particle&quot;:&quot;&quot;},{&quot;family&quot;:&quot;You&quot;,&quot;given&quot;:&quot;Young Kyoung&quot;,&quot;parse-names&quot;:false,&quot;dropping-particle&quot;:&quot;&quot;,&quot;non-dropping-particle&quot;:&quot;&quot;},{&quot;family&quot;:&quot;Na&quot;,&quot;given&quot;:&quot;Gun Hyung&quot;,&quot;parse-names&quot;:false,&quot;dropping-particle&quot;:&quot;&quot;,&quot;non-dropping-particle&quot;:&quot;&quot;},{&quot;family&quot;:&quot;Kim&quot;,&quot;given&quot;:&quot;Eun Young&quot;,&quot;parse-names&quot;:false,&quot;dropping-particle&quot;:&quot;&quot;,&quot;non-dropping-particle&quot;:&quot;&quot;},{&quot;family&quot;:&quot;Lee&quot;,&quot;given&quot;:&quot;Soo Ho&quot;,&quot;parse-names&quot;:false,&quot;dropping-particle&quot;:&quot;&quot;,&quot;non-dropping-particle&quot;:&quot;&quot;},{&quot;family&quot;:&quot;Hong&quot;,&quot;given&quot;:&quot;Tae Ho&quot;,&quot;parse-names&quot;:false,&quot;dropping-particle&quot;:&quot;&quot;,&quot;non-dropping-particle&quot;:&quot;&quot;},{&quot;family&quot;:&quot;Kim&quot;,&quot;given&quot;:&quot;Dong Goo&quot;,&quot;parse-names&quot;:false,&quot;dropping-particle&quot;:&quot;&quot;,&quot;non-dropping-particle&quot;:&quot;&quot;}],&quot;container-title&quot;:&quot;Annals of surgical treatment and research&quot;,&quot;container-title-short&quot;:&quot;Ann Surg Treat Res&quot;,&quot;accessed&quot;:{&quot;date-parts&quot;:[[2023,10,26]]},&quot;DOI&quot;:&quot;10.4174/ASTR.2014.86.4.184&quot;,&quot;ISSN&quot;:&quot;2288-6575&quot;,&quot;PMID&quot;:&quot;24783177&quot;,&quot;URL&quot;:&quot;https://pubmed.ncbi.nlm.nih.gov/24783177/&quot;,&quot;issued&quot;:{&quot;date-parts&quot;:[[2014]]},&quot;page&quot;:&quot;184-191&quot;,&quot;abstract&quot;:&quot;Purpose: Living donor liver transplantation (LDLT) using elderly donors is increasing in frequency in response to organ shortage. However, elderly donor graft has been reported to negatively affect graft patency and patient survival. Methods: We retrospectively reviewed the medical records of 604 patients who underwent LDLT at Seoul St. Mary's Hospital, The Catholic University of Korea between May 1999 and September 2012. Elderly donors were defined as those ≤55 years of age. Here, we evaluate the survival differences and causes of death of recipients of elderly donor grafts. Results: The overall mortality rate of the recipients was significantly higher in the elderly donor group (group A) than in the younger donor group (group B: 46.2% vs. 18.1%, P = 0.004). The survival length of group A was significantly shorter than that of group B (31.2 ± 31.3 and 51.4 ± 40.8 months, P = 0.014). The significantly common causes of death in group A were biliary (41.7%) and arterial complication (16.7%), and it was higher than those in group B (P = 0.000 and P = 0.043, respectively). Conclusion: LDLT using elderly donors could induce more serious complications and higher mortality rates than those at using younger donors. As such, careful donor selection is needed, especially with regard to assessing the condition of potential elderly donor livers. Furthermore, a large-volume and multicenter study of complications and outcomes of LDLT using elderly donor liver is required. Copyright © 2014, the Korean Surgical Society.&quot;,&quot;publisher&quot;:&quot;Ann Surg Treat Res&quot;,&quot;issue&quot;:&quot;4&quot;,&quot;volume&quot;:&quot;86&quot;},&quot;isTemporary&quot;:false}]},{&quot;citationID&quot;:&quot;MENDELEY_CITATION_1678b7a5-a572-44f4-a924-a2b6df444b12&quot;,&quot;properties&quot;:{&quot;noteIndex&quot;:0},&quot;isEdited&quot;:false,&quot;manualOverride&quot;:{&quot;isManuallyOverridden&quot;:false,&quot;citeprocText&quot;:&quot;[87]&quot;,&quot;manualOverrideText&quot;:&quot;&quot;},&quot;citationTag&quot;:&quot;MENDELEY_CITATION_v3_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&quot;,&quot;citationItems&quot;:[{&quot;id&quot;:&quot;31ad38c1-ad42-3a6e-a57e-85a7c2745c7d&quot;,&quot;itemData&quot;:{&quot;type&quot;:&quot;article-journal&quot;,&quot;id&quot;:&quot;31ad38c1-ad42-3a6e-a57e-85a7c2745c7d&quot;,&quot;title&quot;:&quot;Subcutaneous Fat Obesity in a High Body Mass Index Donor Is Not a Contraindication to Living Donor Hepatectomy&quot;,&quot;author&quot;:[{&quot;family&quot;:&quot;Pahari&quot;,&quot;given&quot;:&quot;Hirak&quot;,&quot;parse-names&quot;:false,&quot;dropping-particle&quot;:&quot;&quot;,&quot;non-dropping-particle&quot;:&quot;&quot;},{&quot;family&quot;:&quot;Sonavane&quot;,&quot;given&quot;:&quot;Amey&quot;,&quot;parse-names&quot;:false,&quot;dropping-particle&quot;:&quot;&quot;,&quot;non-dropping-particle&quot;:&quot;&quot;},{&quot;family&quot;:&quot;Raj&quot;,&quot;given&quot;:&quot;Amruth&quot;,&quot;parse-names&quot;:false,&quot;dropping-particle&quot;:&quot;&quot;,&quot;non-dropping-particle&quot;:&quot;&quot;},{&quot;family&quot;:&quot;Agrawal&quot;,&quot;given&quot;:&quot;Anup Kumar&quot;,&quot;parse-names&quot;:false,&quot;dropping-particle&quot;:&quot;&quot;,&quot;non-dropping-particle&quot;:&quot;&quot;},{&quot;family&quot;:&quot;Sawant&quot;,&quot;given&quot;:&quot;Ambreen&quot;,&quot;parse-names&quot;:false,&quot;dropping-particle&quot;:&quot;&quot;,&quot;non-dropping-particle&quot;:&quot;&quot;},{&quot;family&quot;:&quot;Gupta&quot;,&quot;given&quot;:&quot;Deepak Kumar&quot;,&quot;parse-names&quot;:false,&quot;dropping-particle&quot;:&quot;&quot;,&quot;non-dropping-particle&quot;:&quot;&quot;},{&quot;family&quot;:&quot;Gharat&quot;,&quot;given&quot;:&quot;Amit&quot;,&quot;parse-names&quot;:false,&quot;dropping-particle&quot;:&quot;&quot;,&quot;non-dropping-particle&quot;:&quot;&quot;},{&quot;family&quot;:&quot;Raut&quot;,&quot;given&quot;:&quot;Vikram&quot;,&quot;parse-names&quot;:false,&quot;dropping-particle&quot;:&quot;&quot;,&quot;non-dropping-particle&quot;:&quot;&quot;}],&quot;container-title&quot;:&quot;Case reports in hepatology&quot;,&quot;container-title-short&quot;:&quot;Case Reports Hepatol&quot;,&quot;accessed&quot;:{&quot;date-parts&quot;:[[2023,10,29]]},&quot;DOI&quot;:&quot;10.1155/2023/9540002&quot;,&quot;ISSN&quot;:&quot;2090-6587&quot;,&quot;PMID&quot;:&quot;37547905&quot;,&quot;URL&quot;:&quot;https://pubmed.ncbi.nlm.nih.gov/37547905/&quot;,&quot;issued&quot;:{&quot;date-parts&quot;:[[2023,7,29]]},&quot;page&quot;:&quot;1-5&quot;,&quot;abstract&quot;:&quot;Background. Living donor liver transplantation (LDLT) has revolutionized the field of transplantation without compromising donor safety. Donor safety is of paramount concern to the transplant team. BMI &gt;35 kg/m2 is mostly considered a contraindication to liver donation. Here, we present a successful right donor hepatectomy from a donor with a BMI of 36.5 kg/m2. Case Summary. A 39-year-old wife donated her right lobe of liver to her 43-year-old husband with nonalcoholic steatohepatitis-related chronic liver disease (CLD). His indications were refractory ascites, hepatic encephalopathy, acute kidney injury, recurrent elbow and urine infections leading to cachexia. She was initially rejected due to a high BMI but failed to lose weight over the next 2 months, and the need for a transplant in her husband was imminent. With no other potential living donors, we decided to proceed with donor evaluation as she had no other comorbidity. We were surprised to find normal liver function tests and a good liver attenuation index (LAI) of +16 on a computed tomography (CT) scan. Magnetic resonance (MR) imaging revealed a fat fraction of 3%. Volumetry confirmed a remnant of 37.9% and a potential graft-to-recipient weight ratio of 1.23. V/S ratio on CT scan (visceral fat area/subcutaneous fat area at L4-level) was &lt;0.4 confirming subcutaneous fat obesity. Both surgeries were uneventful and both donor and recipient recovered well except recipient re-exploration on postoperative day (POD)-1 due to surgical bleeding. The donor was discharged on POD-6 and recipient was discharged on POD-15. At 3 weeks of follow-up, the donor’s wound is clean and well-healed, and she is already back to doing her daily life activities without any pain with normal laboratory parameters. Conclusion. Subcutaneous fat obesity should not be considered as a contraindication to liver donation even with a BMI &gt;35 kg/m2. A small percentage of healthy individuals will not have visceral fat obesity and may not have steatotic livers. The CT scan and MR fat fraction estimation can confirm the findings. Biopsy may be avoided if MR fat estimation is &lt;10% in obese donors. Intraoperative visualization in these donors remains the gold standard to decide the need for biopsy. Living donor hepatectomy may be safely performed in a select group of high BMI patients (&gt;35 kg/m2) with pure subcutaneous fat obesity in the absence of other suitable living donors.&quot;,&quot;publisher&quot;:&quot;Case Reports Hepatol&quot;,&quot;volume&quot;:&quot;2023&quot;},&quot;isTemporary&quot;:false}]},{&quot;citationID&quot;:&quot;MENDELEY_CITATION_d0611ce7-40ff-4de8-a9b9-ecfe7324d0c7&quot;,&quot;properties&quot;:{&quot;noteIndex&quot;:0},&quot;isEdited&quot;:false,&quot;manualOverride&quot;:{&quot;isManuallyOverridden&quot;:false,&quot;citeprocText&quot;:&quot;[43]&quot;,&quot;manualOverrideText&quot;:&quot;&quot;},&quot;citationTag&quot;:&quot;MENDELEY_CITATION_v3_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&quot;,&quot;citationItems&quot;:[{&quot;id&quot;:&quot;80c8e96f-47ff-3097-9749-97dce1b220c4&quot;,&quot;itemData&quot;:{&quot;type&quot;:&quot;article-journal&quot;,&quot;id&quot;:&quot;80c8e96f-47ff-3097-9749-97dce1b220c4&quot;,&quot;title&quot;:&quot;Impact of Hepatic Artery Variations and Reconstructions on the Outcome of Orthotopic Liver Transplantation&quot;,&quot;author&quot;:[{&quot;family&quot;:&quot;Karakoyun&quot;,&quot;given&quot;:&quot;Rojbin&quot;,&quot;parse-names&quot;:false,&quot;dropping-particle&quot;:&quot;&quot;,&quot;non-dropping-particle&quot;:&quot;&quot;},{&quot;family&quot;:&quot;Romano&quot;,&quot;given&quot;:&quot;Antonio&quot;,&quot;parse-names&quot;:false,&quot;dropping-particle&quot;:&quot;&quot;,&quot;non-dropping-particle&quot;:&quot;&quot;},{&quot;family&quot;:&quot;Yao&quot;,&quot;given&quot;:&quot;Ming&quot;,&quot;parse-names&quot;:false,&quot;dropping-particle&quot;:&quot;&quot;,&quot;non-dropping-particle&quot;:&quot;&quot;},{&quot;family&quot;:&quot;Dlugosz&quot;,&quot;given&quot;:&quot;Rafal&quot;,&quot;parse-names&quot;:false,&quot;dropping-particle&quot;:&quot;&quot;,&quot;non-dropping-particle&quot;:&quot;&quot;},{&quot;family&quot;:&quot;Ericzon&quot;,&quot;given&quot;:&quot;Bo Göran&quot;,&quot;parse-names&quot;:false,&quot;dropping-particle&quot;:&quot;&quot;,&quot;non-dropping-particle&quot;:&quot;&quot;},{&quot;family&quot;:&quot;Nowak&quot;,&quot;given&quot;:&quot;Greg&quot;,&quot;parse-names&quot;:false,&quot;dropping-particle&quot;:&quot;&quot;,&quot;non-dropping-particle&quot;:&quot;&quot;}],&quot;container-title&quot;:&quot;World Journal of Surgery&quot;,&quot;container-title-short&quot;:&quot;World J Surg&quot;,&quot;DOI&quot;:&quot;10.1007/s00268-020-05406-4&quot;,&quot;ISSN&quot;:&quot;14322323&quot;,&quot;PMID&quot;:&quot;32030440&quot;,&quot;issued&quot;:{&quot;date-parts&quot;:[[2020,6,1]]},&quot;page&quot;:&quot;1954-1965&quot;,&quot;abstract&quot;:&quot;Background: Donor variational arteries often require complex reconstruction. Methods: We analysed the incidence of different variations, types of arterial reconstructions and their impact on post-operative results from 409 patients undergoing liver transplantation at Karolinska Institute between 2007 and 2015. Results: A total of 292 (71.4%) liver grafts had a standard hepatic artery (SHA), and 117 (28.6%) showed hepatic artery variants (HAV). 58% of HAV needed reconstruction. The main variations were variant left hepatic artery (45.3%) from the gastric artery; variant right hepatic artery (38.5%); and a triple combination of variant right and left hepatic artery and the proper hepatic artery from the common hepatic artery (12.8%); other 3.4%. Patients/graft survival and arterial complications were not different between SHA and HAV. Incidence of biliary stricture was numerically higher in left hepatic artery variants (p = 0.058) and in variants where no arterial reconstruction was performed (p = 0.001). Operation and arterial warm ischaemia time were longer in the HAV group. The need for intraoperative re-reconstruction was higher in the HAV group (p = 0.04). Intraoperative bleeding was larger after back-table reconstruction than with intraoperative reconstruction (p = 0.04). Conclusion: No overall differences were found between the HAV and the SHA groups. Occurrence of a variant left hepatic artery and HAV with no reconstruction seems to increase the risk of biliary strictures.&quot;,&quot;publisher&quot;:&quot;Springer&quot;,&quot;issue&quot;:&quot;6&quot;,&quot;volume&quot;:&quot;44&quot;},&quot;isTemporary&quot;:false}]},{&quot;citationID&quot;:&quot;MENDELEY_CITATION_8b6afad3-a252-4eba-9931-5b9da6d517f4&quot;,&quot;properties&quot;:{&quot;noteIndex&quot;:0},&quot;isEdited&quot;:false,&quot;manualOverride&quot;:{&quot;isManuallyOverridden&quot;:false,&quot;citeprocText&quot;:&quot;[89]&quot;,&quot;manualOverrideText&quot;:&quot;&quot;},&quot;citationTag&quot;:&quot;MENDELEY_CITATION_v3_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&quot;,&quot;citationItems&quot;:[{&quot;id&quot;:&quot;aa4b5535-a80d-3aaa-8ff8-55e769ec7247&quot;,&quot;itemData&quot;:{&quot;type&quot;:&quot;article-journal&quot;,&quot;id&quot;:&quot;aa4b5535-a80d-3aaa-8ff8-55e769ec7247&quot;,&quot;title&quot;:&quot;Preoperative Evaluation of Living Donor Liver Volume in Living Donor Liver Transplantation&quot;,&quot;author&quot;:[{&quot;family&quot;:&quot;Başkıran&quot;,&quot;given&quot;:&quot;Adil&quot;,&quot;parse-names&quot;:false,&quot;dropping-particle&quot;:&quot;&quot;,&quot;non-dropping-particle&quot;:&quot;&quot;}],&quot;container-title&quot;:&quot;Northern Clinics of Istanbul&quot;,&quot;container-title-short&quot;:&quot;North Clin Istanb&quot;,&quot;DOI&quot;:&quot;10.14744/nci.2017.14227&quot;,&quot;ISSN&quot;:&quot;21484902&quot;,&quot;issued&quot;:{&quot;date-parts&quot;:[[2017]]},&quot;abstract&quot;:&quot;OBJECTIVE:\nThe aim of the present study was to retrospectively evaluate the difference between the preoperative estimated volume and the actual intraoperative graft volume determined in donor right hepatectomies and to evaluate the possible effect of age, gender, and body mass index on the difference.\n\nMETHODS:\nA total of 225 donor hepatectomies performed at the center between 2016 and 2017 were evaluated for the study. Left hepatectomies and left lateral segmentectomies were excluded from the analysis. As a result, 174 donor right hepatectomies were included in the study. Volumetric analysis was performed with dynamic hepatic computed tomography (CT), including non-contrast analysis, followed by non-ionic, contrast-enhanced arterial, portal, and hepatic-phase, thin-slice scanning. Volumetric analysis was performed based on the CT images using automatic volume calculating software.\n\nRESULTS:\nThe mean preoperatively estimated graft volume was 800±112 g and the mean intraoperatively measured actual graft volume was 750±131 g. There was a statistically significant difference (p=0.003). Age and body mass index had a significant impact on the discrepancy between the predicted and actual graft volume, while gender did not.\n\nCONCLUSION:\nA thorough preoperative evaluation of the donor graft volume should be performed in order to prevent donor morbidity and mortality, as well as small-for-size and large-for-size phenomena in the implanted grafts. Physicians working in the field of transplantation should be aware of the fact that a difference of 10% between the predicted and the actual graft volume is usually encountered.&quot;,&quot;publisher&quot;:&quot;Kare Publishing&quot;},&quot;isTemporary&quot;:false}]},{&quot;citationID&quot;:&quot;MENDELEY_CITATION_dfc26732-9589-4e34-9443-b0f116f9cdda&quot;,&quot;properties&quot;:{&quot;noteIndex&quot;:0},&quot;isEdited&quot;:false,&quot;manualOverride&quot;:{&quot;isManuallyOverridden&quot;:false,&quot;citeprocText&quot;:&quot;[38]&quot;,&quot;manualOverrideText&quot;:&quot;&quot;},&quot;citationTag&quot;:&quot;MENDELEY_CITATION_v3_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&quot;,&quot;citationItems&quot;:[{&quot;id&quot;:&quot;dc707ef2-03d0-3e3d-9bec-abb0bb52ee70&quot;,&quot;itemData&quot;:{&quot;type&quot;:&quot;article-journal&quot;,&quot;id&quot;:&quot;dc707ef2-03d0-3e3d-9bec-abb0bb52ee70&quot;,&quot;title&quot;:&quot;Preoperative estimation of hemi-liver volume using standard liver volume and portal vein diameter ratio in living donor liver transplantation&quot;,&quot;author&quot;:[{&quot;family&quot;:&quot;Kim&quot;,&quot;given&quot;:&quot;Sung Min&quot;,&quot;parse-names&quot;:false,&quot;dropping-particle&quot;:&quot;&quot;,&quot;non-dropping-particle&quot;:&quot;&quot;},{&quot;family&quot;:&quot;Ageel&quot;,&quot;given&quot;:&quot;Amro Hasan&quot;,&quot;parse-names&quot;:false,&quot;dropping-particle&quot;:&quot;&quot;,&quot;non-dropping-particle&quot;:&quot;&quot;},{&quot;family&quot;:&quot;Hwang&quot;,&quot;given&quot;:&quot;Shin&quot;,&quot;parse-names&quot;:false,&quot;dropping-particle&quot;:&quot;&quot;,&quot;non-dropping-particle&quot;:&quot;&quot;},{&quot;family&quot;:&quot;Jung&quot;,&quot;given&quot;:&quot;Dong Hwan&quot;,&quot;parse-names&quot;:false,&quot;dropping-particle&quot;:&quot;&quot;,&quot;non-dropping-particle&quot;:&quot;&quot;},{&quot;family&quot;:&quot;Ha&quot;,&quot;given&quot;:&quot;Tae Yong&quot;,&quot;parse-names&quot;:false,&quot;dropping-particle&quot;:&quot;&quot;,&quot;non-dropping-particle&quot;:&quot;&quot;},{&quot;family&quot;:&quot;Song&quot;,&quot;given&quot;:&quot;Gi Won&quot;,&quot;parse-names&quot;:false,&quot;dropping-particle&quot;:&quot;&quot;,&quot;non-dropping-particle&quot;:&quot;&quot;},{&quot;family&quot;:&quot;Park&quot;,&quot;given&quot;:&quot;Gil Chun&quot;,&quot;parse-names&quot;:false,&quot;dropping-particle&quot;:&quot;&quot;,&quot;non-dropping-particle&quot;:&quot;&quot;},{&quot;family&quot;:&quot;Ahn&quot;,&quot;given&quot;:&quot;Chul Soo&quot;,&quot;parse-names&quot;:false,&quot;dropping-particle&quot;:&quot;&quot;,&quot;non-dropping-particle&quot;:&quot;&quot;},{&quot;family&quot;:&quot;Moon&quot;,&quot;given&quot;:&quot;Deok Bog&quot;,&quot;parse-names&quot;:false,&quot;dropping-particle&quot;:&quot;&quot;,&quot;non-dropping-particle&quot;:&quot;&quot;}],&quot;container-title&quot;:&quot;Annals of hepato-biliary-pancreatic surgery&quot;,&quot;container-title-short&quot;:&quot;Ann Hepatobiliary Pancreat Surg&quot;,&quot;accessed&quot;:{&quot;date-parts&quot;:[[2023,10,29]]},&quot;DOI&quot;:&quot;10.14701/AHBPS.22-030&quot;,&quot;ISSN&quot;:&quot;2508-5859&quot;,&quot;PMID&quot;:&quot;35999792&quot;,&quot;URL&quot;:&quot;https://pubmed.ncbi.nlm.nih.gov/35999792/&quot;,&quot;issued&quot;:{&quot;date-parts&quot;:[[2022,11,1]]},&quot;page&quot;:&quot;308-312&quot;,&quot;abstract&quot;:&quot;Backgrounds/Aims: Although body surface area (BSA)-based standard liver volume (SLV) formulae have been used for living donor liver transplantation and hepatic resection, hemi-liver volume (HLV) is needed more frequently. HLV can be assessed using right or left portal vein diameter (RPVD or LPVD). The aim of this study was to validate the reliability of using portal vein diameter ratio (PVDR) for assessing HLV in living liver donors. Methods: This study included 92 living liver donors (59 males and 33 females) who underwent surgery between January 2020 and De-cember 2020. Computed tomography (CT) images were used for measurements. Results: Mean age of donors was 35.5 ± 7.2 years. CT volumetry-measured total liver volume (TLV), right HLV, left HLV, and percent-age of right HLV in TLV were 1,442.9 ± 314.2 mL, 931.5 ± 206.4 mL, 551.4 ± 126.5 mL, and 64.6% ± 3.6%, respectively. RPVD, LPVD, and main portal vein diameter were 12.2 ± 1.5 mm, 10.0 ± 1.3 mm, and 15.3 ± 1.7 mm, respectively (corresponding square values: 149.9 ± 36.9 mm2, 101.5 ± 25.2 mm2, and 237.2 ± 52.2 mm2, respectively). The sum of RPVD2 and LPVD2 was 251.1 ± 56.9 mm2 . BSA-based SLV was 1,279.5 ± 188.7 mL (error rate: 9.1% ± 14.4%). SLV formula-and PVDR-based right HLV was 760.0 ± 130.7 mL (error rate: 16.2% ± 13.3%). Conclusions: Combining BSA-based SLV and PVDR appears to be a simple method to predict right or left HLV in living donors or split liver transplantation.&quot;,&quot;publisher&quot;:&quot;Ann Hepatobiliary Pancreat Surg&quot;,&quot;issue&quot;:&quot;4&quot;,&quot;volume&quot;:&quot;26&quot;},&quot;isTemporary&quot;:false}]},{&quot;citationID&quot;:&quot;MENDELEY_CITATION_ab1d3347-02b7-494b-97f8-d17bb9e9d842&quot;,&quot;properties&quot;:{&quot;noteIndex&quot;:0},&quot;isEdited&quot;:false,&quot;manualOverride&quot;:{&quot;isManuallyOverridden&quot;:false,&quot;citeprocText&quot;:&quot;[12,90]&quot;,&quot;manualOverrideText&quot;:&quot;&quot;},&quot;citationTag&quot;:&quot;MENDELEY_CITATION_v3_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&quot;,&quot;citationItems&quot;:[{&quot;id&quot;:&quot;ab78603b-fc7b-3866-b2ea-fc3d53a0ffa4&quot;,&quot;itemData&quot;:{&quot;type&quot;:&quot;article-journal&quot;,&quot;id&quot;:&quot;ab78603b-fc7b-3866-b2ea-fc3d53a0ffa4&quot;,&quot;title&quot;:&quot;Clinical implication of hepatic volumetry for living donor liver transplantation&quot;,&quot;author&quot;:[{&quot;family&quot;:&quot;Kyoung Jeong&quot;,&quot;given&quot;:&quot;Woo&quot;,&quot;parse-names&quot;:false,&quot;dropping-particle&quot;:&quot;&quot;,&quot;non-dropping-particle&quot;:&quot;&quot;}],&quot;container-title&quot;:&quot;Clinical and Molecular Hepatology&quot;,&quot;container-title-short&quot;:&quot;Clin Mol Hepatol&quot;,&quot;accessed&quot;:{&quot;date-parts&quot;:[[2023,8,13]]},&quot;DOI&quot;:&quot;10.3350/cmh.2018.1003&quot;,&quot;ISSN&quot;:&quot;2287-2728&quot;,&quot;URL&quot;:&quot;https://doi.org/10.3350/cmh.2018.1003&quot;,&quot;issued&quot;:{&quot;date-parts&quot;:[[2018]]},&quot;page&quot;:&quot;51-53&quot;,&quot;abstract&quot;:&quot;Editorial Liver transplantation is indicated for primary and salvage treatment of hepatic malignancies including hepatocellular carcinoma (HCC) and hepatic epithelioid hemangioendothelioma, end-stage liver diseases, acute liver failure, and congenital anatomical and metabolic liver diseases such as biliary atresia, Wilson's disease and hemochromatosis. 1 Living donor liver transplantation (LDLT) is more widely practiced in many Asian countries, rather than in Europe and the US, due to shortage of donors who have suffered brain death. In Korea, 75.4% of LT by 2016 was LDLT. 2 Pre-operative hepatic vol-umetry by using multi-detector row computed tomography (CT) or magnetic resonance imaging (MRI) is one of the most important step during the planning of LDLT 3 because hepatic reservoir after surgery could be estimated by the hepatic volumetry, which is an important factor for donor's and recipient's recovery after surgery. 4,5 If the graft size is too small, and mismatched compared with the recipient's size, it is called as \&quot;small-for-size-graft (SFSG)\&quot;. In that situation, even the small graft could be well adapted, but some recipient could have symptoms related to the graft size. 6 SFSG dys-function was defined as 'dysfunction of a small partial liver graft during the first postoperative week after the exclusion of other causes'. 7 It means that the transplanted partial liver cannot satisfy metabolic demand of the recipient or can be prone to congest by excessive portal inflow before regeneration of the graft, and results in irreversible graft failure and death of the patient if there is no available organ for re-transplantation. In the general setting of LDLT, the graft volume of less than 40-50% of standardized liver volume (SLV), corresponding to a graft to recipient weight ratio (GRWR) of 0.8-1.0% could be associated with worse outcome. 8 The mechanism of SFSG syndrome is not clear. It could be related to the shortage of parenchymal cell mass required to metabolize, and persistent elevation of portal venous pressure which causes hyperperfusion graft injury. 6 SFSG get the entire volume of portal flow, and lead to higher portal pressure due to increased portal resistance. 9 Moreover, as the cirrhotic recipients demonstrate higher portal flow than normal subjects, this recipients' hemodynamics&quot;,&quot;volume&quot;:&quot;24&quot;},&quot;isTemporary&quot;:false},{&quot;id&quot;:&quot;ad0d21dd-fff1-3206-9cfb-dc3a97be48ce&quot;,&quot;itemData&quot;:{&quot;type&quot;:&quot;article-journal&quot;,&quot;id&quot;:&quot;ad0d21dd-fff1-3206-9cfb-dc3a97be48ce&quot;,&quot;title&quot;:&quot;Liver transplantation in developing countries Review Liver transplantation in developing countries HEPATOLOGY FORUM Living-Donor Liver Transplantation&quot;,&quot;author&quot;:[{&quot;family&quot;:&quot;Ozturk&quot;,&quot;given&quot;:&quot;Nazli Begum&quot;,&quot;parse-names&quot;:false,&quot;dropping-particle&quot;:&quot;&quot;,&quot;non-dropping-particle&quot;:&quot;&quot;},{&quot;family&quot;:&quot;Muhammad&quot;,&quot;given&quot;:&quot;Haris&quot;,&quot;parse-names&quot;:false,&quot;dropping-particle&quot;:&quot;&quot;,&quot;non-dropping-particle&quot;:&quot;&quot;},{&quot;family&quot;:&quot;Gurakar&quot;,&quot;given&quot;:&quot;Merve&quot;,&quot;parse-names&quot;:false,&quot;dropping-particle&quot;:&quot;&quot;,&quot;non-dropping-particle&quot;:&quot;&quot;},{&quot;family&quot;:&quot;Aslan&quot;,&quot;given&quot;:&quot;Alperen&quot;,&quot;parse-names&quot;:false,&quot;dropping-particle&quot;:&quot;&quot;,&quot;non-dropping-particle&quot;:&quot;&quot;},{&quot;family&quot;:&quot;Gurakar&quot;,&quot;given&quot;:&quot;Ahmet&quot;,&quot;parse-names&quot;:false,&quot;dropping-particle&quot;:&quot;&quot;,&quot;non-dropping-particle&quot;:&quot;&quot;},{&quot;family&quot;:&quot;Dao&quot;,&quot;given&quot;:&quot;Doan&quot;,&quot;parse-names&quot;:false,&quot;dropping-particle&quot;:&quot;&quot;,&quot;non-dropping-particle&quot;:&quot;&quot;}],&quot;accessed&quot;:{&quot;date-parts&quot;:[[2023,11,20]]},&quot;DOI&quot;:&quot;10.14744/hf.2022.2022.0014&quot;,&quot;URL&quot;:&quot;www.hepatologyforum.org&quot;,&quot;abstract&quot;:&quot;With the increasing incidence and prevalence of end-stage liver disease, demand for donor grafts continues to increase. Approaches on maximizing the potential donor grafts vary depending on the region. This review aims to summarize the current practice of liver transplantation with an emphasis on challenges encountered in developing countries. Keywords: Deceased-donor liver transplantation; end-stage liver disease; living-donor liver transplantation. technique was developed by Bismuth et al. to increase the donor pool for pediatric patients. [5,7] Later, Pichlmayr et al. [8] developed a split technique using a deceased donor liver graft to use it for two pediatric patients. Even these approaches, which were aimed to widen and expand the deceased liver donor pool, were not adequate to meet the needs of patients in need of the liver. In many countries, a deceased liver donation was not widely adopted.&quot;,&quot;container-title-short&quot;:&quot;&quot;},&quot;isTemporary&quot;:false}]},{&quot;citationID&quot;:&quot;MENDELEY_CITATION_261bcfed-6985-4d7a-ac7a-4f0c2551cd1d&quot;,&quot;properties&quot;:{&quot;noteIndex&quot;:0},&quot;isEdited&quot;:false,&quot;manualOverride&quot;:{&quot;isManuallyOverridden&quot;:false,&quot;citeprocText&quot;:&quot;[48,91]&quot;,&quot;manualOverrideText&quot;:&quot;&quot;},&quot;citationTag&quot;:&quot;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&quot;,&quot;citationItems&quot;:[{&quot;id&quot;:&quot;8f229207-e9a6-3cf3-8175-4f524b0533cf&quot;,&quot;itemData&quot;:{&quot;type&quot;:&quot;article-journal&quot;,&quot;id&quot;:&quot;8f229207-e9a6-3cf3-8175-4f524b0533cf&quot;,&quot;title&quot;:&quot;The correlation between preoperative volumetry and real graft weight: Comparison of two volumetry programs&quot;,&quot;author&quot;:[{&quot;family&quot;:&quot;Mussin&quot;,&quot;given&quot;:&quot;Nadiar&quot;,&quot;parse-names&quot;:false,&quot;dropping-particle&quot;:&quot;&quot;,&quot;non-dropping-particle&quot;:&quot;&quot;},{&quot;family&quot;:&quot;Sumo&quot;,&quot;given&quot;:&quot;Marco&quot;,&quot;parse-names&quot;:false,&quot;dropping-particle&quot;:&quot;&quot;,&quot;non-dropping-particle&quot;:&quot;&quot;},{&quot;family&quot;:&quot;Lee&quot;,&quot;given&quot;:&quot;Kwang Woong&quot;,&quot;parse-names&quot;:false,&quot;dropping-particle&quot;:&quot;&quot;,&quot;non-dropping-particle&quot;:&quot;&quot;},{&quot;family&quot;:&quot;Choi&quot;,&quot;given&quot;:&quot;Young Rok&quot;,&quot;parse-names&quot;:false,&quot;dropping-particle&quot;:&quot;&quot;,&quot;non-dropping-particle&quot;:&quot;&quot;},{&quot;family&quot;:&quot;Choi&quot;,&quot;given&quot;:&quot;Jin Yong&quot;,&quot;parse-names&quot;:false,&quot;dropping-particle&quot;:&quot;&quot;,&quot;non-dropping-particle&quot;:&quot;&quot;},{&quot;family&quot;:&quot;Ahn&quot;,&quot;given&quot;:&quot;Sung Woo&quot;,&quot;parse-names&quot;:false,&quot;dropping-particle&quot;:&quot;&quot;,&quot;non-dropping-particle&quot;:&quot;&quot;},{&quot;family&quot;:&quot;Yoon&quot;,&quot;given&quot;:&quot;Kyung Chul&quot;,&quot;parse-names&quot;:false,&quot;dropping-particle&quot;:&quot;&quot;,&quot;non-dropping-particle&quot;:&quot;&quot;},{&quot;family&quot;:&quot;Kim&quot;,&quot;given&quot;:&quot;Hyo Sin&quot;,&quot;parse-names&quot;:false,&quot;dropping-particle&quot;:&quot;&quot;,&quot;non-dropping-particle&quot;:&quot;&quot;},{&quot;family&quot;:&quot;Hong&quot;,&quot;given&quot;:&quot;Suk Kyun&quot;,&quot;parse-names&quot;:false,&quot;dropping-particle&quot;:&quot;&quot;,&quot;non-dropping-particle&quot;:&quot;&quot;},{&quot;family&quot;:&quot;Yi&quot;,&quot;given&quot;:&quot;Nam Joon&quot;,&quot;parse-names&quot;:false,&quot;dropping-particle&quot;:&quot;&quot;,&quot;non-dropping-particle&quot;:&quot;&quot;},{&quot;family&quot;:&quot;Suh&quot;,&quot;given&quot;:&quot;Kyung Suk&quot;,&quot;parse-names&quot;:false,&quot;dropping-particle&quot;:&quot;&quot;,&quot;non-dropping-particle&quot;:&quot;&quot;}],&quot;container-title&quot;:&quot;Annals of Surgical Treatment and Research&quot;,&quot;container-title-short&quot;:&quot;Ann Surg Treat Res&quot;,&quot;DOI&quot;:&quot;10.4174/astr.2017.92.4.214&quot;,&quot;ISSN&quot;:&quot;22886796&quot;,&quot;issued&quot;:{&quot;date-parts&quot;:[[2017,4,1]]},&quot;page&quot;:&quot;214-220&quot;,&quot;abstract&quot;:&quot;Purpose: Liver volumetry is a vital component in living donor liver transplantation to determine an adequate graft volume that meets the metabolic demands of the recipient and at the same time ensures donor safety. Most institutions use preoperative contrast-enhanced CT image-based software programs to estimate graft volume. The objective of this study was to evaluate the accuracy of 2 liver volumetry programs (Rapidia vs. Dr. Liver) in preoperative right liver graft estimation compared with real graft weight. Methods: Data from 215 consecutive right lobe living donors between October 2013 and August 2015 were retrospectively reviewed. One hundred seven patients were enrolled in Rapidia group and 108 patients were included in the Dr. Liver group. Estimated graft volumes generated by both software programs were compared with real graft weight measured during surgery, and further classified into minimal difference (&lt;15%) and big difference (&gt;15%). Correlation coefficients and degree of difference were determined. Linear regressions were calculated and results depicted as scatterplots. Results: Minimal difference was observed in 69.4% of cases from Dr. Liver group and big difference was seen in 44.9% of cases from Rapidia group (P = 0.035). Linear regression analysis showed positive correlation in both groups (P &lt; 0.01). However, the correlation coefficient was better for the Dr. Liver group (R2 = 0.719), than for the Rapidia group (R2 = 0.688). Conclusion: Dr. Liver can accurately predict right liver graft size better and faster than Rapidia, and can facilitate preoperative planning in living donor liver transplantation.&quot;,&quot;publisher&quot;:&quot;Korean Surgical Society&quot;,&quot;issue&quot;:&quot;4&quot;,&quot;volume&quot;:&quot;92&quot;},&quot;isTemporary&quot;:false},{&quot;id&quot;:&quot;29f9769b-3f21-33d7-a8c9-2b6820291c62&quot;,&quot;itemData&quot;:{&quot;type&quot;:&quot;article-journal&quot;,&quot;id&quot;:&quot;29f9769b-3f21-33d7-a8c9-2b6820291c62&quot;,&quot;title&quot;:&quot;Is right lobe liver graft without main right hepatic vein suitable for living donor liver transplantation?&quot;,&quot;author&quot;:[{&quot;family&quot;:&quot;Demyati&quot;,&quot;given&quot;:&quot;Khaled&quot;,&quot;parse-names&quot;:false,&quot;dropping-particle&quot;:&quot;&quot;,&quot;non-dropping-particle&quot;:&quot;&quot;},{&quot;family&quot;:&quot;Akbulut&quot;,&quot;given&quot;:&quot;Sami&quot;,&quot;parse-names&quot;:false,&quot;dropping-particle&quot;:&quot;&quot;,&quot;non-dropping-particle&quot;:&quot;&quot;},{&quot;family&quot;:&quot;Cicek&quot;,&quot;given&quot;:&quot;Egemen&quot;,&quot;parse-names&quot;:false,&quot;dropping-particle&quot;:&quot;&quot;,&quot;non-dropping-particle&quot;:&quot;&quot;},{&quot;family&quot;:&quot;Dirican&quot;,&quot;given&quot;:&quot;Abuzer&quot;,&quot;parse-names&quot;:false,&quot;dropping-particle&quot;:&quot;&quot;,&quot;non-dropping-particle&quot;:&quot;&quot;},{&quot;family&quot;:&quot;Koc&quot;,&quot;given&quot;:&quot;Cemalettin&quot;,&quot;parse-names&quot;:false,&quot;dropping-particle&quot;:&quot;&quot;,&quot;non-dropping-particle&quot;:&quot;&quot;},{&quot;family&quot;:&quot;Yilmaz&quot;,&quot;given&quot;:&quot;Sezai&quot;,&quot;parse-names&quot;:false,&quot;dropping-particle&quot;:&quot;&quot;,&quot;non-dropping-particle&quot;:&quot;&quot;}],&quot;container-title&quot;:&quot;World Journal of Hepatology&quot;,&quot;container-title-short&quot;:&quot;World J Hepatol&quot;,&quot;accessed&quot;:{&quot;date-parts&quot;:[[2024,10,6]]},&quot;DOI&quot;:&quot;10.4254/WJH.V12.I7.406&quot;,&quot;ISSN&quot;:&quot;19485182&quot;,&quot;PMID&quot;:&quot;32821339&quot;,&quot;URL&quot;:&quot;/pmc/articles/PMC7407913/&quot;,&quot;issued&quot;:{&quot;date-parts&quot;:[[2020,7,7]]},&quot;page&quot;:&quot;406&quot;,&quot;abstract&quot;:&quot;BACKGROUND Since the first living donor liver transplantation (LDLT) was performed by Raia and colleagues in December 1988, LDLT has become the gold standard treatment in countries where cadaveric organ donation is not sufficient. Adequate hepatic venous outflow reconstruction in LDLT is essential to prevent graft congestion and its complications including graft loss. However, this can be complex and technically demanding especially in the presence of complex variations and congenital anomalies in the graft hepatic veins. CASE SUMMARY Herein, we aimed to present two cases who underwent successful right lobe LDLT using a right lobe liver graft with rudimentary or congenital absence of the right hepatic vein and describe the utility of a common large opening drainage model in such complex cases. CONCLUSION Thanks to this venous reconstruction model, none of the patients developed postoperative complications related to venous drainage. Our experience with venous drainage reconstruction models shows that congenital variations in the hepatic venous structure of living liver donors are not absolute contraindications for LDLT.&quot;,&quot;publisher&quot;:&quot;Baishideng Publishing Group Inc&quot;,&quot;issue&quot;:&quot;7&quot;,&quot;volume&quot;:&quot;12&quot;},&quot;isTemporary&quot;:false}]},{&quot;citationID&quot;:&quot;MENDELEY_CITATION_0ca7da29-8a7d-4285-bbac-6ee0c0bcadea&quot;,&quot;properties&quot;:{&quot;noteIndex&quot;:0},&quot;isEdited&quot;:false,&quot;manualOverride&quot;:{&quot;isManuallyOverridden&quot;:false,&quot;citeprocText&quot;:&quot;[92]&quot;,&quot;manualOverrideText&quot;:&quot;&quot;},&quot;citationTag&quot;:&quot;MENDELEY_CITATION_v3_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&quot;,&quot;citationItems&quot;:[{&quot;id&quot;:&quot;ed60f660-e5dc-3da2-9c16-593c98959d41&quot;,&quot;itemData&quot;:{&quot;type&quot;:&quot;article-journal&quot;,&quot;id&quot;:&quot;ed60f660-e5dc-3da2-9c16-593c98959d41&quot;,&quot;title&quot;:&quot;Liver Three-Dimensional Reconstruction Accurately Predicts Remnant Liver Volume for HBV-Related Hepatocellular Carcinoma Prior to Hepatectomy&quot;,&quot;author&quot;:[{&quot;family&quot;:&quot;Zou&quot;,&quot;given&quot;:&quot;Heng&quot;,&quot;parse-names&quot;:false,&quot;dropping-particle&quot;:&quot;&quot;,&quot;non-dropping-particle&quot;:&quot;&quot;},{&quot;family&quot;:&quot;Xue&quot;,&quot;given&quot;:&quot;Huimin&quot;,&quot;parse-names&quot;:false,&quot;dropping-particle&quot;:&quot;&quot;,&quot;non-dropping-particle&quot;:&quot;&quot;},{&quot;family&quot;:&quot;Tao&quot;,&quot;given&quot;:&quot;Yiming&quot;,&quot;parse-names&quot;:false,&quot;dropping-particle&quot;:&quot;&quot;,&quot;non-dropping-particle&quot;:&quot;&quot;}],&quot;container-title&quot;:&quot;Indian Journal of Surgery&quot;,&quot;accessed&quot;:{&quot;date-parts&quot;:[[2023,6,17]]},&quot;DOI&quot;:&quot;10.1007/S12262-017-1645-8/METRICS&quot;,&quot;ISSN&quot;:&quot;09739793&quot;,&quot;URL&quot;:&quot;https://link.springer.com/article/10.1007/s12262-017-1645-8&quot;,&quot;issued&quot;:{&quot;date-parts&quot;:[[2018,10,1]]},&quot;page&quot;:&quot;488-493&quot;,&quot;abstract&quot;:&quot;Accurate prediction of future remnant liver volume preoperatively is vital to avoid posthepatectomy liver failure (PHLF). In this study, we evaluated the accuracy and efficiency of Myrian software for predicting resected liver volume and future remnant liver volume for hepatitis B virus (HBV)-related hepatocellular carcinoma prior to liver resection. Patients with HBV-related hepatocellular carcinoma undergoing liver three-dimensional CT reconstruction prior to or after hepatectomy were enrolled in this study. All three-dimensional reconstructions were completed by two observers (observers 1 and 2) separately. Resected specimen weights were obtained in the operating room after liver resection. The correlations between resected liver volume and resected specimen weights, planned remnant liver volume (RLV) and actual RLV were analyzed. Bland-Altman plots were used to assess interobserver variability between observers 1 and 2. A total of 42 patients were enrolled in the study, including 32 men and 10 women with a median age of 49 years. The mean time needed to perform complete volumetry in a patient was 20.8 ± 2.9 min and 23.7 ± 3.8 min for observers 1 and 2, respectively. The resected liver volume of observers 1 and 2 measured by Myrian software correlated strongly with the resected specimen weight (P &lt; 0.0001, r = 0.980; P &lt; 0.0001, r = 0.982, respectively). Pearson’s correlation analysis showed that the planned RLV had a strong positive correlation with the actual RLV for observers 1 and 2 (P &lt; 0.0001, r = 0.957; P &lt; 0.0001, r = 0.949, respectively). Low interobserver variability was observed between observers 1 and 2. Liver three-dimensional CT reconstruction can accurately predict resected liver volume and future remnant liver volume for HBV-related hepatocellular carcinoma prior to liver resection.&quot;,&quot;publisher&quot;:&quot;Springer&quot;,&quot;issue&quot;:&quot;5&quot;,&quot;volume&quot;:&quot;80&quot;,&quot;container-title-short&quot;:&quot;&quot;},&quot;isTemporary&quot;:false}]},{&quot;citationID&quot;:&quot;MENDELEY_CITATION_f7821e1b-53c8-492a-b391-2d1e11fe8174&quot;,&quot;properties&quot;:{&quot;noteIndex&quot;:0},&quot;isEdited&quot;:false,&quot;manualOverride&quot;:{&quot;isManuallyOverridden&quot;:false,&quot;citeprocText&quot;:&quot;[5,51,90,93,94]&quot;,&quot;manualOverrideText&quot;:&quot;&quot;},&quot;citationTag&quot;:&quot;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&quot;,&quot;citationItems&quot;:[{&quot;id&quot;:&quot;88b95ac6-c688-3c27-a202-d094e0874e46&quot;,&quot;itemData&quot;:{&quot;type&quot;:&quot;article-journal&quot;,&quot;id&quot;:&quot;88b95ac6-c688-3c27-a202-d094e0874e46&quot;,&quot;title&quot;:&quot;Liver Graft Volume Estimation by Manual Volumetry and Software-Aided Interactive Volumetry: Which is Better?&quot;,&quot;author&quot;:[{&quot;family&quot;:&quot;Bozkurt&quot;,&quot;given&quot;:&quot;Birkan&quot;,&quot;parse-names&quot;:false,&quot;dropping-particle&quot;:&quot;&quot;,&quot;non-dropping-particle&quot;:&quot;&quot;},{&quot;family&quot;:&quot;Emek&quot;,&quot;given&quot;:&quot;Ertan&quot;,&quot;parse-names&quot;:false,&quot;dropping-particle&quot;:&quot;&quot;,&quot;non-dropping-particle&quot;:&quot;&quot;},{&quot;family&quot;:&quot;Arikan&quot;,&quot;given&quot;:&quot;Turkmen&quot;,&quot;parse-names&quot;:false,&quot;dropping-particle&quot;:&quot;&quot;,&quot;non-dropping-particle&quot;:&quot;&quot;},{&quot;family&quot;:&quot;Ceyhan&quot;,&quot;given&quot;:&quot;Ozgur&quot;,&quot;parse-names&quot;:false,&quot;dropping-particle&quot;:&quot;&quot;,&quot;non-dropping-particle&quot;:&quot;&quot;},{&quot;family&quot;:&quot;Yazici&quot;,&quot;given&quot;:&quot;Pinar&quot;,&quot;parse-names&quot;:false,&quot;dropping-particle&quot;:&quot;&quot;,&quot;non-dropping-particle&quot;:&quot;&quot;},{&quot;family&quot;:&quot;Sahin&quot;,&quot;given&quot;:&quot;Tolga&quot;,&quot;parse-names&quot;:false,&quot;dropping-particle&quot;:&quot;&quot;,&quot;non-dropping-particle&quot;:&quot;&quot;},{&quot;family&quot;:&quot;Mammadov&quot;,&quot;given&quot;:&quot;Elmar&quot;,&quot;parse-names&quot;:false,&quot;dropping-particle&quot;:&quot;&quot;,&quot;non-dropping-particle&quot;:&quot;&quot;},{&quot;family&quot;:&quot;Serin&quot;,&quot;given&quot;:&quot;Ayfer&quot;,&quot;parse-names&quot;:false,&quot;dropping-particle&quot;:&quot;&quot;,&quot;non-dropping-particle&quot;:&quot;&quot;},{&quot;family&quot;:&quot;Gurcan&quot;,&quot;given&quot;:&quot;Nagihan Inan&quot;,&quot;parse-names&quot;:false,&quot;dropping-particle&quot;:&quot;&quot;,&quot;non-dropping-particle&quot;:&quot;&quot;},{&quot;family&quot;:&quot;Yuzer&quot;,&quot;given&quot;:&quot;Yildiray&quot;,&quot;parse-names&quot;:false,&quot;dropping-particle&quot;:&quot;&quot;,&quot;non-dropping-particle&quot;:&quot;&quot;},{&quot;family&quot;:&quot;Tokat&quot;,&quot;given&quot;:&quot;Yaman&quot;,&quot;parse-names&quot;:false,&quot;dropping-particle&quot;:&quot;&quot;,&quot;non-dropping-particle&quot;:&quot;&quot;}],&quot;container-title&quot;:&quot;Transplantation Proceedings&quot;,&quot;container-title-short&quot;:&quot;Transplant Proc&quot;,&quot;DOI&quot;:&quot;10.1016/j.transproceed.2019.01.152&quot;,&quot;ISSN&quot;:&quot;18732623&quot;,&quot;PMID&quot;:&quot;31324483&quot;,&quot;issued&quot;:{&quot;date-parts&quot;:[[2019,9,1]]},&quot;page&quot;:&quot;2387-2390&quot;,&quot;abstract&quot;:&quot;Purpose: Estimation of graft volume is critical in living donor liver transplantation (LDLT). In this study, we aimed to evaluate the accuracy of software-aided automated computer tomography (CT) volumetry in the preoperative assessment of graft size for LDLT and to compare this method with manual volumetry. Materials and Methods: Forty-one donors (27 men; 14 women) with a mean age in years ± standard deviation (28.4 ± 6.6) underwent contrast-enhanced CT prior to graft removal for LDLT. A liver transplant surgeon determined the weights of liver grafts using automated 3-dimensional volumetry software, and an abdominal radiologist specializing in liver imaging independently and blindly used the commercial interactive volumetry-assisted software on a viewing workstation to determine the liver volume on CT images. Both results were then compared to the weights of actual grafts obtained during surgery. Intraclass correlation coefficients were used to assess the consistency of numerical measurements and Pearson correlation coefficients were calculated to detect a linear relationship between numerical variables. To compare correlation coefficients, z scores were used. Results: Regarding the right and left lobe graft volume estimation by the surgeon, there was a positive correlation between the results and actual graft weight (r = 0.834; P = .001; and r = 0.587; P = .001, respectively). Likewise, graft volume estimation by the radiologist for the right and left lobe was also positively correlated with the actual graft weight (r = 0.819; P = .001 and r = 0.626, P = .001, respectively). There was no significant difference between correlation coefficients (P = .836). Conclusion: Volumetric measurement of donor graft using 3-dimensional software provides comparable results to manual CT calculation of liver volume.&quot;,&quot;publisher&quot;:&quot;Elsevier USA&quot;,&quot;issue&quot;:&quot;7&quot;,&quot;volume&quot;:&quot;51&quot;},&quot;isTemporary&quot;:false},{&quot;id&quot;:&quot;ad0d21dd-fff1-3206-9cfb-dc3a97be48ce&quot;,&quot;itemData&quot;:{&quot;type&quot;:&quot;article-journal&quot;,&quot;id&quot;:&quot;ad0d21dd-fff1-3206-9cfb-dc3a97be48ce&quot;,&quot;title&quot;:&quot;Liver transplantation in developing countries Review Liver transplantation in developing countries HEPATOLOGY FORUM Living-Donor Liver Transplantation&quot;,&quot;author&quot;:[{&quot;family&quot;:&quot;Ozturk&quot;,&quot;given&quot;:&quot;Nazli Begum&quot;,&quot;parse-names&quot;:false,&quot;dropping-particle&quot;:&quot;&quot;,&quot;non-dropping-particle&quot;:&quot;&quot;},{&quot;family&quot;:&quot;Muhammad&quot;,&quot;given&quot;:&quot;Haris&quot;,&quot;parse-names&quot;:false,&quot;dropping-particle&quot;:&quot;&quot;,&quot;non-dropping-particle&quot;:&quot;&quot;},{&quot;family&quot;:&quot;Gurakar&quot;,&quot;given&quot;:&quot;Merve&quot;,&quot;parse-names&quot;:false,&quot;dropping-particle&quot;:&quot;&quot;,&quot;non-dropping-particle&quot;:&quot;&quot;},{&quot;family&quot;:&quot;Aslan&quot;,&quot;given&quot;:&quot;Alperen&quot;,&quot;parse-names&quot;:false,&quot;dropping-particle&quot;:&quot;&quot;,&quot;non-dropping-particle&quot;:&quot;&quot;},{&quot;family&quot;:&quot;Gurakar&quot;,&quot;given&quot;:&quot;Ahmet&quot;,&quot;parse-names&quot;:false,&quot;dropping-particle&quot;:&quot;&quot;,&quot;non-dropping-particle&quot;:&quot;&quot;},{&quot;family&quot;:&quot;Dao&quot;,&quot;given&quot;:&quot;Doan&quot;,&quot;parse-names&quot;:false,&quot;dropping-particle&quot;:&quot;&quot;,&quot;non-dropping-particle&quot;:&quot;&quot;}],&quot;accessed&quot;:{&quot;date-parts&quot;:[[2023,11,20]]},&quot;DOI&quot;:&quot;10.14744/hf.2022.2022.0014&quot;,&quot;URL&quot;:&quot;www.hepatologyforum.org&quot;,&quot;abstract&quot;:&quot;With the increasing incidence and prevalence of end-stage liver disease, demand for donor grafts continues to increase. Approaches on maximizing the potential donor grafts vary depending on the region. This review aims to summarize the current practice of liver transplantation with an emphasis on challenges encountered in developing countries. Keywords: Deceased-donor liver transplantation; end-stage liver disease; living-donor liver transplantation. technique was developed by Bismuth et al. to increase the donor pool for pediatric patients. [5,7] Later, Pichlmayr et al. [8] developed a split technique using a deceased donor liver graft to use it for two pediatric patients. Even these approaches, which were aimed to widen and expand the deceased liver donor pool, were not adequate to meet the needs of patients in need of the liver. In many countries, a deceased liver donation was not widely adopted.&quot;,&quot;container-title-short&quot;:&quot;&quot;},&quot;isTemporary&quot;:false},{&quot;id&quot;:&quot;4554dd2b-db49-3ff2-a4af-51ce33975928&quot;,&quot;itemData&quot;:{&quot;type&quot;:&quot;article-journal&quot;,&quot;id&quot;:&quot;4554dd2b-db49-3ff2-a4af-51ce33975928&quot;,&quot;title&quot;:&quot;Deep Learning for Automated Segmentation of Liver Lesions at CT in Patients with Colorectal Cancer Liver Metastases&quot;,&quot;author&quot;:[{&quot;family&quot;:&quot;Vorontsov&quot;,&quot;given&quot;:&quot;Eugene&quot;,&quot;parse-names&quot;:false,&quot;dropping-particle&quot;:&quot;&quot;,&quot;non-dropping-particle&quot;:&quot;&quot;},{&quot;family&quot;:&quot;Cerny&quot;,&quot;given&quot;:&quot;Milena&quot;,&quot;parse-names&quot;:false,&quot;dropping-particle&quot;:&quot;&quot;,&quot;non-dropping-particle&quot;:&quot;&quot;},{&quot;family&quot;:&quot;Régnier&quot;,&quot;given&quot;:&quot;Philippe&quot;,&quot;parse-names&quot;:false,&quot;dropping-particle&quot;:&quot;&quot;,&quot;non-dropping-particle&quot;:&quot;&quot;},{&quot;family&quot;:&quot;Jorio&quot;,&quot;given&quot;:&quot;Lisa&quot;,&quot;parse-names&quot;:false,&quot;dropping-particle&quot;:&quot;&quot;,&quot;non-dropping-particle&quot;:&quot;Di&quot;},{&quot;family&quot;:&quot;Pal&quot;,&quot;given&quot;:&quot;Christopher J.&quot;,&quot;parse-names&quot;:false,&quot;dropping-particle&quot;:&quot;&quot;,&quot;non-dropping-particle&quot;:&quot;&quot;},{&quot;family&quot;:&quot;Lapointe&quot;,&quot;given&quot;:&quot;Réal&quot;,&quot;parse-names&quot;:false,&quot;dropping-particle&quot;:&quot;&quot;,&quot;non-dropping-particle&quot;:&quot;&quot;},{&quot;family&quot;:&quot;Vandenbroucke-Menu&quot;,&quot;given&quot;:&quot;Franck&quot;,&quot;parse-names&quot;:false,&quot;dropping-particle&quot;:&quot;&quot;,&quot;non-dropping-particle&quot;:&quot;&quot;},{&quot;family&quot;:&quot;Turcotte&quot;,&quot;given&quot;:&quot;Simon&quot;,&quot;parse-names&quot;:false,&quot;dropping-particle&quot;:&quot;&quot;,&quot;non-dropping-particle&quot;:&quot;&quot;},{&quot;family&quot;:&quot;Kadoury&quot;,&quot;given&quot;:&quot;Samuel&quot;,&quot;parse-names&quot;:false,&quot;dropping-particle&quot;:&quot;&quot;,&quot;non-dropping-particle&quot;:&quot;&quot;},{&quot;family&quot;:&quot;Tang&quot;,&quot;given&quot;:&quot;An&quot;,&quot;parse-names&quot;:false,&quot;dropping-particle&quot;:&quot;&quot;,&quot;non-dropping-particle&quot;:&quot;&quot;}],&quot;container-title&quot;:&quot;Radiology: Artificial Intelligence&quot;,&quot;container-title-short&quot;:&quot;Radiol Artif Intell&quot;,&quot;DOI&quot;:&quot;10.1148/ryai.2019180014&quot;,&quot;issued&quot;:{&quot;date-parts&quot;:[[2019,3]]},&quot;page&quot;:&quot;180014&quot;,&quot;abstract&quot;:&quot;A deep learning method shows promise for facilitating detection and segmentation of colorectal liver metastases; user correction of three-dimensional automated segmentations can generally resolve deficiencies of fully automated segmentation for small metastases and is faster than manual three-dimensional segmentation.&quot;,&quot;publisher&quot;:&quot;Radiological Society of North America (RSNA)&quot;,&quot;issue&quot;:&quot;2&quot;,&quot;volume&quot;:&quot;1&quot;},&quot;isTemporary&quot;:false},{&quot;id&quot;:&quot;d674cd48-89a7-33a0-9fca-5b15ca6f9621&quot;,&quot;itemData&quot;:{&quot;type&quot;:&quot;article-journal&quot;,&quot;id&quot;:&quot;d674cd48-89a7-33a0-9fca-5b15ca6f9621&quot;,&quot;title&quot;:&quot;Liver planning software accurately predicts postoperative liver volume and measures early regeneration&quot;,&quot;author&quot;:[{&quot;family&quot;:&quot;Simpson&quot;,&quot;given&quot;:&quot;Amber L.&quot;,&quot;parse-names&quot;:false,&quot;dropping-particle&quot;:&quot;&quot;,&quot;non-dropping-particle&quot;:&quot;&quot;},{&quot;family&quot;:&quot;Geller&quot;,&quot;given&quot;:&quot;David A.&quot;,&quot;parse-names&quot;:false,&quot;dropping-particle&quot;:&quot;&quot;,&quot;non-dropping-particle&quot;:&quot;&quot;},{&quot;family&quot;:&quot;Hemming&quot;,&quot;given&quot;:&quot;Alan W.&quot;,&quot;parse-names&quot;:false,&quot;dropping-particle&quot;:&quot;&quot;,&quot;non-dropping-particle&quot;:&quot;&quot;},{&quot;family&quot;:&quot;Jarnagin&quot;,&quot;given&quot;:&quot;William R.&quot;,&quot;parse-names&quot;:false,&quot;dropping-particle&quot;:&quot;&quot;,&quot;non-dropping-particle&quot;:&quot;&quot;},{&quot;family&quot;:&quot;Clements&quot;,&quot;given&quot;:&quot;Logan W.&quot;,&quot;parse-names&quot;:false,&quot;dropping-particle&quot;:&quot;&quot;,&quot;non-dropping-particle&quot;:&quot;&quot;},{&quot;family&quot;:&quot;D'Angelica&quot;,&quot;given&quot;:&quot;Michael I.&quot;,&quot;parse-names&quot;:false,&quot;dropping-particle&quot;:&quot;&quot;,&quot;non-dropping-particle&quot;:&quot;&quot;},{&quot;family&quot;:&quot;Dumpuri&quot;,&quot;given&quot;:&quot;Prashanth&quot;,&quot;parse-names&quot;:false,&quot;dropping-particle&quot;:&quot;&quot;,&quot;non-dropping-particle&quot;:&quot;&quot;},{&quot;family&quot;:&quot;Gönen&quot;,&quot;given&quot;:&quot;Mithat&quot;,&quot;parse-names&quot;:false,&quot;dropping-particle&quot;:&quot;&quot;,&quot;non-dropping-particle&quot;:&quot;&quot;},{&quot;family&quot;:&quot;Zendejas&quot;,&quot;given&quot;:&quot;Ivan&quot;,&quot;parse-names&quot;:false,&quot;dropping-particle&quot;:&quot;&quot;,&quot;non-dropping-particle&quot;:&quot;&quot;},{&quot;family&quot;:&quot;Miga&quot;,&quot;given&quot;:&quot;Michael I.&quot;,&quot;parse-names&quot;:false,&quot;dropping-particle&quot;:&quot;&quot;,&quot;non-dropping-particle&quot;:&quot;&quot;},{&quot;family&quot;:&quot;Stefansic&quot;,&quot;given&quot;:&quot;James D.&quot;,&quot;parse-names&quot;:false,&quot;dropping-particle&quot;:&quot;&quot;,&quot;non-dropping-particle&quot;:&quot;&quot;}],&quot;container-title&quot;:&quot;Journal of the American College of Surgeons&quot;,&quot;container-title-short&quot;:&quot;J Am Coll Surg&quot;,&quot;DOI&quot;:&quot;10.1016/j.jamcollsurg.2014.02.027&quot;,&quot;ISSN&quot;:&quot;18791190&quot;,&quot;PMID&quot;:&quot;24862883&quot;,&quot;issued&quot;:{&quot;date-parts&quot;:[[2014]]},&quot;page&quot;:&quot;199-207&quot;,&quot;abstract&quot;:&quot;Background Postoperative or remnant liver volume (RLV) after hepatic resection is a critical predictor of perioperative outcomes. This study investigates whether the accuracy of liver surgical planning software for predicting postoperative RLV and assessing early regeneration. Study Design Patients eligible for hepatic resection were approached for participation in the study from June 2008 to 2010. All patients underwent cross-sectional imaging (CT or MRI) before and early after resection. Planned remnant liver volume (pRLV) (based on the planned resection on the preoperative scan) and postoperative actual remnant liver volume (aRLV) (determined from early postoperative scan) were measured using Scout Liver software (Pathfinder Therapeutics Inc.). Differences between pRLV and aRLV were analyzed, controlling for timing of postoperative imaging. Measured total liver volume (TLV) was compared with standard equations for calculating volume. Results Sixty-six patients were enrolled in the study from June 2008 to June 2010 at 3 treatment centers. Correlation was found between pRLV and aRLV (r = 0.941; p &lt; 0.001), which improved when timing of postoperative imaging was considered (r = 0.953; p &lt; 0.001). Relative volume deviation from pRLV to aRLV stratified cases according to timing of postoperative imaging showed evidence of measurable regeneration beginning 5 days after surgery, with stabilization at 8 days (p &lt; 0.01). For patients at the upper and lower extremes of liver volumes, TLV was poorly estimated using standard equations (up to 50% in some cases). Conclusions Preoperative virtual planning of future liver remnant accurately predicts postoperative volume after hepatic resection. Early postoperative liver regeneration is measureable on imaging beginning at 5 days after surgery. Measuring TLV directly from CT scans rather than calculating based on equations accounts for extremes in TLV. © 2014 by the American College of Surgeons.&quot;,&quot;publisher&quot;:&quot;Elsevier Inc.&quot;,&quot;issue&quot;:&quot;2&quot;,&quot;volume&quot;:&quot;219&quot;},&quot;isTemporary&quot;:false},{&quot;id&quot;:&quot;afcaf692-59aa-3426-8f03-83ede95aec74&quot;,&quot;itemData&quot;:{&quot;type&quot;:&quot;article-journal&quot;,&quot;id&quot;:&quot;afcaf692-59aa-3426-8f03-83ede95aec74&quot;,&quot;title&quot;:&quot;Accuracy of Estimation of Graft Size for Living-Related Liver Transplantation: First Results of a Semi-Automated Interactive Software for CT-Volumetry&quot;,&quot;author&quot;:[{&quot;family&quot;:&quot;Mokry&quot;,&quot;given&quot;:&quot;Theresa&quot;,&quot;parse-names&quot;:false,&quot;dropping-particle&quot;:&quot;&quot;,&quot;non-dropping-particle&quot;:&quot;&quot;},{&quot;family&quot;:&quot;Bellemann&quot;,&quot;given&quot;:&quot;Nadine&quot;,&quot;parse-names&quot;:false,&quot;dropping-particle&quot;:&quot;&quot;,&quot;non-dropping-particle&quot;:&quot;&quot;},{&quot;family&quot;:&quot;Müller&quot;,&quot;given&quot;:&quot;Dirk&quot;,&quot;parse-names&quot;:false,&quot;dropping-particle&quot;:&quot;&quot;,&quot;non-dropping-particle&quot;:&quot;&quot;},{&quot;family&quot;:&quot;Bermejo&quot;,&quot;given&quot;:&quot;Justo Lorenzo&quot;,&quot;parse-names&quot;:false,&quot;dropping-particle&quot;:&quot;&quot;,&quot;non-dropping-particle&quot;:&quot;&quot;},{&quot;family&quot;:&quot;Klauß&quot;,&quot;given&quot;:&quot;Miriam&quot;,&quot;parse-names&quot;:false,&quot;dropping-particle&quot;:&quot;&quot;,&quot;non-dropping-particle&quot;:&quot;&quot;},{&quot;family&quot;:&quot;Stampfl&quot;,&quot;given&quot;:&quot;Ulrike&quot;,&quot;parse-names&quot;:false,&quot;dropping-particle&quot;:&quot;&quot;,&quot;non-dropping-particle&quot;:&quot;&quot;},{&quot;family&quot;:&quot;Radeleff&quot;,&quot;given&quot;:&quot;Boris&quot;,&quot;parse-names&quot;:false,&quot;dropping-particle&quot;:&quot;&quot;,&quot;non-dropping-particle&quot;:&quot;&quot;},{&quot;family&quot;:&quot;Schemmer&quot;,&quot;given&quot;:&quot;Peter&quot;,&quot;parse-names&quot;:false,&quot;dropping-particle&quot;:&quot;&quot;,&quot;non-dropping-particle&quot;:&quot;&quot;},{&quot;family&quot;:&quot;Kauczor&quot;,&quot;given&quot;:&quot;Hans Ulrich&quot;,&quot;parse-names&quot;:false,&quot;dropping-particle&quot;:&quot;&quot;,&quot;non-dropping-particle&quot;:&quot;&quot;},{&quot;family&quot;:&quot;Sommer&quot;,&quot;given&quot;:&quot;Christof Matthias&quot;,&quot;parse-names&quot;:false,&quot;dropping-particle&quot;:&quot;&quot;,&quot;non-dropping-particle&quot;:&quot;&quot;}],&quot;container-title&quot;:&quot;PLOS ONE&quot;,&quot;container-title-short&quot;:&quot;PLoS One&quot;,&quot;accessed&quot;:{&quot;date-parts&quot;:[[2024,10,17]]},&quot;DOI&quot;:&quot;10.1371/JOURNAL.PONE.0110201&quot;,&quot;ISSN&quot;:&quot;1932-6203&quot;,&quot;PMID&quot;:&quot;25330198&quot;,&quot;URL&quot;:&quot;https://journals.plos.org/plosone/article?id=10.1371/journal.pone.0110201&quot;,&quot;issued&quot;:{&quot;date-parts&quot;:[[2014,10,17]]},&quot;page&quot;:&quot;e110201&quot;,&quot;abstract&quot;:&quot;Objectives To evaluate accuracy of estimated graft size for living-related liver transplantation using a semi-automated interactive software for CT-volumetry.  Materials and Methods Sixteen donors for living-related liver transplantation (11 male; mean age: 38.2±9.6 years) underwent contrast-enhanced CT prior to graft removal. CT-volumetry was performed using a semi-automated interactive software (P), and compared with a manual commercial software (TR). For P, liver volumes were provided either with or without vessels. For TR, liver volumes were provided always with vessels. Intraoperative weight served as reference standard. Major study goals included analyses of volumes using absolute numbers, linear regression analyses and inter-observer agreements. Minor study goals included the description of the software workflow: degree of manual correction, speed for completion, and overall intuitiveness using five-point Likert scales: 1–markedly lower/faster/higher for P compared with TR, 2–slightly lower/faster/higher for P compared with TR, 3–identical for P and TR, 4–slightly lower/faster/higher for TR compared with P, and 5–markedly lower/faster/higher for TR compared with P.  Results Liver segments II/III, II–IV and V–VIII served in 6, 3, and 7 donors as transplanted liver segments. Volumes were 642.9±368.8 ml for TR with vessels, 623.8±349.1 ml for P with vessels, and 605.2±345.8 ml for P without vessels (P&lt;0.01). Regression equations between intraoperative weights and volumes were y = 0.94x+30.1 (R2 = 0.92; P&lt;0.001) for TR with vessels, y = 1.00x+12.0 (R2 = 0.92; P&lt;0.001) for P with vessels, and y = 1.01x+28.0 (R2 = 0.92; P&lt;0.001) for P without vessels. Inter-observer agreement showed a bias of 1.8 ml for TR with vessels, 5.4 ml for P with vessels, and 4.6 ml for P without vessels. For the degree of manual correction, speed for completion and overall intuitiveness, scale values were 2.6±0.8, 2.4±0.5 and 2.  Conclusions CT-volumetry performed with P can predict accurately graft size for living-related liver transplantation while improving workflow compared with TR.&quot;,&quot;publisher&quot;:&quot;Public Library of Science&quot;,&quot;issue&quot;:&quot;10&quot;,&quot;volume&quot;:&quot;9&quot;},&quot;isTemporary&quot;:false}]},{&quot;citationID&quot;:&quot;MENDELEY_CITATION_7a3c5f36-a546-4b29-b54c-68078ae01450&quot;,&quot;properties&quot;:{&quot;noteIndex&quot;:0},&quot;isEdited&quot;:false,&quot;manualOverride&quot;:{&quot;isManuallyOverridden&quot;:false,&quot;citeprocText&quot;:&quot;[59]&quot;,&quot;manualOverrideText&quot;:&quot;&quot;},&quot;citationTag&quot;:&quot;MENDELEY_CITATION_v3_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&quot;,&quot;citationItems&quot;:[{&quot;id&quot;:&quot;940fa0e7-edf3-3474-8d29-29bad8042953&quot;,&quot;itemData&quot;:{&quot;type&quot;:&quot;article-journal&quot;,&quot;id&quot;:&quot;940fa0e7-edf3-3474-8d29-29bad8042953&quot;,&quot;title&quot;:&quot;Fully automated preoperative liver volumetry incorporating the anatomical location of the central hepatic vein&quot;,&quot;author&quot;:[{&quot;family&quot;:&quot;Koitka&quot;,&quot;given&quot;:&quot;Sven&quot;,&quot;parse-names&quot;:false,&quot;dropping-particle&quot;:&quot;&quot;,&quot;non-dropping-particle&quot;:&quot;&quot;},{&quot;family&quot;:&quot;Gudlin&quot;,&quot;given&quot;:&quot;Phillip&quot;,&quot;parse-names&quot;:false,&quot;dropping-particle&quot;:&quot;&quot;,&quot;non-dropping-particle&quot;:&quot;&quot;},{&quot;family&quot;:&quot;Theysohn&quot;,&quot;given&quot;:&quot;Jens M.&quot;,&quot;parse-names&quot;:false,&quot;dropping-particle&quot;:&quot;&quot;,&quot;non-dropping-particle&quot;:&quot;&quot;},{&quot;family&quot;:&quot;Oezcelik&quot;,&quot;given&quot;:&quot;Arzu&quot;,&quot;parse-names&quot;:false,&quot;dropping-particle&quot;:&quot;&quot;,&quot;non-dropping-particle&quot;:&quot;&quot;},{&quot;family&quot;:&quot;Hoyer&quot;,&quot;given&quot;:&quot;Dieter P.&quot;,&quot;parse-names&quot;:false,&quot;dropping-particle&quot;:&quot;&quot;,&quot;non-dropping-particle&quot;:&quot;&quot;},{&quot;family&quot;:&quot;Dayangac&quot;,&quot;given&quot;:&quot;Murat&quot;,&quot;parse-names&quot;:false,&quot;dropping-particle&quot;:&quot;&quot;,&quot;non-dropping-particle&quot;:&quot;&quot;},{&quot;family&quot;:&quot;Hosch&quot;,&quot;given&quot;:&quot;René&quot;,&quot;parse-names&quot;:false,&quot;dropping-particle&quot;:&quot;&quot;,&quot;non-dropping-particle&quot;:&quot;&quot;},{&quot;family&quot;:&quot;Haubold&quot;,&quot;given&quot;:&quot;Johannes&quot;,&quot;parse-names&quot;:false,&quot;dropping-particle&quot;:&quot;&quot;,&quot;non-dropping-particle&quot;:&quot;&quot;},{&quot;family&quot;:&quot;Flaschel&quot;,&quot;given&quot;:&quot;Nils&quot;,&quot;parse-names&quot;:false,&quot;dropping-particle&quot;:&quot;&quot;,&quot;non-dropping-particle&quot;:&quot;&quot;},{&quot;family&quot;:&quot;Nensa&quot;,&quot;given&quot;:&quot;Felix&quot;,&quot;parse-names&quot;:false,&quot;dropping-particle&quot;:&quot;&quot;,&quot;non-dropping-particle&quot;:&quot;&quot;},{&quot;family&quot;:&quot;Malamutmann&quot;,&quot;given&quot;:&quot;Eugen&quot;,&quot;parse-names&quot;:false,&quot;dropping-particle&quot;:&quot;&quot;,&quot;non-dropping-particle&quot;:&quot;&quot;}],&quot;container-title&quot;:&quot;Scientific reports&quot;,&quot;container-title-short&quot;:&quot;Sci Rep&quot;,&quot;accessed&quot;:{&quot;date-parts&quot;:[[2023,6,15]]},&quot;DOI&quot;:&quot;10.1038/S41598-022-20778-4&quot;,&quot;ISSN&quot;:&quot;2045-2322&quot;,&quot;PMID&quot;:&quot;36183002&quot;,&quot;issued&quot;:{&quot;date-parts&quot;:[[2022,12,1]]},&quot;abstract&quot;:&quot;The precise preoperative calculation of functional liver volumes is essential prior major liver resections, as well as for the evaluation of a suitable donor for living donor liver transplantation. The aim of this study was to develop a fully automated, reproducible, and quantitative 3D volumetry of the liver from standard CT examinations of the abdomen as part of routine clinical imaging. Therefore, an in-house dataset of 100 venous phase CT examinations for training and 30 venous phase ex-house CT examinations with a slice thickness of 5 mm for testing and validating were fully annotated with right and left liver lobe. Multi-Resolution U-Net 3D neural networks were employed for segmenting these liver regions. The Sørensen-Dice coefficient was greater than 0.9726 ± 0.0058, 0.9639 ± 0.0088, and 0.9223 ± 0.0187 and a mean volume difference of 32.12 ± 19.40 ml, 22.68 ± 21.67 ml, and 9.44 ± 27.08 ml compared to the standard of reference (SoR) liver, right lobe, and left lobe annotation was achieved. Our results show that fully automated 3D volumetry of the liver on routine CT imaging can provide reproducible, quantitative, fast and accurate results without needing any examiner in the preoperative work-up for hepatobiliary surgery and especially for living donor liver transplantation.&quot;,&quot;publisher&quot;:&quot;Sci Rep&quot;,&quot;issue&quot;:&quot;1&quot;,&quot;volume&quot;:&quot;12&quot;},&quot;isTemporary&quot;:false}]},{&quot;citationID&quot;:&quot;MENDELEY_CITATION_78a21f3f-6dc1-4dcd-b0e3-d5304324d323&quot;,&quot;properties&quot;:{&quot;noteIndex&quot;:0},&quot;isEdited&quot;:false,&quot;manualOverride&quot;:{&quot;isManuallyOverridden&quot;:false,&quot;citeprocText&quot;:&quot;[95]&quot;,&quot;manualOverrideText&quot;:&quot;&quot;},&quot;citationTag&quot;:&quot;MENDELEY_CITATION_v3_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&quot;,&quot;citationItems&quot;:[{&quot;id&quot;:&quot;2cb987b5-2a73-3555-8893-a0e07bb78a15&quot;,&quot;itemData&quot;:{&quot;type&quot;:&quot;article&quot;,&quot;id&quot;:&quot;2cb987b5-2a73-3555-8893-a0e07bb78a15&quot;,&quot;title&quot;:&quot;Liver segmentation: indications, techniques and future directions&quot;,&quot;author&quot;:[{&quot;family&quot;:&quot;Gotra&quot;,&quot;given&quot;:&quot;Akshat&quot;,&quot;parse-names&quot;:false,&quot;dropping-particle&quot;:&quot;&quot;,&quot;non-dropping-particle&quot;:&quot;&quot;},{&quot;family&quot;:&quot;Sivakumaran&quot;,&quot;given&quot;:&quot;Lojan&quot;,&quot;parse-names&quot;:false,&quot;dropping-particle&quot;:&quot;&quot;,&quot;non-dropping-particle&quot;:&quot;&quot;},{&quot;family&quot;:&quot;Chartrand&quot;,&quot;given&quot;:&quot;Gabriel&quot;,&quot;parse-names&quot;:false,&quot;dropping-particle&quot;:&quot;&quot;,&quot;non-dropping-particle&quot;:&quot;&quot;},{&quot;family&quot;:&quot;Vu&quot;,&quot;given&quot;:&quot;Kim Nhien&quot;,&quot;parse-names&quot;:false,&quot;dropping-particle&quot;:&quot;&quot;,&quot;non-dropping-particle&quot;:&quot;&quot;},{&quot;family&quot;:&quot;Vandenbroucke-Menu&quot;,&quot;given&quot;:&quot;Franck&quot;,&quot;parse-names&quot;:false,&quot;dropping-particle&quot;:&quot;&quot;,&quot;non-dropping-particle&quot;:&quot;&quot;},{&quot;family&quot;:&quot;Kauffmann&quot;,&quot;given&quot;:&quot;Claude&quot;,&quot;parse-names&quot;:false,&quot;dropping-particle&quot;:&quot;&quot;,&quot;non-dropping-particle&quot;:&quot;&quot;},{&quot;family&quot;:&quot;Kadoury&quot;,&quot;given&quot;:&quot;Samuel&quot;,&quot;parse-names&quot;:false,&quot;dropping-particle&quot;:&quot;&quot;,&quot;non-dropping-particle&quot;:&quot;&quot;},{&quot;family&quot;:&quot;Gallix&quot;,&quot;given&quot;:&quot;Benoît&quot;,&quot;parse-names&quot;:false,&quot;dropping-particle&quot;:&quot;&quot;,&quot;non-dropping-particle&quot;:&quot;&quot;},{&quot;family&quot;:&quot;Guise&quot;,&quot;given&quot;:&quot;Jacques A.&quot;,&quot;parse-names&quot;:false,&quot;dropping-particle&quot;:&quot;&quot;,&quot;non-dropping-particle&quot;:&quot;de&quot;},{&quot;family&quot;:&quot;Tang&quot;,&quot;given&quot;:&quot;An&quot;,&quot;parse-names&quot;:false,&quot;dropping-particle&quot;:&quot;&quot;,&quot;non-dropping-particle&quot;:&quot;&quot;}],&quot;container-title&quot;:&quot;Insights into Imaging&quot;,&quot;container-title-short&quot;:&quot;Insights Imaging&quot;,&quot;DOI&quot;:&quot;10.1007/s13244-017-0558-1&quot;,&quot;ISSN&quot;:&quot;18694101&quot;,&quot;issued&quot;:{&quot;date-parts&quot;:[[2017,8,1]]},&quot;page&quot;:&quot;377-392&quot;,&quot;abstract&quot;:&quot;Objectives: Liver volumetry has emerged as an important tool in clinical practice. Liver volume is assessed primarily via organ segmentation of computed tomography (CT) and magnetic resonance imaging (MRI) images. The goal of this paper is to provide an accessible overview of liver segmentation targeted at radiologists and other healthcare professionals. Methods: Using images from CT and MRI, this paper reviews the indications for liver segmentation, technical approaches used in segmentation software and the developing roles of liver segmentation in clinical practice. Results: Liver segmentation for volumetric assessment is indicated prior to major hepatectomy, portal vein embolisation, associating liver partition and portal vein ligation for staged hepatectomy (ALPPS) and transplant. Segmentation software can be categorised according to amount of user input involved: manual, semi-automated and fully automated. Manual segmentation is considered the “gold standard” in clinical practice and research, but is tedious and time-consuming. Increasingly automated segmentation approaches are more robust, but may suffer from certain segmentation pitfalls. Emerging applications of segmentation include surgical planning and integration with MRI-based biomarkers. Conclusions: Liver segmentation has multiple clinical applications and is expanding in scope. Clinicians can employ semi-automated or fully automated segmentation options to more efficiently integrate volumetry into clinical practice. Teaching points: • Liver volume is assessed via organ segmentation on CT and MRI examinations. • Liver segmentation is used for volume assessment prior to major hepatic procedures. • Segmentation approaches may be categorised according to the amount of user input involved. • Emerging applications include surgical planning and integration with MRI-based biomarkers.&quot;,&quot;publisher&quot;:&quot;Springer Verlag&quot;,&quot;issue&quot;:&quot;4&quot;,&quot;volume&quot;:&quot;8&quot;},&quot;isTemporary&quot;:false}]},{&quot;citationID&quot;:&quot;MENDELEY_CITATION_d6b44762-8ac4-47f7-9d39-8653f7b48ed8&quot;,&quot;properties&quot;:{&quot;noteIndex&quot;:0},&quot;isEdited&quot;:false,&quot;manualOverride&quot;:{&quot;isManuallyOverridden&quot;:false,&quot;citeprocText&quot;:&quot;[96]&quot;,&quot;manualOverrideText&quot;:&quot;&quot;},&quot;citationTag&quot;:&quot;MENDELEY_CITATION_v3_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&quot;,&quot;citationItems&quot;:[{&quot;id&quot;:&quot;f177875e-bf76-3b6b-9c92-37d714a003c0&quot;,&quot;itemData&quot;:{&quot;type&quot;:&quot;article-journal&quot;,&quot;id&quot;:&quot;f177875e-bf76-3b6b-9c92-37d714a003c0&quot;,&quot;title&quot;:&quot;3-D reconstruction in liver surgery: a systematic review&quot;,&quot;author&quot;:[{&quot;family&quot;:&quot;Banchini&quot;,&quot;given&quot;:&quot;Filippo&quot;,&quot;parse-names&quot;:false,&quot;dropping-particle&quot;:&quot;&quot;,&quot;non-dropping-particle&quot;:&quot;&quot;},{&quot;family&quot;:&quot;Capelli&quot;,&quot;given&quot;:&quot;Patrizio&quot;,&quot;parse-names&quot;:false,&quot;dropping-particle&quot;:&quot;&quot;,&quot;non-dropping-particle&quot;:&quot;&quot;},{&quot;family&quot;:&quot;Hasnaoui&quot;,&quot;given&quot;:&quot;Anis&quot;,&quot;parse-names&quot;:false,&quot;dropping-particle&quot;:&quot;&quot;,&quot;non-dropping-particle&quot;:&quot;&quot;},{&quot;family&quot;:&quot;Palmieri&quot;,&quot;given&quot;:&quot;Gerardo&quot;,&quot;parse-names&quot;:false,&quot;dropping-particle&quot;:&quot;&quot;,&quot;non-dropping-particle&quot;:&quot;&quot;},{&quot;family&quot;:&quot;Romboli&quot;,&quot;given&quot;:&quot;Andrea&quot;,&quot;parse-names&quot;:false,&quot;dropping-particle&quot;:&quot;&quot;,&quot;non-dropping-particle&quot;:&quot;&quot;},{&quot;family&quot;:&quot;Giuffrida&quot;,&quot;given&quot;:&quot;Mario&quot;,&quot;parse-names&quot;:false,&quot;dropping-particle&quot;:&quot;&quot;,&quot;non-dropping-particle&quot;:&quot;&quot;}],&quot;container-title&quot;:&quot;HPB : the official journal of the International Hepato Pancreato Biliary Association&quot;,&quot;container-title-short&quot;:&quot;HPB (Oxford)&quot;,&quot;accessed&quot;:{&quot;date-parts&quot;:[[2024,9,29]]},&quot;DOI&quot;:&quot;10.1016/J.HPB.2024.06.006&quot;,&quot;ISSN&quot;:&quot;1477-2574&quot;,&quot;PMID&quot;:&quot;38960762&quot;,&quot;URL&quot;:&quot;https://pubmed.ncbi.nlm.nih.gov/38960762/&quot;,&quot;issued&quot;:{&quot;date-parts&quot;:[[2024,10,1]]},&quot;page&quot;:&quot;1205-1215&quot;,&quot;abstract&quot;:&quot;Background: Three-dimensional reconstruction of the liver offers several advantages to the surgeon before and during liver resection. This review discusses the factors behind the use of liver 3-D reconstruction. Methods: Systematic electronic search, according to PRISMA criteria, was performed. A literature search of scientific papers was performed until October 2023. Articles were chosen based on reference to 3-D liver reconstruction and their use in liver surgery. GRADE methodology and the modified Newcastle–Ottawa scale were used to assess the quality of the studies. Results: The research included 47 articles and 7724 patients were analyzed. Preoperative planning was performed with 3-D liver reconstruction in the 87.2% of the studies. Most of preoperative 3-D liver reconstructions were performed in the planning of complex or major hepatectomies. Complex hepatectomies were performed in 64.3% patients. The 55.3% of the studies reported an improved navigation and accuracy during liver resection. Four studies (8.6%) on living donor liver transplant (LDLT) concluded that 3-D liver reconstruction is useful for graft selection and vascular preservation. Nine papers (19.1%) reported an accurate measurement of future liver remnant. Conclusion: Liver 3-D reconstruction helps surgeons in the planning of liver surgery, especially in liver graft and complex liver resections, increasing the accuracy of the surgical resection.&quot;,&quot;publisher&quot;:&quot;HPB (Oxford)&quot;,&quot;issue&quot;:&quot;10&quot;,&quot;volume&quot;:&quot;26&quot;},&quot;isTemporary&quot;:false}]},{&quot;citationID&quot;:&quot;MENDELEY_CITATION_1a52510d-d9ea-43e8-8c1d-b5348266a88e&quot;,&quot;properties&quot;:{&quot;noteIndex&quot;:0},&quot;isEdited&quot;:false,&quot;manualOverride&quot;:{&quot;isManuallyOverridden&quot;:false,&quot;citeprocText&quot;:&quot;[9,97,98]&quot;,&quot;manualOverrideText&quot;:&quot;&quot;},&quot;citationTag&quot;:&quot;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&quot;,&quot;citationItems&quot;:[{&quot;id&quot;:&quot;4a8eb4d4-6832-3346-957e-285790984524&quot;,&quot;itemData&quot;:{&quot;type&quot;:&quot;article-journal&quot;,&quot;id&quot;:&quot;4a8eb4d4-6832-3346-957e-285790984524&quot;,&quot;title&quot;:&quot;Semi-automated computed tomography Volumetry can predict hemihepatectomy specimens' volumes in patients with hepatic malignancy&quot;,&quot;author&quot;:[{&quot;family&quot;:&quot;Mayer&quot;,&quot;given&quot;:&quot;Philipp&quot;,&quot;parse-names&quot;:false,&quot;dropping-particle&quot;:&quot;&quot;,&quot;non-dropping-particle&quot;:&quot;&quot;},{&quot;family&quot;:&quot;Grözinger&quot;,&quot;given&quot;:&quot;Martin&quot;,&quot;parse-names&quot;:false,&quot;dropping-particle&quot;:&quot;&quot;,&quot;non-dropping-particle&quot;:&quot;&quot;},{&quot;family&quot;:&quot;Mokry&quot;,&quot;given&quot;:&quot;Theresa&quot;,&quot;parse-names&quot;:false,&quot;dropping-particle&quot;:&quot;&quot;,&quot;non-dropping-particle&quot;:&quot;&quot;},{&quot;family&quot;:&quot;Schemmer&quot;,&quot;given&quot;:&quot;Peter&quot;,&quot;parse-names&quot;:false,&quot;dropping-particle&quot;:&quot;&quot;,&quot;non-dropping-particle&quot;:&quot;&quot;},{&quot;family&quot;:&quot;Waldburger&quot;,&quot;given&quot;:&quot;Nina&quot;,&quot;parse-names&quot;:false,&quot;dropping-particle&quot;:&quot;&quot;,&quot;non-dropping-particle&quot;:&quot;&quot;},{&quot;family&quot;:&quot;Kauczor&quot;,&quot;given&quot;:&quot;Hans-Ulrich&quot;,&quot;parse-names&quot;:false,&quot;dropping-particle&quot;:&quot;&quot;,&quot;non-dropping-particle&quot;:&quot;&quot;},{&quot;family&quot;:&quot;Klauss&quot;,&quot;given&quot;:&quot;Miriam&quot;,&quot;parse-names&quot;:false,&quot;dropping-particle&quot;:&quot;&quot;,&quot;non-dropping-particle&quot;:&quot;&quot;},{&quot;family&quot;:&quot;Sommer&quot;,&quot;given&quot;:&quot;Christof-Matthias&quot;,&quot;parse-names&quot;:false,&quot;dropping-particle&quot;:&quot;&quot;,&quot;non-dropping-particle&quot;:&quot;&quot;}],&quot;DOI&quot;:&quot;10.1186/s12880-019-0309&quot;,&quot;URL&quot;:&quot;https://doi.org/10.1186/s12880-019-0309-5&quot;,&quot;issued&quot;:{&quot;date-parts&quot;:[[2019]]},&quot;abstract&quot;:&quot;Background&quot;,&quot;container-title-short&quot;:&quot;&quot;},&quot;isTemporary&quot;:false},{&quot;id&quot;:&quot;586ef5ce-4006-37b2-bc70-f9805cdbebbc&quot;,&quot;itemData&quot;:{&quot;type&quot;:&quot;article-journal&quot;,&quot;id&quot;:&quot;586ef5ce-4006-37b2-bc70-f9805cdbebbc&quot;,&quot;title&quot;:&quot;Age and liver transplantation&quot;,&quot;author&quot;:[{&quot;family&quot;:&quot;Durand&quot;,&quot;given&quot;:&quot;François&quot;,&quot;parse-names&quot;:false,&quot;dropping-particle&quot;:&quot;&quot;,&quot;non-dropping-particle&quot;:&quot;&quot;},{&quot;family&quot;:&quot;Levitsky&quot;,&quot;given&quot;:&quot;Josh&quot;,&quot;parse-names&quot;:false,&quot;dropping-particle&quot;:&quot;&quot;,&quot;non-dropping-particle&quot;:&quot;&quot;},{&quot;family&quot;:&quot;Cauchy&quot;,&quot;given&quot;:&quot;François&quot;,&quot;parse-names&quot;:false,&quot;dropping-particle&quot;:&quot;&quot;,&quot;non-dropping-particle&quot;:&quot;&quot;},{&quot;family&quot;:&quot;Gilgenkrantz&quot;,&quot;given&quot;:&quot;Hélène&quot;,&quot;parse-names&quot;:false,&quot;dropping-particle&quot;:&quot;&quot;,&quot;non-dropping-particle&quot;:&quot;&quot;},{&quot;family&quot;:&quot;Soubrane&quot;,&quot;given&quot;:&quot;Olivier&quot;,&quot;parse-names&quot;:false,&quot;dropping-particle&quot;:&quot;&quot;,&quot;non-dropping-particle&quot;:&quot;&quot;},{&quot;family&quot;:&quot;Francoz&quot;,&quot;given&quot;:&quot;Claire&quot;,&quot;parse-names&quot;:false,&quot;dropping-particle&quot;:&quot;&quot;,&quot;non-dropping-particle&quot;:&quot;&quot;}],&quot;container-title&quot;:&quot;Journal of hepatology&quot;,&quot;container-title-short&quot;:&quot;J Hepatol&quot;,&quot;accessed&quot;:{&quot;date-parts&quot;:[[2024,9,29]]},&quot;DOI&quot;:&quot;10.1016/J.JHEP.2018.12.009&quot;,&quot;ISSN&quot;:&quot;1600-0641&quot;,&quot;PMID&quot;:&quot;30576701&quot;,&quot;URL&quot;:&quot;https://pubmed.ncbi.nlm.nih.gov/30576701/&quot;,&quot;issued&quot;:{&quot;date-parts&quot;:[[2019,4,1]]},&quot;page&quot;:&quot;745-758&quot;,&quot;abstract&quot;:&quot;The average age of liver transplant donors and recipients has increased over the years. Independent of the cause of liver disease, older candidates have more comorbidities, higher waitlist mortality and higher post-transplant mortality than younger patients. However, transplant benefit may be similar in older and younger recipients, provided older recipients are carefully selected. The cohort of elderly patients transplanted decades ago is also increasingly raising issues concerning long-term exposure to immunosuppression and aging of the transplanted liver. Excellent results can be achieved with elderly donors and there is virtually no upper age limit for donors after brain death liver transplantation. The issue is how to optimise selection, procurement and matching to ensure good results with elderly donors. The impact of old donor age is more pronounced in younger recipients and patients with a high model for end-stage liver disease score. Age matching between the donor and the recipient should be incorporated into allocation policies with a multistep approach. However, age matching may vary depending on the objectives of different allocation policies. In addition, age matching must be revisited in the era of direct-acting antivirals. More restrictive limits have been adopted in donation after circulatory death. Perfusion machines which are currently under investigation may help expand these limits. In living donor liver transplantation, donor age limit is essentially guided by morbidity related to procurement. In this review we summarise changing trends in recipient and donor age. We discuss the implications of older age donors and recipients. We also consider different options for age matching in liver transplantation that could improve outcomes.&quot;,&quot;publisher&quot;:&quot;J Hepatol&quot;,&quot;issue&quot;:&quot;4&quot;,&quot;volume&quot;:&quot;70&quot;},&quot;isTemporary&quot;:false},{&quot;id&quot;:&quot;a399eff7-1e72-37d4-8990-1d730e369435&quot;,&quot;itemData&quot;:{&quot;type&quot;:&quot;article-journal&quot;,&quot;id&quot;:&quot;a399eff7-1e72-37d4-8990-1d730e369435&quot;,&quot;title&quot;:&quot;Graft selection strategy in adult-to-adult living donor liver transplantation: When both hemiliver grafts meet volumetric criteria&quot;,&quot;author&quot;:[{&quot;family&quot;:&quot;Kurihara&quot;,&quot;given&quot;:&quot;Takeshi&quot;,&quot;parse-names&quot;:false,&quot;dropping-particle&quot;:&quot;&quot;,&quot;non-dropping-particle&quot;:&quot;&quot;},{&quot;family&quot;:&quot;Yoshizumi&quot;,&quot;given&quot;:&quot;Tomoharu&quot;,&quot;parse-names&quot;:false,&quot;dropping-particle&quot;:&quot;&quot;,&quot;non-dropping-particle&quot;:&quot;&quot;},{&quot;family&quot;:&quot;Yoshida&quot;,&quot;given&quot;:&quot;Yoshihiro&quot;,&quot;parse-names&quot;:false,&quot;dropping-particle&quot;:&quot;&quot;,&quot;non-dropping-particle&quot;:&quot;&quot;},{&quot;family&quot;:&quot;Ikegami&quot;,&quot;given&quot;:&quot;Toru&quot;,&quot;parse-names&quot;:false,&quot;dropping-particle&quot;:&quot;&quot;,&quot;non-dropping-particle&quot;:&quot;&quot;},{&quot;family&quot;:&quot;Itoh&quot;,&quot;given&quot;:&quot;Shinji&quot;,&quot;parse-names&quot;:false,&quot;dropping-particle&quot;:&quot;&quot;,&quot;non-dropping-particle&quot;:&quot;&quot;},{&quot;family&quot;:&quot;Harimoto&quot;,&quot;given&quot;:&quot;Norifumi&quot;,&quot;parse-names&quot;:false,&quot;dropping-particle&quot;:&quot;&quot;,&quot;non-dropping-particle&quot;:&quot;&quot;},{&quot;family&quot;:&quot;Ninomiya&quot;,&quot;given&quot;:&quot;Mizuki&quot;,&quot;parse-names&quot;:false,&quot;dropping-particle&quot;:&quot;&quot;,&quot;non-dropping-particle&quot;:&quot;&quot;},{&quot;family&quot;:&quot;Uchiyama&quot;,&quot;given&quot;:&quot;Hideaki&quot;,&quot;parse-names&quot;:false,&quot;dropping-particle&quot;:&quot;&quot;,&quot;non-dropping-particle&quot;:&quot;&quot;},{&quot;family&quot;:&quot;Okabe&quot;,&quot;given&quot;:&quot;Hirohisa&quot;,&quot;parse-names&quot;:false,&quot;dropping-particle&quot;:&quot;&quot;,&quot;non-dropping-particle&quot;:&quot;&quot;},{&quot;family&quot;:&quot;Kimura&quot;,&quot;given&quot;:&quot;Koichi&quot;,&quot;parse-names&quot;:false,&quot;dropping-particle&quot;:&quot;&quot;,&quot;non-dropping-particle&quot;:&quot;&quot;},{&quot;family&quot;:&quot;Kawanaka&quot;,&quot;given&quot;:&quot;Hirofumi&quot;,&quot;parse-names&quot;:false,&quot;dropping-particle&quot;:&quot;&quot;,&quot;non-dropping-particle&quot;:&quot;&quot;},{&quot;family&quot;:&quot;Shirabe&quot;,&quot;given&quot;:&quot;Ken&quot;,&quot;parse-names&quot;:false,&quot;dropping-particle&quot;:&quot;&quot;,&quot;non-dropping-particle&quot;:&quot;&quot;},{&quot;family&quot;:&quot;Maehara&quot;,&quot;given&quot;:&quot;Yoshihiko&quot;,&quot;parse-names&quot;:false,&quot;dropping-particle&quot;:&quot;&quot;,&quot;non-dropping-particle&quot;:&quot;&quot;}],&quot;container-title&quot;:&quot;Liver transplantation : official publication of the American Association for the Study of Liver Diseases and the International Liver Transplantation Society&quot;,&quot;container-title-short&quot;:&quot;Liver Transpl&quot;,&quot;accessed&quot;:{&quot;date-parts&quot;:[[2023,10,23]]},&quot;DOI&quot;:&quot;10.1002/LT.24431&quot;,&quot;ISSN&quot;:&quot;1527-6473&quot;,&quot;PMID&quot;:&quot;26953726&quot;,&quot;URL&quot;:&quot;https://pubmed.ncbi.nlm.nih.gov/26953726/&quot;,&quot;issued&quot;:{&quot;date-parts&quot;:[[2016,7,1]]},&quot;page&quot;:&quot;914-922&quot;,&quot;abstract&quot;:&quot;To ensure donor safety in living donor liver transplantation (LDLT), the left and caudate lobe (LL) is the preferred graft choice. However, patient prognosis may still be poor even if graft volume (GV) selection criteria are met. Our aim was to evaluate the effects of right lobe (RL) donation when the LL graft selection criteria are met. Consecutive donors (n = 135) with preoperative LL graft volumetric GV/standard liver volume (SLV) of ≥35% and RL remnant of ≥35% were retrospectively studied. Patients were divided into 2 groups: LL graft and RL graft. Recipient's body surface area (BSA), Model for End-Stage Liver Disease (MELD) score, and the donor's age were higher in the RL group. The donor's BSA and preoperative volumetric GV/SLV of the LL graft were smaller in the RL group. The predicted score (calculated using data for graft size, donor age, MELD score, and the presence of portosystemic shunt, which correlated well with graft function and with 6-month graft survival) of the RL group, was significantly lower if the LL graft were used, but using the actual RL graft improved the score equal to that of the LL group. Six-month and 12-month graft survival rates did not differ between the 2 groups. In patients with a poor prognosis, a larger RL graft improved the predicted score and survival was equal to that of patients who received LL grafts. In conclusion, graft selection by GV, donor age, and recipient MELD score improves outcomes in LDLT. Liver Transplantation 22 914–922 2016 AASLD.&quot;,&quot;publisher&quot;:&quot;Liver Transpl&quot;,&quot;issue&quot;:&quot;7&quot;,&quot;volume&quot;:&quot;22&quot;},&quot;isTemporary&quot;:false}]},{&quot;citationID&quot;:&quot;MENDELEY_CITATION_a1b02712-8493-4650-b8eb-703dea4a225c&quot;,&quot;properties&quot;:{&quot;noteIndex&quot;:0},&quot;isEdited&quot;:false,&quot;manualOverride&quot;:{&quot;isManuallyOverridden&quot;:false,&quot;citeprocText&quot;:&quot;[99]&quot;,&quot;manualOverrideText&quot;:&quot;&quot;},&quot;citationTag&quot;:&quot;MENDELEY_CITATION_v3_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&quot;,&quot;citationItems&quot;:[{&quot;id&quot;:&quot;fecec11b-c918-3224-80b9-88ecaa98f615&quot;,&quot;itemData&quot;:{&quot;type&quot;:&quot;article-journal&quot;,&quot;id&quot;:&quot;fecec11b-c918-3224-80b9-88ecaa98f615&quot;,&quot;title&quot;:&quot;Should We Have Blind Faith in Liver Volumetry?&quot;,&quot;author&quot;:[{&quot;family&quot;:&quot;Rode&quot;,&quot;given&quot;:&quot;A.&quot;,&quot;parse-names&quot;:false,&quot;dropping-particle&quot;:&quot;&quot;,&quot;non-dropping-particle&quot;:&quot;&quot;},{&quot;family&quot;:&quot;Roy&quot;,&quot;given&quot;:&quot;B.&quot;,&quot;parse-names&quot;:false,&quot;dropping-particle&quot;:&quot;&quot;,&quot;non-dropping-particle&quot;:&quot;&quot;},{&quot;family&quot;:&quot;Gallon&quot;,&quot;given&quot;:&quot;A.&quot;,&quot;parse-names&quot;:false,&quot;dropping-particle&quot;:&quot;&quot;,&quot;non-dropping-particle&quot;:&quot;&quot;},{&quot;family&quot;:&quot;Gayet&quot;,&quot;given&quot;:&quot;B.&quot;,&quot;parse-names&quot;:false,&quot;dropping-particle&quot;:&quot;&quot;,&quot;non-dropping-particle&quot;:&quot;&quot;},{&quot;family&quot;:&quot;Tréchot&quot;,&quot;given&quot;:&quot;B.&quot;,&quot;parse-names&quot;:false,&quot;dropping-particle&quot;:&quot;&quot;,&quot;non-dropping-particle&quot;:&quot;&quot;},{&quot;family&quot;:&quot;Cosse&quot;,&quot;given&quot;:&quot;C.&quot;,&quot;parse-names&quot;:false,&quot;dropping-particle&quot;:&quot;&quot;,&quot;non-dropping-particle&quot;:&quot;&quot;},{&quot;family&quot;:&quot;Vibert&quot;,&quot;given&quot;:&quot;E.&quot;,&quot;parse-names&quot;:false,&quot;dropping-particle&quot;:&quot;&quot;,&quot;non-dropping-particle&quot;:&quot;&quot;},{&quot;family&quot;:&quot;Lewin&quot;,&quot;given&quot;:&quot;M.&quot;,&quot;parse-names&quot;:false,&quot;dropping-particle&quot;:&quot;&quot;,&quot;non-dropping-particle&quot;:&quot;&quot;},{&quot;family&quot;:&quot;Golse&quot;,&quot;given&quot;:&quot;N.&quot;,&quot;parse-names&quot;:false,&quot;dropping-particle&quot;:&quot;&quot;,&quot;non-dropping-particle&quot;:&quot;&quot;}],&quot;container-title&quot;:&quot;Surgery Case Reports&quot;,&quot;accessed&quot;:{&quot;date-parts&quot;:[[2024,10,6]]},&quot;DOI&quot;:&quot;10.31487/J.SCR.2019.01.003&quot;,&quot;issued&quot;:{&quot;date-parts&quot;:[[2019,2,12]]},&quot;abstract&quot;:&quot;Introduction: Liver volumetry is a routine procedure performed before major hepatectomy or living donor liver transplantation (LDLT) to anticipate the remnant liver volume and prevent liver failure. However, many parameters may impact its accuracy and no large-scale studies have evaluated inter-rater variabilities. We aimed to determine the reliability of volumetric assessments for whole organs in deceased-donor liver transplantations (DDLT) and partial organs in LDLT settings. Patients &amp; Methods: Eight operators (four surgeons + four radiologists) analysed 30 preoperative CT scans (15 whole cirrhotic livers in the DDLT group + 15 partial healthy grafts in the LDLT group), using five software systems. The computed volumes were compared with liver weight; liver density being considered as1. Results: Inter-rater and inter-software concordances were excellent with coefficients of correlation &gt;0.9. However, calculations overestimated the real volumes in 25 cases by a mean of 249 ± 206 [14-771] cc in the DDLT group and 138 ± 92cc [39-375] in the LDLT group. The mean calculations were significantly higher than liver weights in the LDLT group only (p=0.04). The radiologists overestimated the surgeons’ assessment in 24 cases, the differences exceeding 6% in some cases. The type of software used significantly impacted results in the DDLTgroup. Conclusions: Despite its unanimously recognised utility, we highlight significant discrepancies between estimated and real liver volumes. The global overestimation may lead to leave of too small remnant liver, with potentially dramatic consequences. In case of border-line estimations, we recommend a repetition of the evaluation by another operator (surgeon + radiologist working in concert).&quot;,&quot;publisher&quot;:&quot;Science Repository OU&quot;,&quot;container-title-short&quot;:&quot;&quot;},&quot;isTemporary&quot;:false}]},{&quot;citationID&quot;:&quot;MENDELEY_CITATION_966557cc-f95a-45e8-9926-2fbecf836ccc&quot;,&quot;properties&quot;:{&quot;noteIndex&quot;:0},&quot;isEdited&quot;:false,&quot;manualOverride&quot;:{&quot;isManuallyOverridden&quot;:false,&quot;citeprocText&quot;:&quot;[100]&quot;,&quot;manualOverrideText&quot;:&quot;&quot;},&quot;citationTag&quot;:&quot;MENDELEY_CITATION_v3_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&quot;,&quot;citationItems&quot;:[{&quot;id&quot;:&quot;b3193c97-26e2-3a7d-9393-aa9e924bb526&quot;,&quot;itemData&quot;:{&quot;type&quot;:&quot;article-journal&quot;,&quot;id&quot;:&quot;b3193c97-26e2-3a7d-9393-aa9e924bb526&quot;,&quot;title&quot;:&quot;CT volume analysis in living donor liver transplantation: accuracy of three different approaches&quot;,&quot;author&quot;:[{&quot;family&quot;:&quot;Kalshabay&quot;,&quot;given&quot;:&quot;Yerkezhan&quot;,&quot;parse-names&quot;:false,&quot;dropping-particle&quot;:&quot;&quot;,&quot;non-dropping-particle&quot;:&quot;&quot;},{&quot;family&quot;:&quot;Zholdybay&quot;,&quot;given&quot;:&quot;Zhamilya&quot;,&quot;parse-names&quot;:false,&quot;dropping-particle&quot;:&quot;&quot;,&quot;non-dropping-particle&quot;:&quot;&quot;},{&quot;family&quot;:&quot;Martino&quot;,&quot;given&quot;:&quot;Michele&quot;,&quot;parse-names&quot;:false,&quot;dropping-particle&quot;:&quot;&quot;,&quot;non-dropping-particle&quot;:&quot;Di&quot;},{&quot;family&quot;:&quot;Medeubekov&quot;,&quot;given&quot;:&quot;Ulykbek&quot;,&quot;parse-names&quot;:false,&quot;dropping-particle&quot;:&quot;&quot;,&quot;non-dropping-particle&quot;:&quot;&quot;},{&quot;family&quot;:&quot;Baiguissova&quot;,&quot;given&quot;:&quot;Dinara&quot;,&quot;parse-names&quot;:false,&quot;dropping-particle&quot;:&quot;&quot;,&quot;non-dropping-particle&quot;:&quot;&quot;},{&quot;family&quot;:&quot;Ainakulova&quot;,&quot;given&quot;:&quot;Akmaral&quot;,&quot;parse-names&quot;:false,&quot;dropping-particle&quot;:&quot;&quot;,&quot;non-dropping-particle&quot;:&quot;&quot;},{&quot;family&quot;:&quot;Doskhanov&quot;,&quot;given&quot;:&quot;Maksat&quot;,&quot;parse-names&quot;:false,&quot;dropping-particle&quot;:&quot;&quot;,&quot;non-dropping-particle&quot;:&quot;&quot;},{&quot;family&quot;:&quot;Baimakhanov&quot;,&quot;given&quot;:&quot;Bolatbek&quot;,&quot;parse-names&quot;:false,&quot;dropping-particle&quot;:&quot;&quot;,&quot;non-dropping-particle&quot;:&quot;&quot;}],&quot;container-title&quot;:&quot;Insights into imaging&quot;,&quot;container-title-short&quot;:&quot;Insights Imaging&quot;,&quot;accessed&quot;:{&quot;date-parts&quot;:[[2024,10,9]]},&quot;DOI&quot;:&quot;10.1186/S13244-023-01431-8&quot;,&quot;ISSN&quot;:&quot;1869-4101&quot;,&quot;PMID&quot;:&quot;37184628&quot;,&quot;URL&quot;:&quot;https://pubmed.ncbi.nlm.nih.gov/37184628/&quot;,&quot;issued&quot;:{&quot;date-parts&quot;:[[2023,12,1]]},&quot;abstract&quot;:&quot;Objectives: The aim of this retrospective study is to compare and evaluate accuracy of three different approaches of liver volume quantification in living donor transplantations. Methods: This is a single-center, retrospective study of 60 donors. The total and right lobe liver volumes were analyzed in the portal-venous phase by two independent radiologists who estimated the volumes using manual, semi-automated and automated segmentation methods. The measured right lobe liver volume was compared to the real weight of the graft after back-table examinations. Results: The mean estimated overall liver volume was 1164.4 ± 137.0 mL for manual, 1277.4 ± 190.4 mL for semi-automated and 1240.1 ± 108.5 mL for automated segmentation. The mean estimated right lobe volume was 762.0 ± 122.4 mL for manual, 792.9 ± 139.9 mL for semi-automated and 765.4 ± 132.7 mL for automated segmentation. The mean graft weight was 711.2 ± 142.9 g. The manual method better correlated with the graft weight (r = 0.730) in comparison with the semi-automated (r = 0.685) and the automated (r = 0.699) methods (p &lt; 0.001). The mean error ratio in volume estimation by each application was 12.7 ± 16.6% for manual, 17.1 ± 17.3% for semi-automated, 14.7 ± 16.8% for automated methods. There was a statistically significant difference between the mean error ratio of the manual and the semi-automated segmentations (p = 0.017), and no statistically significant difference between the manual and the automated applications (p = 0.199). Conclusion: Volume analysis application better correlates with graft weight, but there is no obvious difference between correlation coefficients of all three methods. All three modalities had an error ratio, of which the semi-automated method showed the highest value. Critical relevance statement: Volume analysis application was more accurate, but there is no drastic difference between correlation coefficients of all three methods. Graphical abstract: [Figure not available: see fulltext.]&quot;,&quot;publisher&quot;:&quot;Insights Imaging&quot;,&quot;issue&quot;:&quot;1&quot;,&quot;volume&quot;:&quot;14&quot;},&quot;isTemporary&quot;:false}]},{&quot;citationID&quot;:&quot;MENDELEY_CITATION_8567e259-397f-43df-95ba-b1389997372d&quot;,&quot;properties&quot;:{&quot;noteIndex&quot;:0},&quot;isEdited&quot;:false,&quot;manualOverride&quot;:{&quot;isManuallyOverridden&quot;:false,&quot;citeprocText&quot;:&quot;[9]&quot;,&quot;manualOverrideText&quot;:&quot;&quot;},&quot;citationTag&quot;:&quot;MENDELEY_CITATION_v3_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&quot;,&quot;citationItems&quot;:[{&quot;id&quot;:&quot;4a8eb4d4-6832-3346-957e-285790984524&quot;,&quot;itemData&quot;:{&quot;type&quot;:&quot;article-journal&quot;,&quot;id&quot;:&quot;4a8eb4d4-6832-3346-957e-285790984524&quot;,&quot;title&quot;:&quot;Semi-automated computed tomography Volumetry can predict hemihepatectomy specimens' volumes in patients with hepatic malignancy&quot;,&quot;author&quot;:[{&quot;family&quot;:&quot;Mayer&quot;,&quot;given&quot;:&quot;Philipp&quot;,&quot;parse-names&quot;:false,&quot;dropping-particle&quot;:&quot;&quot;,&quot;non-dropping-particle&quot;:&quot;&quot;},{&quot;family&quot;:&quot;Grözinger&quot;,&quot;given&quot;:&quot;Martin&quot;,&quot;parse-names&quot;:false,&quot;dropping-particle&quot;:&quot;&quot;,&quot;non-dropping-particle&quot;:&quot;&quot;},{&quot;family&quot;:&quot;Mokry&quot;,&quot;given&quot;:&quot;Theresa&quot;,&quot;parse-names&quot;:false,&quot;dropping-particle&quot;:&quot;&quot;,&quot;non-dropping-particle&quot;:&quot;&quot;},{&quot;family&quot;:&quot;Schemmer&quot;,&quot;given&quot;:&quot;Peter&quot;,&quot;parse-names&quot;:false,&quot;dropping-particle&quot;:&quot;&quot;,&quot;non-dropping-particle&quot;:&quot;&quot;},{&quot;family&quot;:&quot;Waldburger&quot;,&quot;given&quot;:&quot;Nina&quot;,&quot;parse-names&quot;:false,&quot;dropping-particle&quot;:&quot;&quot;,&quot;non-dropping-particle&quot;:&quot;&quot;},{&quot;family&quot;:&quot;Kauczor&quot;,&quot;given&quot;:&quot;Hans-Ulrich&quot;,&quot;parse-names&quot;:false,&quot;dropping-particle&quot;:&quot;&quot;,&quot;non-dropping-particle&quot;:&quot;&quot;},{&quot;family&quot;:&quot;Klauss&quot;,&quot;given&quot;:&quot;Miriam&quot;,&quot;parse-names&quot;:false,&quot;dropping-particle&quot;:&quot;&quot;,&quot;non-dropping-particle&quot;:&quot;&quot;},{&quot;family&quot;:&quot;Sommer&quot;,&quot;given&quot;:&quot;Christof-Matthias&quot;,&quot;parse-names&quot;:false,&quot;dropping-particle&quot;:&quot;&quot;,&quot;non-dropping-particle&quot;:&quot;&quot;}],&quot;DOI&quot;:&quot;10.1186/s12880-019-0309&quot;,&quot;URL&quot;:&quot;https://doi.org/10.1186/s12880-019-0309-5&quot;,&quot;issued&quot;:{&quot;date-parts&quot;:[[2019]]},&quot;abstract&quot;:&quot;Background&quot;,&quot;container-title-short&quot;:&quot;&quot;},&quot;isTemporary&quot;:false}]},{&quot;citationID&quot;:&quot;MENDELEY_CITATION_35e3454b-d134-404b-b46d-11808af7e864&quot;,&quot;properties&quot;:{&quot;noteIndex&quot;:0},&quot;isEdited&quot;:false,&quot;manualOverride&quot;:{&quot;isManuallyOverridden&quot;:false,&quot;citeprocText&quot;:&quot;[101]&quot;,&quot;manualOverrideText&quot;:&quot;&quot;},&quot;citationTag&quot;:&quot;MENDELEY_CITATION_v3_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&quot;,&quot;citationItems&quot;:[{&quot;id&quot;:&quot;e4df94e4-5162-3200-9c6d-137ac5869bd9&quot;,&quot;itemData&quot;:{&quot;type&quot;:&quot;article-journal&quot;,&quot;id&quot;:&quot;e4df94e4-5162-3200-9c6d-137ac5869bd9&quot;,&quot;title&quot;:&quot;Pure Laparoscopic Versus Open Right Hepatectomy in Living Liver Donors: Graft Weight Discrepancy&quot;,&quot;author&quot;:[{&quot;family&quot;:&quot;Seo&quot;,&quot;given&quot;:&quot;Jiwon&quot;,&quot;parse-names&quot;:false,&quot;dropping-particle&quot;:&quot;&quot;,&quot;non-dropping-particle&quot;:&quot;&quot;},{&quot;family&quot;:&quot;Hong&quot;,&quot;given&quot;:&quot;Suk Kyun&quot;,&quot;parse-names&quot;:false,&quot;dropping-particle&quot;:&quot;&quot;,&quot;non-dropping-particle&quot;:&quot;&quot;},{&quot;family&quot;:&quot;Lee&quot;,&quot;given&quot;:&quot;Sola&quot;,&quot;parse-names&quot;:false,&quot;dropping-particle&quot;:&quot;&quot;,&quot;non-dropping-particle&quot;:&quot;&quot;},{&quot;family&quot;:&quot;Hong&quot;,&quot;given&quot;:&quot;Su Young&quot;,&quot;parse-names&quot;:false,&quot;dropping-particle&quot;:&quot;&quot;,&quot;non-dropping-particle&quot;:&quot;&quot;},{&quot;family&quot;:&quot;Choi&quot;,&quot;given&quot;:&quot;Youngrok&quot;,&quot;parse-names&quot;:false,&quot;dropping-particle&quot;:&quot;&quot;,&quot;non-dropping-particle&quot;:&quot;&quot;},{&quot;family&quot;:&quot;Yi&quot;,&quot;given&quot;:&quot;Nam Joon&quot;,&quot;parse-names&quot;:false,&quot;dropping-particle&quot;:&quot;&quot;,&quot;non-dropping-particle&quot;:&quot;&quot;},{&quot;family&quot;:&quot;Lee&quot;,&quot;given&quot;:&quot;Kwang Woong&quot;,&quot;parse-names&quot;:false,&quot;dropping-particle&quot;:&quot;&quot;,&quot;non-dropping-particle&quot;:&quot;&quot;},{&quot;family&quot;:&quot;Suh&quot;,&quot;given&quot;:&quot;Kyung Suk&quot;,&quot;parse-names&quot;:false,&quot;dropping-particle&quot;:&quot;&quot;,&quot;non-dropping-particle&quot;:&quot;&quot;}],&quot;container-title&quot;:&quot;Annals of Transplantation&quot;,&quot;container-title-short&quot;:&quot;Ann Transplant&quot;,&quot;DOI&quot;:&quot;10.12659/AOT.938274&quot;,&quot;ISSN&quot;:&quot;14259524&quot;,&quot;PMID&quot;:&quot;36457203&quot;,&quot;issued&quot;:{&quot;date-parts&quot;:[[2022]]},&quot;abstract&quot;:&quot;Background: Material/Methods: Results: Conclusions: Accurate volumetric evaluation of donors’ livers before surgery is crucial for successful living-donor liver transplantation. However, there are few studies on the volumetric evaluation in the recently popularized pure laparoscopic donor hepatectomy method, in contrast to the number of studies for conventional donor hepatectomy. We aimed to analyze the difference between estimated graft weight and actual graft weight in pure laparoscopic donor right hepatectomy (PLDRH) and conventional donor right hepatectomy (CDRH) procedures. The medical records of 612 donors who underwent right hepatectomy in living-donor liver transplantation between January 2014 and December 2020 were retrospectively reviewed. The CDRH group targeted patients from January 2014 to October 2015, and the PLDRH group targeted patients from March 2016 to December 2020. There were 119 and 376 donors who underwent CDRH and PLDRH, respectively. Although there was no significant difference in the estimated graft weights (P=0.994) and actual graft weights (P=0.489) between the groups, the estimated graft weights were significantly higher than the actual graft weights in both groups. However, the estimated graft weight and actual graft weight showed linear correlations in both the CDRH (r=0.81, P&lt;0.001) and PLDRH (r=0.76, P&lt;0.001) groups, with the CDRH group having greater linearity. The estimates of graft weight were similar between the 2 groups. However, since the actual graft weight tended to be smaller in the PLDRH group, this should be considered before surgery.&quot;,&quot;publisher&quot;:&quot;International Scientific Information, Inc.&quot;,&quot;volume&quot;:&quot;27&quot;},&quot;isTemporary&quot;:false}]},{&quot;citationID&quot;:&quot;MENDELEY_CITATION_f049c3e7-7845-4f4f-b486-cc731e798386&quot;,&quot;properties&quot;:{&quot;noteIndex&quot;:0},&quot;isEdited&quot;:false,&quot;manualOverride&quot;:{&quot;isManuallyOverridden&quot;:false,&quot;citeprocText&quot;:&quot;[102]&quot;,&quot;manualOverrideText&quot;:&quot;&quot;},&quot;citationTag&quot;:&quot;MENDELEY_CITATION_v3_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&quot;,&quot;citationItems&quot;:[{&quot;id&quot;:&quot;b29be33a-fa17-344f-baa9-d1506e959b94&quot;,&quot;itemData&quot;:{&quot;type&quot;:&quot;article-journal&quot;,&quot;id&quot;:&quot;b29be33a-fa17-344f-baa9-d1506e959b94&quot;,&quot;title&quot;:&quot;Pure laparoscopic living donor hepatectomy: Focus on 55 donors undergoing right hepatectomy&quot;,&quot;author&quot;:[{&quot;family&quot;:&quot;Suh&quot;,&quot;given&quot;:&quot;K. S.&quot;,&quot;parse-names&quot;:false,&quot;dropping-particle&quot;:&quot;&quot;,&quot;non-dropping-particle&quot;:&quot;&quot;},{&quot;family&quot;:&quot;Hong&quot;,&quot;given&quot;:&quot;S. K.&quot;,&quot;parse-names&quot;:false,&quot;dropping-particle&quot;:&quot;&quot;,&quot;non-dropping-particle&quot;:&quot;&quot;},{&quot;family&quot;:&quot;Lee&quot;,&quot;given&quot;:&quot;K. W.&quot;,&quot;parse-names&quot;:false,&quot;dropping-particle&quot;:&quot;&quot;,&quot;non-dropping-particle&quot;:&quot;&quot;},{&quot;family&quot;:&quot;Yi&quot;,&quot;given&quot;:&quot;N. J.&quot;,&quot;parse-names&quot;:false,&quot;dropping-particle&quot;:&quot;&quot;,&quot;non-dropping-particle&quot;:&quot;&quot;},{&quot;family&quot;:&quot;Kim&quot;,&quot;given&quot;:&quot;H. S.&quot;,&quot;parse-names&quot;:false,&quot;dropping-particle&quot;:&quot;&quot;,&quot;non-dropping-particle&quot;:&quot;&quot;},{&quot;family&quot;:&quot;Ahn&quot;,&quot;given&quot;:&quot;S. W.&quot;,&quot;parse-names&quot;:false,&quot;dropping-particle&quot;:&quot;&quot;,&quot;non-dropping-particle&quot;:&quot;&quot;},{&quot;family&quot;:&quot;Yoon&quot;,&quot;given&quot;:&quot;K. C.&quot;,&quot;parse-names&quot;:false,&quot;dropping-particle&quot;:&quot;&quot;,&quot;non-dropping-particle&quot;:&quot;&quot;},{&quot;family&quot;:&quot;Choi&quot;,&quot;given&quot;:&quot;J. Y.&quot;,&quot;parse-names&quot;:false,&quot;dropping-particle&quot;:&quot;&quot;,&quot;non-dropping-particle&quot;:&quot;&quot;},{&quot;family&quot;:&quot;Oh&quot;,&quot;given&quot;:&quot;D.&quot;,&quot;parse-names&quot;:false,&quot;dropping-particle&quot;:&quot;&quot;,&quot;non-dropping-particle&quot;:&quot;&quot;},{&quot;family&quot;:&quot;Kim&quot;,&quot;given&quot;:&quot;H.&quot;,&quot;parse-names&quot;:false,&quot;dropping-particle&quot;:&quot;&quot;,&quot;non-dropping-particle&quot;:&quot;&quot;}],&quot;container-title&quot;:&quot;American journal of transplantation : official journal of the American Society of Transplantation and the American Society of Transplant Surgeons&quot;,&quot;container-title-short&quot;:&quot;Am J Transplant&quot;,&quot;accessed&quot;:{&quot;date-parts&quot;:[[2024,9,29]]},&quot;DOI&quot;:&quot;10.1111/AJT.14455&quot;,&quot;ISSN&quot;:&quot;1600-6143&quot;,&quot;PMID&quot;:&quot;28787763&quot;,&quot;URL&quot;:&quot;https://pubmed.ncbi.nlm.nih.gov/28787763/&quot;,&quot;issued&quot;:{&quot;date-parts&quot;:[[2018,2,1]]},&quot;page&quot;:&quot;434-443&quot;,&quot;abstract&quot;:&quot;Although laparoscopic donor hepatectomy is increasingly common, few centers with substantial experience have reported the results of pure laparoscopic donor right hepatectomy (PLDRH). Here, we report the experiences of 60 consecutive liver donors undergoing pure laparoscopic donor hepatectomy (PLDH), with most undergoing right hepatectomy. None of the 60 donors who underwent PLDH had intraoperative complications and none required transfusions, reoperation, or conversion to open hepatectomy. Forty-five donors who underwent PLDRH between November 2015 and December 2016 were compared with 42 who underwent conventional donor right hepatectomy (CDRH) between May 2013 and February 2014. The total operation time was longer (330.7 vs 280.0 minutes; P &lt;.001) and the percentage with multiple bile duct openings was higher (53.3% vs 26.2%; P =.010) in the PLDRH group. However, the length of postoperative hospital stay (8.4 vs 8.2 days; P =.495) and rate of complications (11.9% vs 8.9%; P =.733) and re-hospitalizations (4.8% vs 4.4%; P = 1.000) were similar in both groups. PLDH, including PLDRH, is feasible when performed by a highly experienced surgeon and transplant team. Further evaluation, including long-term results, may support these preliminary findings of comparative outcomes for donors undergoing PLDRH and CDRH.&quot;,&quot;publisher&quot;:&quot;Am J Transplant&quot;,&quot;issue&quot;:&quot;2&quot;,&quot;volume&quot;:&quot;18&quot;},&quot;isTemporary&quot;:false}]},{&quot;citationID&quot;:&quot;MENDELEY_CITATION_9fc12af2-b4af-489e-95a9-030144f581c2&quot;,&quot;properties&quot;:{&quot;noteIndex&quot;:0},&quot;isEdited&quot;:false,&quot;manualOverride&quot;:{&quot;isManuallyOverridden&quot;:false,&quot;citeprocText&quot;:&quot;[77]&quot;,&quot;manualOverrideText&quot;:&quot;&quot;},&quot;citationTag&quot;:&quot;MENDELEY_CITATION_v3_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&quot;,&quot;citationItems&quot;:[{&quot;id&quot;:&quot;bbb424c1-8354-342f-9726-66cbfb5cc2cc&quot;,&quot;itemData&quot;:{&quot;type&quot;:&quot;article-journal&quot;,&quot;id&quot;:&quot;bbb424c1-8354-342f-9726-66cbfb5cc2cc&quot;,&quot;title&quot;:&quot;Fully automated assessment of the future liver remnant in a blood-free setting via CT before major hepatectomy via deep learning&quot;,&quot;author&quot;:[{&quot;family&quot;:&quot;Xie&quot;,&quot;given&quot;:&quot;Tingting&quot;,&quot;parse-names&quot;:false,&quot;dropping-particle&quot;:&quot;&quot;,&quot;non-dropping-particle&quot;:&quot;&quot;},{&quot;family&quot;:&quot;Zhou&quot;,&quot;given&quot;:&quot;Jingyu&quot;,&quot;parse-names&quot;:false,&quot;dropping-particle&quot;:&quot;&quot;,&quot;non-dropping-particle&quot;:&quot;&quot;},{&quot;family&quot;:&quot;Zhang&quot;,&quot;given&quot;:&quot;Xiaodong&quot;,&quot;parse-names&quot;:false,&quot;dropping-particle&quot;:&quot;&quot;,&quot;non-dropping-particle&quot;:&quot;&quot;},{&quot;family&quot;:&quot;Zhang&quot;,&quot;given&quot;:&quot;Yaofeng&quot;,&quot;parse-names&quot;:false,&quot;dropping-particle&quot;:&quot;&quot;,&quot;non-dropping-particle&quot;:&quot;&quot;},{&quot;family&quot;:&quot;Wang&quot;,&quot;given&quot;:&quot;Xiaoying&quot;,&quot;parse-names&quot;:false,&quot;dropping-particle&quot;:&quot;&quot;,&quot;non-dropping-particle&quot;:&quot;&quot;},{&quot;family&quot;:&quot;Li&quot;,&quot;given&quot;:&quot;Yongbin&quot;,&quot;parse-names&quot;:false,&quot;dropping-particle&quot;:&quot;&quot;,&quot;non-dropping-particle&quot;:&quot;&quot;},{&quot;family&quot;:&quot;Cheng&quot;,&quot;given&quot;:&quot;Guanxun&quot;,&quot;parse-names&quot;:false,&quot;dropping-particle&quot;:&quot;&quot;,&quot;non-dropping-particle&quot;:&quot;&quot;}],&quot;container-title&quot;:&quot;Insights into imaging&quot;,&quot;container-title-short&quot;:&quot;Insights Imaging&quot;,&quot;accessed&quot;:{&quot;date-parts&quot;:[[2024,9,29]]},&quot;DOI&quot;:&quot;10.1186/S13244-024-01724-6&quot;,&quot;ISSN&quot;:&quot;1869-4101&quot;,&quot;PMID&quot;:&quot;38935177&quot;,&quot;URL&quot;:&quot;https://pubmed.ncbi.nlm.nih.gov/38935177/&quot;,&quot;issued&quot;:{&quot;date-parts&quot;:[[2024,12,1]]},&quot;abstract&quot;:&quot;Objectives: To develop and validate a deep learning (DL) model for automated segmentation of hepatic and portal veins, and apply the model in blood-free future liver remnant (FLR) assessments via CT before major hepatectomy. Methods: 3-dimensional 3D U-Net models were developed for the automatic segmentation of hepatic veins and portal veins on contrast-enhanced CT images. A total of 170 patients treated from January 2018 to March 2019 were included. 3D U-Net models were trained and tested under various liver conditions. The Dice similarity coefficient (DSC) and volumetric similarity (VS) were used to evaluate the segmentation accuracy. The use of quantitative volumetry for evaluating resection was compared between blood-filled and blood-free settings and between manual and automated segmentation. Results: The DSC values in the test dataset for hepatic veins and portal veins were 0.66 ± 0.08 (95% CI: (0.65, 0.68)) and 0.67 ± 0.07 (95% CI: (0.66, 0.69)), the VS values were 0.80 ± 0.10 (95% CI: (0.79, 0.84)) and 0.74 ± 0.08 (95% CI: (0.73, 0.76)), respectively No significant differences in FLR, FLR% assessments, or the percentage of major hepatectomy patients were noted between the blood-filled and blood-free settings (p = 0.67, 0.59 and 0.99 for manual methods, p = 0.66, 0.99 and 0.99 for automated methods, respectively) according to the use of manual and automated segmentation methods. Conclusion: Fully automated segmentation of hepatic veins and portal veins and FLR assessment via blood-free CT before major hepatectomy are accurate and applicable in clinical cases involving the use of DL. Critical relevance statement: Our fully automatic models could segment hepatic veins, portal veins, and future liver remnant in blood-free setting on CT images before major hepatectomy with reliable outcomes. Key Points: Fully automatic segmentation of hepatic veins and portal veins was feasible in clinical practice. Fully automatic volumetry of future liver remnant (FLR)% in a blood-free setting was robust. No significant differences in FLR% assessments were noted between the blood-filled and blood-free settings. Graphical Abstract: (Figure presented.)&quot;,&quot;publisher&quot;:&quot;Insights Imaging&quot;,&quot;issue&quot;:&quot;1&quot;,&quot;volume&quot;:&quot;15&quot;},&quot;isTemporary&quot;:false}]},{&quot;citationID&quot;:&quot;MENDELEY_CITATION_9cd6fd68-da61-403a-bea6-689dc305f507&quot;,&quot;properties&quot;:{&quot;noteIndex&quot;:0},&quot;isEdited&quot;:false,&quot;manualOverride&quot;:{&quot;isManuallyOverridden&quot;:false,&quot;citeprocText&quot;:&quot;[68]&quot;,&quot;manualOverrideText&quot;:&quot;&quot;},&quot;citationTag&quot;:&quot;MENDELEY_CITATION_v3_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&quot;,&quot;citationItems&quot;:[{&quot;id&quot;:&quot;9784b76b-197f-3867-9aee-6b6042bc9f41&quot;,&quot;itemData&quot;:{&quot;type&quot;:&quot;article-journal&quot;,&quot;id&quot;:&quot;9784b76b-197f-3867-9aee-6b6042bc9f41&quot;,&quot;title&quot;:&quot;Correlation between liver volume and liver weight in a cohort with chronic liver disease: a semiautomated CT-volumetry study&quot;,&quot;author&quot;:[{&quot;family&quot;:&quot;Hagen&quot;,&quot;given&quot;:&quot;Florian&quot;,&quot;parse-names&quot;:false,&quot;dropping-particle&quot;:&quot;&quot;,&quot;non-dropping-particle&quot;:&quot;&quot;},{&quot;family&quot;:&quot;Mair&quot;,&quot;given&quot;:&quot;Antonia&quot;,&quot;parse-names&quot;:false,&quot;dropping-particle&quot;:&quot;&quot;,&quot;non-dropping-particle&quot;:&quot;&quot;},{&quot;family&quot;:&quot;Bösmüller&quot;,&quot;given&quot;:&quot;Hans&quot;,&quot;parse-names&quot;:false,&quot;dropping-particle&quot;:&quot;&quot;,&quot;non-dropping-particle&quot;:&quot;&quot;},{&quot;family&quot;:&quot;Horger&quot;,&quot;given&quot;:&quot;Marius&quot;,&quot;parse-names&quot;:false,&quot;dropping-particle&quot;:&quot;&quot;,&quot;non-dropping-particle&quot;:&quot;&quot;}],&quot;container-title&quot;:&quot;Quantitative imaging in medicine and surgery&quot;,&quot;container-title-short&quot;:&quot;Quant Imaging Med Surg&quot;,&quot;accessed&quot;:{&quot;date-parts&quot;:[[2023,6,15]]},&quot;DOI&quot;:&quot;10.21037/QIMS-21-299&quot;,&quot;ISSN&quot;:&quot;2223-4292&quot;,&quot;PMID&quot;:&quot;34993086&quot;,&quot;URL&quot;:&quot;https://pubmed.ncbi.nlm.nih.gov/34993086/&quot;,&quot;issued&quot;:{&quot;date-parts&quot;:[[2022,1,1]]},&quot;page&quot;:&quot;376-383&quot;,&quot;abstract&quot;:&quot;Background: To estimate the optimal density coefficient for conversion of liver volume into liver weight in patients with chronic liver disease based on semiautomated CT-liver volumetry data and the histologic Ishak score of explanted liver. Methods: A total of 114 patients (39 female; age, 46±20 years) with chronic liver diseases who underwent liver transplantation between January 2010 and September 2020 were identified over a patient chart search at our institution and subsequently analyzed in retrospect. All patients had contrast-enhanced CT-examinations (mean, 24 days) to liver transplantation. Liver volume was calculated by a semiautomated software and results compared with the liver weight registered by the pathologist. Each explanted liver was histologically scored into six classes according to the Ishak classification where the categories were subgrouped based on recommendation of the pathologists into the following categories 0–3, 4–5 and 6. Results: Mean liver volume was 1,870±1,195, 1,162±679 and 1,278±510 mL for the categories 0–3, 4–5 and 6, respectively. Mean liver weight was 1,624±999, 1,082±669 and 1,346±559 g for the categories 0–3, 4–5 and 6, respectively. A coefficient of 0.92±0.22, 0.98±0.28 and 1.06±0.20 g/mL was found at best for conversion of liver volume into liver weight in these subgroups. Differences between Ishak-subgroups proved significant (0.002). In 4 patients with cystic liver disease, density coefficients varied significantly and were found generally lower compared to the other liver disorders. Conclusions: Our results yielded significant differences between the density coefficients calculated along with the Ishak score and also for the subgroup with cystic liver disease.&quot;,&quot;publisher&quot;:&quot;Quant Imaging Med Surg&quot;,&quot;issue&quot;:&quot;1&quot;,&quot;volume&quot;:&quot;12&quot;},&quot;isTemporary&quot;:false}]},{&quot;citationID&quot;:&quot;MENDELEY_CITATION_57d50f72-4010-48cd-bfbd-b2340a853923&quot;,&quot;properties&quot;:{&quot;noteIndex&quot;:0},&quot;isEdited&quot;:false,&quot;manualOverride&quot;:{&quot;isManuallyOverridden&quot;:false,&quot;citeprocText&quot;:&quot;[4]&quot;,&quot;manualOverrideText&quot;:&quot;&quot;},&quot;citationTag&quot;:&quot;MENDELEY_CITATION_v3_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&quot;,&quot;citationItems&quot;:[{&quot;id&quot;:&quot;4eecabdb-e70e-3901-8a02-ec8fc96eb936&quot;,&quot;itemData&quot;:{&quot;type&quot;:&quot;article-journal&quot;,&quot;id&quot;:&quot;4eecabdb-e70e-3901-8a02-ec8fc96eb936&quot;,&quot;title&quot;:&quot;Manual and semi-automated computed tomography volumetry significantly overestimates the right liver lobe graft weight: a single-center study with adult living liver donors&quot;,&quot;author&quot;:[{&quot;family&quot;:&quot;Çelik&quot;,&quot;given&quot;:&quot;Hakkı&quot;,&quot;parse-names&quot;:false,&quot;dropping-particle&quot;:&quot;&quot;,&quot;non-dropping-particle&quot;:&quot;&quot;},{&quot;family&quot;:&quot;Odaman&quot;,&quot;given&quot;:&quot;Hüseyin&quot;,&quot;parse-names&quot;:false,&quot;dropping-particle&quot;:&quot;&quot;,&quot;non-dropping-particle&quot;:&quot;&quot;},{&quot;family&quot;:&quot;Altay&quot;,&quot;given&quot;:&quot;Canan&quot;,&quot;parse-names&quot;:false,&quot;dropping-particle&quot;:&quot;&quot;,&quot;non-dropping-particle&quot;:&quot;&quot;},{&quot;family&quot;:&quot;Ünek&quot;,&quot;given&quot;:&quot;Tarkan&quot;,&quot;parse-names&quot;:false,&quot;dropping-particle&quot;:&quot;&quot;,&quot;non-dropping-particle&quot;:&quot;&quot;},{&quot;family&quot;:&quot;Özbilgin&quot;,&quot;given&quot;:&quot;Mücahit&quot;,&quot;parse-names&quot;:false,&quot;dropping-particle&quot;:&quot;&quot;,&quot;non-dropping-particle&quot;:&quot;&quot;},{&quot;family&quot;:&quot;Egeli&quot;,&quot;given&quot;:&quot;Tufan&quot;,&quot;parse-names&quot;:false,&quot;dropping-particle&quot;:&quot;&quot;,&quot;non-dropping-particle&quot;:&quot;&quot;},{&quot;family&quot;:&quot;Ağalar&quot;,&quot;given&quot;:&quot;Cihan&quot;,&quot;parse-names&quot;:false,&quot;dropping-particle&quot;:&quot;&quot;,&quot;non-dropping-particle&quot;:&quot;&quot;},{&quot;family&quot;:&quot;Astarcıoğlu&quot;,&quot;given&quot;:&quot;İbrahim Kemal&quot;,&quot;parse-names&quot;:false,&quot;dropping-particle&quot;:&quot;&quot;,&quot;non-dropping-particle&quot;:&quot;&quot;},{&quot;family&quot;:&quot;Barlık&quot;,&quot;given&quot;:&quot;Funda&quot;,&quot;parse-names&quot;:false,&quot;dropping-particle&quot;:&quot;&quot;,&quot;non-dropping-particle&quot;:&quot;&quot;}],&quot;container-title&quot;:&quot;Diagnostic and interventional radiology (Ankara, Turkey)&quot;,&quot;container-title-short&quot;:&quot;Diagn Interv Radiol&quot;,&quot;accessed&quot;:{&quot;date-parts&quot;:[[2023,6,15]]},&quot;DOI&quot;:&quot;10.4274/DIR.2023.221903&quot;,&quot;ISSN&quot;:&quot;1305-3612&quot;,&quot;PMID&quot;:&quot;37154817&quot;,&quot;URL&quot;:&quot;https://pubmed.ncbi.nlm.nih.gov/37154817/&quot;,&quot;issued&quot;:{&quot;date-parts&quot;:[[2023,5,8]]},&quot;page&quot;:&quot;0-0&quot;,&quot;publisher&quot;:&quot;Diagn Interv Radiol&quot;,&quot;issue&quot;:&quot;0&quot;,&quot;volume&quot;:&quot;0&quot;},&quot;isTemporary&quot;:false}]},{&quot;citationID&quot;:&quot;MENDELEY_CITATION_5cdc2686-c81f-4b53-85d3-fc4daeca16c0&quot;,&quot;properties&quot;:{&quot;noteIndex&quot;:0},&quot;isEdited&quot;:false,&quot;manualOverride&quot;:{&quot;isManuallyOverridden&quot;:false,&quot;citeprocText&quot;:&quot;[58]&quot;,&quot;manualOverrideText&quot;:&quot;&quot;},&quot;citationTag&quot;:&quot;MENDELEY_CITATION_v3_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&quot;,&quot;citationItems&quot;:[{&quot;id&quot;:&quot;e92a4ab6-ac64-397d-aeec-533cd2dc4e02&quot;,&quot;itemData&quot;:{&quot;type&quot;:&quot;article-journal&quot;,&quot;id&quot;:&quot;e92a4ab6-ac64-397d-aeec-533cd2dc4e02&quot;,&quot;title&quot;:&quot;Fully automated whole-liver volume quantification on CT-image data: Comparison with manual volumetry using enhanced and unenhanced images as well as two different radiation dose levels and two reconstruction kernels&quot;,&quot;author&quot;:[{&quot;family&quot;:&quot;Hagen&quot;,&quot;given&quot;:&quot;Florian&quot;,&quot;parse-names&quot;:false,&quot;dropping-particle&quot;:&quot;&quot;,&quot;non-dropping-particle&quot;:&quot;&quot;},{&quot;family&quot;:&quot;Mair&quot;,&quot;given&quot;:&quot;Antonia&quot;,&quot;parse-names&quot;:false,&quot;dropping-particle&quot;:&quot;&quot;,&quot;non-dropping-particle&quot;:&quot;&quot;},{&quot;family&quot;:&quot;Bitzer&quot;,&quot;given&quot;:&quot;Michael&quot;,&quot;parse-names&quot;:false,&quot;dropping-particle&quot;:&quot;&quot;,&quot;non-dropping-particle&quot;:&quot;&quot;},{&quot;family&quot;:&quot;Bösmüller&quot;,&quot;given&quot;:&quot;Hans&quot;,&quot;parse-names&quot;:false,&quot;dropping-particle&quot;:&quot;&quot;,&quot;non-dropping-particle&quot;:&quot;&quot;},{&quot;family&quot;:&quot;Horger&quot;,&quot;given&quot;:&quot;Marius&quot;,&quot;parse-names&quot;:false,&quot;dropping-particle&quot;:&quot;&quot;,&quot;non-dropping-particle&quot;:&quot;&quot;}],&quot;container-title&quot;:&quot;PloS one&quot;,&quot;container-title-short&quot;:&quot;PLoS One&quot;,&quot;accessed&quot;:{&quot;date-parts&quot;:[[2024,9,29]]},&quot;DOI&quot;:&quot;10.1371/JOURNAL.PONE.0255374&quot;,&quot;ISSN&quot;:&quot;1932-6203&quot;,&quot;PMID&quot;:&quot;34339472&quot;,&quot;URL&quot;:&quot;https://pubmed.ncbi.nlm.nih.gov/34339472/&quot;,&quot;issued&quot;:{&quot;date-parts&quot;:[[2021,8,1]]},&quot;abstract&quot;:&quot;Objectives To evaluate the accuracy of fully automated liver volume quantification vs. manual quantification using unenhanced as well as enhanced CT-image data as well as two different radiation dose levels and also two image reconstruction kernels. Material and methods The local ethics board gave its approval for retrospective data analysis. Automated liver volume quantification in 300 consecutive livers in 164 male and 103 female oncologic patients (64±12y) performed at our institution (between January 2020 and May 2020) using two different dual-energy helicals: portal-venous phase enhanced, ref. tube current 300mAs (CARE Dose4D) for tube A (100 kV) and ref. 232mAs tube current for tube B (Sn140kV), slice collimation 0.6mm, reconstruction kernel I30f/1, recon. thickness of 0.6mm and 5mm, 80-100 mL iodine contrast agent 350 mg/mL, (flow 2mL/s) and unenhanced ref. tube current 100mAs (CARE Dose4D) for tube A (100 kV) and ref. 77mAs tube current for tube B (Sn140kV), slice collimation 0.6mm (kernel Q40f) were analyzed. The post-processing tool (syngo.CT Liver Analysis) is already FDA-approved. Two resident radiologists with no and 1-year CT-experience performed both the automated measurements independently from each other. Results were compared with those of manual liver volume quantification using the same software which was supervised by a senior radiologist with 30-year CT-experience (ground truth). Results In total, a correlation of 98% was obtained for liver volumetry based on enhanced and unenhanced data sets compared to the manual liver quantification. Radiologist #1 and #2 achieved an inter-reader agreement of 99.8% for manual liver segmentation (p&lt;0.0001). Automated liver volumetry resulted in an overestimation (&gt;5% deviation) of 3.7% for unenhanced CT-image data and 4.0% for contrast-enhanced CT-images. Underestimation (&lt;5%) of liver volume was 2.0% for unenhanced CT-image data and 1.3% for enhanced images after automated liver volumetry. Number and distribution of erroneous volume measurements using either thin or thick slice reconstructions was exactly the same, both for the enhanced as well for the unenhanced image data sets (p&gt; 0.05). Conclusion Results of fully automated liver volume quantification are accurate and comparable with those of manual liver volume quantification and the technique seems to be confident even if unenhanced lower-dose CT image data is used. Copyright:&quot;,&quot;publisher&quot;:&quot;PLoS One&quot;,&quot;issue&quot;:&quot;8&quot;,&quot;volume&quot;:&quot;16&quot;},&quot;isTemporary&quot;:false}]},{&quot;citationID&quot;:&quot;MENDELEY_CITATION_e58b7b91-81b7-448f-8a28-2d466d7adccb&quot;,&quot;properties&quot;:{&quot;noteIndex&quot;:0},&quot;isEdited&quot;:false,&quot;manualOverride&quot;:{&quot;isManuallyOverridden&quot;:false,&quot;citeprocText&quot;:&quot;[103,104]&quot;,&quot;manualOverrideText&quot;:&quot;&quot;},&quot;citationTag&quot;:&quot;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&quot;,&quot;citationItems&quot;:[{&quot;id&quot;:&quot;8d47e0e4-b3cd-3cab-89d9-96d8c9f650f6&quot;,&quot;itemData&quot;:{&quot;type&quot;:&quot;article-journal&quot;,&quot;id&quot;:&quot;8d47e0e4-b3cd-3cab-89d9-96d8c9f650f6&quot;,&quot;title&quot;:&quot;Safe Use of Right Lobe Live Donor Livers With up to 20% Macrovesicular Steatosis Without Compromising Donor Safety and Recipient Outcome&quot;,&quot;author&quot;:[{&quot;family&quot;:&quot;Bhangui&quot;,&quot;given&quot;:&quot;Prashant&quot;,&quot;parse-names&quot;:false,&quot;dropping-particle&quot;:&quot;&quot;,&quot;non-dropping-particle&quot;:&quot;&quot;},{&quot;family&quot;:&quot;Sah&quot;,&quot;given&quot;:&quot;Jayant&quot;,&quot;parse-names&quot;:false,&quot;dropping-particle&quot;:&quot;&quot;,&quot;non-dropping-particle&quot;:&quot;&quot;},{&quot;family&quot;:&quot;Choudhary&quot;,&quot;given&quot;:&quot;Narendra&quot;,&quot;parse-names&quot;:false,&quot;dropping-particle&quot;:&quot;&quot;,&quot;non-dropping-particle&quot;:&quot;&quot;},{&quot;family&quot;:&quot;Gautam&quot;,&quot;given&quot;:&quot;Dheeraj&quot;,&quot;parse-names&quot;:false,&quot;dropping-particle&quot;:&quot;&quot;,&quot;non-dropping-particle&quot;:&quot;&quot;},{&quot;family&quot;:&quot;Gupta&quot;,&quot;given&quot;:&quot;Vikas&quot;,&quot;parse-names&quot;:false,&quot;dropping-particle&quot;:&quot;&quot;,&quot;non-dropping-particle&quot;:&quot;&quot;},{&quot;family&quot;:&quot;Srinivasan&quot;,&quot;given&quot;:&quot;Thiagrajan&quot;,&quot;parse-names&quot;:false,&quot;dropping-particle&quot;:&quot;&quot;,&quot;non-dropping-particle&quot;:&quot;&quot;},{&quot;family&quot;:&quot;Rastogi&quot;,&quot;given&quot;:&quot;Amit&quot;,&quot;parse-names&quot;:false,&quot;dropping-particle&quot;:&quot;&quot;,&quot;non-dropping-particle&quot;:&quot;&quot;},{&quot;family&quot;:&quot;Piplani&quot;,&quot;given&quot;:&quot;Tarun&quot;,&quot;parse-names&quot;:false,&quot;dropping-particle&quot;:&quot;&quot;,&quot;non-dropping-particle&quot;:&quot;&quot;},{&quot;family&quot;:&quot;Saraf&quot;,&quot;given&quot;:&quot;Neeraj&quot;,&quot;parse-names&quot;:false,&quot;dropping-particle&quot;:&quot;&quot;,&quot;non-dropping-particle&quot;:&quot;&quot;},{&quot;family&quot;:&quot;Saigal&quot;,&quot;given&quot;:&quot;Sanjiv&quot;,&quot;parse-names&quot;:false,&quot;dropping-particle&quot;:&quot;&quot;,&quot;non-dropping-particle&quot;:&quot;&quot;},{&quot;family&quot;:&quot;Soin&quot;,&quot;given&quot;:&quot;Avi&quot;,&quot;parse-names&quot;:false,&quot;dropping-particle&quot;:&quot;&quot;,&quot;non-dropping-particle&quot;:&quot;&quot;}],&quot;container-title&quot;:&quot;Transplantation&quot;,&quot;container-title-short&quot;:&quot;Transplantation&quot;,&quot;accessed&quot;:{&quot;date-parts&quot;:[[2024,2,27]]},&quot;DOI&quot;:&quot;10.1097/TP.0000000000002847&quot;,&quot;ISSN&quot;:&quot;1534-6080&quot;,&quot;PMID&quot;:&quot;31283669&quot;,&quot;URL&quot;:&quot;https://pubmed.ncbi.nlm.nih.gov/31283669/&quot;,&quot;issued&quot;:{&quot;date-parts&quot;:[[2020,2,1]]},&quot;page&quot;:&quot;308-316&quot;,&quot;abstract&quot;:&quot;Background. The principle in right lobe living donor liver transplantation is to use \&quot;near-perfect\&quot; grafts to maximize recipient benefit with minimal donor risk. Whether and what degree of graft macrovesicular steatosis is safe for both recipient and donor is debatable. Methods. We compared donor and recipient outcomes in 623 primary right lobe living donor liver transplantations, using grafts with (Group A; 10%-20% steatosis, n = 92) and without (Group B; &lt;10%, n = 531) significant macrovesicular steatosis, on pre-or intraoperative biopsy. Results. Group A donors had higher body mass index, transaminases, fasting blood sugar, triglyceride, low density lipoprotein level, and lower high density lipoprotein, and liver attenuation index on CT scan, and similar future liver remnant. Mean postoperative day (POD) 7, aspartate aminotransferase (61.13 + 24.77 vs 73.17 + 53.71 IU/L; P = 0.04), and prothrombin time-international normalized ratio (1.16 + 0.36 vs 1.28 + 0.24; P = 0.0001) were lower in Group A donors. POD3 of 7 total bilirubin and alanine aminotransferase; POD3 aspartate aminotransferase and prothrombin time-international normalized ratio; postoperative morbidity (Dindo-Clavien &gt;3b), hospital stay were similar in both groups. Recipients in both groups had similar age, model for end-stage liver disease score. Right lobe graft weight (764.8 + 145.46 vs 703.24 + 125.53 grams; P &lt; 0.0001) and GRWR (1.09 + 0.29 vs 1.00 + 0.21; P = 0.0004) were higher in Group A. All biochemical parameters at POD 3 of 7, as well as hospital stay, 30-day mortality were similar in recipients of both groups, even after matching both groups for age, model for end-stage liver disease, and GRWR. Conclusions. Use of well-selected right lobe grafts (adequate future liver remnant in donor, GRWR in recipient), with up to 20% macrovesicular steatosis, does not compromise graft function and outcomes and is safe for the donor.&quot;,&quot;publisher&quot;:&quot;Transplantation&quot;,&quot;issue&quot;:&quot;2&quot;,&quot;volume&quot;:&quot;104&quot;},&quot;isTemporary&quot;:false},{&quot;id&quot;:&quot;23607e05-f048-3577-a8c9-d56022267384&quot;,&quot;itemData&quot;:{&quot;type&quot;:&quot;article-journal&quot;,&quot;id&quot;:&quot;23607e05-f048-3577-a8c9-d56022267384&quot;,&quot;title&quot;:&quot;Steatosis in Liver Transplantation: Current Limitations and Future Strategies&quot;,&quot;author&quot;:[{&quot;family&quot;:&quot;Linares&quot;,&quot;given&quot;:&quot;Ivan&quot;,&quot;parse-names&quot;:false,&quot;dropping-particle&quot;:&quot;&quot;,&quot;non-dropping-particle&quot;:&quot;&quot;},{&quot;family&quot;:&quot;Hamar&quot;,&quot;given&quot;:&quot;Matyas&quot;,&quot;parse-names&quot;:false,&quot;dropping-particle&quot;:&quot;&quot;,&quot;non-dropping-particle&quot;:&quot;&quot;},{&quot;family&quot;:&quot;Selzner&quot;,&quot;given&quot;:&quot;Nazia&quot;,&quot;parse-names&quot;:false,&quot;dropping-particle&quot;:&quot;&quot;,&quot;non-dropping-particle&quot;:&quot;&quot;},{&quot;family&quot;:&quot;Selzner&quot;,&quot;given&quot;:&quot;Markus&quot;,&quot;parse-names&quot;:false,&quot;dropping-particle&quot;:&quot;&quot;,&quot;non-dropping-particle&quot;:&quot;&quot;}],&quot;container-title&quot;:&quot;Transplantation&quot;,&quot;container-title-short&quot;:&quot;Transplantation&quot;,&quot;accessed&quot;:{&quot;date-parts&quot;:[[2024,2,27]]},&quot;DOI&quot;:&quot;10.1097/TP.0000000000002466&quot;,&quot;ISSN&quot;:&quot;1534-6080&quot;,&quot;PMID&quot;:&quot;30418431&quot;,&quot;URL&quot;:&quot;https://pubmed.ncbi.nlm.nih.gov/30418431/&quot;,&quot;issued&quot;:{&quot;date-parts&quot;:[[2019,1,1]]},&quot;page&quot;:&quot;78-90&quot;,&quot;abstract&quot;:&quot;In parallel with the pandemic of obesity and diabetes, the prevalence of nonalcoholic fatty liver disease has progressively increased. Nonalcoholic steatohepatitis (NASH), a subtype of nonalcoholic fatty liver disease has also augmented considerably being currently cirrhosis due to NASH the second indication for liver transplantation in the United States. Innovative treatments for NASH have shown promising results in phase 2 studies and are being presently evaluated in phase 3 trials. On the other hand, the high mortality on the liver transplant waitlist and the organ shortage has obligated the transplant centers to consider suboptimal grafts, such as steatotic livers for transplantation. Fatty livers are vulnerable to preservation injury resulting in a higher rate of primary nonfunction, early allograft dysfunction and posttransplant vascular and biliary complications. Macrosteatosis of more than 30% in fact is an independent risk factor for graft loss. Therefore, it needs to be considered into the risk assessment scores. Growing evidence supports that moderate and severe macrosteatotic grafts can be successfully used for liver transplantation with careful recipient selection. Protective strategies, such as machine-based perfusion have been developed in experimental setting to minimize preservation-related injury and are now on the verge to move into the clinical implementation. This review focuses on the current and potential future treatment of NASH and the clinical practice in fatty liver transplantation, highlights its limitations and optimal allocation, and summarizes the advances of experimental protective strategies, and their potential for clinical application to increase the acceptance and improve the outcomes after liver transplantation with high-grade steatotic livers.&quot;,&quot;publisher&quot;:&quot;Transplantation&quot;,&quot;issue&quot;:&quot;1&quot;,&quot;volume&quot;:&quot;103&quot;},&quot;isTemporary&quot;:false}]},{&quot;citationID&quot;:&quot;MENDELEY_CITATION_1c0dae3d-b468-4a6b-a59e-94a2f2bb9100&quot;,&quot;properties&quot;:{&quot;noteIndex&quot;:0},&quot;isEdited&quot;:false,&quot;manualOverride&quot;:{&quot;isManuallyOverridden&quot;:false,&quot;citeprocText&quot;:&quot;[105]&quot;,&quot;manualOverrideText&quot;:&quot;&quot;},&quot;citationTag&quot;:&quot;MENDELEY_CITATION_v3_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&quot;,&quot;citationItems&quot;:[{&quot;id&quot;:&quot;e035ea96-fd48-3566-b755-6cad2d969a3a&quot;,&quot;itemData&quot;:{&quot;type&quot;:&quot;article-journal&quot;,&quot;id&quot;:&quot;e035ea96-fd48-3566-b755-6cad2d969a3a&quot;,&quot;title&quot;:&quot;Correlating CT Volumetry with Actual Graft Volume in Living Donor Liver Transplantation: A Retrospective Analysis&quot;,&quot;author&quot;:[{&quot;family&quot;:&quot;Ahmed Khan&quot;,&quot;given&quot;:&quot;Bilal&quot;,&quot;parse-names&quot;:false,&quot;dropping-particle&quot;:&quot;&quot;,&quot;non-dropping-particle&quot;:&quot;&quot;}],&quot;accessed&quot;:{&quot;date-parts&quot;:[[2024,4,22]]},&quot;DOI&quot;:&quot;10.21203/rs.3.rs-3582859/v1&quot;,&quot;URL&quot;:&quot;https://doi.org/10.21203/rs.3.rs-3582859/v1&quot;,&quot;abstract&quot;:&quot;Introduction:&quot;,&quot;container-title-short&quot;:&quot;&quot;},&quot;isTemporary&quot;:false}]},{&quot;citationID&quot;:&quot;MENDELEY_CITATION_fded7825-6ea2-450b-b56d-72b1905f4a31&quot;,&quot;properties&quot;:{&quot;noteIndex&quot;:0},&quot;isEdited&quot;:false,&quot;manualOverride&quot;:{&quot;isManuallyOverridden&quot;:false,&quot;citeprocText&quot;:&quot;[97,106,107]&quot;,&quot;manualOverrideText&quot;:&quot;&quot;},&quot;citationTag&quot;:&quot;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&quot;,&quot;citationItems&quot;:[{&quot;id&quot;:&quot;586ef5ce-4006-37b2-bc70-f9805cdbebbc&quot;,&quot;itemData&quot;:{&quot;type&quot;:&quot;article-journal&quot;,&quot;id&quot;:&quot;586ef5ce-4006-37b2-bc70-f9805cdbebbc&quot;,&quot;title&quot;:&quot;Age and liver transplantation&quot;,&quot;author&quot;:[{&quot;family&quot;:&quot;Durand&quot;,&quot;given&quot;:&quot;François&quot;,&quot;parse-names&quot;:false,&quot;dropping-particle&quot;:&quot;&quot;,&quot;non-dropping-particle&quot;:&quot;&quot;},{&quot;family&quot;:&quot;Levitsky&quot;,&quot;given&quot;:&quot;Josh&quot;,&quot;parse-names&quot;:false,&quot;dropping-particle&quot;:&quot;&quot;,&quot;non-dropping-particle&quot;:&quot;&quot;},{&quot;family&quot;:&quot;Cauchy&quot;,&quot;given&quot;:&quot;François&quot;,&quot;parse-names&quot;:false,&quot;dropping-particle&quot;:&quot;&quot;,&quot;non-dropping-particle&quot;:&quot;&quot;},{&quot;family&quot;:&quot;Gilgenkrantz&quot;,&quot;given&quot;:&quot;Hélène&quot;,&quot;parse-names&quot;:false,&quot;dropping-particle&quot;:&quot;&quot;,&quot;non-dropping-particle&quot;:&quot;&quot;},{&quot;family&quot;:&quot;Soubrane&quot;,&quot;given&quot;:&quot;Olivier&quot;,&quot;parse-names&quot;:false,&quot;dropping-particle&quot;:&quot;&quot;,&quot;non-dropping-particle&quot;:&quot;&quot;},{&quot;family&quot;:&quot;Francoz&quot;,&quot;given&quot;:&quot;Claire&quot;,&quot;parse-names&quot;:false,&quot;dropping-particle&quot;:&quot;&quot;,&quot;non-dropping-particle&quot;:&quot;&quot;}],&quot;container-title&quot;:&quot;Journal of hepatology&quot;,&quot;container-title-short&quot;:&quot;J Hepatol&quot;,&quot;accessed&quot;:{&quot;date-parts&quot;:[[2024,9,29]]},&quot;DOI&quot;:&quot;10.1016/J.JHEP.2018.12.009&quot;,&quot;ISSN&quot;:&quot;1600-0641&quot;,&quot;PMID&quot;:&quot;30576701&quot;,&quot;URL&quot;:&quot;https://pubmed.ncbi.nlm.nih.gov/30576701/&quot;,&quot;issued&quot;:{&quot;date-parts&quot;:[[2019,4,1]]},&quot;page&quot;:&quot;745-758&quot;,&quot;abstract&quot;:&quot;The average age of liver transplant donors and recipients has increased over the years. Independent of the cause of liver disease, older candidates have more comorbidities, higher waitlist mortality and higher post-transplant mortality than younger patients. However, transplant benefit may be similar in older and younger recipients, provided older recipients are carefully selected. The cohort of elderly patients transplanted decades ago is also increasingly raising issues concerning long-term exposure to immunosuppression and aging of the transplanted liver. Excellent results can be achieved with elderly donors and there is virtually no upper age limit for donors after brain death liver transplantation. The issue is how to optimise selection, procurement and matching to ensure good results with elderly donors. The impact of old donor age is more pronounced in younger recipients and patients with a high model for end-stage liver disease score. Age matching between the donor and the recipient should be incorporated into allocation policies with a multistep approach. However, age matching may vary depending on the objectives of different allocation policies. In addition, age matching must be revisited in the era of direct-acting antivirals. More restrictive limits have been adopted in donation after circulatory death. Perfusion machines which are currently under investigation may help expand these limits. In living donor liver transplantation, donor age limit is essentially guided by morbidity related to procurement. In this review we summarise changing trends in recipient and donor age. We discuss the implications of older age donors and recipients. We also consider different options for age matching in liver transplantation that could improve outcomes.&quot;,&quot;publisher&quot;:&quot;J Hepatol&quot;,&quot;issue&quot;:&quot;4&quot;,&quot;volume&quot;:&quot;70&quot;},&quot;isTemporary&quot;:false},{&quot;id&quot;:&quot;0a84db57-8678-3583-b460-29f71fffde20&quot;,&quot;itemData&quot;:{&quot;type&quot;:&quot;article-journal&quot;,&quot;id&quot;:&quot;0a84db57-8678-3583-b460-29f71fffde20&quot;,&quot;title&quot;:&quot;Recipient Age and Mortality After Liver Transplantation: A Population-based Cohort Study&quot;,&quot;author&quot;:[{&quot;family&quot;:&quot;Gil&quot;,&quot;given&quot;:&quot;Eunmi&quot;,&quot;parse-names&quot;:false,&quot;dropping-particle&quot;:&quot;&quot;,&quot;non-dropping-particle&quot;:&quot;&quot;},{&quot;family&quot;:&quot;Kim&quot;,&quot;given&quot;:&quot;Jong Man&quot;,&quot;parse-names&quot;:false,&quot;dropping-particle&quot;:&quot;&quot;,&quot;non-dropping-particle&quot;:&quot;&quot;},{&quot;family&quot;:&quot;Jeon&quot;,&quot;given&quot;:&quot;Kyeongman&quot;,&quot;parse-names&quot;:false,&quot;dropping-particle&quot;:&quot;&quot;,&quot;non-dropping-particle&quot;:&quot;&quot;},{&quot;family&quot;:&quot;Park&quot;,&quot;given&quot;:&quot;Hyejeong&quot;,&quot;parse-names&quot;:false,&quot;dropping-particle&quot;:&quot;&quot;,&quot;non-dropping-particle&quot;:&quot;&quot;},{&quot;family&quot;:&quot;Kang&quot;,&quot;given&quot;:&quot;Danbee&quot;,&quot;parse-names&quot;:false,&quot;dropping-particle&quot;:&quot;&quot;,&quot;non-dropping-particle&quot;:&quot;&quot;},{&quot;family&quot;:&quot;Cho&quot;,&quot;given&quot;:&quot;Juhee&quot;,&quot;parse-names&quot;:false,&quot;dropping-particle&quot;:&quot;&quot;,&quot;non-dropping-particle&quot;:&quot;&quot;},{&quot;family&quot;:&quot;Suh&quot;,&quot;given&quot;:&quot;Gee Young&quot;,&quot;parse-names&quot;:false,&quot;dropping-particle&quot;:&quot;&quot;,&quot;non-dropping-particle&quot;:&quot;&quot;},{&quot;family&quot;:&quot;Park&quot;,&quot;given&quot;:&quot;Jinkyeong&quot;,&quot;parse-names&quot;:false,&quot;dropping-particle&quot;:&quot;&quot;,&quot;non-dropping-particle&quot;:&quot;&quot;}],&quot;container-title&quot;:&quot;Transplantation&quot;,&quot;container-title-short&quot;:&quot;Transplantation&quot;,&quot;accessed&quot;:{&quot;date-parts&quot;:[[2024,10,8]]},&quot;DOI&quot;:&quot;10.1097/TP.0000000000002246&quot;,&quot;ISSN&quot;:&quot;1534-6080&quot;,&quot;PMID&quot;:&quot;30153223&quot;,&quot;URL&quot;:&quot;https://pubmed.ncbi.nlm.nih.gov/30153223/&quot;,&quot;issued&quot;:{&quot;date-parts&quot;:[[2018,12,1]]},&quot;page&quot;:&quot;2025-2032&quot;,&quot;abstract&quot;:&quot;Background: The feasibility of liver transplantation (LT) in elderly recipients remains a topic of debate. Methods: This cohort study evaluated the impact of recipient's age on LT outcome between January 2007 and May 2016 covered by the Korean National Health Insurance system (n = 9415). Multilevel regression models were used to determine the impact of recipient's age on in-hospital and long-term mortality after LT. Results: All patients had a first LT, with 2473 transplanted with liver from deceased donors (DD) and 6942 from living donors. The mean age was 52.2 ± 9.0 years. Most LT were performed on patients in their 50s (n = 4290, 45.6%) and 0.9% (n = 84) of the LT was performed on patients older 70 years. The overall in-hospital mortality was 6.3%, and the 3-year mortality was 11.3%. The in-hospital mortality included, 13.5% associated with DDLT and 3.7% involved living donor LT. When compared with that for patients aged 51 to 55 years, the risk of death among recipients older than 70 years was about fourfold higher after adjusting for baseline liver disease (odds ratio, 4.1; 95% confidence interval, 2.21-7.58), and was nearly threefold higher after adjusting for baseline liver disease and perioperative complications (odds ratio, 2.92; 95% confidence interval, 1.37-6.24). Also, the cost of LT increased significantly with age. Conclusions: The data show that age remains an important risk factor for LT, suggesting that LT should be considered with caution in elderly recipients.&quot;,&quot;publisher&quot;:&quot;Transplantation&quot;,&quot;issue&quot;:&quot;12&quot;,&quot;volume&quot;:&quot;102&quot;},&quot;isTemporary&quot;:false},{&quot;id&quot;:&quot;d33ac8a7-6aa4-33bc-b402-e7f18a4577bf&quot;,&quot;itemData&quot;:{&quot;type&quot;:&quot;article-journal&quot;,&quot;id&quot;:&quot;d33ac8a7-6aa4-33bc-b402-e7f18a4577bf&quot;,&quot;title&quot;:&quot;Recipient body mass index and infectious complications following liver transplantation&quot;,&quot;author&quot;:[{&quot;family&quot;:&quot;Diaz-Nieto&quot;,&quot;given&quot;:&quot;Rafael&quot;,&quot;parse-names&quot;:false,&quot;dropping-particle&quot;:&quot;&quot;,&quot;non-dropping-particle&quot;:&quot;&quot;},{&quot;family&quot;:&quot;Lykoudis&quot;,&quot;given&quot;:&quot;Panagis M.&quot;,&quot;parse-names&quot;:false,&quot;dropping-particle&quot;:&quot;&quot;,&quot;non-dropping-particle&quot;:&quot;&quot;},{&quot;family&quot;:&quot;Davidson&quot;,&quot;given&quot;:&quot;Brian R.&quot;,&quot;parse-names&quot;:false,&quot;dropping-particle&quot;:&quot;&quot;,&quot;non-dropping-particle&quot;:&quot;&quot;}],&quot;container-title&quot;:&quot;HPB : the official journal of the International Hepato Pancreato Biliary Association&quot;,&quot;container-title-short&quot;:&quot;HPB (Oxford)&quot;,&quot;accessed&quot;:{&quot;date-parts&quot;:[[2024,9,29]]},&quot;DOI&quot;:&quot;10.1016/J.HPB.2019.01.002&quot;,&quot;ISSN&quot;:&quot;1477-2574&quot;,&quot;PMID&quot;:&quot;30713043&quot;,&quot;URL&quot;:&quot;https://pubmed.ncbi.nlm.nih.gov/30713043/&quot;,&quot;issued&quot;:{&quot;date-parts&quot;:[[2019,8,1]]},&quot;page&quot;:&quot;1032-1038&quot;,&quot;abstract&quot;:&quot;Background: Nutritional problems are common in patients requiring liver transplantation. Recipient obesity or malnutrition are thought to increase postoperative complications. Body mass index (BMI) is commonly used prior to major surgery but its value specifically in liver transplant assessment has not been established. This is a retrospective study assessing the correlation between the BMI of individuals undergoing liver transplant and the development of postoperative infectious complications. Methods: Data were collected from a prospectively maintained database regarding all consecutive patients over a period of 23 years. Preoperative recipient BMI was correlated with the number, nature and outcome of postoperative infective complications. Results: Of a total of 1156 consecutive patients, 13.2% developed infectious complications. Thirty-day mortality was 7.2% and 90-day mortality was 10%. Higher BMI was associated with higher risk of infections (p = 0.002). Wound infections occurred predominantly in obese patients (p = 0.001) while other types of infections were more common in malnourished patients (p &lt; 0.001). Conclusion: Extremes of BMI are associated with increased infectious complications following liver transplantation. Patients with lower BMI had a higher rate of overall infectious complications whereas those with a higher BMI had increased general and wound complications.&quot;,&quot;publisher&quot;:&quot;HPB (Oxford)&quot;,&quot;issue&quot;:&quot;8&quot;,&quot;volume&quot;:&quot;21&quot;},&quot;isTemporary&quot;:false}]},{&quot;citationID&quot;:&quot;MENDELEY_CITATION_74320810-b8b5-46a0-a105-d4fa73992b91&quot;,&quot;properties&quot;:{&quot;noteIndex&quot;:0},&quot;isEdited&quot;:false,&quot;manualOverride&quot;:{&quot;isManuallyOverridden&quot;:false,&quot;citeprocText&quot;:&quot;[108]&quot;,&quot;manualOverrideText&quot;:&quot;&quot;},&quot;citationTag&quot;:&quot;MENDELEY_CITATION_v3_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&quot;,&quot;citationItems&quot;:[{&quot;id&quot;:&quot;84ce10e4-1047-392a-814e-7c73cf392bc3&quot;,&quot;itemData&quot;:{&quot;type&quot;:&quot;article-journal&quot;,&quot;id&quot;:&quot;84ce10e4-1047-392a-814e-7c73cf392bc3&quot;,&quot;title&quot;:&quot;Impact of elderly donors for liver transplantation: A single-center experience&quot;,&quot;author&quot;:[{&quot;family&quot;:&quot;Kamo&quot;,&quot;given&quot;:&quot;Naoko&quot;,&quot;parse-names&quot;:false,&quot;dropping-particle&quot;:&quot;&quot;,&quot;non-dropping-particle&quot;:&quot;&quot;},{&quot;family&quot;:&quot;Kaido&quot;,&quot;given&quot;:&quot;Toshimi&quot;,&quot;parse-names&quot;:false,&quot;dropping-particle&quot;:&quot;&quot;,&quot;non-dropping-particle&quot;:&quot;&quot;},{&quot;family&quot;:&quot;Hammad&quot;,&quot;given&quot;:&quot;Ahmed&quot;,&quot;parse-names&quot;:false,&quot;dropping-particle&quot;:&quot;&quot;,&quot;non-dropping-particle&quot;:&quot;&quot;},{&quot;family&quot;:&quot;Ogawa&quot;,&quot;given&quot;:&quot;Kohei&quot;,&quot;parse-names&quot;:false,&quot;dropping-particle&quot;:&quot;&quot;,&quot;non-dropping-particle&quot;:&quot;&quot;},{&quot;family&quot;:&quot;Fujimoto&quot;,&quot;given&quot;:&quot;Yasuhiro&quot;,&quot;parse-names&quot;:false,&quot;dropping-particle&quot;:&quot;&quot;,&quot;non-dropping-particle&quot;:&quot;&quot;},{&quot;family&quot;:&quot;Uemura&quot;,&quot;given&quot;:&quot;Tadahiro&quot;,&quot;parse-names&quot;:false,&quot;dropping-particle&quot;:&quot;&quot;,&quot;non-dropping-particle&quot;:&quot;&quot;},{&quot;family&quot;:&quot;Mori&quot;,&quot;given&quot;:&quot;Akira&quot;,&quot;parse-names&quot;:false,&quot;dropping-particle&quot;:&quot;&quot;,&quot;non-dropping-particle&quot;:&quot;&quot;},{&quot;family&quot;:&quot;Hatano&quot;,&quot;given&quot;:&quot;Etsuro&quot;,&quot;parse-names&quot;:false,&quot;dropping-particle&quot;:&quot;&quot;,&quot;non-dropping-particle&quot;:&quot;&quot;},{&quot;family&quot;:&quot;Okajima&quot;,&quot;given&quot;:&quot;Hideaki&quot;,&quot;parse-names&quot;:false,&quot;dropping-particle&quot;:&quot;&quot;,&quot;non-dropping-particle&quot;:&quot;&quot;},{&quot;family&quot;:&quot;Uemoto&quot;,&quot;given&quot;:&quot;Shinji&quot;,&quot;parse-names&quot;:false,&quot;dropping-particle&quot;:&quot;&quot;,&quot;non-dropping-particle&quot;:&quot;&quot;}],&quot;container-title&quot;:&quot;Liver transplantation : official publication of the American Association for the Study of Liver Diseases and the International Liver Transplantation Society&quot;,&quot;container-title-short&quot;:&quot;Liver Transpl&quot;,&quot;accessed&quot;:{&quot;date-parts&quot;:[[2023,10,26]]},&quot;DOI&quot;:&quot;10.1002/LT.24086&quot;,&quot;ISSN&quot;:&quot;1527-6473&quot;,&quot;PMID&quot;:&quot;25641778&quot;,&quot;URL&quot;:&quot;https://pubmed.ncbi.nlm.nih.gov/25641778/&quot;,&quot;issued&quot;:{&quot;date-parts&quot;:[[2015,5,1]]},&quot;page&quot;:&quot;591-598&quot;,&quot;abstract&quot;:&quot;Elderly donor grafts for liver transplantation (LT) are recognized to be marginal grafts. The present study investigated the impact of using elderly donors for LT. Between June 1990 and August 2012, 1631 patients received LT at Kyoto University Hospital. Out of 1631 patients, 1597 patients received living donor liver transplantation (LDLT), whereas the other 34 patients underwent deceased donor liver transplantation (DDLT). Seventy-five grafts that were used came from individuals who were ≥60 years old. We retrospectively analyzed the recipients' survival rates according to donor age. The overall survival rates of the recipients of all LDLT (P &lt; 0.001), adult-to-adult LDLT (P = 0.007), all DDLT (P = 0.026), and adult-to-adult DDLT (P = 0.011) were significantly lower for the elderly donor group versus the younger group and especially for those who were hepatitis C-positive. A multivariate analysis revealed that donor age, ABO incompatibility, and preoperative intensive care unit stay were independent risk factors for poor patient survival in adult-to-adult LDLT. However, no significant differences existed between the 2 groups among those who received adult-to-adult LDLT in and after April 2006. No significant association was found between donor age and incidence of acute cellular rejection. In conclusion, donor age was closely related to the survival rate for LDLT and DDLT, although the impact of donor age was not shown in the recent cases.&quot;,&quot;publisher&quot;:&quot;Liver Transpl&quot;,&quot;issue&quot;:&quot;5&quot;,&quot;volume&quot;:&quot;21&quot;},&quot;isTemporary&quot;:false}]},{&quot;citationID&quot;:&quot;MENDELEY_CITATION_da5e6857-ad32-411c-9ab7-3c46b73c2f4c&quot;,&quot;properties&quot;:{&quot;noteIndex&quot;:0},&quot;isEdited&quot;:false,&quot;manualOverride&quot;:{&quot;isManuallyOverridden&quot;:false,&quot;citeprocText&quot;:&quot;[109]&quot;,&quot;manualOverrideText&quot;:&quot;&quot;},&quot;citationTag&quot;:&quot;MENDELEY_CITATION_v3_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&quot;,&quot;citationItems&quot;:[{&quot;id&quot;:&quot;eb576dd4-e488-3c11-9685-7bc0196f0d1d&quot;,&quot;itemData&quot;:{&quot;type&quot;:&quot;article-journal&quot;,&quot;id&quot;:&quot;eb576dd4-e488-3c11-9685-7bc0196f0d1d&quot;,&quot;title&quot;:&quot;Older Donor Age Is a Risk Factor for Negative Outcomes After Adult Living Donor Liver Transplantation Using Small-for-Size Grafts&quot;,&quot;author&quot;:[{&quot;family&quot;:&quot;Macshut&quot;,&quot;given&quot;:&quot;Mahmoud&quot;,&quot;parse-names&quot;:false,&quot;dropping-particle&quot;:&quot;&quot;,&quot;non-dropping-particle&quot;:&quot;&quot;},{&quot;family&quot;:&quot;Kaido&quot;,&quot;given&quot;:&quot;Toshimi&quot;,&quot;parse-names&quot;:false,&quot;dropping-particle&quot;:&quot;&quot;,&quot;non-dropping-particle&quot;:&quot;&quot;},{&quot;family&quot;:&quot;Yao&quot;,&quot;given&quot;:&quot;Siyuan&quot;,&quot;parse-names&quot;:false,&quot;dropping-particle&quot;:&quot;&quot;,&quot;non-dropping-particle&quot;:&quot;&quot;},{&quot;family&quot;:&quot;Yagi&quot;,&quot;given&quot;:&quot;Shintaro&quot;,&quot;parse-names&quot;:false,&quot;dropping-particle&quot;:&quot;&quot;,&quot;non-dropping-particle&quot;:&quot;&quot;},{&quot;family&quot;:&quot;Ito&quot;,&quot;given&quot;:&quot;Takashi&quot;,&quot;parse-names&quot;:false,&quot;dropping-particle&quot;:&quot;&quot;,&quot;non-dropping-particle&quot;:&quot;&quot;},{&quot;family&quot;:&quot;Kamo&quot;,&quot;given&quot;:&quot;Naoko&quot;,&quot;parse-names&quot;:false,&quot;dropping-particle&quot;:&quot;&quot;,&quot;non-dropping-particle&quot;:&quot;&quot;},{&quot;family&quot;:&quot;Nagai&quot;,&quot;given&quot;:&quot;Kazuyuki&quot;,&quot;parse-names&quot;:false,&quot;dropping-particle&quot;:&quot;&quot;,&quot;non-dropping-particle&quot;:&quot;&quot;},{&quot;family&quot;:&quot;Sharshar&quot;,&quot;given&quot;:&quot;Mohamed&quot;,&quot;parse-names&quot;:false,&quot;dropping-particle&quot;:&quot;&quot;,&quot;non-dropping-particle&quot;:&quot;&quot;},{&quot;family&quot;:&quot;Uemoto&quot;,&quot;given&quot;:&quot;Shinji&quot;,&quot;parse-names&quot;:false,&quot;dropping-particle&quot;:&quot;&quot;,&quot;non-dropping-particle&quot;:&quot;&quot;}],&quot;container-title&quot;:&quot;Liver transplantation : official publication of the American Association for the Study of Liver Diseases and the International Liver Transplantation Society&quot;,&quot;container-title-short&quot;:&quot;Liver Transpl&quot;,&quot;accessed&quot;:{&quot;date-parts&quot;:[[2023,10,26]]},&quot;DOI&quot;:&quot;10.1002/LT.25601&quot;,&quot;ISSN&quot;:&quot;1527-6473&quot;,&quot;PMID&quot;:&quot;31298473&quot;,&quot;URL&quot;:&quot;https://pubmed.ncbi.nlm.nih.gov/31298473/&quot;,&quot;issued&quot;:{&quot;date-parts&quot;:[[2019,10,1]]},&quot;page&quot;:&quot;1524-1532&quot;,&quot;abstract&quot;:&quot;Adult-to-adult living donor liver transplantation (ALDLT) using small-for-size grafts (SFSGs), ie, a graft with a graft-to-recipient weight ratio (GRWR) &lt;0.8%, has been a challenge that should be carefully dealt with, and risk factors in this category are unclear. Therefore, we aimed to examine the risk factors and outcomes of ALDLT using SFSGs over a 13-year period in 121 patients who had undergone their first ALDLT using SFSGs. Small-for-size syndrome (SFSS), early graft loss, and 1-year mortality were encountered in 21.6%, 14.9%, and 18.4% of patients, respectively. By multivariate analysis, older donor age (≥45 years) was an independent risk factor for SFSS (odds ratio [OR], 4.46; P = 0.004), early graft loss (OR, 4.11; P = 0.02), and 1-year mortality (OR, 3.76; P = 0.02). Child-Pugh C class recipients were associated with a higher risk of SFSS development (P = 0.013; OR, 7.44). Despite no significant difference between GRWR categories in the multivariate outcome analysis of the whole population, in the survival analysis of the 2 donor age groups, GRWR &lt;0.6% was associated with significantly lower 1-year survival than the other GRWR categories in the younger donor group. Moreover, in the high final portal venous pressure (PVP) group (&gt;15 mm Hg), younger ABO-compatible donors showed 100% 1-year survival with a significant difference from the group of other donors. Older donor age was an independent risk factor for SFSS, early graft loss, and 1-year mortality after ALDLT using SFSGs. GRWR should not be &lt;0.6%, and PVP modulation is indicated when grafts from older or ABO-incompatible donors are used.&quot;,&quot;publisher&quot;:&quot;Liver Transpl&quot;,&quot;issue&quot;:&quot;10&quot;,&quot;volume&quot;:&quot;25&quot;},&quot;isTemporary&quot;:false}]},{&quot;citationID&quot;:&quot;MENDELEY_CITATION_49418b68-b9bb-4c37-ae88-2d662686c70a&quot;,&quot;properties&quot;:{&quot;noteIndex&quot;:0},&quot;isEdited&quot;:false,&quot;manualOverride&quot;:{&quot;isManuallyOverridden&quot;:false,&quot;citeprocText&quot;:&quot;[98]&quot;,&quot;manualOverrideText&quot;:&quot;&quot;},&quot;citationTag&quot;:&quot;MENDELEY_CITATION_v3_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&quot;,&quot;citationItems&quot;:[{&quot;id&quot;:&quot;a399eff7-1e72-37d4-8990-1d730e369435&quot;,&quot;itemData&quot;:{&quot;type&quot;:&quot;article-journal&quot;,&quot;id&quot;:&quot;a399eff7-1e72-37d4-8990-1d730e369435&quot;,&quot;title&quot;:&quot;Graft selection strategy in adult-to-adult living donor liver transplantation: When both hemiliver grafts meet volumetric criteria&quot;,&quot;author&quot;:[{&quot;family&quot;:&quot;Kurihara&quot;,&quot;given&quot;:&quot;Takeshi&quot;,&quot;parse-names&quot;:false,&quot;dropping-particle&quot;:&quot;&quot;,&quot;non-dropping-particle&quot;:&quot;&quot;},{&quot;family&quot;:&quot;Yoshizumi&quot;,&quot;given&quot;:&quot;Tomoharu&quot;,&quot;parse-names&quot;:false,&quot;dropping-particle&quot;:&quot;&quot;,&quot;non-dropping-particle&quot;:&quot;&quot;},{&quot;family&quot;:&quot;Yoshida&quot;,&quot;given&quot;:&quot;Yoshihiro&quot;,&quot;parse-names&quot;:false,&quot;dropping-particle&quot;:&quot;&quot;,&quot;non-dropping-particle&quot;:&quot;&quot;},{&quot;family&quot;:&quot;Ikegami&quot;,&quot;given&quot;:&quot;Toru&quot;,&quot;parse-names&quot;:false,&quot;dropping-particle&quot;:&quot;&quot;,&quot;non-dropping-particle&quot;:&quot;&quot;},{&quot;family&quot;:&quot;Itoh&quot;,&quot;given&quot;:&quot;Shinji&quot;,&quot;parse-names&quot;:false,&quot;dropping-particle&quot;:&quot;&quot;,&quot;non-dropping-particle&quot;:&quot;&quot;},{&quot;family&quot;:&quot;Harimoto&quot;,&quot;given&quot;:&quot;Norifumi&quot;,&quot;parse-names&quot;:false,&quot;dropping-particle&quot;:&quot;&quot;,&quot;non-dropping-particle&quot;:&quot;&quot;},{&quot;family&quot;:&quot;Ninomiya&quot;,&quot;given&quot;:&quot;Mizuki&quot;,&quot;parse-names&quot;:false,&quot;dropping-particle&quot;:&quot;&quot;,&quot;non-dropping-particle&quot;:&quot;&quot;},{&quot;family&quot;:&quot;Uchiyama&quot;,&quot;given&quot;:&quot;Hideaki&quot;,&quot;parse-names&quot;:false,&quot;dropping-particle&quot;:&quot;&quot;,&quot;non-dropping-particle&quot;:&quot;&quot;},{&quot;family&quot;:&quot;Okabe&quot;,&quot;given&quot;:&quot;Hirohisa&quot;,&quot;parse-names&quot;:false,&quot;dropping-particle&quot;:&quot;&quot;,&quot;non-dropping-particle&quot;:&quot;&quot;},{&quot;family&quot;:&quot;Kimura&quot;,&quot;given&quot;:&quot;Koichi&quot;,&quot;parse-names&quot;:false,&quot;dropping-particle&quot;:&quot;&quot;,&quot;non-dropping-particle&quot;:&quot;&quot;},{&quot;family&quot;:&quot;Kawanaka&quot;,&quot;given&quot;:&quot;Hirofumi&quot;,&quot;parse-names&quot;:false,&quot;dropping-particle&quot;:&quot;&quot;,&quot;non-dropping-particle&quot;:&quot;&quot;},{&quot;family&quot;:&quot;Shirabe&quot;,&quot;given&quot;:&quot;Ken&quot;,&quot;parse-names&quot;:false,&quot;dropping-particle&quot;:&quot;&quot;,&quot;non-dropping-particle&quot;:&quot;&quot;},{&quot;family&quot;:&quot;Maehara&quot;,&quot;given&quot;:&quot;Yoshihiko&quot;,&quot;parse-names&quot;:false,&quot;dropping-particle&quot;:&quot;&quot;,&quot;non-dropping-particle&quot;:&quot;&quot;}],&quot;container-title&quot;:&quot;Liver transplantation : official publication of the American Association for the Study of Liver Diseases and the International Liver Transplantation Society&quot;,&quot;container-title-short&quot;:&quot;Liver Transpl&quot;,&quot;accessed&quot;:{&quot;date-parts&quot;:[[2023,10,23]]},&quot;DOI&quot;:&quot;10.1002/LT.24431&quot;,&quot;ISSN&quot;:&quot;1527-6473&quot;,&quot;PMID&quot;:&quot;26953726&quot;,&quot;URL&quot;:&quot;https://pubmed.ncbi.nlm.nih.gov/26953726/&quot;,&quot;issued&quot;:{&quot;date-parts&quot;:[[2016,7,1]]},&quot;page&quot;:&quot;914-922&quot;,&quot;abstract&quot;:&quot;To ensure donor safety in living donor liver transplantation (LDLT), the left and caudate lobe (LL) is the preferred graft choice. However, patient prognosis may still be poor even if graft volume (GV) selection criteria are met. Our aim was to evaluate the effects of right lobe (RL) donation when the LL graft selection criteria are met. Consecutive donors (n = 135) with preoperative LL graft volumetric GV/standard liver volume (SLV) of ≥35% and RL remnant of ≥35% were retrospectively studied. Patients were divided into 2 groups: LL graft and RL graft. Recipient's body surface area (BSA), Model for End-Stage Liver Disease (MELD) score, and the donor's age were higher in the RL group. The donor's BSA and preoperative volumetric GV/SLV of the LL graft were smaller in the RL group. The predicted score (calculated using data for graft size, donor age, MELD score, and the presence of portosystemic shunt, which correlated well with graft function and with 6-month graft survival) of the RL group, was significantly lower if the LL graft were used, but using the actual RL graft improved the score equal to that of the LL group. Six-month and 12-month graft survival rates did not differ between the 2 groups. In patients with a poor prognosis, a larger RL graft improved the predicted score and survival was equal to that of patients who received LL grafts. In conclusion, graft selection by GV, donor age, and recipient MELD score improves outcomes in LDLT. Liver Transplantation 22 914–922 2016 AASLD.&quot;,&quot;publisher&quot;:&quot;Liver Transpl&quot;,&quot;issue&quot;:&quot;7&quot;,&quot;volume&quot;:&quot;22&quot;},&quot;isTemporary&quot;:false}]},{&quot;citationID&quot;:&quot;MENDELEY_CITATION_61a2281f-d17d-4788-93da-de5f03db1526&quot;,&quot;properties&quot;:{&quot;noteIndex&quot;:0},&quot;isEdited&quot;:false,&quot;manualOverride&quot;:{&quot;isManuallyOverridden&quot;:false,&quot;citeprocText&quot;:&quot;[110]&quot;,&quot;manualOverrideText&quot;:&quot;&quot;},&quot;citationTag&quot;:&quot;MENDELEY_CITATION_v3_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&quot;,&quot;citationItems&quot;:[{&quot;id&quot;:&quot;ea2b9ef4-2042-3ac7-8fc5-3d176d3217a5&quot;,&quot;itemData&quot;:{&quot;type&quot;:&quot;article-journal&quot;,&quot;id&quot;:&quot;ea2b9ef4-2042-3ac7-8fc5-3d176d3217a5&quot;,&quot;title&quot;:&quot;Excellent outcomes of liver transplantation using severely steatotic grafts from brain-dead donors&quot;,&quot;author&quot;:[{&quot;family&quot;:&quot;Wong&quot;,&quot;given&quot;:&quot;Tiffany C.L.&quot;,&quot;parse-names&quot;:false,&quot;dropping-particle&quot;:&quot;&quot;,&quot;non-dropping-particle&quot;:&quot;&quot;},{&quot;family&quot;:&quot;Fung&quot;,&quot;given&quot;:&quot;James Y.Y.&quot;,&quot;parse-names&quot;:false,&quot;dropping-particle&quot;:&quot;&quot;,&quot;non-dropping-particle&quot;:&quot;&quot;},{&quot;family&quot;:&quot;Chok&quot;,&quot;given&quot;:&quot;Kenneth S.H.&quot;,&quot;parse-names&quot;:false,&quot;dropping-particle&quot;:&quot;&quot;,&quot;non-dropping-particle&quot;:&quot;&quot;},{&quot;family&quot;:&quot;Cheung&quot;,&quot;given&quot;:&quot;Tan To&quot;,&quot;parse-names&quot;:false,&quot;dropping-particle&quot;:&quot;&quot;,&quot;non-dropping-particle&quot;:&quot;&quot;},{&quot;family&quot;:&quot;Chan&quot;,&quot;given&quot;:&quot;Albert C.Y.&quot;,&quot;parse-names&quot;:false,&quot;dropping-particle&quot;:&quot;&quot;,&quot;non-dropping-particle&quot;:&quot;&quot;},{&quot;family&quot;:&quot;Sharr&quot;,&quot;given&quot;:&quot;William W.&quot;,&quot;parse-names&quot;:false,&quot;dropping-particle&quot;:&quot;&quot;,&quot;non-dropping-particle&quot;:&quot;&quot;},{&quot;family&quot;:&quot;Dai&quot;,&quot;given&quot;:&quot;Wing Chiu&quot;,&quot;parse-names&quot;:false,&quot;dropping-particle&quot;:&quot;&quot;,&quot;non-dropping-particle&quot;:&quot;&quot;},{&quot;family&quot;:&quot;Chan&quot;,&quot;given&quot;:&quot;See Ching&quot;,&quot;parse-names&quot;:false,&quot;dropping-particle&quot;:&quot;&quot;,&quot;non-dropping-particle&quot;:&quot;&quot;},{&quot;family&quot;:&quot;Lo&quot;,&quot;given&quot;:&quot;Chung Mau&quot;,&quot;parse-names&quot;:false,&quot;dropping-particle&quot;:&quot;&quot;,&quot;non-dropping-particle&quot;:&quot;&quot;}],&quot;container-title&quot;:&quot;Liver transplantation : official publication of the American Association for the Study of Liver Diseases and the International Liver Transplantation Society&quot;,&quot;container-title-short&quot;:&quot;Liver Transpl&quot;,&quot;accessed&quot;:{&quot;date-parts&quot;:[[2024,2,27]]},&quot;DOI&quot;:&quot;10.1002/LT.24335&quot;,&quot;ISSN&quot;:&quot;1527-6473&quot;,&quot;PMID&quot;:&quot;26359934&quot;,&quot;URL&quot;:&quot;https://pubmed.ncbi.nlm.nih.gov/26359934/&quot;,&quot;issued&quot;:{&quot;date-parts&quot;:[[2016,2,1]]},&quot;page&quot;:&quot;226-236&quot;,&quot;abstract&quot;:&quot;Liver grafts with macrovesicular steatosis of &gt;60% are considered unsuitable for deceased donor liver transplantation (DDLT) because of the unacceptably high risk of primary nonfunction (PNF) and graft loss. This study reports our experience in using such grafts from brain-dead donors. Prospectively collected data of DDLT recipient outcomes from 1991 to 2013 were retrospectively analyzed. Macrovesicular steatosis &gt;60% at postperfusion graft biopsy was defined as severe steatosis. In total, 373 patients underwent DDLT. Nineteen patients received severely steatotic grafts (ie, macrovesicular steatosis &gt;60%), and 354 patients had grafts with ≤60% steatosis (control group). Baseline demographics were comparable except that recipient age was older in the severe steatosis group (51 versus 55 years; P = 0.03). Median Model for End-Stage Liver Disease (MELD) score was 20 in the severe steatosis group and 22 in the control group. Cold ischemia time (CIT) was 384 minutes in the severe steatosis group and 397.5 minutes in the control group (P = 0.66). The 2 groups were similar in duration of stay in the hospital and in the intensive care unit. Risk of early allograft dysfunction (0/19 [0%] versus 1/354 [0.3%]; P&gt;0.99) and 30-day mortality (0/19 [0%] versus 11/354 [3.1%]; P = 0.93) were also similar between groups. No patient developed PNF. The 1-year and 3-year overall survival rates in the severe steatosis group were both 94.7%. The corresponding rates in the control group were 91.8% and 85.8% (P = 0.55). The use of severely steatotic liver grafts from low-risk donors was safe, and excellent outcomes were achieved; however, these grafts should be used with caution, especially in patients with high MELD score. Keeping a short CIT was crucial for the successful use of such grafts in liver transplantation.&quot;,&quot;publisher&quot;:&quot;Liver Transpl&quot;,&quot;issue&quot;:&quot;2&quot;,&quot;volume&quot;:&quot;22&quot;},&quot;isTemporary&quot;:false}]},{&quot;citationID&quot;:&quot;MENDELEY_CITATION_d8bd1034-5be2-41f8-a273-c37e3a0d8cbc&quot;,&quot;properties&quot;:{&quot;noteIndex&quot;:0},&quot;isEdited&quot;:false,&quot;manualOverride&quot;:{&quot;isManuallyOverridden&quot;:false,&quot;citeprocText&quot;:&quot;[111]&quot;,&quot;manualOverrideText&quot;:&quot;&quot;},&quot;citationTag&quot;:&quot;MENDELEY_CITATION_v3_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&quot;,&quot;citationItems&quot;:[{&quot;id&quot;:&quot;db113bea-1608-336f-97fd-aef7390bf225&quot;,&quot;itemData&quot;:{&quot;type&quot;:&quot;article-journal&quot;,&quot;id&quot;:&quot;db113bea-1608-336f-97fd-aef7390bf225&quot;,&quot;title&quot;:&quot;Noninvasive Risk Stratification for Nonalcoholic Fatty Liver Disease Among Living Liver Donor Candidates: A Proposed Algorithm HHS Public Access&quot;,&quot;author&quot;:[{&quot;family&quot;:&quot;Danis&quot;,&quot;given&quot;:&quot;Nilay&quot;,&quot;parse-names&quot;:false,&quot;dropping-particle&quot;:&quot;&quot;,&quot;non-dropping-particle&quot;:&quot;&quot;},{&quot;family&quot;:&quot;Weeks&quot;,&quot;given&quot;:&quot;Sharon R&quot;,&quot;parse-names&quot;:false,&quot;dropping-particle&quot;:&quot;&quot;,&quot;non-dropping-particle&quot;:&quot;&quot;},{&quot;family&quot;:&quot;Kim&quot;,&quot;given&quot;:&quot;Ahyoung&quot;,&quot;parse-names&quot;:false,&quot;dropping-particle&quot;:&quot;&quot;,&quot;non-dropping-particle&quot;:&quot;&quot;},{&quot;family&quot;:&quot;Baghdadi&quot;,&quot;given&quot;:&quot;Azarakhsh&quot;,&quot;parse-names&quot;:false,&quot;dropping-particle&quot;:&quot;&quot;,&quot;non-dropping-particle&quot;:&quot;&quot;},{&quot;family&quot;:&quot;Ghadimi&quot;,&quot;given&quot;:&quot;Maryam&quot;,&quot;parse-names&quot;:false,&quot;dropping-particle&quot;:&quot;&quot;,&quot;non-dropping-particle&quot;:&quot;&quot;},{&quot;family&quot;:&quot;Kamel&quot;,&quot;given&quot;:&quot;Ihab R&quot;,&quot;parse-names&quot;:false,&quot;dropping-particle&quot;:&quot;&quot;,&quot;non-dropping-particle&quot;:&quot;&quot;},{&quot;family&quot;:&quot;Saberi&quot;,&quot;given&quot;:&quot;Behnam&quot;,&quot;parse-names&quot;:false,&quot;dropping-particle&quot;:&quot;&quot;,&quot;non-dropping-particle&quot;:&quot;&quot;},{&quot;family&quot;:&quot;Woreta&quot;,&quot;given&quot;:&quot;Tinsay&quot;,&quot;parse-names&quot;:false,&quot;dropping-particle&quot;:&quot;&quot;,&quot;non-dropping-particle&quot;:&quot;&quot;},{&quot;family&quot;:&quot;Garonzik-Wang&quot;,&quot;given&quot;:&quot;Jacqueline&quot;,&quot;parse-names&quot;:false,&quot;dropping-particle&quot;:&quot;&quot;,&quot;non-dropping-particle&quot;:&quot;&quot;},{&quot;family&quot;:&quot;Philosophe&quot;,&quot;given&quot;:&quot;Benjamin&quot;,&quot;parse-names&quot;:false,&quot;dropping-particle&quot;:&quot;&quot;,&quot;non-dropping-particle&quot;:&quot;&quot;},{&quot;family&quot;:&quot;Gurakar&quot;,&quot;given&quot;:&quot;Ahmet&quot;,&quot;parse-names&quot;:false,&quot;dropping-particle&quot;:&quot;&quot;,&quot;non-dropping-particle&quot;:&quot;&quot;},{&quot;family&quot;:&quot;Loomba&quot;,&quot;given&quot;:&quot;Rohit&quot;,&quot;parse-names&quot;:false,&quot;dropping-particle&quot;:&quot;&quot;,&quot;non-dropping-particle&quot;:&quot;&quot;}],&quot;container-title&quot;:&quot;Liver Transpl&quot;,&quot;accessed&quot;:{&quot;date-parts&quot;:[[2023,10,29]]},&quot;DOI&quot;:&quot;10.1002/lt.26365&quot;,&quot;issued&quot;:{&quot;date-parts&quot;:[[2022]]},&quot;page&quot;:&quot;670-677&quot;,&quot;abstract&quot;:&quot;To reduce waitlist mortality, living donor liver transplantation (LDLT) has increased over the past decade in the United States, but not at a rate sufficient to completely mitigate organ shortage. As a result, there are ongoing efforts to expand the living liver donor pool. Simultaneously, the prevalence of nonalcoholic fatty liver disease (NAFLD) in the general population has increased, which has significant implications on the pool of potential living liver donors. As such, a clinical assessment algorithm that exhaustively evaluates for NAFLD and fibrosis is critical to the safe expansion of LDLT. An ideal algorithm would employ safe and noninvasive methods, relying on liver biopsy only when necessary. While exclusion of NAFLD and fibrosis by noninvasive means is widely studied within the general population, there are no well-accepted guidelines for Address reprint requests to&quot;,&quot;issue&quot;:&quot;4&quot;,&quot;volume&quot;:&quot;28&quot;,&quot;container-title-short&quot;:&quot;&quot;},&quot;isTemporary&quot;:false}]},{&quot;citationID&quot;:&quot;MENDELEY_CITATION_fb04fc0a-78d2-424b-a36c-7bb0e8c2e3b7&quot;,&quot;properties&quot;:{&quot;noteIndex&quot;:0},&quot;isEdited&quot;:false,&quot;manualOverride&quot;:{&quot;isManuallyOverridden&quot;:false,&quot;citeprocText&quot;:&quot;[112]&quot;,&quot;manualOverrideText&quot;:&quot;&quot;},&quot;citationTag&quot;:&quot;MENDELEY_CITATION_v3_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&quot;,&quot;citationItems&quot;:[{&quot;id&quot;:&quot;b035843d-16df-3e50-9f3a-cd42c3947a2c&quot;,&quot;itemData&quot;:{&quot;type&quot;:&quot;article-journal&quot;,&quot;id&quot;:&quot;b035843d-16df-3e50-9f3a-cd42c3947a2c&quot;,&quot;title&quot;:&quot;Macrosteatotic Allografts and Obese Recipients Have Nearly Equal Negative Impact on Liver Transplant Survival&quot;,&quot;author&quot;:[{&quot;family&quot;:&quot;Northup&quot;,&quot;given&quot;:&quot;Patrick G.&quot;,&quot;parse-names&quot;:false,&quot;dropping-particle&quot;:&quot;&quot;,&quot;non-dropping-particle&quot;:&quot;&quot;},{&quot;family&quot;:&quot;Intagliata&quot;,&quot;given&quot;:&quot;Nicolas M.&quot;,&quot;parse-names&quot;:false,&quot;dropping-particle&quot;:&quot;&quot;,&quot;non-dropping-particle&quot;:&quot;&quot;},{&quot;family&quot;:&quot;Davis&quot;,&quot;given&quot;:&quot;Jessica P.E.&quot;,&quot;parse-names&quot;:false,&quot;dropping-particle&quot;:&quot;&quot;,&quot;non-dropping-particle&quot;:&quot;&quot;},{&quot;family&quot;:&quot;Argo&quot;,&quot;given&quot;:&quot;Curtis K.&quot;,&quot;parse-names&quot;:false,&quot;dropping-particle&quot;:&quot;&quot;,&quot;non-dropping-particle&quot;:&quot;&quot;},{&quot;family&quot;:&quot;Pelletier&quot;,&quot;given&quot;:&quot;Shawn J.&quot;,&quot;parse-names&quot;:false,&quot;dropping-particle&quot;:&quot;&quot;,&quot;non-dropping-particle&quot;:&quot;&quot;}],&quot;container-title&quot;:&quot;Transplantation&quot;,&quot;container-title-short&quot;:&quot;Transplantation&quot;,&quot;accessed&quot;:{&quot;date-parts&quot;:[[2024,2,27]]},&quot;DOI&quot;:&quot;10.1097/TP.0000000000002990&quot;,&quot;ISSN&quot;:&quot;1534-6080&quot;,&quot;PMID&quot;:&quot;31577675&quot;,&quot;URL&quot;:&quot;https://pubmed.ncbi.nlm.nih.gov/31577675/&quot;,&quot;issued&quot;:{&quot;date-parts&quot;:[[2020,6,1]]},&quot;page&quot;:&quot;1193-1200&quot;,&quot;abstract&quot;:&quot;Background. Our aim was to evaluate liver transplant outcomes involving donors with high macrosteatosis grafts in the obese modern liver transplant recipient population. Methods. A high-steatosis graft was defined as donor graft macrosteatosis ≥30% on biopsy. Recipient obesity was defined as body mass index (BMI) &gt;35 adjusted for ascites. Raw and adjusted recipient liver transplant survival were evaluated and compared between 4 cohorts: (1) high-steatosis graft in high-BMI recipient; (2) low-steatosis graft in high-BMI recipient; (3) high-steatosis graft in normal-BMI recipient; and (4) low-steatosis graft in normal-BMI recipient. Results. After adjustment for multiple factors, recipient high-BMI remained an independent predictor of posttransplant mortality at 30 days (P &lt; 0.0001) and persisted at 1 year (P = 0.009). A high-steatosis graft was the strongest independent predictor of mortality at 30 days (hazard ratio 2.05, 1.66-2.53; P &lt; 0.0001) and that effect was diminished but persistent at 1 year (1.27, 1.10-1.46; P = 0.001). Conclusions. Recipient high-BMI and a high-steatosis graft are both significant independent and equally powerful predictors of mortality after modern liver transplant. High-steatosis grafts transplanted into obese recipients have the highest mortality. The increase in mortality associated with a high-steatosis graft into a normal-BMI recipient is similar in magnitude to a low-steatosis graft placed into a high-BMI recipient.&quot;,&quot;publisher&quot;:&quot;Transplantation&quot;,&quot;issue&quot;:&quot;6&quot;,&quot;volume&quot;:&quot;104&quot;},&quot;isTemporary&quot;:false}]},{&quot;citationID&quot;:&quot;MENDELEY_CITATION_1b54c9f9-4ecf-49ae-8b91-6f9124587368&quot;,&quot;properties&quot;:{&quot;noteIndex&quot;:0},&quot;isEdited&quot;:false,&quot;manualOverride&quot;:{&quot;isManuallyOverridden&quot;:false,&quot;citeprocText&quot;:&quot;[101]&quot;,&quot;manualOverrideText&quot;:&quot;&quot;},&quot;citationTag&quot;:&quot;MENDELEY_CITATION_v3_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&quot;,&quot;citationItems&quot;:[{&quot;id&quot;:&quot;e4df94e4-5162-3200-9c6d-137ac5869bd9&quot;,&quot;itemData&quot;:{&quot;type&quot;:&quot;article-journal&quot;,&quot;id&quot;:&quot;e4df94e4-5162-3200-9c6d-137ac5869bd9&quot;,&quot;title&quot;:&quot;Pure Laparoscopic Versus Open Right Hepatectomy in Living Liver Donors: Graft Weight Discrepancy&quot;,&quot;author&quot;:[{&quot;family&quot;:&quot;Seo&quot;,&quot;given&quot;:&quot;Jiwon&quot;,&quot;parse-names&quot;:false,&quot;dropping-particle&quot;:&quot;&quot;,&quot;non-dropping-particle&quot;:&quot;&quot;},{&quot;family&quot;:&quot;Hong&quot;,&quot;given&quot;:&quot;Suk Kyun&quot;,&quot;parse-names&quot;:false,&quot;dropping-particle&quot;:&quot;&quot;,&quot;non-dropping-particle&quot;:&quot;&quot;},{&quot;family&quot;:&quot;Lee&quot;,&quot;given&quot;:&quot;Sola&quot;,&quot;parse-names&quot;:false,&quot;dropping-particle&quot;:&quot;&quot;,&quot;non-dropping-particle&quot;:&quot;&quot;},{&quot;family&quot;:&quot;Hong&quot;,&quot;given&quot;:&quot;Su Young&quot;,&quot;parse-names&quot;:false,&quot;dropping-particle&quot;:&quot;&quot;,&quot;non-dropping-particle&quot;:&quot;&quot;},{&quot;family&quot;:&quot;Choi&quot;,&quot;given&quot;:&quot;Youngrok&quot;,&quot;parse-names&quot;:false,&quot;dropping-particle&quot;:&quot;&quot;,&quot;non-dropping-particle&quot;:&quot;&quot;},{&quot;family&quot;:&quot;Yi&quot;,&quot;given&quot;:&quot;Nam Joon&quot;,&quot;parse-names&quot;:false,&quot;dropping-particle&quot;:&quot;&quot;,&quot;non-dropping-particle&quot;:&quot;&quot;},{&quot;family&quot;:&quot;Lee&quot;,&quot;given&quot;:&quot;Kwang Woong&quot;,&quot;parse-names&quot;:false,&quot;dropping-particle&quot;:&quot;&quot;,&quot;non-dropping-particle&quot;:&quot;&quot;},{&quot;family&quot;:&quot;Suh&quot;,&quot;given&quot;:&quot;Kyung Suk&quot;,&quot;parse-names&quot;:false,&quot;dropping-particle&quot;:&quot;&quot;,&quot;non-dropping-particle&quot;:&quot;&quot;}],&quot;container-title&quot;:&quot;Annals of Transplantation&quot;,&quot;container-title-short&quot;:&quot;Ann Transplant&quot;,&quot;DOI&quot;:&quot;10.12659/AOT.938274&quot;,&quot;ISSN&quot;:&quot;14259524&quot;,&quot;PMID&quot;:&quot;36457203&quot;,&quot;issued&quot;:{&quot;date-parts&quot;:[[2022]]},&quot;abstract&quot;:&quot;Background: Material/Methods: Results: Conclusions: Accurate volumetric evaluation of donors’ livers before surgery is crucial for successful living-donor liver transplantation. However, there are few studies on the volumetric evaluation in the recently popularized pure laparoscopic donor hepatectomy method, in contrast to the number of studies for conventional donor hepatectomy. We aimed to analyze the difference between estimated graft weight and actual graft weight in pure laparoscopic donor right hepatectomy (PLDRH) and conventional donor right hepatectomy (CDRH) procedures. The medical records of 612 donors who underwent right hepatectomy in living-donor liver transplantation between January 2014 and December 2020 were retrospectively reviewed. The CDRH group targeted patients from January 2014 to October 2015, and the PLDRH group targeted patients from March 2016 to December 2020. There were 119 and 376 donors who underwent CDRH and PLDRH, respectively. Although there was no significant difference in the estimated graft weights (P=0.994) and actual graft weights (P=0.489) between the groups, the estimated graft weights were significantly higher than the actual graft weights in both groups. However, the estimated graft weight and actual graft weight showed linear correlations in both the CDRH (r=0.81, P&lt;0.001) and PLDRH (r=0.76, P&lt;0.001) groups, with the CDRH group having greater linearity. The estimates of graft weight were similar between the 2 groups. However, since the actual graft weight tended to be smaller in the PLDRH group, this should be considered before surgery.&quot;,&quot;publisher&quot;:&quot;International Scientific Information, Inc.&quot;,&quot;volume&quot;:&quot;27&quot;},&quot;isTemporary&quot;:false}]},{&quot;citationID&quot;:&quot;MENDELEY_CITATION_56abb6ef-81eb-4e41-ae6d-4d163db15d5e&quot;,&quot;properties&quot;:{&quot;noteIndex&quot;:0},&quot;isEdited&quot;:false,&quot;manualOverride&quot;:{&quot;isManuallyOverridden&quot;:false,&quot;citeprocText&quot;:&quot;[113–115]&quot;,&quot;manualOverrideText&quot;:&quot;&quot;},&quot;citationTag&quot;:&quot;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&quot;,&quot;citationItems&quot;:[{&quot;id&quot;:&quot;434b04aa-44ff-3707-b72b-cdaaf936c89d&quot;,&quot;itemData&quot;:{&quot;type&quot;:&quot;article-journal&quot;,&quot;id&quot;:&quot;434b04aa-44ff-3707-b72b-cdaaf936c89d&quot;,&quot;title&quot;:&quot;Pre-operative CT scan helps predict outcome after liver transplantation for acute-on-chronic grade 3 liver failure&quot;,&quot;author&quot;:[{&quot;family&quot;:&quot;Wackenthaler&quot;,&quot;given&quot;:&quot;Antoine&quot;,&quot;parse-names&quot;:false,&quot;dropping-particle&quot;:&quot;&quot;,&quot;non-dropping-particle&quot;:&quot;&quot;},{&quot;family&quot;:&quot;Molière&quot;,&quot;given&quot;:&quot;Sébastien&quot;,&quot;parse-names&quot;:false,&quot;dropping-particle&quot;:&quot;&quot;,&quot;non-dropping-particle&quot;:&quot;&quot;},{&quot;family&quot;:&quot;Artzner&quot;,&quot;given&quot;:&quot;Thierry&quot;,&quot;parse-names&quot;:false,&quot;dropping-particle&quot;:&quot;&quot;,&quot;non-dropping-particle&quot;:&quot;&quot;},{&quot;family&quot;:&quot;Michard&quot;,&quot;given&quot;:&quot;Baptiste&quot;,&quot;parse-names&quot;:false,&quot;dropping-particle&quot;:&quot;&quot;,&quot;non-dropping-particle&quot;:&quot;&quot;},{&quot;family&quot;:&quot;Schenck&quot;,&quot;given&quot;:&quot;Maleka&quot;,&quot;parse-names&quot;:false,&quot;dropping-particle&quot;:&quot;&quot;,&quot;non-dropping-particle&quot;:&quot;&quot;},{&quot;family&quot;:&quot;Addeo&quot;,&quot;given&quot;:&quot;Pietro&quot;,&quot;parse-names&quot;:false,&quot;dropping-particle&quot;:&quot;&quot;,&quot;non-dropping-particle&quot;:&quot;&quot;},{&quot;family&quot;:&quot;Besch&quot;,&quot;given&quot;:&quot;Camille&quot;,&quot;parse-names&quot;:false,&quot;dropping-particle&quot;:&quot;&quot;,&quot;non-dropping-particle&quot;:&quot;&quot;},{&quot;family&quot;:&quot;Bachellier&quot;,&quot;given&quot;:&quot;Philippe&quot;,&quot;parse-names&quot;:false,&quot;dropping-particle&quot;:&quot;&quot;,&quot;non-dropping-particle&quot;:&quot;&quot;},{&quot;family&quot;:&quot;Schneider&quot;,&quot;given&quot;:&quot;Francis&quot;,&quot;parse-names&quot;:false,&quot;dropping-particle&quot;:&quot;&quot;,&quot;non-dropping-particle&quot;:&quot;&quot;},{&quot;family&quot;:&quot;Veillon&quot;,&quot;given&quot;:&quot;Francis&quot;,&quot;parse-names&quot;:false,&quot;dropping-particle&quot;:&quot;&quot;,&quot;non-dropping-particle&quot;:&quot;&quot;},{&quot;family&quot;:&quot;Faitot&quot;,&quot;given&quot;:&quot;François&quot;,&quot;parse-names&quot;:false,&quot;dropping-particle&quot;:&quot;&quot;,&quot;non-dropping-particle&quot;:&quot;&quot;}],&quot;container-title&quot;:&quot;European Radiology&quot;,&quot;container-title-short&quot;:&quot;Eur Radiol&quot;,&quot;DOI&quot;:&quot;10.1007/s00330-021-08131-1&quot;,&quot;ISSN&quot;:&quot;14321084&quot;,&quot;PMID&quot;:&quot;34173847&quot;,&quot;issued&quot;:{&quot;date-parts&quot;:[[2022,1,1]]},&quot;page&quot;:&quot;12-21&quot;,&quot;abstract&quot;:&quot;Objectives: The aim of this study was to identify the prognostic value of pre-operative imaging to predict post-transplantation survival in critically ill cirrhotic patients with severe acute-on-chronic liver failure (ACLF). Methods: Patients with grade 3 ACLF who underwent liver transplantation between January 2010 and January 2020 and with available contrast-enhanced abdominal computed tomography (CT) performed less than 3 months before LT were retrospectively included (n = 82). Primary endpoint was 1-year mortality. Imaging parameters (sarcopenia, liver morphology and volumetry, and signs of portal hypertension) were screened and tested to build a prognostic score. Results: In the multivariate analysis, three independent CT-derived prognostic factors were found: splenomegaly (p = 0.021; HR = 5.6 (1.29–24.1)), liver atrophy (p = 0.05; HR = 2.93 (1.01–10.64)), and vena cava diameter ratio (p &lt; 0.0001; HR = 12.7 (3.4–92)). A simple prognostic score was proposed, based on the presence of splenomegaly (5 points), liver atrophy (5 points), and vena cava diameter ratio &lt; 0.2 (12 points). A cutoff at 10 points distinguished a high-risk group (score &gt; 10) from a low-risk group (score ≤ 10) with 1-year survival of 27% vs. 67% respectively (p &lt; 0.001). It was found to be an independent predictive factor in association with the Transplantation for ACLF3 Model (TAM) score. Conclusion: Pre-transplantation contrast-enhanced abdominal CT has a significant impact on selection of patients in ACLF3 in order to predict 1-year survival after LT. Key Points: • Splenomegaly, liver atrophy, and vena cava diameter ratio are independent CT-derived prognostic factors after transplantation for severe acute-on-chronic liver failure. • A simple CT-based prognostic score is an independent predictive factor, complementary to clinical and biological parameters. • The use of the CT-derived score allows stratification based on 1-year mortality for patients with otherwise uncertain prognosis with clinical and biological parameters alone.&quot;,&quot;publisher&quot;:&quot;Springer Science and Business Media Deutschland GmbH&quot;,&quot;issue&quot;:&quot;1&quot;,&quot;volume&quot;:&quot;32&quot;},&quot;isTemporary&quot;:false},{&quot;id&quot;:&quot;6d722c38-a6b2-38c6-a834-3111f2e61405&quot;,&quot;itemData&quot;:{&quot;type&quot;:&quot;article-journal&quot;,&quot;id&quot;:&quot;6d722c38-a6b2-38c6-a834-3111f2e61405&quot;,&quot;title&quot;:&quot;Small-for-size syndrome in liver transplantation: New horizons to cover with a good launchpad&quot;,&quot;author&quot;:[{&quot;family&quot;:&quot;Hernandez-Alejandro&quot;,&quot;given&quot;:&quot;Roberto&quot;,&quot;parse-names&quot;:false,&quot;dropping-particle&quot;:&quot;&quot;,&quot;non-dropping-particle&quot;:&quot;&quot;},{&quot;family&quot;:&quot;Sharma&quot;,&quot;given&quot;:&quot;Hemant&quot;,&quot;parse-names&quot;:false,&quot;dropping-particle&quot;:&quot;&quot;,&quot;non-dropping-particle&quot;:&quot;&quot;}],&quot;container-title&quot;:&quot;Liver transplantation : official publication of the American Association for the Study of Liver Diseases and the International Liver Transplantation Society&quot;,&quot;container-title-short&quot;:&quot;Liver Transpl&quot;,&quot;accessed&quot;:{&quot;date-parts&quot;:[[2023,10,26]]},&quot;DOI&quot;:&quot;10.1002/LT.24513&quot;,&quot;ISSN&quot;:&quot;1527-6473&quot;,&quot;PMID&quot;:&quot;27398648&quot;,&quot;URL&quot;:&quot;https://pubmed.ncbi.nlm.nih.gov/27398648/&quot;,&quot;issued&quot;:{&quot;date-parts&quot;:[[2016,11,1]]},&quot;page&quot;:&quot;33-36&quot;,&quot;publisher&quot;:&quot;Liver Transpl&quot;,&quot;issue&quot;:&quot;S1&quot;,&quot;volume&quot;:&quot;22&quot;},&quot;isTemporary&quot;:false},{&quot;id&quot;:&quot;df2f5f07-dcf8-31f1-a7c4-016410a41c76&quot;,&quot;itemData&quot;:{&quot;type&quot;:&quot;article-journal&quot;,&quot;id&quot;:&quot;df2f5f07-dcf8-31f1-a7c4-016410a41c76&quot;,&quot;title&quot;:&quot;Significance of predicted future liver remnant volume on liver failure risk after major hepatectomy: a case matched comparative study&quot;,&quot;author&quot;:[{&quot;family&quot;:&quot;Piccus&quot;,&quot;given&quot;:&quot;R.&quot;,&quot;parse-names&quot;:false,&quot;dropping-particle&quot;:&quot;&quot;,&quot;non-dropping-particle&quot;:&quot;&quot;},{&quot;family&quot;:&quot;Joshi&quot;,&quot;given&quot;:&quot;K.&quot;,&quot;parse-names&quot;:false,&quot;dropping-particle&quot;:&quot;&quot;,&quot;non-dropping-particle&quot;:&quot;&quot;},{&quot;family&quot;:&quot;Hodson&quot;,&quot;given&quot;:&quot;J.&quot;,&quot;parse-names&quot;:false,&quot;dropping-particle&quot;:&quot;&quot;,&quot;non-dropping-particle&quot;:&quot;&quot;},{&quot;family&quot;:&quot;Bartlett&quot;,&quot;given&quot;:&quot;D.&quot;,&quot;parse-names&quot;:false,&quot;dropping-particle&quot;:&quot;&quot;,&quot;non-dropping-particle&quot;:&quot;&quot;},{&quot;family&quot;:&quot;Chatzizacharias&quot;,&quot;given&quot;:&quot;N.&quot;,&quot;parse-names&quot;:false,&quot;dropping-particle&quot;:&quot;&quot;,&quot;non-dropping-particle&quot;:&quot;&quot;},{&quot;family&quot;:&quot;Dasari&quot;,&quot;given&quot;:&quot;B.&quot;,&quot;parse-names&quot;:false,&quot;dropping-particle&quot;:&quot;&quot;,&quot;non-dropping-particle&quot;:&quot;&quot;},{&quot;family&quot;:&quot;Isaac&quot;,&quot;given&quot;:&quot;J.&quot;,&quot;parse-names&quot;:false,&quot;dropping-particle&quot;:&quot;&quot;,&quot;non-dropping-particle&quot;:&quot;&quot;},{&quot;family&quot;:&quot;Marudanayagam&quot;,&quot;given&quot;:&quot;R.&quot;,&quot;parse-names&quot;:false,&quot;dropping-particle&quot;:&quot;&quot;,&quot;non-dropping-particle&quot;:&quot;&quot;},{&quot;family&quot;:&quot;Mirza&quot;,&quot;given&quot;:&quot;D. F.&quot;,&quot;parse-names&quot;:false,&quot;dropping-particle&quot;:&quot;&quot;,&quot;non-dropping-particle&quot;:&quot;&quot;},{&quot;family&quot;:&quot;Roberts&quot;,&quot;given&quot;:&quot;J. K.&quot;,&quot;parse-names&quot;:false,&quot;dropping-particle&quot;:&quot;&quot;,&quot;non-dropping-particle&quot;:&quot;&quot;},{&quot;family&quot;:&quot;Sutcliffe&quot;,&quot;given&quot;:&quot;R. P.&quot;,&quot;parse-names&quot;:false,&quot;dropping-particle&quot;:&quot;&quot;,&quot;non-dropping-particle&quot;:&quot;&quot;}],&quot;container-title&quot;:&quot;Frontiers in surgery&quot;,&quot;container-title-short&quot;:&quot;Front Surg&quot;,&quot;accessed&quot;:{&quot;date-parts&quot;:[[2023,12,7]]},&quot;DOI&quot;:&quot;10.3389/FSURG.2023.1174024&quot;,&quot;ISSN&quot;:&quot;2296-875X&quot;,&quot;PMID&quot;:&quot;37266000&quot;,&quot;URL&quot;:&quot;https://pubmed.ncbi.nlm.nih.gov/37266000/&quot;,&quot;issued&quot;:{&quot;date-parts&quot;:[[2023]]},&quot;abstract&quot;:&quot;Introduction: Future liver remnant volume (FLRV), a risk factor for liver failure (PHLF) after major hepatectomy (MH), is not routinely measured. This study aimed to evaluate the association between FLRV and PHLF. Patients and methods: All patients undergoing MH (4 + segments) between 2011 and 2018 were identified from a prospectively maintained single-centre database. Perioperative data were collected for patients with PHLF, who were matched (1:2) with non-PHLF controls. FLRV and FLRV% (i.e., % of total liver volume) were calculated retrospectively from preoperative CT scans using Synapse-3D software, and compared between the PHLF and matched control groups. Results: Of 711 patients undergoing MH, PHLF occurred in 27 (3.8%), of whom 24 had preoperative CT scans available. These patients were matched to 48 non-PHLF controls, 98% of whom were classified as being at high risk of PHLF on preoperative risk scoring. FLRV% was significantly lower in the PHLF group, compared to matched controls (median: 28.7 vs. 35.2%, p = 0.010), with FLRV% &lt; 30% in 58% and 29% of patients, respectively. Assessment of the ability of FLRV% to differentiate between PHLF and matched controls returned an area under the ROC curve of 0.69, and an optimal cut-off value of FLRV% &lt; 31.5%, which yielded 79% sensitivity and 67% specificity. Conclusions: FLRV% is significantly predictive of PHLF after MH, with over half of patients with PHLF having FLRV% &lt; 30%. In light of this, we propose that all patients should undergo risk stratification prior to MH, with the high risk patients additionally being assessed with CT volumetry.&quot;,&quot;publisher&quot;:&quot;Front Surg&quot;,&quot;volume&quot;:&quot;10&quot;},&quot;isTemporary&quot;:false}]},{&quot;citationID&quot;:&quot;MENDELEY_CITATION_6e73bed8-0108-404c-bcae-4dca62741a69&quot;,&quot;properties&quot;:{&quot;noteIndex&quot;:0},&quot;isEdited&quot;:false,&quot;manualOverride&quot;:{&quot;isManuallyOverridden&quot;:false,&quot;citeprocText&quot;:&quot;[31,114,116,117]&quot;,&quot;manualOverrideText&quot;:&quot;&quot;},&quot;citationTag&quot;:&quot;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&quot;,&quot;citationItems&quot;:[{&quot;id&quot;:&quot;a04c2420-99a9-390e-b7b9-de30282e49bb&quot;,&quot;itemData&quot;:{&quot;type&quot;:&quot;article-journal&quot;,&quot;id&quot;:&quot;a04c2420-99a9-390e-b7b9-de30282e49bb&quot;,&quot;title&quot;:&quot;Left lobe living donor liver transplantation in adults: What is the safety limit?&quot;,&quot;author&quot;:[{&quot;family&quot;:&quot;Ikegami&quot;,&quot;given&quot;:&quot;Toru&quot;,&quot;parse-names&quot;:false,&quot;dropping-particle&quot;:&quot;&quot;,&quot;non-dropping-particle&quot;:&quot;&quot;},{&quot;family&quot;:&quot;Yoshizumi&quot;,&quot;given&quot;:&quot;Tomoharu&quot;,&quot;parse-names&quot;:false,&quot;dropping-particle&quot;:&quot;&quot;,&quot;non-dropping-particle&quot;:&quot;&quot;},{&quot;family&quot;:&quot;Sakata&quot;,&quot;given&quot;:&quot;Kazuhito&quot;,&quot;parse-names&quot;:false,&quot;dropping-particle&quot;:&quot;&quot;,&quot;non-dropping-particle&quot;:&quot;&quot;},{&quot;family&quot;:&quot;Uchiyama&quot;,&quot;given&quot;:&quot;Hideaki&quot;,&quot;parse-names&quot;:false,&quot;dropping-particle&quot;:&quot;&quot;,&quot;non-dropping-particle&quot;:&quot;&quot;},{&quot;family&quot;:&quot;Harimoto&quot;,&quot;given&quot;:&quot;Norifumi&quot;,&quot;parse-names&quot;:false,&quot;dropping-particle&quot;:&quot;&quot;,&quot;non-dropping-particle&quot;:&quot;&quot;},{&quot;family&quot;:&quot;Harada&quot;,&quot;given&quot;:&quot;Noboru&quot;,&quot;parse-names&quot;:false,&quot;dropping-particle&quot;:&quot;&quot;,&quot;non-dropping-particle&quot;:&quot;&quot;},{&quot;family&quot;:&quot;Itoh&quot;,&quot;given&quot;:&quot;Shinji&quot;,&quot;parse-names&quot;:false,&quot;dropping-particle&quot;:&quot;&quot;,&quot;non-dropping-particle&quot;:&quot;&quot;},{&quot;family&quot;:&quot;Nagatsu&quot;,&quot;given&quot;:&quot;Akihisa&quot;,&quot;parse-names&quot;:false,&quot;dropping-particle&quot;:&quot;&quot;,&quot;non-dropping-particle&quot;:&quot;&quot;},{&quot;family&quot;:&quot;Soejima&quot;,&quot;given&quot;:&quot;Yuji&quot;,&quot;parse-names&quot;:false,&quot;dropping-particle&quot;:&quot;&quot;,&quot;non-dropping-particle&quot;:&quot;&quot;},{&quot;family&quot;:&quot;Maehara&quot;,&quot;given&quot;:&quot;Yoshihiko&quot;,&quot;parse-names&quot;:false,&quot;dropping-particle&quot;:&quot;&quot;,&quot;non-dropping-particle&quot;:&quot;&quot;}],&quot;container-title&quot;:&quot;Liver transplantation : official publication of the American Association for the Study of Liver Diseases and the International Liver Transplantation Society&quot;,&quot;container-title-short&quot;:&quot;Liver Transpl&quot;,&quot;accessed&quot;:{&quot;date-parts&quot;:[[2023,10,26]]},&quot;DOI&quot;:&quot;10.1002/LT.24611&quot;,&quot;ISSN&quot;:&quot;1527-6473&quot;,&quot;PMID&quot;:&quot;27540888&quot;,&quot;URL&quot;:&quot;https://pubmed.ncbi.nlm.nih.gov/27540888/&quot;,&quot;issued&quot;:{&quot;date-parts&quot;:[[2016,12,1]]},&quot;page&quot;:&quot;1666-1675&quot;,&quot;abstract&quot;:&quot;Small-for-size syndrome (SFSS) is the most significant cause of graft loss after living donor liver transplantation (LDLT), especially after left lobe (LL) LDLT in adults. The safety limit of applying LL-LDLT in adults without severe SFSS with a high rate of lethality needs to be determined. A total of 207 LL-LDLTs in adults since September 2005 were evaluated to analyze the risk factors for severe SFSS, defined as a serum total bilirubin concentration of ≥20.0 mg/dL after LDLT. Although there were no significant differences in cumulative graft survival after LDLT between medium grafts (graft volume [GV] to standard liver volume [SLV] ratio ≥ 40.0%), small grafts (35.0% ≤ GV/SLV &lt; 40.0%), and extra small grafts (GV/SLV &lt; 35.0%), patients with severe SFSS showed a significantly lower 5-year graft survival rate than those without (42.9% versus 94.3%, respectively; P &lt; 0.001). Multivariate analysis for severe SFSS after LL-LDLT showed that donor age of ≥48 years (P = 0.01), Model for End-Stage Liver Disease (MELD) score of ≥ 19 (P &lt; 0.01), and end portal venous pressure of ≥19 mm Hg (P = 0.04) were the significant and independent factors for severe SFSS after LL-LDLT. Within such high-risk subgroups of patients with a donor age of ≥48 years or MELD score of ≥ 19 before LDLT, operative blood loss volume of ≥8.0 L was a risk factor for severe SFSS. LL-LDLT in adults could be indicated and provide acceptable outcomes for the combinations of donors aged &lt; 48 years and recipients with a MELD score of &lt;19. Smaller grafts might yield acceptable outcomes in appropriately selected donor-recipient combinations. Liver Transplantation 22 1666–1675 2016 AASLD.&quot;,&quot;publisher&quot;:&quot;Liver Transpl&quot;,&quot;issue&quot;:&quot;12&quot;,&quot;volume&quot;:&quot;22&quot;},&quot;isTemporary&quot;:false},{&quot;id&quot;:&quot;6d722c38-a6b2-38c6-a834-3111f2e61405&quot;,&quot;itemData&quot;:{&quot;type&quot;:&quot;article-journal&quot;,&quot;id&quot;:&quot;6d722c38-a6b2-38c6-a834-3111f2e61405&quot;,&quot;title&quot;:&quot;Small-for-size syndrome in liver transplantation: New horizons to cover with a good launchpad&quot;,&quot;author&quot;:[{&quot;family&quot;:&quot;Hernandez-Alejandro&quot;,&quot;given&quot;:&quot;Roberto&quot;,&quot;parse-names&quot;:false,&quot;dropping-particle&quot;:&quot;&quot;,&quot;non-dropping-particle&quot;:&quot;&quot;},{&quot;family&quot;:&quot;Sharma&quot;,&quot;given&quot;:&quot;Hemant&quot;,&quot;parse-names&quot;:false,&quot;dropping-particle&quot;:&quot;&quot;,&quot;non-dropping-particle&quot;:&quot;&quot;}],&quot;container-title&quot;:&quot;Liver transplantation : official publication of the American Association for the Study of Liver Diseases and the International Liver Transplantation Society&quot;,&quot;container-title-short&quot;:&quot;Liver Transpl&quot;,&quot;accessed&quot;:{&quot;date-parts&quot;:[[2023,10,26]]},&quot;DOI&quot;:&quot;10.1002/LT.24513&quot;,&quot;ISSN&quot;:&quot;1527-6473&quot;,&quot;PMID&quot;:&quot;27398648&quot;,&quot;URL&quot;:&quot;https://pubmed.ncbi.nlm.nih.gov/27398648/&quot;,&quot;issued&quot;:{&quot;date-parts&quot;:[[2016,11,1]]},&quot;page&quot;:&quot;33-36&quot;,&quot;publisher&quot;:&quot;Liver Transpl&quot;,&quot;issue&quot;:&quot;S1&quot;,&quot;volume&quot;:&quot;22&quot;},&quot;isTemporary&quot;:false},{&quot;id&quot;:&quot;edc33031-2845-36ac-a884-a19f8982f284&quot;,&quot;itemData&quot;:{&quot;type&quot;:&quot;article-journal&quot;,&quot;id&quot;:&quot;edc33031-2845-36ac-a884-a19f8982f284&quot;,&quot;title&quot;:&quot;Adult-to-adult living-donor liver transplantation: The experience of the Université catholique de Louvain&quot;,&quot;author&quot;:[{&quot;family&quot;:&quot;Iesari&quot;,&quot;given&quot;:&quot;Samuele&quot;,&quot;parse-names&quot;:false,&quot;dropping-particle&quot;:&quot;&quot;,&quot;non-dropping-particle&quot;:&quot;&quot;},{&quot;family&quot;:&quot;Inostroza Núñez&quot;,&quot;given&quot;:&quot;Milton Eduardo&quot;,&quot;parse-names&quot;:false,&quot;dropping-particle&quot;:&quot;&quot;,&quot;non-dropping-particle&quot;:&quot;&quot;},{&quot;family&quot;:&quot;Rico Juri&quot;,&quot;given&quot;:&quot;Juan Manuel&quot;,&quot;parse-names&quot;:false,&quot;dropping-particle&quot;:&quot;&quot;,&quot;non-dropping-particle&quot;:&quot;&quot;},{&quot;family&quot;:&quot;Ciccarelli&quot;,&quot;given&quot;:&quot;Olga&quot;,&quot;parse-names&quot;:false,&quot;dropping-particle&quot;:&quot;&quot;,&quot;non-dropping-particle&quot;:&quot;&quot;},{&quot;family&quot;:&quot;Bonaccorsi-Riani&quot;,&quot;given&quot;:&quot;Eliano&quot;,&quot;parse-names&quot;:false,&quot;dropping-particle&quot;:&quot;&quot;,&quot;non-dropping-particle&quot;:&quot;&quot;},{&quot;family&quot;:&quot;Coubeau&quot;,&quot;given&quot;:&quot;Laurent&quot;,&quot;parse-names&quot;:false,&quot;dropping-particle&quot;:&quot;&quot;,&quot;non-dropping-particle&quot;:&quot;&quot;},{&quot;family&quot;:&quot;Laterre&quot;,&quot;given&quot;:&quot;Pierre François&quot;,&quot;parse-names&quot;:false,&quot;dropping-particle&quot;:&quot;&quot;,&quot;non-dropping-particle&quot;:&quot;&quot;},{&quot;family&quot;:&quot;Goffette&quot;,&quot;given&quot;:&quot;Pierre&quot;,&quot;parse-names&quot;:false,&quot;dropping-particle&quot;:&quot;&quot;,&quot;non-dropping-particle&quot;:&quot;&quot;},{&quot;family&quot;:&quot;Reyck&quot;,&quot;given&quot;:&quot;Chantal&quot;,&quot;parse-names&quot;:false,&quot;dropping-particle&quot;:&quot;&quot;,&quot;non-dropping-particle&quot;:&quot;De&quot;},{&quot;family&quot;:&quot;Lengelé&quot;,&quot;given&quot;:&quot;Benoît&quot;,&quot;parse-names&quot;:false,&quot;dropping-particle&quot;:&quot;&quot;,&quot;non-dropping-particle&quot;:&quot;&quot;},{&quot;family&quot;:&quot;Gianello&quot;,&quot;given&quot;:&quot;Pierre&quot;,&quot;parse-names&quot;:false,&quot;dropping-particle&quot;:&quot;&quot;,&quot;non-dropping-particle&quot;:&quot;&quot;},{&quot;family&quot;:&quot;Lerut&quot;,&quot;given&quot;:&quot;Jan&quot;,&quot;parse-names&quot;:false,&quot;dropping-particle&quot;:&quot;&quot;,&quot;non-dropping-particle&quot;:&quot;&quot;}],&quot;container-title&quot;:&quot;Hepatobiliary &amp; pancreatic diseases international : HBPD INT&quot;,&quot;container-title-short&quot;:&quot;Hepatobiliary Pancreat Dis Int&quot;,&quot;accessed&quot;:{&quot;date-parts&quot;:[[2023,10,26]]},&quot;DOI&quot;:&quot;10.1016/J.HBPD.2019.02.007&quot;,&quot;ISSN&quot;:&quot;1499-3872&quot;,&quot;PMID&quot;:&quot;30850341&quot;,&quot;URL&quot;:&quot;https://pubmed.ncbi.nlm.nih.gov/30850341/&quot;,&quot;issued&quot;:{&quot;date-parts&quot;:[[2019,4,1]]},&quot;page&quot;:&quot;132-142&quot;,&quot;abstract&quot;:&quot;Background: Liver transplantation is the treatment for end-stage liver diseases and well-selected malignancies. The allograft shortage may be alleviated with living donation. The initial UCLouvain experience of adult living-donor liver transplantation (LDLT) is presented. Methods: A retrospective analysis of 64 adult-to-adult LDLTs performed at our institution between 1998 and 2016 was conducted. The median age of 29 (45.3%) females and 35 (54.7%) males was 50.2 years (interquartile range, IQR 32.9–57.5). Twenty-two (34.4%) recipients had no portal hypertension. Three (4.7%) patients had a benign and 33 (51.6%) a malignant tumor [19 (29.7%) hepatocellular cancer, 11 (17.2%) secondary cancer and one (1.6%) each hemangioendothelioma, hepatoblastoma and embryonal liver sarcoma]. Median donor and recipient follow-ups were 93 months (IQR 41–159) and 39 months (22–91), respectively. Results: Right and left hemi-livers were implanted in 39 (60.9%) and 25 (39.1%) cases, respectively. Median weights of right- and left-liver were 810 g (IQR 730–940) and 454 g (IQR 394–534), respectively. Graft-to-recipient weight ratios (GRWRs) were 1.17% (right, IQR 0.98%-1.4%) and 0.77% (left, 0.59%-0.95%). One- and five-year patient survivals were 85% and 71% (right) vs. 84% and 58% (left), respectively. One- and five-year graft survivals were 74% and 61% (right) vs. 76% and 53% (left), respectively. The patient and graft survival of right and left grafts and of very small (&lt;0.6%), small (0.6%–0.79%) and large (≥0.8%) GRWR were similar. Survival of very small grafts was 86% and 86% at 3- and 12-month. No donor died while five (7.8%) developed a Clavien–Dindo complication IIIa, IIIb or IV. Recipient morbidity consisted mainly of biliary and vascular complications; three (4.7%) recipients developed a small-for-size syndrome according to the Kyushu criteria. Conclusions: Adult-to-adult LDLT is a demanding procedure that widens therapeutic possibilities of many hepatobiliary diseases. The donor procedure can be done safely with low morbidity. The recipient operation carries a major morbidity indicating an important learning curve. Shifting the risk from the donor to the recipient, by moving from the larger right-liver to the smaller left-liver grafts, should be further explored as this policy makes donor hepatectomy safer and may stimulate the development of transplant oncology.&quot;,&quot;publisher&quot;:&quot;Hepatobiliary Pancreat Dis Int&quot;,&quot;issue&quot;:&quot;2&quot;,&quot;volume&quot;:&quot;18&quot;},&quot;isTemporary&quot;:false},{&quot;id&quot;:&quot;d9cb3ea9-de21-3c87-a932-936f7fe978d4&quot;,&quot;itemData&quot;:{&quot;type&quot;:&quot;article-journal&quot;,&quot;id&quot;:&quot;d9cb3ea9-de21-3c87-a932-936f7fe978d4&quot;,&quot;title&quot;:&quot;Venous Outflow Complication after Living Donor Liver Transplantation Using Right-Liver Graft without Middle Hepatic Vein&quot;,&quot;author&quot;:[{&quot;family&quot;:&quot;Ogata&quot;,&quot;given&quot;:&quot;S.&quot;,&quot;parse-names&quot;:false,&quot;dropping-particle&quot;:&quot;&quot;,&quot;non-dropping-particle&quot;:&quot;&quot;},{&quot;family&quot;:&quot;Yoon&quot;,&quot;given&quot;:&quot;Y.&quot;,&quot;parse-names&quot;:false,&quot;dropping-particle&quot;:&quot;&quot;,&quot;non-dropping-particle&quot;:&quot;&quot;},{&quot;family&quot;:&quot;Paer&quot;,&quot;given&quot;:&quot;GC&quot;,&quot;parse-names&quot;:false,&quot;dropping-particle&quot;:&quot;&quot;,&quot;non-dropping-particle&quot;:&quot;&quot;},{&quot;family&quot;:&quot;Song&quot;,&quot;given&quot;:&quot;G.&quot;,&quot;parse-names&quot;:false,&quot;dropping-particle&quot;:&quot;&quot;,&quot;non-dropping-particle&quot;:&quot;&quot;},{&quot;family&quot;:&quot;Ahn&quot;,&quot;given&quot;:&quot;C.&quot;,&quot;parse-names&quot;:false,&quot;dropping-particle&quot;:&quot;&quot;,&quot;non-dropping-particle&quot;:&quot;&quot;},{&quot;family&quot;:&quot;Ha&quot;,&quot;given&quot;:&quot;T.&quot;,&quot;parse-names&quot;:false,&quot;dropping-particle&quot;:&quot;&quot;,&quot;non-dropping-particle&quot;:&quot;&quot;},{&quot;family&quot;:&quot;Lee&quot;,&quot;given&quot;:&quot;S.&quot;,&quot;parse-names&quot;:false,&quot;dropping-particle&quot;:&quot;&quot;,&quot;non-dropping-particle&quot;:&quot;&quot;}],&quot;accessed&quot;:{&quot;date-parts&quot;:[[2024,4,21]]},&quot;issued&quot;:{&quot;date-parts&quot;:[[2019]]},&quot;container-title-short&quot;:&quot;&quot;},&quot;isTemporary&quot;:false}]},{&quot;citationID&quot;:&quot;MENDELEY_CITATION_9c0ce29a-d755-409a-aa76-cfb4e3c8598e&quot;,&quot;properties&quot;:{&quot;noteIndex&quot;:0},&quot;isEdited&quot;:false,&quot;manualOverride&quot;:{&quot;isManuallyOverridden&quot;:false,&quot;citeprocText&quot;:&quot;[29]&quot;,&quot;manualOverrideText&quot;:&quot;&quot;},&quot;citationTag&quot;:&quot;MENDELEY_CITATION_v3_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&quot;,&quot;citationItems&quot;:[{&quot;id&quot;:&quot;82870fe3-1d96-3ca5-8567-279f23529c70&quot;,&quot;itemData&quot;:{&quot;type&quot;:&quot;article-journal&quot;,&quot;id&quot;:&quot;82870fe3-1d96-3ca5-8567-279f23529c70&quot;,&quot;title&quot;:&quot;Impact of graft-to-recipient weight ratio on small-for-size syndrome following living donor liver transplantation&quot;,&quot;author&quot;:[{&quot;family&quot;:&quot;Bell&quot;,&quot;given&quot;:&quot;Richard&quot;,&quot;parse-names&quot;:false,&quot;dropping-particle&quot;:&quot;&quot;,&quot;non-dropping-particle&quot;:&quot;&quot;},{&quot;family&quot;:&quot;Pandanaboyana&quot;,&quot;given&quot;:&quot;Sanjay&quot;,&quot;parse-names&quot;:false,&quot;dropping-particle&quot;:&quot;&quot;,&quot;non-dropping-particle&quot;:&quot;&quot;},{&quot;family&quot;:&quot;Upasani&quot;,&quot;given&quot;:&quot;Vivek&quot;,&quot;parse-names&quot;:false,&quot;dropping-particle&quot;:&quot;&quot;,&quot;non-dropping-particle&quot;:&quot;&quot;},{&quot;family&quot;:&quot;Prasad&quot;,&quot;given&quot;:&quot;Raj&quot;,&quot;parse-names&quot;:false,&quot;dropping-particle&quot;:&quot;&quot;,&quot;non-dropping-particle&quot;:&quot;&quot;}],&quot;container-title&quot;:&quot;ANZ journal of surgery&quot;,&quot;container-title-short&quot;:&quot;ANZ J Surg&quot;,&quot;accessed&quot;:{&quot;date-parts&quot;:[[2024,2,3]]},&quot;DOI&quot;:&quot;10.1111/ANS.14245&quot;,&quot;ISSN&quot;:&quot;1445-2197&quot;,&quot;PMID&quot;:&quot;29752783&quot;,&quot;URL&quot;:&quot;https://pubmed.ncbi.nlm.nih.gov/29752783/&quot;,&quot;issued&quot;:{&quot;date-parts&quot;:[[2018,5,1]]},&quot;page&quot;:&quot;415-420&quot;,&quot;abstract&quot;:&quot;Background: This meta-analysis aimed to compare living donor liver transplantation (LDLT) grafts with a graft-to-recipient weight ratio (GRWR) of &lt;0.8 to grafts with a GRWR ≥0.8 with regards to small-for-size syndrome (SFSS) and short and longer term outcomes. Methods: An electronic search was performed of the MEDLINE, EMBASE and PubMed databases until December 2016 using both subject headings (MeSH) and free text. Pooled odds ratios and hazard ratios were calculated using fixed- and random-effects models for meta-analysis. Results: Eight studies including 1833 patients met the inclusion criteria. The rate of SFSS was 10% in the &lt;0.8 group and 5% in the ≥0.8 group (odds ratio: 1.69 (1.09, 2.61) (P = 0.020)). No significant difference was noted between the two groups with regards to graft survival up to 5 years (hazard ratio: 1.31 (0.88, 1.94) (P = 0.190)). Similarly, no significant difference was noted in overall complications (P = 0.06), biliary (P = 0.290) or vascular complications (P = 0.190), perioperative haemorrhage (P = 0.150), post-operative mortality (P = 0.810) and rejection (P = 0.160). Conclusion: The incidence of SFSS in grafts with a GRWR &lt;0.8 is more than in GRWR ≥0.8; however, the low GRWR does not appear to impact perioperative outcomes or graft survival.&quot;,&quot;publisher&quot;:&quot;ANZ J Surg&quot;,&quot;issue&quot;:&quot;5&quot;,&quot;volume&quot;:&quot;88&quot;},&quot;isTemporary&quot;:false}]},{&quot;citationID&quot;:&quot;MENDELEY_CITATION_7db678e7-fc07-40f6-b40e-aff79946b9a9&quot;,&quot;properties&quot;:{&quot;noteIndex&quot;:0},&quot;isEdited&quot;:false,&quot;manualOverride&quot;:{&quot;isManuallyOverridden&quot;:false,&quot;citeprocText&quot;:&quot;[118]&quot;,&quot;manualOverrideText&quot;:&quot;&quot;},&quot;citationTag&quot;:&quot;MENDELEY_CITATION_v3_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&quot;,&quot;citationItems&quot;:[{&quot;id&quot;:&quot;cc1a7122-66ed-336c-8ea0-afbd4814c2b8&quot;,&quot;itemData&quot;:{&quot;type&quot;:&quot;article-journal&quot;,&quot;id&quot;:&quot;cc1a7122-66ed-336c-8ea0-afbd4814c2b8&quot;,&quot;title&quot;:&quot;Associating liver partition and portal vein ligation for staged hepatectomy (ALPPS): A new strategy to increase resectability in liver surgery&quot;,&quot;author&quot;:[{&quot;family&quot;:&quot;Zhang&quot;,&quot;given&quot;:&quot;Guan Qi&quot;,&quot;parse-names&quot;:false,&quot;dropping-particle&quot;:&quot;&quot;,&quot;non-dropping-particle&quot;:&quot;&quot;},{&quot;family&quot;:&quot;Zhang&quot;,&quot;given&quot;:&quot;Zhi Wei&quot;,&quot;parse-names&quot;:false,&quot;dropping-particle&quot;:&quot;&quot;,&quot;non-dropping-particle&quot;:&quot;&quot;},{&quot;family&quot;:&quot;Lau&quot;,&quot;given&quot;:&quot;Wan Yee&quot;,&quot;parse-names&quot;:false,&quot;dropping-particle&quot;:&quot;&quot;,&quot;non-dropping-particle&quot;:&quot;&quot;},{&quot;family&quot;:&quot;Chen&quot;,&quot;given&quot;:&quot;Xiao Ping&quot;,&quot;parse-names&quot;:false,&quot;dropping-particle&quot;:&quot;&quot;,&quot;non-dropping-particle&quot;:&quot;&quot;}],&quot;container-title&quot;:&quot;International Journal of Surgery&quot;,&quot;DOI&quot;:&quot;10.1016/j.ijsu.2014.03.009&quot;,&quot;ISSN&quot;:&quot;17439159&quot;,&quot;PMID&quot;:&quot;24704086&quot;,&quot;issued&quot;:{&quot;date-parts&quot;:[[2014]]},&quot;page&quot;:&quot;437-441&quot;,&quot;abstract&quot;:&quot;Background: Partial hepatectomy with clear surgical margins is the main curative treatment for hepatic malignancies. The safety of liver resection, to a great extent, depends on the volume of future liver remnant. This manuscript reviews some important strategies that have been developed to increase resectability for patients with borderline volume of future liver remnant, particularly associating liver partition and portal vein ligation for staged hepatectomy (ALPPS). Methods: To identify potentially relevant articles, we searched Medline and PubMed from January 2010 to December 2013 using the keywords \&quot;Associating liver partition and portal vein ligation for staged hepatectomy\&quot;, \&quot;ALPPS\&quot;, \&quot;portal vein embolization\&quot;, \&quot;future liver remnant\&quot;, \&quot;liver hypertrophy\&quot;, and \&quot;liver failure\&quot;. A number of references from the key articles were also cited. There were no exclusion criteria for published information to the topics. Results: Portal vein ligation (PVL) or embolization (PVE) are traditional approaches to induce liver hypertrophy of the future liver remnant (FLR) prior to hepatectomy in primarily non-resectable liver tumors. However, about 14 percent of patients fail to this approach. Adequate hypertrophy of the FLR using PVL or PVE generally takes more than four weeks. ALPPS can induce rapid growth of the FLR, which is more effective than by portal vein embolization or occlusion alone. Reportedly, the hypertrophy extent of FLR was 40%-80% within 6-9 days in contrast to approximately 8%-27% within 2-60 days by PVL/PVE. However, ALPPS was reported to have high operative morbidity (16%-64% of patients), mortality (12%-23% of patients) and bile leakage rates. Bile leakage and sepsis remain a major cause of morbidity, and the main cause of mortality includes hepatic insufficiency. Conclusion: ALPPS has emerged as a new strategy to increase resectability of hepatic malignancies. Due to high morbidity and mortality rates of ALPPS procedure, the surgical candidates should be selected carefully. Moreover, there are very limited available evidence for its technical feasibility, safety and oncological outcome which are needed for further evaluation in larger scale of studies. © 2014 Surgical Associates Ltd.&quot;,&quot;publisher&quot;:&quot;Elsevier Ltd&quot;,&quot;issue&quot;:&quot;5&quot;,&quot;volume&quot;:&quot;12&quot;,&quot;container-title-short&quot;:&quot;&quot;},&quot;isTemporary&quot;:false}]},{&quot;citationID&quot;:&quot;MENDELEY_CITATION_0972c1fa-71eb-40cf-a742-0b1f53a2452a&quot;,&quot;properties&quot;:{&quot;noteIndex&quot;:0},&quot;isEdited&quot;:false,&quot;manualOverride&quot;:{&quot;isManuallyOverridden&quot;:false,&quot;citeprocText&quot;:&quot;[119]&quot;,&quot;manualOverrideText&quot;:&quot;&quot;},&quot;citationTag&quot;:&quot;MENDELEY_CITATION_v3_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&quot;,&quot;citationItems&quot;:[{&quot;id&quot;:&quot;56f6a22a-968c-3b5a-a990-124173a29f25&quot;,&quot;itemData&quot;:{&quot;type&quot;:&quot;article-journal&quot;,&quot;id&quot;:&quot;56f6a22a-968c-3b5a-a990-124173a29f25&quot;,&quot;title&quot;:&quot;Reevaluation of Makuuchi's criteria for resecting hepatocellular carcinoma: A Japanese nationwide survey&quot;,&quot;author&quot;:[{&quot;family&quot;:&quot;Aramaki&quot;,&quot;given&quot;:&quot;Osamu&quot;,&quot;parse-names&quot;:false,&quot;dropping-particle&quot;:&quot;&quot;,&quot;non-dropping-particle&quot;:&quot;&quot;},{&quot;family&quot;:&quot;Takayama&quot;,&quot;given&quot;:&quot;Tadatoshi&quot;,&quot;parse-names&quot;:false,&quot;dropping-particle&quot;:&quot;&quot;,&quot;non-dropping-particle&quot;:&quot;&quot;},{&quot;family&quot;:&quot;Matsuyama&quot;,&quot;given&quot;:&quot;Yutaka&quot;,&quot;parse-names&quot;:false,&quot;dropping-particle&quot;:&quot;&quot;,&quot;non-dropping-particle&quot;:&quot;&quot;},{&quot;family&quot;:&quot;Kubo&quot;,&quot;given&quot;:&quot;Shoji&quot;,&quot;parse-names&quot;:false,&quot;dropping-particle&quot;:&quot;&quot;,&quot;non-dropping-particle&quot;:&quot;&quot;},{&quot;family&quot;:&quot;Kokudo&quot;,&quot;given&quot;:&quot;Norihiro&quot;,&quot;parse-names&quot;:false,&quot;dropping-particle&quot;:&quot;&quot;,&quot;non-dropping-particle&quot;:&quot;&quot;},{&quot;family&quot;:&quot;Kurosaki&quot;,&quot;given&quot;:&quot;Masayuki&quot;,&quot;parse-names&quot;:false,&quot;dropping-particle&quot;:&quot;&quot;,&quot;non-dropping-particle&quot;:&quot;&quot;},{&quot;family&quot;:&quot;Murakami&quot;,&quot;given&quot;:&quot;Takamichi&quot;,&quot;parse-names&quot;:false,&quot;dropping-particle&quot;:&quot;&quot;,&quot;non-dropping-particle&quot;:&quot;&quot;},{&quot;family&quot;:&quot;Shiina&quot;,&quot;given&quot;:&quot;Shuichiro&quot;,&quot;parse-names&quot;:false,&quot;dropping-particle&quot;:&quot;&quot;,&quot;non-dropping-particle&quot;:&quot;&quot;},{&quot;family&quot;:&quot;Kudo&quot;,&quot;given&quot;:&quot;Masatoshi&quot;,&quot;parse-names&quot;:false,&quot;dropping-particle&quot;:&quot;&quot;,&quot;non-dropping-particle&quot;:&quot;&quot;},{&quot;family&quot;:&quot;Sakamoto&quot;,&quot;given&quot;:&quot;Michiie&quot;,&quot;parse-names&quot;:false,&quot;dropping-particle&quot;:&quot;&quot;,&quot;non-dropping-particle&quot;:&quot;&quot;},{&quot;family&quot;:&quot;Nakashima&quot;,&quot;given&quot;:&quot;Osamu&quot;,&quot;parse-names&quot;:false,&quot;dropping-particle&quot;:&quot;&quot;,&quot;non-dropping-particle&quot;:&quot;&quot;},{&quot;family&quot;:&quot;Fukumoto&quot;,&quot;given&quot;:&quot;Takumi&quot;,&quot;parse-names&quot;:false,&quot;dropping-particle&quot;:&quot;&quot;,&quot;non-dropping-particle&quot;:&quot;&quot;},{&quot;family&quot;:&quot;Iijima&quot;,&quot;given&quot;:&quot;Hiroko&quot;,&quot;parse-names&quot;:false,&quot;dropping-particle&quot;:&quot;&quot;,&quot;non-dropping-particle&quot;:&quot;&quot;},{&quot;family&quot;:&quot;Eguchi&quot;,&quot;given&quot;:&quot;Susumu&quot;,&quot;parse-names&quot;:false,&quot;dropping-particle&quot;:&quot;&quot;,&quot;non-dropping-particle&quot;:&quot;&quot;},{&quot;family&quot;:&quot;Soejima&quot;,&quot;given&quot;:&quot;Yuji&quot;,&quot;parse-names&quot;:false,&quot;dropping-particle&quot;:&quot;&quot;,&quot;non-dropping-particle&quot;:&quot;&quot;},{&quot;family&quot;:&quot;Makuuchi&quot;,&quot;given&quot;:&quot;Masatoshi&quot;,&quot;parse-names&quot;:false,&quot;dropping-particle&quot;:&quot;&quot;,&quot;non-dropping-particle&quot;:&quot;&quot;}],&quot;container-title&quot;:&quot;Hepatology research : the official journal of the Japan Society of Hepatology&quot;,&quot;container-title-short&quot;:&quot;Hepatol Res&quot;,&quot;accessed&quot;:{&quot;date-parts&quot;:[[2024,9,29]]},&quot;DOI&quot;:&quot;10.1111/HEPR.13844&quot;,&quot;ISSN&quot;:&quot;1386-6346&quot;,&quot;PMID&quot;:&quot;36181504&quot;,&quot;URL&quot;:&quot;https://pubmed.ncbi.nlm.nih.gov/36181504/&quot;,&quot;issued&quot;:{&quot;date-parts&quot;:[[2023,2,1]]},&quot;page&quot;:&quot;127-134&quot;,&quot;abstract&quot;:&quot;Aim: Although Makuuchi’s criteria are widely used to determine the cut-off for safe liver resection, there have been few reports of concrete data supporting their validity. Here, we verified the utility of Makuuchi’s criteria by comparing the operative mortality rates associated with liver resection between hepatocellular carcinoma (HCC) patients meeting or exceeding the criteria. Methods: A database was built using data from 15 597 patients treated between 2000 and 2007 for whom values for all three variables included in Makuuchi’s criteria for liver resection (clinical ascites, serum bilirubin, and indocyanine green clearance) were available. The patients were divided into those fulfilling (n = 12 175) or exceeding (n = 3422) the criteria. The postoperative mortality (death for any reason within 30 days) and long-term survival were compared between the two groups. Results: The operative mortality rate was significantly lower in patients meeting the criteria than in those exceeding the criteria (1.07% vs. 2.01%, respectively; p &lt; 0.001). On multivariate analysis, exceeded the criteria was significantly associated with the risk for operative mortality (relative risk 2.08; 95% confidence interval (CI), 1.23–3.52; p = 0.007). Surgical indication meeting or exceeding the criteria was an independent factor for overall survival (hazard ratio 1.27; 95% CI, 1.18–1.36; p &lt; 0.001). Conclusion: Makuuchi’s criteria are suitable for determining the indication for resection of HCC due to the reduction in risk of operative mortality.&quot;,&quot;publisher&quot;:&quot;Hepatol Res&quot;,&quot;issue&quot;:&quot;2&quot;,&quot;volume&quot;:&quot;53&quot;},&quot;isTemporary&quot;:false}]},{&quot;citationID&quot;:&quot;MENDELEY_CITATION_2949ef05-71c9-4b3a-ab8a-94f3bba69cfb&quot;,&quot;properties&quot;:{&quot;noteIndex&quot;:0},&quot;isEdited&quot;:false,&quot;manualOverride&quot;:{&quot;isManuallyOverridden&quot;:false,&quot;citeprocText&quot;:&quot;[120]&quot;,&quot;manualOverrideText&quot;:&quot;&quot;},&quot;citationTag&quot;:&quot;MENDELEY_CITATION_v3_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&quot;,&quot;citationItems&quot;:[{&quot;id&quot;:&quot;3bb431f9-1f99-3d75-ab3f-12b704e0e714&quot;,&quot;itemData&quot;:{&quot;type&quot;:&quot;article-journal&quot;,&quot;id&quot;:&quot;3bb431f9-1f99-3d75-ab3f-12b704e0e714&quot;,&quot;title&quot;:&quot;How Much Is Enough? A Surgical Perspective on Imaging Modalities to Estimate Function and Volume of the Future Liver Remnant before Hepatic Resection&quot;,&quot;author&quot;:[{&quot;family&quot;:&quot;Milana&quot;,&quot;given&quot;:&quot;Flavio&quot;,&quot;parse-names&quot;:false,&quot;dropping-particle&quot;:&quot;&quot;,&quot;non-dropping-particle&quot;:&quot;&quot;},{&quot;family&quot;:&quot;Famularo&quot;,&quot;given&quot;:&quot;Simone&quot;,&quot;parse-names&quot;:false,&quot;dropping-particle&quot;:&quot;&quot;,&quot;non-dropping-particle&quot;:&quot;&quot;},{&quot;family&quot;:&quot;Diana&quot;,&quot;given&quot;:&quot;Michele&quot;,&quot;parse-names&quot;:false,&quot;dropping-particle&quot;:&quot;&quot;,&quot;non-dropping-particle&quot;:&quot;&quot;},{&quot;family&quot;:&quot;Mishima&quot;,&quot;given&quot;:&quot;Kohei&quot;,&quot;parse-names&quot;:false,&quot;dropping-particle&quot;:&quot;&quot;,&quot;non-dropping-particle&quot;:&quot;&quot;},{&quot;family&quot;:&quot;Reitano&quot;,&quot;given&quot;:&quot;Elisa&quot;,&quot;parse-names&quot;:false,&quot;dropping-particle&quot;:&quot;&quot;,&quot;non-dropping-particle&quot;:&quot;&quot;},{&quot;family&quot;:&quot;Cho&quot;,&quot;given&quot;:&quot;Hwui Dong&quot;,&quot;parse-names&quot;:false,&quot;dropping-particle&quot;:&quot;&quot;,&quot;non-dropping-particle&quot;:&quot;&quot;},{&quot;family&quot;:&quot;Kim&quot;,&quot;given&quot;:&quot;Ki Hun&quot;,&quot;parse-names&quot;:false,&quot;dropping-particle&quot;:&quot;&quot;,&quot;non-dropping-particle&quot;:&quot;&quot;},{&quot;family&quot;:&quot;Marescaux&quot;,&quot;given&quot;:&quot;Jacques&quot;,&quot;parse-names&quot;:false,&quot;dropping-particle&quot;:&quot;&quot;,&quot;non-dropping-particle&quot;:&quot;&quot;},{&quot;family&quot;:&quot;Donadon&quot;,&quot;given&quot;:&quot;Matteo&quot;,&quot;parse-names&quot;:false,&quot;dropping-particle&quot;:&quot;&quot;,&quot;non-dropping-particle&quot;:&quot;&quot;},{&quot;family&quot;:&quot;Torzilli&quot;,&quot;given&quot;:&quot;Guido&quot;,&quot;parse-names&quot;:false,&quot;dropping-particle&quot;:&quot;&quot;,&quot;non-dropping-particle&quot;:&quot;&quot;}],&quot;container-title&quot;:&quot;Diagnostics&quot;,&quot;accessed&quot;:{&quot;date-parts&quot;:[[2024,9,29]]},&quot;DOI&quot;:&quot;10.3390/DIAGNOSTICS13172726/S1&quot;,&quot;ISSN&quot;:&quot;20754418&quot;,&quot;URL&quot;:&quot;https://www.mdpi.com/2075-4418/13/17/2726/htm&quot;,&quot;issued&quot;:{&quot;date-parts&quot;:[[2023,9,1]]},&quot;page&quot;:&quot;2726&quot;,&quot;abstract&quot;:&quot;Liver resection is the first curative option for most hepatic primary and secondary malignancies. However, post-hepatectomy liver failure (PHLF) still represents a non-negligible postoperative complication, embodying the most frequent cause of hepatic-related mortality. In the absence of a specific treatment, the most effective way to deal with PHLF is its prevention through a careful preoperative assessment of future liver remnant (FLR) volume and function. Apart from the clinical score and classical criteria to define the safe limit of resectability, new imaging modalities have shown their ability to assist surgeons in planning the best operative strategy with a precise estimation of the FLR amount. New technologies leading to liver and tumor 3D reconstruction may guide the surgeon along the best resection planes combining the least liver parenchymal sacrifice with oncological appropriateness. Integration with imaging modalities, such as hepatobiliary scintigraphy, capable of estimating total and regional liver function, may bring about a decrease in postoperative complications. Magnetic resonance imaging with hepatobiliary contrast seems to be predominant since it simultaneously integrates hepatic function and volume information along with a precise characterization of the target malignancy.&quot;,&quot;publisher&quot;:&quot;Multidisciplinary Digital Publishing Institute (MDPI)&quot;,&quot;issue&quot;:&quot;17&quot;,&quot;volume&quot;:&quot;13&quot;,&quot;container-title-short&quot;:&quot;&quot;},&quot;isTemporary&quot;:false}]},{&quot;citationID&quot;:&quot;MENDELEY_CITATION_890e48ab-54b3-4ebf-9cb2-70ac8aadf259&quot;,&quot;properties&quot;:{&quot;noteIndex&quot;:0},&quot;isEdited&quot;:false,&quot;manualOverride&quot;:{&quot;isManuallyOverridden&quot;:false,&quot;citeprocText&quot;:&quot;[121]&quot;,&quot;manualOverrideText&quot;:&quot;&quot;},&quot;citationTag&quot;:&quot;MENDELEY_CITATION_v3_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&quot;,&quot;citationItems&quot;:[{&quot;id&quot;:&quot;f2c03200-14bd-3a6b-a43d-ca42e058879b&quot;,&quot;itemData&quot;:{&quot;type&quot;:&quot;article-journal&quot;,&quot;id&quot;:&quot;f2c03200-14bd-3a6b-a43d-ca42e058879b&quot;,&quot;title&quot;:&quot;Lessons learned from review of a single center experience with 500 consecutive liver transplants in a region with insufficient deceased-donor support&quot;,&quot;author&quot;:[{&quot;family&quot;:&quot;Yankol&quot;,&quot;given&quot;:&quot;Yucel&quot;,&quot;parse-names&quot;:false,&quot;dropping-particle&quot;:&quot;&quot;,&quot;non-dropping-particle&quot;:&quot;&quot;},{&quot;family&quot;:&quot;Mecit&quot;,&quot;given&quot;:&quot;Nesimi&quot;,&quot;parse-names&quot;:false,&quot;dropping-particle&quot;:&quot;&quot;,&quot;non-dropping-particle&quot;:&quot;&quot;},{&quot;family&quot;:&quot;Kanmaz&quot;,&quot;given&quot;:&quot;Turan&quot;,&quot;parse-names&quot;:false,&quot;dropping-particle&quot;:&quot;&quot;,&quot;non-dropping-particle&quot;:&quot;&quot;},{&quot;family&quot;:&quot;Cimsit&quot;,&quot;given&quot;:&quot;Bayindir&quot;,&quot;parse-names&quot;:false,&quot;dropping-particle&quot;:&quot;&quot;,&quot;non-dropping-particle&quot;:&quot;&quot;},{&quot;family&quot;:&quot;Cakaloglu&quot;,&quot;given&quot;:&quot;Yilmaz&quot;,&quot;parse-names&quot;:false,&quot;dropping-particle&quot;:&quot;&quot;,&quot;non-dropping-particle&quot;:&quot;&quot;},{&quot;family&quot;:&quot;Acarli&quot;,&quot;given&quot;:&quot;Koray&quot;,&quot;parse-names&quot;:false,&quot;dropping-particle&quot;:&quot;&quot;,&quot;non-dropping-particle&quot;:&quot;&quot;},{&quot;family&quot;:&quot;Kalayoglu&quot;,&quot;given&quot;:&quot;Munci&quot;,&quot;parse-names&quot;:false,&quot;dropping-particle&quot;:&quot;&quot;,&quot;non-dropping-particle&quot;:&quot;&quot;}],&quot;container-title&quot;:&quot;Experimental and Clinical Transplantation&quot;,&quot;accessed&quot;:{&quot;date-parts&quot;:[[2024,2,3]]},&quot;DOI&quot;:&quot;10.6002/ect.2014.0170&quot;,&quot;ISSN&quot;:&quot;13040855&quot;,&quot;PMID&quot;:&quot;26030810&quot;,&quot;issued&quot;:{&quot;date-parts&quot;:[[2016,4,1]]},&quot;page&quot;:&quot;191-200&quot;,&quot;abstract&quot;:&quot;Objectives: We present here the outcomes of our first 500 liver transplants and discuss the lessons learned during this time. Materials and Methods:We retrospectively analyzed the first 500 consecutive transplants within the listing criteria of the United Network for Organ Sharing, with recipients and donors with minimum 1-year follow-up. Patient survival and donor complications were analyzed for 31 liver transplant recipients with hepatocellular carcinoma beyond the Milan criteria who had transplant performed during the same time. Results: Between August 2006 and March 2013, there were 519 liver transplants performed in 500 patients (365 adult, 135 pediatric). There were 394 living-donor and 125 deceased-donor liver transplants. In addition, 31 adult liver transplants were performed in patients with hepatocellular carcinoma beyond Milan criteria (22 living-donor and 9 deceased-donor transplants). The main cause of chronic liver failure was biliary atresia in pediatric patients (30.4%) and chronic hepatitis B infection in adults (35.6%). The complication rate for primary nonfunction was 3.8%, overall biliary complications 24.0% (significantly higher after adult living-donor liver transplant, 30.3%), hepatic artery thrombosis 1.6%, portal vein thrombosis 3.0%, retransplant 3.8%, acute cellular rejection 29.6%, and bacterial infection 39.4%. Overall 1-, 3-, and 5-year patient survival rates in the first 500 consecutive transplants performed on recipients within United Network for Organ Sharing listing criteria were 87.8%, 85.0%, and 78.6%; for hepatocellular carcinoma patients beyond the Milan criteria, survival rates were 71.9%, 52.5%, and 38.2%. Conclusions: In regions without a sufficient number of deceased donors, living-donor liver transplant, with its associated problems, is the only alternative to deceased-donor liver transplant. Liver transplant requires teamwork, with all players working well together for a successful outcome. The important keys to success in liver transplant include decision-making, timing, surgical skills, experience, and close follow-up.&quot;,&quot;publisher&quot;:&quot;Baskent University&quot;,&quot;issue&quot;:&quot;2&quot;,&quot;volume&quot;:&quot;14&quot;,&quot;container-title-short&quot;:&quot;&quot;},&quot;isTemporary&quot;:false}]},{&quot;citationID&quot;:&quot;MENDELEY_CITATION_25ca5329-c3a3-4ada-9df1-25b01af4e868&quot;,&quot;properties&quot;:{&quot;noteIndex&quot;:0},&quot;isEdited&quot;:false,&quot;manualOverride&quot;:{&quot;isManuallyOverridden&quot;:false,&quot;citeprocText&quot;:&quot;[6]&quot;,&quot;manualOverrideText&quot;:&quot;&quot;},&quot;citationTag&quot;:&quot;MENDELEY_CITATION_v3_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&quot;,&quot;citationItems&quot;:[{&quot;id&quot;:&quot;e1bd0865-2399-3e08-952f-09ed7685c985&quot;,&quot;itemData&quot;:{&quot;type&quot;:&quot;article-journal&quot;,&quot;id&quot;:&quot;e1bd0865-2399-3e08-952f-09ed7685c985&quot;,&quot;title&quot;:&quot;Liver volumetric and anatomic assessment in living donor liver transplantation: The role of modern imaging and artificial intelligence&quot;,&quot;author&quot;:[{&quot;family&quot;:&quot;Machry&quot;,&quot;given&quot;:&quot;Mayara&quot;,&quot;parse-names&quot;:false,&quot;dropping-particle&quot;:&quot;&quot;,&quot;non-dropping-particle&quot;:&quot;&quot;},{&quot;family&quot;:&quot;Ferreira&quot;,&quot;given&quot;:&quot;Luis Fernando&quot;,&quot;parse-names&quot;:false,&quot;dropping-particle&quot;:&quot;&quot;,&quot;non-dropping-particle&quot;:&quot;&quot;},{&quot;family&quot;:&quot;Lucchese&quot;,&quot;given&quot;:&quot;Angelica Maria&quot;,&quot;parse-names&quot;:false,&quot;dropping-particle&quot;:&quot;&quot;,&quot;non-dropping-particle&quot;:&quot;&quot;},{&quot;family&quot;:&quot;Kalil&quot;,&quot;given&quot;:&quot;Antonio Nocchi&quot;,&quot;parse-names&quot;:false,&quot;dropping-particle&quot;:&quot;&quot;,&quot;non-dropping-particle&quot;:&quot;&quot;},{&quot;family&quot;:&quot;Feier&quot;,&quot;given&quot;:&quot;Flavia Heinz&quot;,&quot;parse-names&quot;:false,&quot;dropping-particle&quot;:&quot;&quot;,&quot;non-dropping-particle&quot;:&quot;&quot;}],&quot;container-title&quot;:&quot;World journal of transplantation&quot;,&quot;container-title-short&quot;:&quot;World J Transplant&quot;,&quot;accessed&quot;:{&quot;date-parts&quot;:[[2024,4,22]]},&quot;DOI&quot;:&quot;10.5500/WJT.V13.I6.290&quot;,&quot;ISSN&quot;:&quot;2220-3230&quot;,&quot;PMID&quot;:&quot;38174151&quot;,&quot;URL&quot;:&quot;https://pubmed.ncbi.nlm.nih.gov/38174151/&quot;,&quot;issued&quot;:{&quot;date-parts&quot;:[[2023,12,18]]},&quot;page&quot;:&quot;290-298&quot;,&quot;abstract&quot;:&quot;The shortage of deceased donor organs has prompted the development of alternative liver grafts for transplantation. Living-donor liver transplantation (LDLT) has emerged as a viable option, expanding the donor pool and enabling timely transplantation with favorable graft function and improved long-term outcomes. An accurate evaluation of the donor liver’s volumetry (LV) and anatomical study is crucial to ensure adequate future liver remnant, graft volume and precise liver resection. Thus, ensuring donor safety and an appropriate graft-to-recipient weight ratio. Manual LV (MLV) using computed tomography has traditionally been considered the gold standard for assessing liver volume. However, the method has been limited by cost, subjectivity, and variability. Automated LV techniques employing advanced segmentation algorithms offer improved reproducibility, reduced variability, and enhanced efficiency compared to manual measurements. However, the accuracy of automated LV requires further investigation. The study provides a comprehensive review of traditional and emerging LV methods, including semi-automated image processing, automated LV techniques, and machine learning-based approaches. Additionally, the study discusses the respective strengths and weaknesses of each of the aforementioned techniques. The use of artificial intelligence (AI) technologies, including machine learning and deep learning, is expected to become a routine part of surgical planning in the near future. The implementation of AI is expected to enable faster and more accurate image study interpretations, improve workflow efficiency, and enhance the safety, speed, and cost-effectiveness of the procedures. Accurate preoperative assessment of the liver plays a crucial role in ensuring safe donor selection and improved outcomes in LDLT. MLV has inherent limitations that have led to the adoption of semi-automated and automated software solutions. Moreover, AI has tremendous potential for LV and segmentation; however, its widespread use is hindered by cost and availability. Therefore, the integration of multiple specialties is necessary to embrace technology and explore its possibilities, ranging from patient counseling to intraoperative decision-making through automation and AI.&quot;,&quot;publisher&quot;:&quot;World J Transplant&quot;,&quot;issue&quot;:&quot;6&quot;,&quot;volume&quot;:&quot;13&quot;},&quot;isTemporary&quot;:false}]},{&quot;citationID&quot;:&quot;MENDELEY_CITATION_3711b554-dd68-4f92-9336-f4fae9c6c0fa&quot;,&quot;properties&quot;:{&quot;noteIndex&quot;:0},&quot;isEdited&quot;:false,&quot;manualOverride&quot;:{&quot;isManuallyOverridden&quot;:false,&quot;citeprocText&quot;:&quot;[122]&quot;,&quot;manualOverrideText&quot;:&quot;&quot;},&quot;citationTag&quot;:&quot;MENDELEY_CITATION_v3_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&quot;,&quot;citationItems&quot;:[{&quot;id&quot;:&quot;1e1b98f6-4eb2-323d-8695-d5ccdf74085b&quot;,&quot;itemData&quot;:{&quot;type&quot;:&quot;article-journal&quot;,&quot;id&quot;:&quot;1e1b98f6-4eb2-323d-8695-d5ccdf74085b&quot;,&quot;title&quot;:&quot;Correlation between CT volumetry and actual graft weight in living donor liver transplants in South Africa&quot;,&quot;author&quot;:[{&quot;family&quot;:&quot;Calver&quot;,&quot;given&quot;:&quot;Katherine D.&quot;,&quot;parse-names&quot;:false,&quot;dropping-particle&quot;:&quot;&quot;,&quot;non-dropping-particle&quot;:&quot;&quot;},{&quot;family&quot;:&quot;Terreblanche&quot;,&quot;given&quot;:&quot;Owen&quot;,&quot;parse-names&quot;:false,&quot;dropping-particle&quot;:&quot;&quot;,&quot;non-dropping-particle&quot;:&quot;&quot;},{&quot;family&quot;:&quot;Warnich&quot;,&quot;given&quot;:&quot;Ilonka&quot;,&quot;parse-names&quot;:false,&quot;dropping-particle&quot;:&quot;&quot;,&quot;non-dropping-particle&quot;:&quot;&quot;},{&quot;family&quot;:&quot;Schyff&quot;,&quot;given&quot;:&quot;Francisca&quot;,&quot;parse-names&quot;:false,&quot;dropping-particle&quot;:&quot;&quot;,&quot;non-dropping-particle&quot;:&quot;Van der&quot;}],&quot;container-title&quot;:&quot;South African Journal of Radiology&quot;,&quot;DOI&quot;:&quot;10.4102/sajr.v28i1.2917&quot;,&quot;ISSN&quot;:&quot;1027-202X&quot;,&quot;issued&quot;:{&quot;date-parts&quot;:[[2024,9,5]]},&quot;abstract&quot;:&quot;Background: Liver transplantation is the definitive management for patients with end-stage liver disease. Preoperative computed tomography (CT) is used in living donor liver transplant (LDLT) for donor and graft selection as well as predicting graft weight.Objectives: The aim of this study is to establish the relationship between estimated graft volume (EGV) and actual graft weight (AGW) and ascertain a correlation coefficient that will improve the accuracy of EGV in a South African population.Method: The study included 117 LDLT between March 2013 and August 2022. Of these, 86 were left lateral (LL), 15 right lobe (R), 10 left lobe with caudate (LC), five left lobe (L) and one segment two (monosegment) grafts. Estimated graft volume and actual graft weight were compared using the Pearson coefficient and the relationship was illustrated with scatter plots.Results: Estimated graft volume and AGW had a strong positive correlation with a Pearson correlation (R) of 0.95 (p  0.001). The relationship was significantly linear with a correlation coefficient of 0.71. The mean EGV was significantly higher than that of AGW (388 mL ± 249 mL vs. 353 g ± 184 g) with overestimation in 61% of cases. Left lateral and R grafts were the most prevalent LDLT graft type, both having a strong linear correlation between EGV and AGW.Conclusion: Applying a correlation coefficient of 0.71 will improve the accuracy of CT volumetry graft weight predictions.Contribution: A unique correlation coefficient will improve EGV accuracy, aiding in preoperative planning and mitigating post-operative complications in both donors and recipients.&quot;,&quot;publisher&quot;:&quot;AOSIS&quot;,&quot;issue&quot;:&quot;1&quot;,&quot;volume&quot;:&quot;28&quot;,&quot;container-title-short&quot;:&quot;&quot;},&quot;isTemporary&quot;:false}]}]"/>
    <we:property name="MENDELEY_CITATIONS_LOCALE_CODE" value="&quot;en-US&quot;"/>
    <we:property name="MENDELEY_CITATIONS_STYLE" value="{&quot;id&quot;:&quot;https://www.zotero.org/styles/american-medical-association-brackets&quot;,&quot;title&quot;:&quot;American Medical Association 11th edition (brackets)&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bQUWztI6oqqzAlfsNEoxkdskPwQ==">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JQoBOBIgCh4IB0IaCg9UaW1lcyBOZXcgUm9tYW4SB0d1bmdzdWgyCGguZ2pkZ3hzMgloLjFmb2I5dGUyCWguMzBqMHpsbDgAciExOWEyeGhhYnBCNGl2NXA1dzlkS2NlVXJuM3N0TFlhZTI=</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8367246-8282-4512-BE7D-BED385AD3D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92</Pages>
  <Words>22755</Words>
  <Characters>129706</Characters>
  <Application>Microsoft Office Word</Application>
  <DocSecurity>0</DocSecurity>
  <Lines>1080</Lines>
  <Paragraphs>304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152157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macbookpro12</dc:creator>
  <cp:lastModifiedBy>DC-KT-12</cp:lastModifiedBy>
  <cp:revision>2</cp:revision>
  <cp:lastPrinted>2024-10-21T10:02:00Z</cp:lastPrinted>
  <dcterms:created xsi:type="dcterms:W3CDTF">2024-11-27T10:49:00Z</dcterms:created>
  <dcterms:modified xsi:type="dcterms:W3CDTF">2024-11-27T10:49:00Z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1033-5.7.2.8094</vt:lpwstr>
  </property>
</Properties>
</file>