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3CBC44" w14:textId="77777777" w:rsidR="003A7235" w:rsidRPr="003A7235" w:rsidRDefault="003A7235" w:rsidP="003A7235">
      <w:pPr>
        <w:spacing w:after="0" w:line="240" w:lineRule="auto"/>
        <w:jc w:val="center"/>
        <w:rPr>
          <w:rStyle w:val="fontstyle01"/>
        </w:rPr>
      </w:pPr>
      <w:bookmarkStart w:id="0" w:name="_Toc57128459"/>
      <w:bookmarkStart w:id="1" w:name="_GoBack"/>
      <w:bookmarkEnd w:id="1"/>
      <w:r w:rsidRPr="003A7235">
        <w:rPr>
          <w:rStyle w:val="fontstyle01"/>
        </w:rPr>
        <w:t>НЕКОММЕРЧЕСКОЕ АКЦИОНЕРНОЕ ОБЩЕСТВО</w:t>
      </w:r>
    </w:p>
    <w:p w14:paraId="61DD6FA9" w14:textId="7350D4BE" w:rsidR="005F63DE" w:rsidRDefault="003A7235" w:rsidP="003A7235">
      <w:pPr>
        <w:spacing w:after="0" w:line="240" w:lineRule="auto"/>
        <w:jc w:val="center"/>
        <w:rPr>
          <w:rStyle w:val="fontstyle01"/>
        </w:rPr>
      </w:pPr>
      <w:r w:rsidRPr="003A7235">
        <w:rPr>
          <w:rStyle w:val="fontstyle01"/>
        </w:rPr>
        <w:t>«МЕДИЦИНСКИЙ УНИВЕРСИТЕТ КАРАГАНДЫ»</w:t>
      </w:r>
    </w:p>
    <w:p w14:paraId="7EFE7E45" w14:textId="53138B9F" w:rsidR="003A7235" w:rsidRDefault="003A7235" w:rsidP="003A7235">
      <w:pPr>
        <w:spacing w:after="0" w:line="240" w:lineRule="auto"/>
        <w:jc w:val="center"/>
        <w:rPr>
          <w:rStyle w:val="fontstyle01"/>
        </w:rPr>
      </w:pPr>
    </w:p>
    <w:p w14:paraId="2FE02735" w14:textId="77777777" w:rsidR="003A7235" w:rsidRDefault="003A7235" w:rsidP="003A7235">
      <w:pPr>
        <w:spacing w:after="0" w:line="240" w:lineRule="auto"/>
        <w:jc w:val="center"/>
        <w:rPr>
          <w:rFonts w:ascii="Times New Roman" w:hAnsi="Times New Roman"/>
          <w:sz w:val="28"/>
          <w:szCs w:val="28"/>
        </w:rPr>
      </w:pPr>
    </w:p>
    <w:p w14:paraId="39335D25" w14:textId="77777777" w:rsidR="00593F3A" w:rsidRDefault="00593F3A" w:rsidP="00056858">
      <w:pPr>
        <w:spacing w:after="0" w:line="360" w:lineRule="auto"/>
        <w:jc w:val="right"/>
        <w:rPr>
          <w:rFonts w:ascii="Times New Roman" w:hAnsi="Times New Roman"/>
          <w:sz w:val="28"/>
          <w:szCs w:val="28"/>
        </w:rPr>
      </w:pPr>
    </w:p>
    <w:p w14:paraId="0F18422C" w14:textId="5413A428" w:rsidR="00A65EDA" w:rsidRPr="005C25F6" w:rsidRDefault="00056858" w:rsidP="00056858">
      <w:pPr>
        <w:spacing w:after="0" w:line="360" w:lineRule="auto"/>
        <w:rPr>
          <w:rFonts w:ascii="Times New Roman" w:hAnsi="Times New Roman"/>
          <w:sz w:val="28"/>
          <w:szCs w:val="28"/>
        </w:rPr>
      </w:pPr>
      <w:r w:rsidRPr="00056858">
        <w:rPr>
          <w:rFonts w:ascii="Times New Roman" w:hAnsi="Times New Roman"/>
          <w:sz w:val="28"/>
          <w:szCs w:val="28"/>
        </w:rPr>
        <w:t>УДК 616-008:615.37-08</w:t>
      </w:r>
      <w:r w:rsidR="0007459B">
        <w:rPr>
          <w:rFonts w:ascii="Times New Roman" w:hAnsi="Times New Roman"/>
          <w:sz w:val="28"/>
          <w:szCs w:val="28"/>
        </w:rPr>
        <w:t xml:space="preserve">               </w:t>
      </w:r>
      <w:r>
        <w:rPr>
          <w:rFonts w:ascii="Times New Roman" w:hAnsi="Times New Roman"/>
          <w:sz w:val="28"/>
          <w:szCs w:val="28"/>
        </w:rPr>
        <w:t xml:space="preserve">                                           </w:t>
      </w:r>
      <w:r w:rsidR="005F63DE">
        <w:rPr>
          <w:rFonts w:ascii="Times New Roman" w:hAnsi="Times New Roman"/>
          <w:sz w:val="28"/>
          <w:szCs w:val="28"/>
        </w:rPr>
        <w:t xml:space="preserve"> </w:t>
      </w:r>
      <w:r w:rsidR="00A65EDA" w:rsidRPr="005C25F6">
        <w:rPr>
          <w:rFonts w:ascii="Times New Roman" w:hAnsi="Times New Roman"/>
          <w:sz w:val="28"/>
          <w:szCs w:val="28"/>
        </w:rPr>
        <w:t>На правах рукописи</w:t>
      </w:r>
    </w:p>
    <w:p w14:paraId="30AF3C52" w14:textId="77777777" w:rsidR="00A65EDA" w:rsidRPr="005C25F6" w:rsidRDefault="00A65EDA" w:rsidP="00A65EDA">
      <w:pPr>
        <w:spacing w:after="0" w:line="360" w:lineRule="auto"/>
        <w:rPr>
          <w:rFonts w:ascii="Times New Roman" w:hAnsi="Times New Roman"/>
          <w:sz w:val="28"/>
          <w:szCs w:val="28"/>
        </w:rPr>
      </w:pPr>
    </w:p>
    <w:p w14:paraId="0935BDDD" w14:textId="77777777" w:rsidR="00A65EDA" w:rsidRPr="005C25F6" w:rsidRDefault="00A65EDA" w:rsidP="00A65EDA">
      <w:pPr>
        <w:spacing w:after="0" w:line="360" w:lineRule="auto"/>
        <w:rPr>
          <w:rFonts w:ascii="Times New Roman" w:hAnsi="Times New Roman"/>
          <w:sz w:val="28"/>
          <w:szCs w:val="28"/>
        </w:rPr>
      </w:pPr>
    </w:p>
    <w:p w14:paraId="521A08BC" w14:textId="27A75C41" w:rsidR="00A65EDA" w:rsidRPr="005F63DE" w:rsidRDefault="00AE13C1" w:rsidP="00A65EDA">
      <w:pPr>
        <w:spacing w:after="0" w:line="360" w:lineRule="auto"/>
        <w:jc w:val="center"/>
        <w:rPr>
          <w:rFonts w:ascii="Times New Roman" w:hAnsi="Times New Roman"/>
          <w:b/>
          <w:sz w:val="28"/>
          <w:szCs w:val="28"/>
        </w:rPr>
      </w:pPr>
      <w:r w:rsidRPr="005F63DE">
        <w:rPr>
          <w:rFonts w:ascii="Times New Roman" w:hAnsi="Times New Roman"/>
          <w:b/>
          <w:sz w:val="28"/>
          <w:szCs w:val="28"/>
        </w:rPr>
        <w:t>ИЗМАЙЛОВИЧ МАРИНА РАШИДОВНА</w:t>
      </w:r>
    </w:p>
    <w:p w14:paraId="4BCDFDCC" w14:textId="77777777" w:rsidR="00A65EDA" w:rsidRPr="00AE13C1" w:rsidRDefault="00A65EDA" w:rsidP="00A65EDA">
      <w:pPr>
        <w:spacing w:after="0" w:line="360" w:lineRule="auto"/>
        <w:jc w:val="center"/>
        <w:rPr>
          <w:rFonts w:ascii="Times New Roman" w:hAnsi="Times New Roman"/>
          <w:b/>
          <w:sz w:val="28"/>
          <w:szCs w:val="28"/>
        </w:rPr>
      </w:pPr>
    </w:p>
    <w:p w14:paraId="45EDD081" w14:textId="46D50150" w:rsidR="00A65EDA" w:rsidRPr="00AE13C1" w:rsidRDefault="003A7235" w:rsidP="00C14F28">
      <w:pPr>
        <w:spacing w:after="0" w:line="240" w:lineRule="auto"/>
        <w:jc w:val="center"/>
        <w:rPr>
          <w:rFonts w:ascii="Times New Roman" w:hAnsi="Times New Roman"/>
          <w:b/>
          <w:sz w:val="28"/>
          <w:szCs w:val="28"/>
        </w:rPr>
      </w:pPr>
      <w:r w:rsidRPr="003A7235">
        <w:rPr>
          <w:rFonts w:ascii="Times New Roman" w:hAnsi="Times New Roman"/>
          <w:b/>
          <w:sz w:val="28"/>
          <w:szCs w:val="28"/>
        </w:rPr>
        <w:t>Тема: «Биомаркеры эффективности аллерген-специфической иммунотерапии у больных с сезонными аллергическими заболеваниями»</w:t>
      </w:r>
    </w:p>
    <w:p w14:paraId="76E9DBD5" w14:textId="77777777" w:rsidR="00EC4F1A" w:rsidRPr="005C25F6" w:rsidRDefault="00EC4F1A" w:rsidP="00A65EDA">
      <w:pPr>
        <w:spacing w:after="0" w:line="360" w:lineRule="auto"/>
        <w:jc w:val="center"/>
        <w:rPr>
          <w:rFonts w:ascii="Times New Roman" w:hAnsi="Times New Roman"/>
          <w:b/>
          <w:sz w:val="28"/>
          <w:szCs w:val="28"/>
        </w:rPr>
      </w:pPr>
    </w:p>
    <w:p w14:paraId="59291741" w14:textId="1EEBEEA8" w:rsidR="000D0ED2" w:rsidRDefault="000D0ED2" w:rsidP="00A65EDA">
      <w:pPr>
        <w:spacing w:after="0" w:line="36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6</w:t>
      </w:r>
      <w:r>
        <w:rPr>
          <w:rFonts w:ascii="Times New Roman" w:eastAsia="Times New Roman" w:hAnsi="Times New Roman"/>
          <w:sz w:val="28"/>
          <w:szCs w:val="28"/>
          <w:lang w:val="en-US" w:eastAsia="ru-RU"/>
        </w:rPr>
        <w:t>D</w:t>
      </w:r>
      <w:r>
        <w:rPr>
          <w:rFonts w:ascii="Times New Roman" w:eastAsia="Times New Roman" w:hAnsi="Times New Roman"/>
          <w:sz w:val="28"/>
          <w:szCs w:val="28"/>
          <w:lang w:eastAsia="ru-RU"/>
        </w:rPr>
        <w:t>110100 «Медицина»</w:t>
      </w:r>
    </w:p>
    <w:p w14:paraId="4F7F65DF" w14:textId="77777777" w:rsidR="00F05152" w:rsidRDefault="00F05152" w:rsidP="00A65EDA">
      <w:pPr>
        <w:spacing w:after="0" w:line="360" w:lineRule="auto"/>
        <w:jc w:val="center"/>
        <w:rPr>
          <w:rFonts w:ascii="Times New Roman" w:hAnsi="Times New Roman"/>
          <w:sz w:val="28"/>
          <w:szCs w:val="28"/>
        </w:rPr>
      </w:pPr>
    </w:p>
    <w:p w14:paraId="6573A264" w14:textId="258A5FA6" w:rsidR="00A65EDA" w:rsidRPr="005C25F6" w:rsidRDefault="00A65EDA" w:rsidP="00B30D40">
      <w:pPr>
        <w:spacing w:after="0" w:line="240" w:lineRule="auto"/>
        <w:jc w:val="center"/>
        <w:rPr>
          <w:rFonts w:ascii="Times New Roman" w:hAnsi="Times New Roman"/>
          <w:sz w:val="28"/>
          <w:szCs w:val="28"/>
        </w:rPr>
      </w:pPr>
      <w:r w:rsidRPr="005C25F6">
        <w:rPr>
          <w:rFonts w:ascii="Times New Roman" w:hAnsi="Times New Roman"/>
          <w:sz w:val="28"/>
          <w:szCs w:val="28"/>
        </w:rPr>
        <w:t xml:space="preserve">Диссeртация на соисканиe стeпeни </w:t>
      </w:r>
    </w:p>
    <w:p w14:paraId="2029BEDB" w14:textId="1B1E8EC1" w:rsidR="00A65EDA" w:rsidRPr="005F63DE" w:rsidRDefault="00F05152" w:rsidP="00B30D40">
      <w:pPr>
        <w:spacing w:after="0" w:line="240" w:lineRule="auto"/>
        <w:jc w:val="center"/>
        <w:rPr>
          <w:rFonts w:ascii="Times New Roman" w:hAnsi="Times New Roman"/>
          <w:sz w:val="28"/>
          <w:szCs w:val="28"/>
        </w:rPr>
      </w:pPr>
      <w:r>
        <w:rPr>
          <w:rFonts w:ascii="Times New Roman" w:hAnsi="Times New Roman"/>
          <w:sz w:val="28"/>
          <w:szCs w:val="28"/>
        </w:rPr>
        <w:t xml:space="preserve">доктора философии </w:t>
      </w:r>
      <w:r w:rsidR="005F63DE">
        <w:rPr>
          <w:rFonts w:ascii="Times New Roman" w:hAnsi="Times New Roman"/>
          <w:sz w:val="28"/>
          <w:szCs w:val="28"/>
        </w:rPr>
        <w:t>(</w:t>
      </w:r>
      <w:r w:rsidR="00EC4F1A">
        <w:rPr>
          <w:rFonts w:ascii="Times New Roman" w:hAnsi="Times New Roman"/>
          <w:sz w:val="28"/>
          <w:szCs w:val="28"/>
          <w:lang w:val="en-US"/>
        </w:rPr>
        <w:t>PhD</w:t>
      </w:r>
      <w:r w:rsidR="005F63DE">
        <w:rPr>
          <w:rFonts w:ascii="Times New Roman" w:hAnsi="Times New Roman"/>
          <w:sz w:val="28"/>
          <w:szCs w:val="28"/>
        </w:rPr>
        <w:t>)</w:t>
      </w:r>
    </w:p>
    <w:p w14:paraId="7C8B99F1" w14:textId="1A999022" w:rsidR="00A65EDA" w:rsidRDefault="00A65EDA" w:rsidP="00B30D40">
      <w:pPr>
        <w:spacing w:after="0" w:line="240" w:lineRule="auto"/>
        <w:jc w:val="center"/>
        <w:rPr>
          <w:rFonts w:ascii="Times New Roman" w:hAnsi="Times New Roman"/>
          <w:sz w:val="28"/>
          <w:szCs w:val="28"/>
        </w:rPr>
      </w:pPr>
    </w:p>
    <w:p w14:paraId="103B19CF" w14:textId="77777777" w:rsidR="00B30D40" w:rsidRPr="005C25F6" w:rsidRDefault="00B30D40" w:rsidP="00B30D40">
      <w:pPr>
        <w:spacing w:after="0" w:line="240" w:lineRule="auto"/>
        <w:jc w:val="center"/>
        <w:rPr>
          <w:rFonts w:ascii="Times New Roman" w:hAnsi="Times New Roman"/>
          <w:sz w:val="28"/>
          <w:szCs w:val="28"/>
        </w:rPr>
      </w:pPr>
    </w:p>
    <w:p w14:paraId="54322B05" w14:textId="312F7C2E" w:rsidR="00F05152" w:rsidRDefault="00F05152" w:rsidP="00B30D40">
      <w:pPr>
        <w:spacing w:after="0" w:line="240" w:lineRule="auto"/>
        <w:jc w:val="right"/>
        <w:rPr>
          <w:rFonts w:ascii="Times New Roman" w:hAnsi="Times New Roman"/>
          <w:sz w:val="28"/>
          <w:szCs w:val="28"/>
        </w:rPr>
      </w:pPr>
      <w:r>
        <w:rPr>
          <w:rFonts w:ascii="Times New Roman" w:hAnsi="Times New Roman"/>
          <w:sz w:val="28"/>
          <w:szCs w:val="28"/>
        </w:rPr>
        <w:t>Научные консультанты</w:t>
      </w:r>
      <w:r w:rsidR="00A65EDA" w:rsidRPr="005C25F6">
        <w:rPr>
          <w:rFonts w:ascii="Times New Roman" w:hAnsi="Times New Roman"/>
          <w:sz w:val="28"/>
          <w:szCs w:val="28"/>
        </w:rPr>
        <w:t xml:space="preserve">: </w:t>
      </w:r>
    </w:p>
    <w:p w14:paraId="2CC71A1E" w14:textId="77777777" w:rsidR="006D58B3" w:rsidRDefault="00AA59AB" w:rsidP="00B30D40">
      <w:pPr>
        <w:spacing w:after="0" w:line="240" w:lineRule="auto"/>
        <w:jc w:val="right"/>
        <w:rPr>
          <w:rFonts w:ascii="Times New Roman" w:hAnsi="Times New Roman"/>
          <w:sz w:val="28"/>
          <w:szCs w:val="28"/>
        </w:rPr>
      </w:pPr>
      <w:r>
        <w:rPr>
          <w:rStyle w:val="fontstyle01"/>
        </w:rPr>
        <w:t>доктор медицинских наук</w:t>
      </w:r>
      <w:r w:rsidR="00A65EDA" w:rsidRPr="005C25F6">
        <w:rPr>
          <w:rFonts w:ascii="Times New Roman" w:hAnsi="Times New Roman"/>
          <w:sz w:val="28"/>
          <w:szCs w:val="28"/>
        </w:rPr>
        <w:t>,</w:t>
      </w:r>
      <w:r w:rsidR="006D58B3">
        <w:rPr>
          <w:rFonts w:ascii="Times New Roman" w:hAnsi="Times New Roman"/>
          <w:sz w:val="28"/>
          <w:szCs w:val="28"/>
        </w:rPr>
        <w:t xml:space="preserve"> </w:t>
      </w:r>
      <w:r w:rsidR="00A65EDA" w:rsidRPr="005C25F6">
        <w:rPr>
          <w:rFonts w:ascii="Times New Roman" w:hAnsi="Times New Roman"/>
          <w:sz w:val="28"/>
          <w:szCs w:val="28"/>
        </w:rPr>
        <w:t>профeссор</w:t>
      </w:r>
      <w:r w:rsidR="006D58B3">
        <w:rPr>
          <w:rFonts w:ascii="Times New Roman" w:hAnsi="Times New Roman"/>
          <w:sz w:val="28"/>
          <w:szCs w:val="28"/>
        </w:rPr>
        <w:t xml:space="preserve">, </w:t>
      </w:r>
    </w:p>
    <w:p w14:paraId="2637B147" w14:textId="45E2185C" w:rsidR="00B30D40" w:rsidRDefault="006D58B3" w:rsidP="00B30D40">
      <w:pPr>
        <w:spacing w:after="0" w:line="240" w:lineRule="auto"/>
        <w:jc w:val="right"/>
        <w:rPr>
          <w:rFonts w:ascii="Times New Roman" w:hAnsi="Times New Roman"/>
          <w:sz w:val="28"/>
          <w:szCs w:val="28"/>
        </w:rPr>
      </w:pPr>
      <w:r>
        <w:rPr>
          <w:rFonts w:ascii="Times New Roman" w:hAnsi="Times New Roman"/>
          <w:sz w:val="28"/>
          <w:szCs w:val="28"/>
        </w:rPr>
        <w:t>проректор по клинической работе НАО «МУА»</w:t>
      </w:r>
      <w:r w:rsidR="00A65EDA" w:rsidRPr="005C25F6">
        <w:rPr>
          <w:rFonts w:ascii="Times New Roman" w:hAnsi="Times New Roman"/>
          <w:sz w:val="28"/>
          <w:szCs w:val="28"/>
        </w:rPr>
        <w:t xml:space="preserve"> </w:t>
      </w:r>
    </w:p>
    <w:p w14:paraId="467DAC42" w14:textId="77522A8F" w:rsidR="00A65EDA" w:rsidRDefault="00EC4F1A" w:rsidP="00B30D40">
      <w:pPr>
        <w:spacing w:after="0" w:line="240" w:lineRule="auto"/>
        <w:jc w:val="right"/>
        <w:rPr>
          <w:rFonts w:ascii="Times New Roman" w:hAnsi="Times New Roman"/>
          <w:sz w:val="28"/>
          <w:szCs w:val="28"/>
        </w:rPr>
      </w:pPr>
      <w:r>
        <w:rPr>
          <w:rFonts w:ascii="Times New Roman" w:hAnsi="Times New Roman"/>
          <w:sz w:val="28"/>
          <w:szCs w:val="28"/>
        </w:rPr>
        <w:t>Газалиева М.А.</w:t>
      </w:r>
    </w:p>
    <w:p w14:paraId="4EE0A338" w14:textId="77777777" w:rsidR="00B30D40" w:rsidRDefault="00B30D40" w:rsidP="00B30D40">
      <w:pPr>
        <w:spacing w:after="0" w:line="240" w:lineRule="auto"/>
        <w:jc w:val="right"/>
        <w:rPr>
          <w:rFonts w:ascii="Times New Roman" w:hAnsi="Times New Roman"/>
          <w:sz w:val="28"/>
          <w:szCs w:val="28"/>
        </w:rPr>
      </w:pPr>
    </w:p>
    <w:p w14:paraId="4BBC1E75" w14:textId="77777777" w:rsidR="006D58B3" w:rsidRPr="006D58B3" w:rsidRDefault="006D58B3" w:rsidP="006D58B3">
      <w:pPr>
        <w:spacing w:after="0" w:line="240" w:lineRule="auto"/>
        <w:jc w:val="right"/>
        <w:rPr>
          <w:rFonts w:ascii="Times New Roman" w:eastAsia="Times New Roman" w:hAnsi="Times New Roman"/>
          <w:sz w:val="28"/>
          <w:szCs w:val="28"/>
          <w:lang w:eastAsia="ru-RU"/>
        </w:rPr>
      </w:pPr>
      <w:r w:rsidRPr="006D58B3">
        <w:rPr>
          <w:rFonts w:ascii="Times New Roman" w:eastAsia="Times New Roman" w:hAnsi="Times New Roman"/>
          <w:sz w:val="28"/>
          <w:szCs w:val="28"/>
          <w:lang w:eastAsia="ru-RU"/>
        </w:rPr>
        <w:t xml:space="preserve">доктор Ph.D., и.о. профессора </w:t>
      </w:r>
    </w:p>
    <w:p w14:paraId="0AE953E3" w14:textId="77777777" w:rsidR="006D58B3" w:rsidRPr="006D58B3" w:rsidRDefault="006D58B3" w:rsidP="006D58B3">
      <w:pPr>
        <w:spacing w:after="0" w:line="240" w:lineRule="auto"/>
        <w:jc w:val="right"/>
        <w:rPr>
          <w:rFonts w:ascii="Times New Roman" w:eastAsia="Times New Roman" w:hAnsi="Times New Roman"/>
          <w:sz w:val="28"/>
          <w:szCs w:val="28"/>
          <w:lang w:eastAsia="ru-RU"/>
        </w:rPr>
      </w:pPr>
      <w:r w:rsidRPr="006D58B3">
        <w:rPr>
          <w:rFonts w:ascii="Times New Roman" w:eastAsia="Times New Roman" w:hAnsi="Times New Roman"/>
          <w:sz w:val="28"/>
          <w:szCs w:val="28"/>
          <w:lang w:eastAsia="ru-RU"/>
        </w:rPr>
        <w:t xml:space="preserve">кафедры эпидемиологии, биостатистики и </w:t>
      </w:r>
    </w:p>
    <w:p w14:paraId="3443D5BA" w14:textId="77777777" w:rsidR="006D58B3" w:rsidRPr="006D58B3" w:rsidRDefault="006D58B3" w:rsidP="006D58B3">
      <w:pPr>
        <w:spacing w:after="0" w:line="240" w:lineRule="auto"/>
        <w:jc w:val="right"/>
        <w:rPr>
          <w:rFonts w:ascii="Times New Roman" w:eastAsia="Times New Roman" w:hAnsi="Times New Roman"/>
          <w:sz w:val="28"/>
          <w:szCs w:val="28"/>
          <w:lang w:eastAsia="ru-RU"/>
        </w:rPr>
      </w:pPr>
      <w:r w:rsidRPr="006D58B3">
        <w:rPr>
          <w:rFonts w:ascii="Times New Roman" w:eastAsia="Times New Roman" w:hAnsi="Times New Roman"/>
          <w:sz w:val="28"/>
          <w:szCs w:val="28"/>
          <w:lang w:eastAsia="ru-RU"/>
        </w:rPr>
        <w:t>доказательной медицины, директор НИИ Здоровья</w:t>
      </w:r>
    </w:p>
    <w:p w14:paraId="27D44AC9" w14:textId="77777777" w:rsidR="006D58B3" w:rsidRDefault="006D58B3" w:rsidP="006D58B3">
      <w:pPr>
        <w:spacing w:after="0" w:line="240" w:lineRule="auto"/>
        <w:jc w:val="right"/>
        <w:rPr>
          <w:rFonts w:ascii="Times New Roman" w:eastAsia="Times New Roman" w:hAnsi="Times New Roman"/>
          <w:sz w:val="28"/>
          <w:szCs w:val="28"/>
          <w:lang w:eastAsia="ru-RU"/>
        </w:rPr>
      </w:pPr>
      <w:r w:rsidRPr="006D58B3">
        <w:rPr>
          <w:rFonts w:ascii="Times New Roman" w:eastAsia="Times New Roman" w:hAnsi="Times New Roman"/>
          <w:sz w:val="28"/>
          <w:szCs w:val="28"/>
          <w:lang w:eastAsia="ru-RU"/>
        </w:rPr>
        <w:t xml:space="preserve">КазНУ имени Аль-Фараби </w:t>
      </w:r>
    </w:p>
    <w:p w14:paraId="36A3C531" w14:textId="079630A1" w:rsidR="00F05152" w:rsidRDefault="00F05152" w:rsidP="006D58B3">
      <w:pPr>
        <w:spacing w:after="0" w:line="240" w:lineRule="auto"/>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Глушкова Н.Е.</w:t>
      </w:r>
    </w:p>
    <w:p w14:paraId="01F18595" w14:textId="77777777" w:rsidR="00B30D40" w:rsidRDefault="00B30D40" w:rsidP="00B30D40">
      <w:pPr>
        <w:spacing w:after="0" w:line="240" w:lineRule="auto"/>
        <w:jc w:val="right"/>
        <w:rPr>
          <w:rFonts w:ascii="Times New Roman" w:eastAsia="Times New Roman" w:hAnsi="Times New Roman"/>
          <w:sz w:val="28"/>
          <w:szCs w:val="28"/>
          <w:lang w:eastAsia="ru-RU"/>
        </w:rPr>
      </w:pPr>
    </w:p>
    <w:p w14:paraId="0F006227" w14:textId="77777777" w:rsidR="006C36F5" w:rsidRDefault="00AA59AB" w:rsidP="00B30D40">
      <w:pPr>
        <w:spacing w:after="0" w:line="240" w:lineRule="auto"/>
        <w:jc w:val="right"/>
        <w:rPr>
          <w:rFonts w:ascii="Times New Roman" w:eastAsia="Times New Roman" w:hAnsi="Times New Roman"/>
          <w:sz w:val="28"/>
          <w:szCs w:val="28"/>
          <w:lang w:eastAsia="ru-RU"/>
        </w:rPr>
      </w:pPr>
      <w:r>
        <w:rPr>
          <w:rStyle w:val="fontstyle01"/>
        </w:rPr>
        <w:t>кандидат медицинских наук</w:t>
      </w:r>
      <w:r w:rsidR="00F731F4">
        <w:rPr>
          <w:rFonts w:ascii="Times New Roman" w:eastAsia="Times New Roman" w:hAnsi="Times New Roman"/>
          <w:sz w:val="28"/>
          <w:szCs w:val="28"/>
          <w:lang w:eastAsia="ru-RU"/>
        </w:rPr>
        <w:t>,</w:t>
      </w:r>
      <w:r w:rsidR="006C36F5">
        <w:rPr>
          <w:rFonts w:ascii="Times New Roman" w:eastAsia="Times New Roman" w:hAnsi="Times New Roman"/>
          <w:sz w:val="28"/>
          <w:szCs w:val="28"/>
          <w:lang w:eastAsia="ru-RU"/>
        </w:rPr>
        <w:t xml:space="preserve"> </w:t>
      </w:r>
      <w:r w:rsidR="00F731F4">
        <w:rPr>
          <w:rFonts w:ascii="Times New Roman" w:eastAsia="Times New Roman" w:hAnsi="Times New Roman"/>
          <w:sz w:val="28"/>
          <w:szCs w:val="28"/>
          <w:lang w:eastAsia="ru-RU"/>
        </w:rPr>
        <w:t>профессор</w:t>
      </w:r>
      <w:r w:rsidR="00B74898">
        <w:rPr>
          <w:rFonts w:ascii="Times New Roman" w:eastAsia="Times New Roman" w:hAnsi="Times New Roman"/>
          <w:sz w:val="28"/>
          <w:szCs w:val="28"/>
          <w:lang w:eastAsia="ru-RU"/>
        </w:rPr>
        <w:t xml:space="preserve">, </w:t>
      </w:r>
    </w:p>
    <w:p w14:paraId="72E2699E" w14:textId="05DD1F24" w:rsidR="00B30D40" w:rsidRDefault="00B74898" w:rsidP="00B30D40">
      <w:pPr>
        <w:spacing w:after="0" w:line="240" w:lineRule="auto"/>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декан Школы Медицины и Наук Здравоохранения</w:t>
      </w:r>
    </w:p>
    <w:p w14:paraId="7574A0FB" w14:textId="492309EF" w:rsidR="00B74898" w:rsidRDefault="00B74898" w:rsidP="00B30D40">
      <w:pPr>
        <w:spacing w:after="0" w:line="240" w:lineRule="auto"/>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БАУ Батумский Международный Университет</w:t>
      </w:r>
    </w:p>
    <w:p w14:paraId="4AC637AC" w14:textId="77777777" w:rsidR="00E20949" w:rsidRDefault="00F731F4" w:rsidP="00B30D40">
      <w:pPr>
        <w:spacing w:after="0" w:line="240" w:lineRule="auto"/>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Ахвледиани Л.Т.</w:t>
      </w:r>
      <w:r w:rsidR="005E41F8">
        <w:rPr>
          <w:rFonts w:ascii="Times New Roman" w:eastAsia="Times New Roman" w:hAnsi="Times New Roman"/>
          <w:sz w:val="28"/>
          <w:szCs w:val="28"/>
          <w:lang w:eastAsia="ru-RU"/>
        </w:rPr>
        <w:t xml:space="preserve"> </w:t>
      </w:r>
    </w:p>
    <w:p w14:paraId="38600AC0" w14:textId="6F7A4094" w:rsidR="00A65EDA" w:rsidRPr="0007016F" w:rsidRDefault="00AA59AB" w:rsidP="00B30D40">
      <w:pPr>
        <w:spacing w:after="0" w:line="240" w:lineRule="auto"/>
        <w:jc w:val="right"/>
        <w:rPr>
          <w:rFonts w:ascii="Times New Roman" w:hAnsi="Times New Roman"/>
          <w:sz w:val="28"/>
          <w:szCs w:val="28"/>
          <w:lang w:val="en-US"/>
        </w:rPr>
      </w:pPr>
      <w:r w:rsidRPr="0007016F">
        <w:rPr>
          <w:rFonts w:ascii="Times New Roman" w:eastAsia="Times New Roman" w:hAnsi="Times New Roman"/>
          <w:sz w:val="28"/>
          <w:szCs w:val="28"/>
          <w:lang w:val="en-US" w:eastAsia="ru-RU"/>
        </w:rPr>
        <w:t>(</w:t>
      </w:r>
      <w:r w:rsidR="00E20949" w:rsidRPr="00E20949">
        <w:rPr>
          <w:rFonts w:ascii="Times New Roman" w:eastAsia="Times New Roman" w:hAnsi="Times New Roman"/>
          <w:sz w:val="28"/>
          <w:szCs w:val="28"/>
          <w:lang w:eastAsia="ru-RU"/>
        </w:rPr>
        <w:t>Батуми</w:t>
      </w:r>
      <w:r w:rsidRPr="0007016F">
        <w:rPr>
          <w:rFonts w:ascii="Times New Roman" w:eastAsia="Times New Roman" w:hAnsi="Times New Roman"/>
          <w:sz w:val="28"/>
          <w:szCs w:val="28"/>
          <w:lang w:val="en-US" w:eastAsia="ru-RU"/>
        </w:rPr>
        <w:t>)</w:t>
      </w:r>
    </w:p>
    <w:p w14:paraId="13641D63" w14:textId="57FD1895" w:rsidR="00593F3A" w:rsidRPr="0007016F" w:rsidRDefault="00593F3A" w:rsidP="00B30D40">
      <w:pPr>
        <w:spacing w:after="0" w:line="240" w:lineRule="auto"/>
        <w:jc w:val="center"/>
        <w:rPr>
          <w:rFonts w:ascii="Times New Roman" w:hAnsi="Times New Roman"/>
          <w:sz w:val="28"/>
          <w:szCs w:val="28"/>
          <w:lang w:val="en-US"/>
        </w:rPr>
      </w:pPr>
    </w:p>
    <w:p w14:paraId="23A4F45B" w14:textId="77777777" w:rsidR="005E41F8" w:rsidRPr="0007016F" w:rsidRDefault="005E41F8" w:rsidP="00B30D40">
      <w:pPr>
        <w:spacing w:after="0" w:line="240" w:lineRule="auto"/>
        <w:jc w:val="center"/>
        <w:rPr>
          <w:rFonts w:ascii="Times New Roman" w:hAnsi="Times New Roman"/>
          <w:sz w:val="28"/>
          <w:szCs w:val="28"/>
          <w:lang w:val="en-US"/>
        </w:rPr>
      </w:pPr>
    </w:p>
    <w:p w14:paraId="2E82050C" w14:textId="0E144988" w:rsidR="00B30D40" w:rsidRPr="0007016F" w:rsidRDefault="00B30D40" w:rsidP="00B30D40">
      <w:pPr>
        <w:spacing w:after="0" w:line="240" w:lineRule="auto"/>
        <w:jc w:val="center"/>
        <w:rPr>
          <w:rFonts w:ascii="Times New Roman" w:hAnsi="Times New Roman"/>
          <w:sz w:val="28"/>
          <w:szCs w:val="28"/>
          <w:lang w:val="en-US"/>
        </w:rPr>
      </w:pPr>
    </w:p>
    <w:p w14:paraId="57892F01" w14:textId="1BEF0BE4" w:rsidR="00A65EDA" w:rsidRPr="0007016F" w:rsidRDefault="008532B0" w:rsidP="00B30D40">
      <w:pPr>
        <w:spacing w:after="0" w:line="240" w:lineRule="auto"/>
        <w:jc w:val="center"/>
        <w:rPr>
          <w:rFonts w:ascii="Times New Roman" w:hAnsi="Times New Roman"/>
          <w:sz w:val="28"/>
          <w:szCs w:val="28"/>
          <w:lang w:val="en-US"/>
        </w:rPr>
      </w:pPr>
      <w:r>
        <w:rPr>
          <w:rFonts w:ascii="Times New Roman" w:hAnsi="Times New Roman"/>
          <w:sz w:val="28"/>
          <w:szCs w:val="28"/>
        </w:rPr>
        <w:t>Республика</w:t>
      </w:r>
      <w:r w:rsidRPr="0007016F">
        <w:rPr>
          <w:rFonts w:ascii="Times New Roman" w:hAnsi="Times New Roman"/>
          <w:sz w:val="28"/>
          <w:szCs w:val="28"/>
          <w:lang w:val="en-US"/>
        </w:rPr>
        <w:t xml:space="preserve"> </w:t>
      </w:r>
      <w:r>
        <w:rPr>
          <w:rFonts w:ascii="Times New Roman" w:hAnsi="Times New Roman"/>
          <w:sz w:val="28"/>
          <w:szCs w:val="28"/>
        </w:rPr>
        <w:t>Казахстан</w:t>
      </w:r>
    </w:p>
    <w:p w14:paraId="36783C4D" w14:textId="77777777" w:rsidR="003A79BD" w:rsidRDefault="00A65EDA" w:rsidP="0091409E">
      <w:pPr>
        <w:spacing w:line="240" w:lineRule="auto"/>
        <w:jc w:val="center"/>
        <w:rPr>
          <w:rFonts w:ascii="Times New Roman" w:hAnsi="Times New Roman"/>
          <w:sz w:val="28"/>
          <w:szCs w:val="28"/>
        </w:rPr>
        <w:sectPr w:rsidR="003A79BD" w:rsidSect="003A79BD">
          <w:footerReference w:type="default" r:id="rId8"/>
          <w:pgSz w:w="11906" w:h="16838" w:code="9"/>
          <w:pgMar w:top="1134" w:right="567" w:bottom="1134" w:left="1701" w:header="709" w:footer="709" w:gutter="0"/>
          <w:cols w:space="708"/>
          <w:titlePg/>
          <w:docGrid w:linePitch="360"/>
        </w:sectPr>
      </w:pPr>
      <w:r>
        <w:rPr>
          <w:rFonts w:ascii="Times New Roman" w:hAnsi="Times New Roman"/>
          <w:sz w:val="28"/>
          <w:szCs w:val="28"/>
        </w:rPr>
        <w:t>Караганда</w:t>
      </w:r>
      <w:r w:rsidR="00F05152">
        <w:rPr>
          <w:rFonts w:ascii="Times New Roman" w:hAnsi="Times New Roman"/>
          <w:sz w:val="28"/>
          <w:szCs w:val="28"/>
        </w:rPr>
        <w:t xml:space="preserve">, </w:t>
      </w:r>
      <w:r w:rsidR="00B30D40">
        <w:rPr>
          <w:rFonts w:ascii="Times New Roman" w:hAnsi="Times New Roman"/>
          <w:sz w:val="28"/>
          <w:szCs w:val="28"/>
        </w:rPr>
        <w:t>2023</w:t>
      </w:r>
    </w:p>
    <w:p w14:paraId="06610144" w14:textId="5BE12C5B" w:rsidR="00120419" w:rsidRPr="00120419" w:rsidRDefault="00A40A97" w:rsidP="000320CB">
      <w:pPr>
        <w:jc w:val="center"/>
        <w:rPr>
          <w:rFonts w:ascii="Times New Roman" w:hAnsi="Times New Roman" w:cs="Times New Roman"/>
          <w:b/>
          <w:sz w:val="28"/>
          <w:szCs w:val="28"/>
        </w:rPr>
      </w:pPr>
      <w:r w:rsidRPr="00120419">
        <w:rPr>
          <w:rFonts w:ascii="Times New Roman" w:hAnsi="Times New Roman" w:cs="Times New Roman"/>
          <w:b/>
          <w:sz w:val="28"/>
          <w:szCs w:val="28"/>
        </w:rPr>
        <w:lastRenderedPageBreak/>
        <w:t>СОДЕРЖАНИЕ</w:t>
      </w:r>
    </w:p>
    <w:p w14:paraId="0CA19224" w14:textId="212FEA7D" w:rsidR="00E27B71" w:rsidRPr="00E27B71" w:rsidRDefault="00120419" w:rsidP="00E27B71">
      <w:pPr>
        <w:pStyle w:val="11"/>
        <w:rPr>
          <w:rFonts w:eastAsiaTheme="minorEastAsia"/>
          <w:lang w:eastAsia="ru-RU"/>
        </w:rPr>
      </w:pPr>
      <w:r w:rsidRPr="00E27B71">
        <w:rPr>
          <w:rStyle w:val="fontstyle01"/>
          <w:b/>
        </w:rPr>
        <w:fldChar w:fldCharType="begin"/>
      </w:r>
      <w:r w:rsidRPr="00E27B71">
        <w:rPr>
          <w:rStyle w:val="fontstyle01"/>
          <w:b/>
        </w:rPr>
        <w:instrText xml:space="preserve"> TOC \o "1-3" \h \z \u </w:instrText>
      </w:r>
      <w:r w:rsidRPr="00E27B71">
        <w:rPr>
          <w:rStyle w:val="fontstyle01"/>
          <w:b/>
        </w:rPr>
        <w:fldChar w:fldCharType="separate"/>
      </w:r>
      <w:hyperlink w:anchor="_Toc137904326" w:history="1">
        <w:r w:rsidR="00E27B71" w:rsidRPr="00E27B71">
          <w:rPr>
            <w:rStyle w:val="a6"/>
            <w:b/>
          </w:rPr>
          <w:t>НОРМАТИВНЫЕ ССЫЛКИ</w:t>
        </w:r>
        <w:r w:rsidR="00E27B71" w:rsidRPr="00E27B71">
          <w:rPr>
            <w:webHidden/>
          </w:rPr>
          <w:tab/>
        </w:r>
        <w:r w:rsidR="00E27B71" w:rsidRPr="00E27B71">
          <w:rPr>
            <w:webHidden/>
          </w:rPr>
          <w:fldChar w:fldCharType="begin"/>
        </w:r>
        <w:r w:rsidR="00E27B71" w:rsidRPr="00E27B71">
          <w:rPr>
            <w:webHidden/>
          </w:rPr>
          <w:instrText xml:space="preserve"> PAGEREF _Toc137904326 \h </w:instrText>
        </w:r>
        <w:r w:rsidR="00E27B71" w:rsidRPr="00E27B71">
          <w:rPr>
            <w:webHidden/>
          </w:rPr>
        </w:r>
        <w:r w:rsidR="00E27B71" w:rsidRPr="00E27B71">
          <w:rPr>
            <w:webHidden/>
          </w:rPr>
          <w:fldChar w:fldCharType="separate"/>
        </w:r>
        <w:r w:rsidR="00C72046">
          <w:rPr>
            <w:webHidden/>
          </w:rPr>
          <w:t>4</w:t>
        </w:r>
        <w:r w:rsidR="00E27B71" w:rsidRPr="00E27B71">
          <w:rPr>
            <w:webHidden/>
          </w:rPr>
          <w:fldChar w:fldCharType="end"/>
        </w:r>
      </w:hyperlink>
    </w:p>
    <w:p w14:paraId="2D702B3F" w14:textId="11EFE4BD" w:rsidR="00E27B71" w:rsidRPr="00E27B71" w:rsidRDefault="00F34529" w:rsidP="00E27B71">
      <w:pPr>
        <w:pStyle w:val="11"/>
        <w:rPr>
          <w:rFonts w:eastAsiaTheme="minorEastAsia"/>
          <w:lang w:eastAsia="ru-RU"/>
        </w:rPr>
      </w:pPr>
      <w:hyperlink w:anchor="_Toc137904327" w:history="1">
        <w:r w:rsidR="00E27B71" w:rsidRPr="00E27B71">
          <w:rPr>
            <w:rStyle w:val="a6"/>
            <w:b/>
          </w:rPr>
          <w:t>ОБОЗНАЧЕНИЯ И СОКРАЩЕНИЯ</w:t>
        </w:r>
        <w:r w:rsidR="00E27B71" w:rsidRPr="00E27B71">
          <w:rPr>
            <w:webHidden/>
          </w:rPr>
          <w:tab/>
        </w:r>
        <w:r w:rsidR="00E27B71" w:rsidRPr="00E27B71">
          <w:rPr>
            <w:webHidden/>
          </w:rPr>
          <w:fldChar w:fldCharType="begin"/>
        </w:r>
        <w:r w:rsidR="00E27B71" w:rsidRPr="00E27B71">
          <w:rPr>
            <w:webHidden/>
          </w:rPr>
          <w:instrText xml:space="preserve"> PAGEREF _Toc137904327 \h </w:instrText>
        </w:r>
        <w:r w:rsidR="00E27B71" w:rsidRPr="00E27B71">
          <w:rPr>
            <w:webHidden/>
          </w:rPr>
        </w:r>
        <w:r w:rsidR="00E27B71" w:rsidRPr="00E27B71">
          <w:rPr>
            <w:webHidden/>
          </w:rPr>
          <w:fldChar w:fldCharType="separate"/>
        </w:r>
        <w:r w:rsidR="00C72046">
          <w:rPr>
            <w:webHidden/>
          </w:rPr>
          <w:t>7</w:t>
        </w:r>
        <w:r w:rsidR="00E27B71" w:rsidRPr="00E27B71">
          <w:rPr>
            <w:webHidden/>
          </w:rPr>
          <w:fldChar w:fldCharType="end"/>
        </w:r>
      </w:hyperlink>
    </w:p>
    <w:p w14:paraId="4337E442" w14:textId="5E5CED6F" w:rsidR="00E27B71" w:rsidRPr="00E27B71" w:rsidRDefault="00F34529" w:rsidP="00E27B71">
      <w:pPr>
        <w:pStyle w:val="11"/>
        <w:rPr>
          <w:rFonts w:eastAsiaTheme="minorEastAsia"/>
          <w:lang w:eastAsia="ru-RU"/>
        </w:rPr>
      </w:pPr>
      <w:hyperlink w:anchor="_Toc137904328" w:history="1">
        <w:r w:rsidR="00E27B71" w:rsidRPr="00E27B71">
          <w:rPr>
            <w:rStyle w:val="a6"/>
            <w:b/>
          </w:rPr>
          <w:t>ВВЕДЕНИЕ</w:t>
        </w:r>
        <w:r w:rsidR="00E27B71" w:rsidRPr="00E27B71">
          <w:rPr>
            <w:webHidden/>
          </w:rPr>
          <w:tab/>
        </w:r>
        <w:r w:rsidR="00E27B71" w:rsidRPr="00E27B71">
          <w:rPr>
            <w:webHidden/>
          </w:rPr>
          <w:fldChar w:fldCharType="begin"/>
        </w:r>
        <w:r w:rsidR="00E27B71" w:rsidRPr="00E27B71">
          <w:rPr>
            <w:webHidden/>
          </w:rPr>
          <w:instrText xml:space="preserve"> PAGEREF _Toc137904328 \h </w:instrText>
        </w:r>
        <w:r w:rsidR="00E27B71" w:rsidRPr="00E27B71">
          <w:rPr>
            <w:webHidden/>
          </w:rPr>
        </w:r>
        <w:r w:rsidR="00E27B71" w:rsidRPr="00E27B71">
          <w:rPr>
            <w:webHidden/>
          </w:rPr>
          <w:fldChar w:fldCharType="separate"/>
        </w:r>
        <w:r w:rsidR="00C72046">
          <w:rPr>
            <w:webHidden/>
          </w:rPr>
          <w:t>9</w:t>
        </w:r>
        <w:r w:rsidR="00E27B71" w:rsidRPr="00E27B71">
          <w:rPr>
            <w:webHidden/>
          </w:rPr>
          <w:fldChar w:fldCharType="end"/>
        </w:r>
      </w:hyperlink>
    </w:p>
    <w:p w14:paraId="523C7FAF" w14:textId="5D7E9721" w:rsidR="00E27B71" w:rsidRPr="00E27B71" w:rsidRDefault="00F34529" w:rsidP="00E27B71">
      <w:pPr>
        <w:pStyle w:val="11"/>
        <w:rPr>
          <w:rFonts w:eastAsiaTheme="minorEastAsia"/>
          <w:lang w:eastAsia="ru-RU"/>
        </w:rPr>
      </w:pPr>
      <w:hyperlink w:anchor="_Toc137904329" w:history="1">
        <w:r w:rsidR="00E27B71" w:rsidRPr="00E27B71">
          <w:rPr>
            <w:rStyle w:val="a6"/>
            <w:b/>
          </w:rPr>
          <w:t>1 ОБЗОР ЛИТЕРАТУРЫ</w:t>
        </w:r>
        <w:r w:rsidR="00E27B71" w:rsidRPr="00E27B71">
          <w:rPr>
            <w:webHidden/>
          </w:rPr>
          <w:tab/>
        </w:r>
        <w:r w:rsidR="00E27B71" w:rsidRPr="00E27B71">
          <w:rPr>
            <w:webHidden/>
          </w:rPr>
          <w:fldChar w:fldCharType="begin"/>
        </w:r>
        <w:r w:rsidR="00E27B71" w:rsidRPr="00E27B71">
          <w:rPr>
            <w:webHidden/>
          </w:rPr>
          <w:instrText xml:space="preserve"> PAGEREF _Toc137904329 \h </w:instrText>
        </w:r>
        <w:r w:rsidR="00E27B71" w:rsidRPr="00E27B71">
          <w:rPr>
            <w:webHidden/>
          </w:rPr>
        </w:r>
        <w:r w:rsidR="00E27B71" w:rsidRPr="00E27B71">
          <w:rPr>
            <w:webHidden/>
          </w:rPr>
          <w:fldChar w:fldCharType="separate"/>
        </w:r>
        <w:r w:rsidR="00C72046">
          <w:rPr>
            <w:webHidden/>
          </w:rPr>
          <w:t>14</w:t>
        </w:r>
        <w:r w:rsidR="00E27B71" w:rsidRPr="00E27B71">
          <w:rPr>
            <w:webHidden/>
          </w:rPr>
          <w:fldChar w:fldCharType="end"/>
        </w:r>
      </w:hyperlink>
    </w:p>
    <w:p w14:paraId="75FB2FE4" w14:textId="2005F241" w:rsidR="00E27B71" w:rsidRPr="00E27B71" w:rsidRDefault="00F34529" w:rsidP="00E27B71">
      <w:pPr>
        <w:pStyle w:val="11"/>
        <w:rPr>
          <w:rFonts w:eastAsiaTheme="minorEastAsia"/>
          <w:lang w:eastAsia="ru-RU"/>
        </w:rPr>
      </w:pPr>
      <w:hyperlink w:anchor="_Toc137904330" w:history="1">
        <w:r w:rsidR="00E27B71" w:rsidRPr="00E27B71">
          <w:rPr>
            <w:rStyle w:val="a6"/>
          </w:rPr>
          <w:t>1.1</w:t>
        </w:r>
        <w:r w:rsidR="00E27B71" w:rsidRPr="00E27B71">
          <w:rPr>
            <w:rFonts w:eastAsiaTheme="minorEastAsia"/>
            <w:lang w:eastAsia="ru-RU"/>
          </w:rPr>
          <w:tab/>
        </w:r>
        <w:r w:rsidR="00E27B71" w:rsidRPr="00E27B71">
          <w:rPr>
            <w:rStyle w:val="a6"/>
          </w:rPr>
          <w:t>Медико-социальное значение сезонных аллергических ринитов</w:t>
        </w:r>
        <w:r w:rsidR="00E27B71" w:rsidRPr="00E27B71">
          <w:rPr>
            <w:webHidden/>
          </w:rPr>
          <w:tab/>
        </w:r>
        <w:r w:rsidR="00E27B71" w:rsidRPr="00E27B71">
          <w:rPr>
            <w:webHidden/>
          </w:rPr>
          <w:fldChar w:fldCharType="begin"/>
        </w:r>
        <w:r w:rsidR="00E27B71" w:rsidRPr="00E27B71">
          <w:rPr>
            <w:webHidden/>
          </w:rPr>
          <w:instrText xml:space="preserve"> PAGEREF _Toc137904330 \h </w:instrText>
        </w:r>
        <w:r w:rsidR="00E27B71" w:rsidRPr="00E27B71">
          <w:rPr>
            <w:webHidden/>
          </w:rPr>
        </w:r>
        <w:r w:rsidR="00E27B71" w:rsidRPr="00E27B71">
          <w:rPr>
            <w:webHidden/>
          </w:rPr>
          <w:fldChar w:fldCharType="separate"/>
        </w:r>
        <w:r w:rsidR="00C72046">
          <w:rPr>
            <w:webHidden/>
          </w:rPr>
          <w:t>14</w:t>
        </w:r>
        <w:r w:rsidR="00E27B71" w:rsidRPr="00E27B71">
          <w:rPr>
            <w:webHidden/>
          </w:rPr>
          <w:fldChar w:fldCharType="end"/>
        </w:r>
      </w:hyperlink>
    </w:p>
    <w:p w14:paraId="40693D6E" w14:textId="5DDC4CD1" w:rsidR="00E27B71" w:rsidRPr="00E27B71" w:rsidRDefault="00F34529" w:rsidP="00E27B71">
      <w:pPr>
        <w:pStyle w:val="11"/>
        <w:rPr>
          <w:rFonts w:eastAsiaTheme="minorEastAsia"/>
          <w:lang w:eastAsia="ru-RU"/>
        </w:rPr>
      </w:pPr>
      <w:hyperlink w:anchor="_Toc137904331" w:history="1">
        <w:r w:rsidR="00E27B71" w:rsidRPr="00E27B71">
          <w:rPr>
            <w:rStyle w:val="a6"/>
          </w:rPr>
          <w:t>1.2</w:t>
        </w:r>
        <w:r w:rsidR="00E27B71" w:rsidRPr="00E27B71">
          <w:rPr>
            <w:rFonts w:eastAsiaTheme="minorEastAsia"/>
            <w:lang w:eastAsia="ru-RU"/>
          </w:rPr>
          <w:tab/>
        </w:r>
        <w:r w:rsidR="00E27B71" w:rsidRPr="00E27B71">
          <w:rPr>
            <w:rStyle w:val="a6"/>
          </w:rPr>
          <w:t>Современные представления о механизме аллерген-специфической иммунотерапии</w:t>
        </w:r>
        <w:r w:rsidR="00E27B71" w:rsidRPr="00E27B71">
          <w:rPr>
            <w:webHidden/>
          </w:rPr>
          <w:tab/>
        </w:r>
        <w:r w:rsidR="00E27B71" w:rsidRPr="00E27B71">
          <w:rPr>
            <w:webHidden/>
          </w:rPr>
          <w:fldChar w:fldCharType="begin"/>
        </w:r>
        <w:r w:rsidR="00E27B71" w:rsidRPr="00E27B71">
          <w:rPr>
            <w:webHidden/>
          </w:rPr>
          <w:instrText xml:space="preserve"> PAGEREF _Toc137904331 \h </w:instrText>
        </w:r>
        <w:r w:rsidR="00E27B71" w:rsidRPr="00E27B71">
          <w:rPr>
            <w:webHidden/>
          </w:rPr>
        </w:r>
        <w:r w:rsidR="00E27B71" w:rsidRPr="00E27B71">
          <w:rPr>
            <w:webHidden/>
          </w:rPr>
          <w:fldChar w:fldCharType="separate"/>
        </w:r>
        <w:r w:rsidR="00C72046">
          <w:rPr>
            <w:webHidden/>
          </w:rPr>
          <w:t>15</w:t>
        </w:r>
        <w:r w:rsidR="00E27B71" w:rsidRPr="00E27B71">
          <w:rPr>
            <w:webHidden/>
          </w:rPr>
          <w:fldChar w:fldCharType="end"/>
        </w:r>
      </w:hyperlink>
    </w:p>
    <w:p w14:paraId="20668BB1" w14:textId="177404C9" w:rsidR="00E27B71" w:rsidRPr="00E27B71" w:rsidRDefault="00F34529" w:rsidP="00E27B71">
      <w:pPr>
        <w:pStyle w:val="11"/>
        <w:rPr>
          <w:rFonts w:eastAsiaTheme="minorEastAsia"/>
          <w:lang w:eastAsia="ru-RU"/>
        </w:rPr>
      </w:pPr>
      <w:hyperlink w:anchor="_Toc137904332" w:history="1">
        <w:r w:rsidR="00E27B71" w:rsidRPr="00E27B71">
          <w:rPr>
            <w:rStyle w:val="a6"/>
          </w:rPr>
          <w:t>1.3</w:t>
        </w:r>
        <w:r w:rsidR="00E27B71" w:rsidRPr="00E27B71">
          <w:rPr>
            <w:rFonts w:eastAsiaTheme="minorEastAsia"/>
            <w:lang w:eastAsia="ru-RU"/>
          </w:rPr>
          <w:tab/>
        </w:r>
        <w:r w:rsidR="00E27B71" w:rsidRPr="00E27B71">
          <w:rPr>
            <w:rStyle w:val="a6"/>
          </w:rPr>
          <w:t>Роль витамина Д в аллерген-специфической иммунотерапии</w:t>
        </w:r>
        <w:r w:rsidR="00E27B71" w:rsidRPr="00E27B71">
          <w:rPr>
            <w:webHidden/>
          </w:rPr>
          <w:tab/>
        </w:r>
        <w:r w:rsidR="00E27B71" w:rsidRPr="00E27B71">
          <w:rPr>
            <w:webHidden/>
          </w:rPr>
          <w:fldChar w:fldCharType="begin"/>
        </w:r>
        <w:r w:rsidR="00E27B71" w:rsidRPr="00E27B71">
          <w:rPr>
            <w:webHidden/>
          </w:rPr>
          <w:instrText xml:space="preserve"> PAGEREF _Toc137904332 \h </w:instrText>
        </w:r>
        <w:r w:rsidR="00E27B71" w:rsidRPr="00E27B71">
          <w:rPr>
            <w:webHidden/>
          </w:rPr>
        </w:r>
        <w:r w:rsidR="00E27B71" w:rsidRPr="00E27B71">
          <w:rPr>
            <w:webHidden/>
          </w:rPr>
          <w:fldChar w:fldCharType="separate"/>
        </w:r>
        <w:r w:rsidR="00C72046">
          <w:rPr>
            <w:webHidden/>
          </w:rPr>
          <w:t>19</w:t>
        </w:r>
        <w:r w:rsidR="00E27B71" w:rsidRPr="00E27B71">
          <w:rPr>
            <w:webHidden/>
          </w:rPr>
          <w:fldChar w:fldCharType="end"/>
        </w:r>
      </w:hyperlink>
    </w:p>
    <w:p w14:paraId="1909B9E7" w14:textId="6332B8CE" w:rsidR="00E27B71" w:rsidRPr="00E27B71" w:rsidRDefault="00F34529" w:rsidP="00E27B71">
      <w:pPr>
        <w:pStyle w:val="11"/>
        <w:rPr>
          <w:rFonts w:eastAsiaTheme="minorEastAsia"/>
          <w:lang w:eastAsia="ru-RU"/>
        </w:rPr>
      </w:pPr>
      <w:hyperlink w:anchor="_Toc137904333" w:history="1">
        <w:r w:rsidR="00E27B71" w:rsidRPr="00E27B71">
          <w:rPr>
            <w:rStyle w:val="a6"/>
          </w:rPr>
          <w:t>1.4</w:t>
        </w:r>
        <w:r w:rsidR="00E27B71" w:rsidRPr="00E27B71">
          <w:rPr>
            <w:rFonts w:eastAsiaTheme="minorEastAsia"/>
            <w:lang w:eastAsia="ru-RU"/>
          </w:rPr>
          <w:tab/>
        </w:r>
        <w:r w:rsidR="00E27B71" w:rsidRPr="00E27B71">
          <w:rPr>
            <w:rStyle w:val="a6"/>
          </w:rPr>
          <w:t>Инструмент мониторинга клинической эффективности аллерген-специфической иммунотерапии</w:t>
        </w:r>
        <w:r w:rsidR="00E27B71" w:rsidRPr="00E27B71">
          <w:rPr>
            <w:webHidden/>
          </w:rPr>
          <w:tab/>
        </w:r>
        <w:r w:rsidR="00E27B71" w:rsidRPr="00E27B71">
          <w:rPr>
            <w:webHidden/>
          </w:rPr>
          <w:fldChar w:fldCharType="begin"/>
        </w:r>
        <w:r w:rsidR="00E27B71" w:rsidRPr="00E27B71">
          <w:rPr>
            <w:webHidden/>
          </w:rPr>
          <w:instrText xml:space="preserve"> PAGEREF _Toc137904333 \h </w:instrText>
        </w:r>
        <w:r w:rsidR="00E27B71" w:rsidRPr="00E27B71">
          <w:rPr>
            <w:webHidden/>
          </w:rPr>
        </w:r>
        <w:r w:rsidR="00E27B71" w:rsidRPr="00E27B71">
          <w:rPr>
            <w:webHidden/>
          </w:rPr>
          <w:fldChar w:fldCharType="separate"/>
        </w:r>
        <w:r w:rsidR="00C72046">
          <w:rPr>
            <w:webHidden/>
          </w:rPr>
          <w:t>20</w:t>
        </w:r>
        <w:r w:rsidR="00E27B71" w:rsidRPr="00E27B71">
          <w:rPr>
            <w:webHidden/>
          </w:rPr>
          <w:fldChar w:fldCharType="end"/>
        </w:r>
      </w:hyperlink>
    </w:p>
    <w:p w14:paraId="252D9A07" w14:textId="170B2B9B" w:rsidR="00E27B71" w:rsidRPr="00E27B71" w:rsidRDefault="00F34529" w:rsidP="00E27B71">
      <w:pPr>
        <w:pStyle w:val="11"/>
        <w:rPr>
          <w:rFonts w:eastAsiaTheme="minorEastAsia"/>
          <w:lang w:eastAsia="ru-RU"/>
        </w:rPr>
      </w:pPr>
      <w:hyperlink w:anchor="_Toc137904334" w:history="1">
        <w:r w:rsidR="00E27B71" w:rsidRPr="00E27B71">
          <w:rPr>
            <w:rStyle w:val="a6"/>
          </w:rPr>
          <w:t>1.5</w:t>
        </w:r>
        <w:r w:rsidR="00E27B71" w:rsidRPr="00E27B71">
          <w:rPr>
            <w:rFonts w:eastAsiaTheme="minorEastAsia"/>
            <w:lang w:eastAsia="ru-RU"/>
          </w:rPr>
          <w:tab/>
        </w:r>
        <w:r w:rsidR="00E27B71" w:rsidRPr="00E27B71">
          <w:rPr>
            <w:rStyle w:val="a6"/>
          </w:rPr>
          <w:t>Биомаркеры эффективности аллерген-специфической иммунотерапии</w:t>
        </w:r>
        <w:r w:rsidR="00E27B71" w:rsidRPr="00E27B71">
          <w:rPr>
            <w:webHidden/>
          </w:rPr>
          <w:tab/>
        </w:r>
        <w:r w:rsidR="00E27B71" w:rsidRPr="00E27B71">
          <w:rPr>
            <w:webHidden/>
          </w:rPr>
          <w:fldChar w:fldCharType="begin"/>
        </w:r>
        <w:r w:rsidR="00E27B71" w:rsidRPr="00E27B71">
          <w:rPr>
            <w:webHidden/>
          </w:rPr>
          <w:instrText xml:space="preserve"> PAGEREF _Toc137904334 \h </w:instrText>
        </w:r>
        <w:r w:rsidR="00E27B71" w:rsidRPr="00E27B71">
          <w:rPr>
            <w:webHidden/>
          </w:rPr>
        </w:r>
        <w:r w:rsidR="00E27B71" w:rsidRPr="00E27B71">
          <w:rPr>
            <w:webHidden/>
          </w:rPr>
          <w:fldChar w:fldCharType="separate"/>
        </w:r>
        <w:r w:rsidR="00C72046">
          <w:rPr>
            <w:webHidden/>
          </w:rPr>
          <w:t>21</w:t>
        </w:r>
        <w:r w:rsidR="00E27B71" w:rsidRPr="00E27B71">
          <w:rPr>
            <w:webHidden/>
          </w:rPr>
          <w:fldChar w:fldCharType="end"/>
        </w:r>
      </w:hyperlink>
    </w:p>
    <w:p w14:paraId="617AC07A" w14:textId="37D2CDBA" w:rsidR="00E27B71" w:rsidRPr="00E27B71" w:rsidRDefault="00F34529" w:rsidP="00E27B71">
      <w:pPr>
        <w:pStyle w:val="31"/>
        <w:spacing w:after="0" w:line="240" w:lineRule="auto"/>
        <w:rPr>
          <w:rFonts w:ascii="Times New Roman" w:eastAsiaTheme="minorEastAsia" w:hAnsi="Times New Roman" w:cs="Times New Roman"/>
          <w:noProof/>
          <w:sz w:val="28"/>
          <w:szCs w:val="28"/>
          <w:lang w:eastAsia="ru-RU"/>
        </w:rPr>
      </w:pPr>
      <w:hyperlink w:anchor="_Toc137904335" w:history="1">
        <w:r w:rsidR="00E27B71" w:rsidRPr="00E27B71">
          <w:rPr>
            <w:rStyle w:val="a6"/>
            <w:rFonts w:ascii="Times New Roman" w:hAnsi="Times New Roman" w:cs="Times New Roman"/>
            <w:noProof/>
            <w:sz w:val="28"/>
            <w:szCs w:val="28"/>
          </w:rPr>
          <w:t>1.5.1</w:t>
        </w:r>
        <w:r w:rsidR="00802B43">
          <w:rPr>
            <w:rStyle w:val="a6"/>
            <w:rFonts w:ascii="Times New Roman" w:hAnsi="Times New Roman" w:cs="Times New Roman"/>
            <w:noProof/>
            <w:sz w:val="28"/>
            <w:szCs w:val="28"/>
            <w:lang w:val="en-US"/>
          </w:rPr>
          <w:t xml:space="preserve"> </w:t>
        </w:r>
        <w:r w:rsidR="00E27B71" w:rsidRPr="00E27B71">
          <w:rPr>
            <w:rStyle w:val="a6"/>
            <w:rFonts w:ascii="Times New Roman" w:hAnsi="Times New Roman" w:cs="Times New Roman"/>
            <w:noProof/>
            <w:sz w:val="28"/>
            <w:szCs w:val="28"/>
          </w:rPr>
          <w:t>Общий иммуноглобулин Е</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_Toc137904335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22</w:t>
        </w:r>
        <w:r w:rsidR="00E27B71" w:rsidRPr="00E27B71">
          <w:rPr>
            <w:rFonts w:ascii="Times New Roman" w:hAnsi="Times New Roman" w:cs="Times New Roman"/>
            <w:noProof/>
            <w:webHidden/>
            <w:sz w:val="28"/>
            <w:szCs w:val="28"/>
          </w:rPr>
          <w:fldChar w:fldCharType="end"/>
        </w:r>
      </w:hyperlink>
    </w:p>
    <w:p w14:paraId="3D370287" w14:textId="6C5981E7" w:rsidR="00E27B71" w:rsidRPr="00E27B71" w:rsidRDefault="00F34529" w:rsidP="00E27B71">
      <w:pPr>
        <w:pStyle w:val="31"/>
        <w:spacing w:after="0" w:line="240" w:lineRule="auto"/>
        <w:rPr>
          <w:rFonts w:ascii="Times New Roman" w:eastAsiaTheme="minorEastAsia" w:hAnsi="Times New Roman" w:cs="Times New Roman"/>
          <w:noProof/>
          <w:sz w:val="28"/>
          <w:szCs w:val="28"/>
          <w:lang w:eastAsia="ru-RU"/>
        </w:rPr>
      </w:pPr>
      <w:hyperlink w:anchor="_Toc137904336" w:history="1">
        <w:r w:rsidR="00E27B71" w:rsidRPr="00E27B71">
          <w:rPr>
            <w:rStyle w:val="a6"/>
            <w:rFonts w:ascii="Times New Roman" w:hAnsi="Times New Roman" w:cs="Times New Roman"/>
            <w:noProof/>
            <w:sz w:val="28"/>
            <w:szCs w:val="28"/>
          </w:rPr>
          <w:t>1.5.2</w:t>
        </w:r>
        <w:r w:rsidR="00E27B71" w:rsidRPr="00E27B71">
          <w:rPr>
            <w:rFonts w:ascii="Times New Roman" w:eastAsiaTheme="minorEastAsia" w:hAnsi="Times New Roman" w:cs="Times New Roman"/>
            <w:noProof/>
            <w:sz w:val="28"/>
            <w:szCs w:val="28"/>
            <w:lang w:eastAsia="ru-RU"/>
          </w:rPr>
          <w:tab/>
        </w:r>
        <w:r w:rsidR="00802B43">
          <w:rPr>
            <w:rFonts w:ascii="Times New Roman" w:eastAsiaTheme="minorEastAsia" w:hAnsi="Times New Roman" w:cs="Times New Roman"/>
            <w:noProof/>
            <w:sz w:val="28"/>
            <w:szCs w:val="28"/>
            <w:lang w:val="en-US" w:eastAsia="ru-RU"/>
          </w:rPr>
          <w:t xml:space="preserve"> </w:t>
        </w:r>
        <w:r w:rsidR="00E27B71" w:rsidRPr="00E27B71">
          <w:rPr>
            <w:rStyle w:val="a6"/>
            <w:rFonts w:ascii="Times New Roman" w:hAnsi="Times New Roman" w:cs="Times New Roman"/>
            <w:noProof/>
            <w:sz w:val="28"/>
            <w:szCs w:val="28"/>
          </w:rPr>
          <w:t>Эозинофильный катионный белок</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_Toc137904336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23</w:t>
        </w:r>
        <w:r w:rsidR="00E27B71" w:rsidRPr="00E27B71">
          <w:rPr>
            <w:rFonts w:ascii="Times New Roman" w:hAnsi="Times New Roman" w:cs="Times New Roman"/>
            <w:noProof/>
            <w:webHidden/>
            <w:sz w:val="28"/>
            <w:szCs w:val="28"/>
          </w:rPr>
          <w:fldChar w:fldCharType="end"/>
        </w:r>
      </w:hyperlink>
    </w:p>
    <w:p w14:paraId="0268D8B4" w14:textId="6EB1CFE8" w:rsidR="00E27B71" w:rsidRPr="00E27B71" w:rsidRDefault="00F34529" w:rsidP="00E27B71">
      <w:pPr>
        <w:pStyle w:val="31"/>
        <w:spacing w:after="0" w:line="240" w:lineRule="auto"/>
        <w:rPr>
          <w:rFonts w:ascii="Times New Roman" w:eastAsiaTheme="minorEastAsia" w:hAnsi="Times New Roman" w:cs="Times New Roman"/>
          <w:noProof/>
          <w:sz w:val="28"/>
          <w:szCs w:val="28"/>
          <w:lang w:eastAsia="ru-RU"/>
        </w:rPr>
      </w:pPr>
      <w:hyperlink w:anchor="_Toc137904337" w:history="1">
        <w:r w:rsidR="00E27B71" w:rsidRPr="00E27B71">
          <w:rPr>
            <w:rStyle w:val="a6"/>
            <w:rFonts w:ascii="Times New Roman" w:hAnsi="Times New Roman" w:cs="Times New Roman"/>
            <w:noProof/>
            <w:sz w:val="28"/>
            <w:szCs w:val="28"/>
          </w:rPr>
          <w:t>1.5.3</w:t>
        </w:r>
        <w:r w:rsidR="00802B43">
          <w:rPr>
            <w:rStyle w:val="a6"/>
            <w:rFonts w:ascii="Times New Roman" w:hAnsi="Times New Roman" w:cs="Times New Roman"/>
            <w:noProof/>
            <w:sz w:val="28"/>
            <w:szCs w:val="28"/>
            <w:lang w:val="en-US"/>
          </w:rPr>
          <w:t xml:space="preserve"> </w:t>
        </w:r>
        <w:r w:rsidR="00E27B71" w:rsidRPr="00E27B71">
          <w:rPr>
            <w:rStyle w:val="a6"/>
            <w:rFonts w:ascii="Times New Roman" w:hAnsi="Times New Roman" w:cs="Times New Roman"/>
            <w:noProof/>
            <w:sz w:val="28"/>
            <w:szCs w:val="28"/>
          </w:rPr>
          <w:t>Молекулярная аллергодиагностика пациентов с сезонным аллергическим ринитом</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_Toc137904337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24</w:t>
        </w:r>
        <w:r w:rsidR="00E27B71" w:rsidRPr="00E27B71">
          <w:rPr>
            <w:rFonts w:ascii="Times New Roman" w:hAnsi="Times New Roman" w:cs="Times New Roman"/>
            <w:noProof/>
            <w:webHidden/>
            <w:sz w:val="28"/>
            <w:szCs w:val="28"/>
          </w:rPr>
          <w:fldChar w:fldCharType="end"/>
        </w:r>
      </w:hyperlink>
    </w:p>
    <w:p w14:paraId="0B4E14D6" w14:textId="32DAC38D" w:rsidR="00E27B71" w:rsidRPr="00E27B71" w:rsidRDefault="00F34529" w:rsidP="00E27B71">
      <w:pPr>
        <w:pStyle w:val="21"/>
        <w:spacing w:after="0" w:line="240" w:lineRule="auto"/>
        <w:rPr>
          <w:rFonts w:ascii="Times New Roman" w:eastAsiaTheme="minorEastAsia" w:hAnsi="Times New Roman" w:cs="Times New Roman"/>
          <w:noProof/>
          <w:sz w:val="28"/>
          <w:szCs w:val="28"/>
          <w:lang w:eastAsia="ru-RU"/>
        </w:rPr>
      </w:pPr>
      <w:hyperlink w:anchor="_Toc137904338" w:history="1">
        <w:r w:rsidR="00E27B71" w:rsidRPr="00E27B71">
          <w:rPr>
            <w:rStyle w:val="a6"/>
            <w:rFonts w:ascii="Times New Roman" w:hAnsi="Times New Roman" w:cs="Times New Roman"/>
            <w:noProof/>
            <w:sz w:val="28"/>
            <w:szCs w:val="28"/>
          </w:rPr>
          <w:t>1.6</w:t>
        </w:r>
        <w:r w:rsidR="00E27B71" w:rsidRPr="00E27B71">
          <w:rPr>
            <w:rFonts w:ascii="Times New Roman" w:eastAsiaTheme="minorEastAsia" w:hAnsi="Times New Roman" w:cs="Times New Roman"/>
            <w:noProof/>
            <w:sz w:val="28"/>
            <w:szCs w:val="28"/>
            <w:lang w:eastAsia="ru-RU"/>
          </w:rPr>
          <w:tab/>
        </w:r>
        <w:r w:rsidR="00E27B71" w:rsidRPr="00E27B71">
          <w:rPr>
            <w:rStyle w:val="a6"/>
            <w:rFonts w:ascii="Times New Roman" w:hAnsi="Times New Roman" w:cs="Times New Roman"/>
            <w:noProof/>
            <w:sz w:val="28"/>
            <w:szCs w:val="28"/>
          </w:rPr>
          <w:t>Предикторы эффективности аллерген-специфической иммунотерапии с позиции молекулярной аллергодиагностики</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_Toc137904338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25</w:t>
        </w:r>
        <w:r w:rsidR="00E27B71" w:rsidRPr="00E27B71">
          <w:rPr>
            <w:rFonts w:ascii="Times New Roman" w:hAnsi="Times New Roman" w:cs="Times New Roman"/>
            <w:noProof/>
            <w:webHidden/>
            <w:sz w:val="28"/>
            <w:szCs w:val="28"/>
          </w:rPr>
          <w:fldChar w:fldCharType="end"/>
        </w:r>
      </w:hyperlink>
    </w:p>
    <w:p w14:paraId="4D8205FF" w14:textId="6CF0B22A" w:rsidR="00E27B71" w:rsidRPr="00E27B71" w:rsidRDefault="00F34529" w:rsidP="00E27B71">
      <w:pPr>
        <w:pStyle w:val="21"/>
        <w:spacing w:after="0" w:line="240" w:lineRule="auto"/>
        <w:rPr>
          <w:rFonts w:ascii="Times New Roman" w:eastAsiaTheme="minorEastAsia" w:hAnsi="Times New Roman" w:cs="Times New Roman"/>
          <w:noProof/>
          <w:sz w:val="28"/>
          <w:szCs w:val="28"/>
          <w:lang w:eastAsia="ru-RU"/>
        </w:rPr>
      </w:pPr>
      <w:hyperlink w:anchor="_Toc137904339" w:history="1">
        <w:r w:rsidR="00E27B71" w:rsidRPr="00E27B71">
          <w:rPr>
            <w:rStyle w:val="a6"/>
            <w:rFonts w:ascii="Times New Roman" w:hAnsi="Times New Roman" w:cs="Times New Roman"/>
            <w:noProof/>
            <w:sz w:val="28"/>
            <w:szCs w:val="28"/>
          </w:rPr>
          <w:t>1.7</w:t>
        </w:r>
        <w:r w:rsidR="00E27B71" w:rsidRPr="00E27B71">
          <w:rPr>
            <w:rFonts w:ascii="Times New Roman" w:eastAsiaTheme="minorEastAsia" w:hAnsi="Times New Roman" w:cs="Times New Roman"/>
            <w:noProof/>
            <w:sz w:val="28"/>
            <w:szCs w:val="28"/>
            <w:lang w:eastAsia="ru-RU"/>
          </w:rPr>
          <w:tab/>
        </w:r>
        <w:r w:rsidR="00E27B71" w:rsidRPr="00E27B71">
          <w:rPr>
            <w:rStyle w:val="a6"/>
            <w:rFonts w:ascii="Times New Roman" w:hAnsi="Times New Roman" w:cs="Times New Roman"/>
            <w:noProof/>
            <w:sz w:val="28"/>
            <w:szCs w:val="28"/>
          </w:rPr>
          <w:t>Безопасность аллерген-специфической иммунотерапии</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_Toc137904339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27</w:t>
        </w:r>
        <w:r w:rsidR="00E27B71" w:rsidRPr="00E27B71">
          <w:rPr>
            <w:rFonts w:ascii="Times New Roman" w:hAnsi="Times New Roman" w:cs="Times New Roman"/>
            <w:noProof/>
            <w:webHidden/>
            <w:sz w:val="28"/>
            <w:szCs w:val="28"/>
          </w:rPr>
          <w:fldChar w:fldCharType="end"/>
        </w:r>
      </w:hyperlink>
    </w:p>
    <w:p w14:paraId="102CF793" w14:textId="57C56BC1" w:rsidR="00E27B71" w:rsidRPr="00E27B71" w:rsidRDefault="00F34529" w:rsidP="00E27B71">
      <w:pPr>
        <w:pStyle w:val="11"/>
        <w:rPr>
          <w:rFonts w:eastAsiaTheme="minorEastAsia"/>
          <w:lang w:eastAsia="ru-RU"/>
        </w:rPr>
      </w:pPr>
      <w:hyperlink w:anchor="_Toc137904340" w:history="1">
        <w:r w:rsidR="00E27B71" w:rsidRPr="00E27B71">
          <w:rPr>
            <w:rStyle w:val="a6"/>
            <w:b/>
          </w:rPr>
          <w:t>2 МАТЕРИАЛЫ И МЕТОДЫ ИССЛЕДОВАНИЯ</w:t>
        </w:r>
        <w:r w:rsidR="00E27B71" w:rsidRPr="00E27B71">
          <w:rPr>
            <w:webHidden/>
          </w:rPr>
          <w:tab/>
        </w:r>
        <w:r w:rsidR="00E27B71" w:rsidRPr="00E27B71">
          <w:rPr>
            <w:webHidden/>
          </w:rPr>
          <w:fldChar w:fldCharType="begin"/>
        </w:r>
        <w:r w:rsidR="00E27B71" w:rsidRPr="00E27B71">
          <w:rPr>
            <w:webHidden/>
          </w:rPr>
          <w:instrText xml:space="preserve"> PAGEREF _Toc137904340 \h </w:instrText>
        </w:r>
        <w:r w:rsidR="00E27B71" w:rsidRPr="00E27B71">
          <w:rPr>
            <w:webHidden/>
          </w:rPr>
        </w:r>
        <w:r w:rsidR="00E27B71" w:rsidRPr="00E27B71">
          <w:rPr>
            <w:webHidden/>
          </w:rPr>
          <w:fldChar w:fldCharType="separate"/>
        </w:r>
        <w:r w:rsidR="00C72046">
          <w:rPr>
            <w:webHidden/>
          </w:rPr>
          <w:t>29</w:t>
        </w:r>
        <w:r w:rsidR="00E27B71" w:rsidRPr="00E27B71">
          <w:rPr>
            <w:webHidden/>
          </w:rPr>
          <w:fldChar w:fldCharType="end"/>
        </w:r>
      </w:hyperlink>
    </w:p>
    <w:p w14:paraId="282274D5" w14:textId="2E5676E3" w:rsidR="00E27B71" w:rsidRPr="00E27B71" w:rsidRDefault="00F34529" w:rsidP="00E27B71">
      <w:pPr>
        <w:pStyle w:val="11"/>
        <w:rPr>
          <w:rFonts w:eastAsiaTheme="minorEastAsia"/>
          <w:lang w:eastAsia="ru-RU"/>
        </w:rPr>
      </w:pPr>
      <w:hyperlink w:anchor="_Toc137904341" w:history="1">
        <w:r w:rsidR="00E27B71" w:rsidRPr="00E27B71">
          <w:rPr>
            <w:rStyle w:val="a6"/>
          </w:rPr>
          <w:t>2.1 Методы исследования</w:t>
        </w:r>
        <w:r w:rsidR="00E27B71" w:rsidRPr="00E27B71">
          <w:rPr>
            <w:webHidden/>
          </w:rPr>
          <w:tab/>
        </w:r>
        <w:r w:rsidR="00E27B71" w:rsidRPr="00E27B71">
          <w:rPr>
            <w:webHidden/>
          </w:rPr>
          <w:fldChar w:fldCharType="begin"/>
        </w:r>
        <w:r w:rsidR="00E27B71" w:rsidRPr="00E27B71">
          <w:rPr>
            <w:webHidden/>
          </w:rPr>
          <w:instrText xml:space="preserve"> PAGEREF _Toc137904341 \h </w:instrText>
        </w:r>
        <w:r w:rsidR="00E27B71" w:rsidRPr="00E27B71">
          <w:rPr>
            <w:webHidden/>
          </w:rPr>
        </w:r>
        <w:r w:rsidR="00E27B71" w:rsidRPr="00E27B71">
          <w:rPr>
            <w:webHidden/>
          </w:rPr>
          <w:fldChar w:fldCharType="separate"/>
        </w:r>
        <w:r w:rsidR="00C72046">
          <w:rPr>
            <w:webHidden/>
          </w:rPr>
          <w:t>29</w:t>
        </w:r>
        <w:r w:rsidR="00E27B71" w:rsidRPr="00E27B71">
          <w:rPr>
            <w:webHidden/>
          </w:rPr>
          <w:fldChar w:fldCharType="end"/>
        </w:r>
      </w:hyperlink>
    </w:p>
    <w:p w14:paraId="4CE8CC38" w14:textId="306A35A4" w:rsidR="00E27B71" w:rsidRPr="00E27B71" w:rsidRDefault="00F34529" w:rsidP="00E27B71">
      <w:pPr>
        <w:pStyle w:val="21"/>
        <w:spacing w:after="0" w:line="240" w:lineRule="auto"/>
        <w:rPr>
          <w:rFonts w:ascii="Times New Roman" w:eastAsiaTheme="minorEastAsia" w:hAnsi="Times New Roman" w:cs="Times New Roman"/>
          <w:noProof/>
          <w:sz w:val="28"/>
          <w:szCs w:val="28"/>
          <w:lang w:eastAsia="ru-RU"/>
        </w:rPr>
      </w:pPr>
      <w:hyperlink w:anchor="_Toc137904342" w:history="1">
        <w:r w:rsidR="00E27B71" w:rsidRPr="00E27B71">
          <w:rPr>
            <w:rStyle w:val="a6"/>
            <w:rFonts w:ascii="Times New Roman" w:hAnsi="Times New Roman" w:cs="Times New Roman"/>
            <w:noProof/>
            <w:sz w:val="28"/>
            <w:szCs w:val="28"/>
          </w:rPr>
          <w:t>2.1.1 Общая структура исследования</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_Toc137904342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29</w:t>
        </w:r>
        <w:r w:rsidR="00E27B71" w:rsidRPr="00E27B71">
          <w:rPr>
            <w:rFonts w:ascii="Times New Roman" w:hAnsi="Times New Roman" w:cs="Times New Roman"/>
            <w:noProof/>
            <w:webHidden/>
            <w:sz w:val="28"/>
            <w:szCs w:val="28"/>
          </w:rPr>
          <w:fldChar w:fldCharType="end"/>
        </w:r>
      </w:hyperlink>
    </w:p>
    <w:p w14:paraId="19EF6D11" w14:textId="79885D28" w:rsidR="00E27B71" w:rsidRPr="00E27B71" w:rsidRDefault="00F34529" w:rsidP="00E27B71">
      <w:pPr>
        <w:pStyle w:val="21"/>
        <w:spacing w:after="0" w:line="240" w:lineRule="auto"/>
        <w:rPr>
          <w:rFonts w:ascii="Times New Roman" w:eastAsiaTheme="minorEastAsia" w:hAnsi="Times New Roman" w:cs="Times New Roman"/>
          <w:noProof/>
          <w:sz w:val="28"/>
          <w:szCs w:val="28"/>
          <w:lang w:eastAsia="ru-RU"/>
        </w:rPr>
      </w:pPr>
      <w:hyperlink w:anchor="_Toc137904343" w:history="1">
        <w:r w:rsidR="00E27B71" w:rsidRPr="00E27B71">
          <w:rPr>
            <w:rStyle w:val="a6"/>
            <w:rFonts w:ascii="Times New Roman" w:eastAsiaTheme="majorEastAsia" w:hAnsi="Times New Roman" w:cs="Times New Roman"/>
            <w:noProof/>
            <w:sz w:val="28"/>
            <w:szCs w:val="28"/>
          </w:rPr>
          <w:t>2.1.2 Проведение систематического обзора</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_Toc137904343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30</w:t>
        </w:r>
        <w:r w:rsidR="00E27B71" w:rsidRPr="00E27B71">
          <w:rPr>
            <w:rFonts w:ascii="Times New Roman" w:hAnsi="Times New Roman" w:cs="Times New Roman"/>
            <w:noProof/>
            <w:webHidden/>
            <w:sz w:val="28"/>
            <w:szCs w:val="28"/>
          </w:rPr>
          <w:fldChar w:fldCharType="end"/>
        </w:r>
      </w:hyperlink>
    </w:p>
    <w:p w14:paraId="1137EE29" w14:textId="3EC805AE" w:rsidR="00E27B71" w:rsidRPr="00E27B71" w:rsidRDefault="00F34529" w:rsidP="00E27B71">
      <w:pPr>
        <w:pStyle w:val="21"/>
        <w:spacing w:after="0" w:line="240" w:lineRule="auto"/>
        <w:rPr>
          <w:rFonts w:ascii="Times New Roman" w:eastAsiaTheme="minorEastAsia" w:hAnsi="Times New Roman" w:cs="Times New Roman"/>
          <w:noProof/>
          <w:sz w:val="28"/>
          <w:szCs w:val="28"/>
          <w:lang w:eastAsia="ru-RU"/>
        </w:rPr>
      </w:pPr>
      <w:hyperlink w:anchor="_Toc137904344" w:history="1">
        <w:r w:rsidR="00E27B71" w:rsidRPr="00E27B71">
          <w:rPr>
            <w:rStyle w:val="a6"/>
            <w:rFonts w:ascii="Times New Roman" w:eastAsiaTheme="majorEastAsia" w:hAnsi="Times New Roman" w:cs="Times New Roman"/>
            <w:noProof/>
            <w:sz w:val="28"/>
            <w:szCs w:val="28"/>
          </w:rPr>
          <w:t>2.1.3 Оценка клинического состояния</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_Toc137904344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32</w:t>
        </w:r>
        <w:r w:rsidR="00E27B71" w:rsidRPr="00E27B71">
          <w:rPr>
            <w:rFonts w:ascii="Times New Roman" w:hAnsi="Times New Roman" w:cs="Times New Roman"/>
            <w:noProof/>
            <w:webHidden/>
            <w:sz w:val="28"/>
            <w:szCs w:val="28"/>
          </w:rPr>
          <w:fldChar w:fldCharType="end"/>
        </w:r>
      </w:hyperlink>
    </w:p>
    <w:p w14:paraId="29B84B3A" w14:textId="734B714D" w:rsidR="00E27B71" w:rsidRPr="00E27B71" w:rsidRDefault="00F34529" w:rsidP="00E27B71">
      <w:pPr>
        <w:pStyle w:val="31"/>
        <w:spacing w:after="0" w:line="240" w:lineRule="auto"/>
        <w:rPr>
          <w:rFonts w:ascii="Times New Roman" w:eastAsiaTheme="minorEastAsia" w:hAnsi="Times New Roman" w:cs="Times New Roman"/>
          <w:noProof/>
          <w:sz w:val="28"/>
          <w:szCs w:val="28"/>
          <w:lang w:eastAsia="ru-RU"/>
        </w:rPr>
      </w:pPr>
      <w:hyperlink w:anchor="_Toc137904345" w:history="1">
        <w:r w:rsidR="00E27B71" w:rsidRPr="00E27B71">
          <w:rPr>
            <w:rStyle w:val="a6"/>
            <w:rFonts w:ascii="Times New Roman" w:eastAsia="Calibri" w:hAnsi="Times New Roman" w:cs="Times New Roman"/>
            <w:noProof/>
            <w:sz w:val="28"/>
            <w:szCs w:val="28"/>
          </w:rPr>
          <w:t>Оценка клинических симптомов</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_Toc137904345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32</w:t>
        </w:r>
        <w:r w:rsidR="00E27B71" w:rsidRPr="00E27B71">
          <w:rPr>
            <w:rFonts w:ascii="Times New Roman" w:hAnsi="Times New Roman" w:cs="Times New Roman"/>
            <w:noProof/>
            <w:webHidden/>
            <w:sz w:val="28"/>
            <w:szCs w:val="28"/>
          </w:rPr>
          <w:fldChar w:fldCharType="end"/>
        </w:r>
      </w:hyperlink>
    </w:p>
    <w:p w14:paraId="1E2AA99E" w14:textId="1FFCE145" w:rsidR="00E27B71" w:rsidRPr="00E27B71" w:rsidRDefault="00F34529" w:rsidP="00E27B71">
      <w:pPr>
        <w:pStyle w:val="31"/>
        <w:spacing w:after="0" w:line="240" w:lineRule="auto"/>
        <w:rPr>
          <w:rFonts w:ascii="Times New Roman" w:eastAsiaTheme="minorEastAsia" w:hAnsi="Times New Roman" w:cs="Times New Roman"/>
          <w:noProof/>
          <w:sz w:val="28"/>
          <w:szCs w:val="28"/>
          <w:lang w:eastAsia="ru-RU"/>
        </w:rPr>
      </w:pPr>
      <w:hyperlink w:anchor="_Toc137904346" w:history="1">
        <w:r w:rsidR="00E27B71" w:rsidRPr="00E27B71">
          <w:rPr>
            <w:rStyle w:val="a6"/>
            <w:rFonts w:ascii="Times New Roman" w:eastAsia="Calibri" w:hAnsi="Times New Roman" w:cs="Times New Roman"/>
            <w:noProof/>
            <w:sz w:val="28"/>
            <w:szCs w:val="28"/>
          </w:rPr>
          <w:t>Оценка качества жизни, связанного с заболеванием</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_Toc137904346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33</w:t>
        </w:r>
        <w:r w:rsidR="00E27B71" w:rsidRPr="00E27B71">
          <w:rPr>
            <w:rFonts w:ascii="Times New Roman" w:hAnsi="Times New Roman" w:cs="Times New Roman"/>
            <w:noProof/>
            <w:webHidden/>
            <w:sz w:val="28"/>
            <w:szCs w:val="28"/>
          </w:rPr>
          <w:fldChar w:fldCharType="end"/>
        </w:r>
      </w:hyperlink>
    </w:p>
    <w:p w14:paraId="65B9D90E" w14:textId="0CAE90C9" w:rsidR="00E27B71" w:rsidRPr="00E27B71" w:rsidRDefault="00F34529" w:rsidP="00E27B71">
      <w:pPr>
        <w:pStyle w:val="21"/>
        <w:spacing w:after="0" w:line="240" w:lineRule="auto"/>
        <w:rPr>
          <w:rFonts w:ascii="Times New Roman" w:eastAsiaTheme="minorEastAsia" w:hAnsi="Times New Roman" w:cs="Times New Roman"/>
          <w:noProof/>
          <w:sz w:val="28"/>
          <w:szCs w:val="28"/>
          <w:lang w:eastAsia="ru-RU"/>
        </w:rPr>
      </w:pPr>
      <w:hyperlink w:anchor="_Toc137904347" w:history="1">
        <w:r w:rsidR="00E27B71" w:rsidRPr="00E27B71">
          <w:rPr>
            <w:rStyle w:val="a6"/>
            <w:rFonts w:ascii="Times New Roman" w:eastAsia="Calibri" w:hAnsi="Times New Roman" w:cs="Times New Roman"/>
            <w:noProof/>
            <w:sz w:val="28"/>
            <w:szCs w:val="28"/>
          </w:rPr>
          <w:t xml:space="preserve">2.1.4 </w:t>
        </w:r>
        <w:r w:rsidR="00E27B71" w:rsidRPr="00E27B71">
          <w:rPr>
            <w:rStyle w:val="a6"/>
            <w:rFonts w:ascii="Times New Roman" w:eastAsiaTheme="majorEastAsia" w:hAnsi="Times New Roman" w:cs="Times New Roman"/>
            <w:noProof/>
            <w:sz w:val="28"/>
            <w:szCs w:val="28"/>
          </w:rPr>
          <w:t>Лабораторное обследование (биомаркеры эффективности аллерген-специфической иммунотерапии)</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_Toc137904347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34</w:t>
        </w:r>
        <w:r w:rsidR="00E27B71" w:rsidRPr="00E27B71">
          <w:rPr>
            <w:rFonts w:ascii="Times New Roman" w:hAnsi="Times New Roman" w:cs="Times New Roman"/>
            <w:noProof/>
            <w:webHidden/>
            <w:sz w:val="28"/>
            <w:szCs w:val="28"/>
          </w:rPr>
          <w:fldChar w:fldCharType="end"/>
        </w:r>
      </w:hyperlink>
    </w:p>
    <w:p w14:paraId="25C8D2F1" w14:textId="184DA9ED" w:rsidR="00E27B71" w:rsidRPr="00E27B71" w:rsidRDefault="00F34529" w:rsidP="00E27B71">
      <w:pPr>
        <w:pStyle w:val="21"/>
        <w:spacing w:after="0" w:line="240" w:lineRule="auto"/>
        <w:rPr>
          <w:rFonts w:ascii="Times New Roman" w:eastAsiaTheme="minorEastAsia" w:hAnsi="Times New Roman" w:cs="Times New Roman"/>
          <w:noProof/>
          <w:sz w:val="28"/>
          <w:szCs w:val="28"/>
          <w:lang w:eastAsia="ru-RU"/>
        </w:rPr>
      </w:pPr>
      <w:hyperlink w:anchor="_Toc137904348" w:history="1">
        <w:r w:rsidR="00E27B71" w:rsidRPr="00E27B71">
          <w:rPr>
            <w:rStyle w:val="a6"/>
            <w:rFonts w:ascii="Times New Roman" w:eastAsiaTheme="majorEastAsia" w:hAnsi="Times New Roman" w:cs="Times New Roman"/>
            <w:noProof/>
            <w:sz w:val="28"/>
            <w:szCs w:val="28"/>
          </w:rPr>
          <w:t>2.1.5 Демографическая характеристика и аллергический анамнез пациентов, включенных в исследование</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_Toc137904348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35</w:t>
        </w:r>
        <w:r w:rsidR="00E27B71" w:rsidRPr="00E27B71">
          <w:rPr>
            <w:rFonts w:ascii="Times New Roman" w:hAnsi="Times New Roman" w:cs="Times New Roman"/>
            <w:noProof/>
            <w:webHidden/>
            <w:sz w:val="28"/>
            <w:szCs w:val="28"/>
          </w:rPr>
          <w:fldChar w:fldCharType="end"/>
        </w:r>
      </w:hyperlink>
    </w:p>
    <w:p w14:paraId="24512DC3" w14:textId="279D8D69" w:rsidR="00E27B71" w:rsidRPr="00E27B71" w:rsidRDefault="00F34529" w:rsidP="00E27B71">
      <w:pPr>
        <w:pStyle w:val="21"/>
        <w:spacing w:after="0" w:line="240" w:lineRule="auto"/>
        <w:rPr>
          <w:rFonts w:ascii="Times New Roman" w:eastAsiaTheme="minorEastAsia" w:hAnsi="Times New Roman" w:cs="Times New Roman"/>
          <w:noProof/>
          <w:sz w:val="28"/>
          <w:szCs w:val="28"/>
          <w:lang w:eastAsia="ru-RU"/>
        </w:rPr>
      </w:pPr>
      <w:hyperlink w:anchor="_Toc137904349" w:history="1">
        <w:r w:rsidR="00E27B71" w:rsidRPr="00E27B71">
          <w:rPr>
            <w:rStyle w:val="a6"/>
            <w:rFonts w:ascii="Times New Roman" w:eastAsiaTheme="majorEastAsia" w:hAnsi="Times New Roman" w:cs="Times New Roman"/>
            <w:noProof/>
            <w:sz w:val="28"/>
            <w:szCs w:val="28"/>
          </w:rPr>
          <w:t>2.1.6 Рандомизированное клиническое испытание</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_Toc137904349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36</w:t>
        </w:r>
        <w:r w:rsidR="00E27B71" w:rsidRPr="00E27B71">
          <w:rPr>
            <w:rFonts w:ascii="Times New Roman" w:hAnsi="Times New Roman" w:cs="Times New Roman"/>
            <w:noProof/>
            <w:webHidden/>
            <w:sz w:val="28"/>
            <w:szCs w:val="28"/>
          </w:rPr>
          <w:fldChar w:fldCharType="end"/>
        </w:r>
      </w:hyperlink>
    </w:p>
    <w:p w14:paraId="59554CE2" w14:textId="4DA85773" w:rsidR="00E27B71" w:rsidRPr="00E27B71" w:rsidRDefault="00F34529" w:rsidP="00E27B71">
      <w:pPr>
        <w:pStyle w:val="11"/>
        <w:rPr>
          <w:rFonts w:eastAsiaTheme="minorEastAsia"/>
          <w:lang w:eastAsia="ru-RU"/>
        </w:rPr>
      </w:pPr>
      <w:hyperlink w:anchor="_Toc137904350" w:history="1">
        <w:r w:rsidR="00E27B71" w:rsidRPr="00E27B71">
          <w:rPr>
            <w:rStyle w:val="a6"/>
          </w:rPr>
          <w:t>2.2 Характеристика вмешательства</w:t>
        </w:r>
        <w:r w:rsidR="00E27B71" w:rsidRPr="00E27B71">
          <w:rPr>
            <w:webHidden/>
          </w:rPr>
          <w:tab/>
        </w:r>
        <w:r w:rsidR="00E27B71" w:rsidRPr="00E27B71">
          <w:rPr>
            <w:webHidden/>
          </w:rPr>
          <w:fldChar w:fldCharType="begin"/>
        </w:r>
        <w:r w:rsidR="00E27B71" w:rsidRPr="00E27B71">
          <w:rPr>
            <w:webHidden/>
          </w:rPr>
          <w:instrText xml:space="preserve"> PAGEREF _Toc137904350 \h </w:instrText>
        </w:r>
        <w:r w:rsidR="00E27B71" w:rsidRPr="00E27B71">
          <w:rPr>
            <w:webHidden/>
          </w:rPr>
        </w:r>
        <w:r w:rsidR="00E27B71" w:rsidRPr="00E27B71">
          <w:rPr>
            <w:webHidden/>
          </w:rPr>
          <w:fldChar w:fldCharType="separate"/>
        </w:r>
        <w:r w:rsidR="00C72046">
          <w:rPr>
            <w:webHidden/>
          </w:rPr>
          <w:t>42</w:t>
        </w:r>
        <w:r w:rsidR="00E27B71" w:rsidRPr="00E27B71">
          <w:rPr>
            <w:webHidden/>
          </w:rPr>
          <w:fldChar w:fldCharType="end"/>
        </w:r>
      </w:hyperlink>
    </w:p>
    <w:p w14:paraId="38735909" w14:textId="1505012E" w:rsidR="00E27B71" w:rsidRPr="00E27B71" w:rsidRDefault="00F34529" w:rsidP="00E27B71">
      <w:pPr>
        <w:pStyle w:val="21"/>
        <w:spacing w:after="0" w:line="240" w:lineRule="auto"/>
        <w:rPr>
          <w:rFonts w:ascii="Times New Roman" w:eastAsiaTheme="minorEastAsia" w:hAnsi="Times New Roman" w:cs="Times New Roman"/>
          <w:noProof/>
          <w:sz w:val="28"/>
          <w:szCs w:val="28"/>
          <w:lang w:eastAsia="ru-RU"/>
        </w:rPr>
      </w:pPr>
      <w:hyperlink w:anchor="_Toc137904351" w:history="1">
        <w:r w:rsidR="00E27B71" w:rsidRPr="00E27B71">
          <w:rPr>
            <w:rStyle w:val="a6"/>
            <w:rFonts w:ascii="Times New Roman" w:eastAsiaTheme="majorEastAsia" w:hAnsi="Times New Roman" w:cs="Times New Roman"/>
            <w:noProof/>
            <w:sz w:val="28"/>
            <w:szCs w:val="28"/>
          </w:rPr>
          <w:t>2.2.1 Методика проведения аллерген-специфической иммунотерапии</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_Toc137904351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42</w:t>
        </w:r>
        <w:r w:rsidR="00E27B71" w:rsidRPr="00E27B71">
          <w:rPr>
            <w:rFonts w:ascii="Times New Roman" w:hAnsi="Times New Roman" w:cs="Times New Roman"/>
            <w:noProof/>
            <w:webHidden/>
            <w:sz w:val="28"/>
            <w:szCs w:val="28"/>
          </w:rPr>
          <w:fldChar w:fldCharType="end"/>
        </w:r>
      </w:hyperlink>
    </w:p>
    <w:p w14:paraId="3C2B8D6E" w14:textId="4B95424C" w:rsidR="00E27B71" w:rsidRPr="00E27B71" w:rsidRDefault="00F34529" w:rsidP="00E27B71">
      <w:pPr>
        <w:pStyle w:val="21"/>
        <w:spacing w:after="0" w:line="240" w:lineRule="auto"/>
        <w:rPr>
          <w:rFonts w:ascii="Times New Roman" w:eastAsiaTheme="minorEastAsia" w:hAnsi="Times New Roman" w:cs="Times New Roman"/>
          <w:noProof/>
          <w:sz w:val="28"/>
          <w:szCs w:val="28"/>
          <w:lang w:eastAsia="ru-RU"/>
        </w:rPr>
      </w:pPr>
      <w:hyperlink w:anchor="_Toc137904352" w:history="1">
        <w:r w:rsidR="00E27B71" w:rsidRPr="00E27B71">
          <w:rPr>
            <w:rStyle w:val="a6"/>
            <w:rFonts w:ascii="Times New Roman" w:eastAsiaTheme="majorEastAsia" w:hAnsi="Times New Roman" w:cs="Times New Roman"/>
            <w:noProof/>
            <w:sz w:val="28"/>
            <w:szCs w:val="28"/>
          </w:rPr>
          <w:t>2.2.2 Оценка безопасности аллерген-специфической иммунотерапии</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_Toc137904352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43</w:t>
        </w:r>
        <w:r w:rsidR="00E27B71" w:rsidRPr="00E27B71">
          <w:rPr>
            <w:rFonts w:ascii="Times New Roman" w:hAnsi="Times New Roman" w:cs="Times New Roman"/>
            <w:noProof/>
            <w:webHidden/>
            <w:sz w:val="28"/>
            <w:szCs w:val="28"/>
          </w:rPr>
          <w:fldChar w:fldCharType="end"/>
        </w:r>
      </w:hyperlink>
    </w:p>
    <w:p w14:paraId="6DDD82A9" w14:textId="56ADE860" w:rsidR="00E27B71" w:rsidRPr="00E27B71" w:rsidRDefault="00F34529" w:rsidP="00E27B71">
      <w:pPr>
        <w:pStyle w:val="11"/>
        <w:rPr>
          <w:rFonts w:eastAsiaTheme="minorEastAsia"/>
          <w:lang w:eastAsia="ru-RU"/>
        </w:rPr>
      </w:pPr>
      <w:hyperlink w:anchor="_Toc137904353" w:history="1">
        <w:r w:rsidR="00E27B71" w:rsidRPr="00E27B71">
          <w:rPr>
            <w:rStyle w:val="a6"/>
          </w:rPr>
          <w:t>2.3 Соблюдение нормативов медицинской этики</w:t>
        </w:r>
        <w:r w:rsidR="00E27B71" w:rsidRPr="00E27B71">
          <w:rPr>
            <w:webHidden/>
          </w:rPr>
          <w:tab/>
        </w:r>
        <w:r w:rsidR="00E27B71" w:rsidRPr="00E27B71">
          <w:rPr>
            <w:webHidden/>
          </w:rPr>
          <w:fldChar w:fldCharType="begin"/>
        </w:r>
        <w:r w:rsidR="00E27B71" w:rsidRPr="00E27B71">
          <w:rPr>
            <w:webHidden/>
          </w:rPr>
          <w:instrText xml:space="preserve"> PAGEREF _Toc137904353 \h </w:instrText>
        </w:r>
        <w:r w:rsidR="00E27B71" w:rsidRPr="00E27B71">
          <w:rPr>
            <w:webHidden/>
          </w:rPr>
        </w:r>
        <w:r w:rsidR="00E27B71" w:rsidRPr="00E27B71">
          <w:rPr>
            <w:webHidden/>
          </w:rPr>
          <w:fldChar w:fldCharType="separate"/>
        </w:r>
        <w:r w:rsidR="00C72046">
          <w:rPr>
            <w:webHidden/>
          </w:rPr>
          <w:t>44</w:t>
        </w:r>
        <w:r w:rsidR="00E27B71" w:rsidRPr="00E27B71">
          <w:rPr>
            <w:webHidden/>
          </w:rPr>
          <w:fldChar w:fldCharType="end"/>
        </w:r>
      </w:hyperlink>
    </w:p>
    <w:p w14:paraId="65EA7518" w14:textId="0BC7DB23" w:rsidR="00E27B71" w:rsidRPr="00E27B71" w:rsidRDefault="00F34529" w:rsidP="00E27B71">
      <w:pPr>
        <w:pStyle w:val="11"/>
        <w:rPr>
          <w:rFonts w:eastAsiaTheme="minorEastAsia"/>
          <w:lang w:eastAsia="ru-RU"/>
        </w:rPr>
      </w:pPr>
      <w:hyperlink w:anchor="_Toc137904354" w:history="1">
        <w:r w:rsidR="00E27B71" w:rsidRPr="00E27B71">
          <w:rPr>
            <w:rStyle w:val="a6"/>
          </w:rPr>
          <w:t>2.4 Статистические процедуры исследования</w:t>
        </w:r>
        <w:r w:rsidR="00E27B71" w:rsidRPr="00E27B71">
          <w:rPr>
            <w:webHidden/>
          </w:rPr>
          <w:tab/>
        </w:r>
        <w:r w:rsidR="00E27B71" w:rsidRPr="00E27B71">
          <w:rPr>
            <w:webHidden/>
          </w:rPr>
          <w:fldChar w:fldCharType="begin"/>
        </w:r>
        <w:r w:rsidR="00E27B71" w:rsidRPr="00E27B71">
          <w:rPr>
            <w:webHidden/>
          </w:rPr>
          <w:instrText xml:space="preserve"> PAGEREF _Toc137904354 \h </w:instrText>
        </w:r>
        <w:r w:rsidR="00E27B71" w:rsidRPr="00E27B71">
          <w:rPr>
            <w:webHidden/>
          </w:rPr>
        </w:r>
        <w:r w:rsidR="00E27B71" w:rsidRPr="00E27B71">
          <w:rPr>
            <w:webHidden/>
          </w:rPr>
          <w:fldChar w:fldCharType="separate"/>
        </w:r>
        <w:r w:rsidR="00C72046">
          <w:rPr>
            <w:webHidden/>
          </w:rPr>
          <w:t>44</w:t>
        </w:r>
        <w:r w:rsidR="00E27B71" w:rsidRPr="00E27B71">
          <w:rPr>
            <w:webHidden/>
          </w:rPr>
          <w:fldChar w:fldCharType="end"/>
        </w:r>
      </w:hyperlink>
    </w:p>
    <w:p w14:paraId="6E9B028A" w14:textId="4B5B8F44" w:rsidR="00E27B71" w:rsidRPr="00E27B71" w:rsidRDefault="00F34529" w:rsidP="00E27B71">
      <w:pPr>
        <w:pStyle w:val="11"/>
        <w:rPr>
          <w:rFonts w:eastAsiaTheme="minorEastAsia"/>
          <w:lang w:eastAsia="ru-RU"/>
        </w:rPr>
      </w:pPr>
      <w:hyperlink w:anchor="_Toc137904355" w:history="1">
        <w:r w:rsidR="00E27B71" w:rsidRPr="00E27B71">
          <w:rPr>
            <w:rStyle w:val="a6"/>
            <w:b/>
          </w:rPr>
          <w:t>3 РЕЗУЛЬТАТЫ СОБСТВЕННЫХ ИССЛЕДОВАНИЙ</w:t>
        </w:r>
        <w:r w:rsidR="00E27B71" w:rsidRPr="00E27B71">
          <w:rPr>
            <w:webHidden/>
          </w:rPr>
          <w:tab/>
        </w:r>
        <w:r w:rsidR="00E27B71" w:rsidRPr="00E27B71">
          <w:rPr>
            <w:webHidden/>
          </w:rPr>
          <w:fldChar w:fldCharType="begin"/>
        </w:r>
        <w:r w:rsidR="00E27B71" w:rsidRPr="00E27B71">
          <w:rPr>
            <w:webHidden/>
          </w:rPr>
          <w:instrText xml:space="preserve"> PAGEREF _Toc137904355 \h </w:instrText>
        </w:r>
        <w:r w:rsidR="00E27B71" w:rsidRPr="00E27B71">
          <w:rPr>
            <w:webHidden/>
          </w:rPr>
        </w:r>
        <w:r w:rsidR="00E27B71" w:rsidRPr="00E27B71">
          <w:rPr>
            <w:webHidden/>
          </w:rPr>
          <w:fldChar w:fldCharType="separate"/>
        </w:r>
        <w:r w:rsidR="00C72046">
          <w:rPr>
            <w:webHidden/>
          </w:rPr>
          <w:t>46</w:t>
        </w:r>
        <w:r w:rsidR="00E27B71" w:rsidRPr="00E27B71">
          <w:rPr>
            <w:webHidden/>
          </w:rPr>
          <w:fldChar w:fldCharType="end"/>
        </w:r>
      </w:hyperlink>
    </w:p>
    <w:p w14:paraId="4BBD6CC1" w14:textId="5421BBC5" w:rsidR="00E27B71" w:rsidRPr="00E27B71" w:rsidRDefault="00F34529" w:rsidP="00E27B71">
      <w:pPr>
        <w:pStyle w:val="11"/>
        <w:rPr>
          <w:rFonts w:eastAsiaTheme="minorEastAsia"/>
          <w:lang w:eastAsia="ru-RU"/>
        </w:rPr>
      </w:pPr>
      <w:hyperlink w:anchor="_Toc137904356" w:history="1">
        <w:r w:rsidR="00E27B71" w:rsidRPr="00E27B71">
          <w:rPr>
            <w:rStyle w:val="a6"/>
          </w:rPr>
          <w:t>3.1 Систематический обзор исследований, посвященных изучению молекулярной аллергодиагностики при назначении аллерген-специфической иммунотерапии</w:t>
        </w:r>
        <w:r w:rsidR="00E27B71" w:rsidRPr="00E27B71">
          <w:rPr>
            <w:webHidden/>
          </w:rPr>
          <w:tab/>
        </w:r>
        <w:r w:rsidR="00E27B71" w:rsidRPr="00E27B71">
          <w:rPr>
            <w:webHidden/>
          </w:rPr>
          <w:fldChar w:fldCharType="begin"/>
        </w:r>
        <w:r w:rsidR="00E27B71" w:rsidRPr="00E27B71">
          <w:rPr>
            <w:webHidden/>
          </w:rPr>
          <w:instrText xml:space="preserve"> PAGEREF _Toc137904356 \h </w:instrText>
        </w:r>
        <w:r w:rsidR="00E27B71" w:rsidRPr="00E27B71">
          <w:rPr>
            <w:webHidden/>
          </w:rPr>
        </w:r>
        <w:r w:rsidR="00E27B71" w:rsidRPr="00E27B71">
          <w:rPr>
            <w:webHidden/>
          </w:rPr>
          <w:fldChar w:fldCharType="separate"/>
        </w:r>
        <w:r w:rsidR="00C72046">
          <w:rPr>
            <w:webHidden/>
          </w:rPr>
          <w:t>46</w:t>
        </w:r>
        <w:r w:rsidR="00E27B71" w:rsidRPr="00E27B71">
          <w:rPr>
            <w:webHidden/>
          </w:rPr>
          <w:fldChar w:fldCharType="end"/>
        </w:r>
      </w:hyperlink>
    </w:p>
    <w:p w14:paraId="3D02156F" w14:textId="3D6DC5BB" w:rsidR="00E27B71" w:rsidRPr="00E27B71" w:rsidRDefault="00F34529" w:rsidP="00E27B71">
      <w:pPr>
        <w:pStyle w:val="11"/>
        <w:rPr>
          <w:rFonts w:eastAsiaTheme="minorEastAsia"/>
          <w:lang w:eastAsia="ru-RU"/>
        </w:rPr>
      </w:pPr>
      <w:hyperlink w:anchor="_Toc137904357" w:history="1">
        <w:r w:rsidR="00E27B71" w:rsidRPr="00E27B71">
          <w:rPr>
            <w:rStyle w:val="a6"/>
          </w:rPr>
          <w:t>3.2 Сравнительная клинико-лабораторная характеристика группы вмешательства и группы контроля на фоне проведения аллерген-специфической иммунотерапии</w:t>
        </w:r>
        <w:r w:rsidR="00E27B71" w:rsidRPr="00E27B71">
          <w:rPr>
            <w:webHidden/>
          </w:rPr>
          <w:tab/>
        </w:r>
        <w:r w:rsidR="00E27B71" w:rsidRPr="00E27B71">
          <w:rPr>
            <w:webHidden/>
          </w:rPr>
          <w:fldChar w:fldCharType="begin"/>
        </w:r>
        <w:r w:rsidR="00E27B71" w:rsidRPr="00E27B71">
          <w:rPr>
            <w:webHidden/>
          </w:rPr>
          <w:instrText xml:space="preserve"> PAGEREF _Toc137904357 \h </w:instrText>
        </w:r>
        <w:r w:rsidR="00E27B71" w:rsidRPr="00E27B71">
          <w:rPr>
            <w:webHidden/>
          </w:rPr>
        </w:r>
        <w:r w:rsidR="00E27B71" w:rsidRPr="00E27B71">
          <w:rPr>
            <w:webHidden/>
          </w:rPr>
          <w:fldChar w:fldCharType="separate"/>
        </w:r>
        <w:r w:rsidR="00C72046">
          <w:rPr>
            <w:webHidden/>
          </w:rPr>
          <w:t>52</w:t>
        </w:r>
        <w:r w:rsidR="00E27B71" w:rsidRPr="00E27B71">
          <w:rPr>
            <w:webHidden/>
          </w:rPr>
          <w:fldChar w:fldCharType="end"/>
        </w:r>
      </w:hyperlink>
    </w:p>
    <w:p w14:paraId="13FD1DB1" w14:textId="49F4F6A7" w:rsidR="00E27B71" w:rsidRPr="00E27B71" w:rsidRDefault="00F34529" w:rsidP="00E27B71">
      <w:pPr>
        <w:pStyle w:val="21"/>
        <w:spacing w:after="0" w:line="240" w:lineRule="auto"/>
        <w:rPr>
          <w:rFonts w:ascii="Times New Roman" w:eastAsiaTheme="minorEastAsia" w:hAnsi="Times New Roman" w:cs="Times New Roman"/>
          <w:noProof/>
          <w:sz w:val="28"/>
          <w:szCs w:val="28"/>
          <w:lang w:eastAsia="ru-RU"/>
        </w:rPr>
      </w:pPr>
      <w:hyperlink w:anchor="_Toc137904358" w:history="1">
        <w:r w:rsidR="00E27B71" w:rsidRPr="00E27B71">
          <w:rPr>
            <w:rStyle w:val="a6"/>
            <w:rFonts w:ascii="Times New Roman" w:hAnsi="Times New Roman" w:cs="Times New Roman"/>
            <w:noProof/>
            <w:sz w:val="28"/>
            <w:szCs w:val="28"/>
          </w:rPr>
          <w:t xml:space="preserve">3.2.1 Сравнительная </w:t>
        </w:r>
        <w:r w:rsidR="00E27B71" w:rsidRPr="00E27B71">
          <w:rPr>
            <w:rStyle w:val="a6"/>
            <w:rFonts w:ascii="Times New Roman" w:eastAsiaTheme="majorEastAsia" w:hAnsi="Times New Roman" w:cs="Times New Roman"/>
            <w:noProof/>
            <w:sz w:val="28"/>
            <w:szCs w:val="28"/>
          </w:rPr>
          <w:t>характеристика группы вмешательства и группы контроля по клиническим показателям на фоне проведения аллерген-специфической иммунотерапии</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_Toc137904358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52</w:t>
        </w:r>
        <w:r w:rsidR="00E27B71" w:rsidRPr="00E27B71">
          <w:rPr>
            <w:rFonts w:ascii="Times New Roman" w:hAnsi="Times New Roman" w:cs="Times New Roman"/>
            <w:noProof/>
            <w:webHidden/>
            <w:sz w:val="28"/>
            <w:szCs w:val="28"/>
          </w:rPr>
          <w:fldChar w:fldCharType="end"/>
        </w:r>
      </w:hyperlink>
    </w:p>
    <w:p w14:paraId="7068C506" w14:textId="0F013147" w:rsidR="00E27B71" w:rsidRPr="00E27B71" w:rsidRDefault="00F34529" w:rsidP="00E27B71">
      <w:pPr>
        <w:pStyle w:val="21"/>
        <w:spacing w:after="0" w:line="240" w:lineRule="auto"/>
        <w:rPr>
          <w:rFonts w:ascii="Times New Roman" w:eastAsiaTheme="minorEastAsia" w:hAnsi="Times New Roman" w:cs="Times New Roman"/>
          <w:noProof/>
          <w:sz w:val="28"/>
          <w:szCs w:val="28"/>
          <w:lang w:eastAsia="ru-RU"/>
        </w:rPr>
      </w:pPr>
      <w:hyperlink w:anchor="_Toc137904359" w:history="1">
        <w:r w:rsidR="00E27B71" w:rsidRPr="00E27B71">
          <w:rPr>
            <w:rStyle w:val="a6"/>
            <w:rFonts w:ascii="Times New Roman" w:hAnsi="Times New Roman" w:cs="Times New Roman"/>
            <w:noProof/>
            <w:sz w:val="28"/>
            <w:szCs w:val="28"/>
          </w:rPr>
          <w:t xml:space="preserve">3.2.2 Сравнительная </w:t>
        </w:r>
        <w:r w:rsidR="00E27B71" w:rsidRPr="00E27B71">
          <w:rPr>
            <w:rStyle w:val="a6"/>
            <w:rFonts w:ascii="Times New Roman" w:eastAsiaTheme="majorEastAsia" w:hAnsi="Times New Roman" w:cs="Times New Roman"/>
            <w:noProof/>
            <w:sz w:val="28"/>
            <w:szCs w:val="28"/>
          </w:rPr>
          <w:t>характеристика группы вмешательства и группы контроля по качеству жизни на фоне проведения аллерген-специфической иммунотерапии</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_Toc137904359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55</w:t>
        </w:r>
        <w:r w:rsidR="00E27B71" w:rsidRPr="00E27B71">
          <w:rPr>
            <w:rFonts w:ascii="Times New Roman" w:hAnsi="Times New Roman" w:cs="Times New Roman"/>
            <w:noProof/>
            <w:webHidden/>
            <w:sz w:val="28"/>
            <w:szCs w:val="28"/>
          </w:rPr>
          <w:fldChar w:fldCharType="end"/>
        </w:r>
      </w:hyperlink>
    </w:p>
    <w:p w14:paraId="7E5B5A15" w14:textId="21EE78DC" w:rsidR="00E27B71" w:rsidRPr="00E27B71" w:rsidRDefault="00F34529" w:rsidP="00E27B71">
      <w:pPr>
        <w:pStyle w:val="21"/>
        <w:spacing w:after="0" w:line="240" w:lineRule="auto"/>
        <w:rPr>
          <w:rFonts w:ascii="Times New Roman" w:eastAsiaTheme="minorEastAsia" w:hAnsi="Times New Roman" w:cs="Times New Roman"/>
          <w:noProof/>
          <w:sz w:val="28"/>
          <w:szCs w:val="28"/>
          <w:lang w:eastAsia="ru-RU"/>
        </w:rPr>
      </w:pPr>
      <w:hyperlink w:anchor="_Toc137904360" w:history="1">
        <w:r w:rsidR="00E27B71" w:rsidRPr="00E27B71">
          <w:rPr>
            <w:rStyle w:val="a6"/>
            <w:rFonts w:ascii="Times New Roman" w:hAnsi="Times New Roman" w:cs="Times New Roman"/>
            <w:noProof/>
            <w:sz w:val="28"/>
            <w:szCs w:val="28"/>
          </w:rPr>
          <w:t xml:space="preserve">3.2.3 Сравнительная </w:t>
        </w:r>
        <w:r w:rsidR="00E27B71" w:rsidRPr="00E27B71">
          <w:rPr>
            <w:rStyle w:val="a6"/>
            <w:rFonts w:ascii="Times New Roman" w:eastAsiaTheme="majorEastAsia" w:hAnsi="Times New Roman" w:cs="Times New Roman"/>
            <w:noProof/>
            <w:sz w:val="28"/>
            <w:szCs w:val="28"/>
          </w:rPr>
          <w:t xml:space="preserve">характеристика группы вмешательства и группы контроля по лабораторным показателям (общий иммуноглобулин Е, эозинофильный катионный белок, </w:t>
        </w:r>
        <w:r w:rsidR="00E27B71" w:rsidRPr="00E27B71">
          <w:rPr>
            <w:rStyle w:val="a6"/>
            <w:rFonts w:ascii="Times New Roman" w:eastAsiaTheme="majorEastAsia" w:hAnsi="Times New Roman" w:cs="Times New Roman"/>
            <w:noProof/>
            <w:sz w:val="28"/>
            <w:szCs w:val="28"/>
            <w:lang w:val="en-US"/>
          </w:rPr>
          <w:t>ISAC</w:t>
        </w:r>
        <w:r w:rsidR="00E27B71" w:rsidRPr="00E27B71">
          <w:rPr>
            <w:rStyle w:val="a6"/>
            <w:rFonts w:ascii="Times New Roman" w:eastAsiaTheme="majorEastAsia" w:hAnsi="Times New Roman" w:cs="Times New Roman"/>
            <w:noProof/>
            <w:sz w:val="28"/>
            <w:szCs w:val="28"/>
          </w:rPr>
          <w:t xml:space="preserve"> тест) на фоне проведения аллерген-специфической иммунотерапии</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_Toc137904360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58</w:t>
        </w:r>
        <w:r w:rsidR="00E27B71" w:rsidRPr="00E27B71">
          <w:rPr>
            <w:rFonts w:ascii="Times New Roman" w:hAnsi="Times New Roman" w:cs="Times New Roman"/>
            <w:noProof/>
            <w:webHidden/>
            <w:sz w:val="28"/>
            <w:szCs w:val="28"/>
          </w:rPr>
          <w:fldChar w:fldCharType="end"/>
        </w:r>
      </w:hyperlink>
    </w:p>
    <w:p w14:paraId="119BCED8" w14:textId="01503F09" w:rsidR="00E27B71" w:rsidRPr="00E27B71" w:rsidRDefault="00F34529" w:rsidP="00E27B71">
      <w:pPr>
        <w:pStyle w:val="21"/>
        <w:spacing w:after="0" w:line="240" w:lineRule="auto"/>
        <w:rPr>
          <w:rFonts w:ascii="Times New Roman" w:eastAsiaTheme="minorEastAsia" w:hAnsi="Times New Roman" w:cs="Times New Roman"/>
          <w:noProof/>
          <w:sz w:val="28"/>
          <w:szCs w:val="28"/>
          <w:lang w:eastAsia="ru-RU"/>
        </w:rPr>
      </w:pPr>
      <w:hyperlink w:anchor="_Toc137904361" w:history="1">
        <w:r w:rsidR="00E27B71" w:rsidRPr="00E27B71">
          <w:rPr>
            <w:rStyle w:val="a6"/>
            <w:rFonts w:ascii="Times New Roman" w:hAnsi="Times New Roman" w:cs="Times New Roman"/>
            <w:noProof/>
            <w:sz w:val="28"/>
            <w:szCs w:val="28"/>
          </w:rPr>
          <w:t xml:space="preserve">3.2.4 Сравнительная </w:t>
        </w:r>
        <w:r w:rsidR="00E27B71" w:rsidRPr="00E27B71">
          <w:rPr>
            <w:rStyle w:val="a6"/>
            <w:rFonts w:ascii="Times New Roman" w:eastAsiaTheme="majorEastAsia" w:hAnsi="Times New Roman" w:cs="Times New Roman"/>
            <w:noProof/>
            <w:sz w:val="28"/>
            <w:szCs w:val="28"/>
          </w:rPr>
          <w:t>характеристика группы вмешательства и группы контроля по статусу витамина Д на фоне проведения аллерген-специфической иммунотерапии</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_Toc137904361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61</w:t>
        </w:r>
        <w:r w:rsidR="00E27B71" w:rsidRPr="00E27B71">
          <w:rPr>
            <w:rFonts w:ascii="Times New Roman" w:hAnsi="Times New Roman" w:cs="Times New Roman"/>
            <w:noProof/>
            <w:webHidden/>
            <w:sz w:val="28"/>
            <w:szCs w:val="28"/>
          </w:rPr>
          <w:fldChar w:fldCharType="end"/>
        </w:r>
      </w:hyperlink>
    </w:p>
    <w:p w14:paraId="215AE7A6" w14:textId="4BDE0C14" w:rsidR="00E27B71" w:rsidRPr="00E27B71" w:rsidRDefault="00F34529" w:rsidP="00E27B71">
      <w:pPr>
        <w:pStyle w:val="21"/>
        <w:spacing w:after="0" w:line="240" w:lineRule="auto"/>
        <w:rPr>
          <w:rFonts w:ascii="Times New Roman" w:eastAsiaTheme="minorEastAsia" w:hAnsi="Times New Roman" w:cs="Times New Roman"/>
          <w:noProof/>
          <w:sz w:val="28"/>
          <w:szCs w:val="28"/>
          <w:lang w:eastAsia="ru-RU"/>
        </w:rPr>
      </w:pPr>
      <w:hyperlink w:anchor="_Toc137904362" w:history="1">
        <w:r w:rsidR="00E27B71" w:rsidRPr="00E27B71">
          <w:rPr>
            <w:rStyle w:val="a6"/>
            <w:rFonts w:ascii="Times New Roman" w:eastAsiaTheme="majorEastAsia" w:hAnsi="Times New Roman" w:cs="Times New Roman"/>
            <w:noProof/>
            <w:sz w:val="28"/>
            <w:szCs w:val="28"/>
          </w:rPr>
          <w:t>3.2.5 Оценка безопасности (побочных реакций) аллерген-специфической иммунотерапии в классической схеме и в комбинации с витамином Д</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_Toc137904362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63</w:t>
        </w:r>
        <w:r w:rsidR="00E27B71" w:rsidRPr="00E27B71">
          <w:rPr>
            <w:rFonts w:ascii="Times New Roman" w:hAnsi="Times New Roman" w:cs="Times New Roman"/>
            <w:noProof/>
            <w:webHidden/>
            <w:sz w:val="28"/>
            <w:szCs w:val="28"/>
          </w:rPr>
          <w:fldChar w:fldCharType="end"/>
        </w:r>
      </w:hyperlink>
    </w:p>
    <w:p w14:paraId="3775811B" w14:textId="3DF161D8" w:rsidR="00E27B71" w:rsidRPr="00E27B71" w:rsidRDefault="00F34529" w:rsidP="00E27B71">
      <w:pPr>
        <w:pStyle w:val="11"/>
        <w:rPr>
          <w:rFonts w:eastAsiaTheme="minorEastAsia"/>
          <w:lang w:eastAsia="ru-RU"/>
        </w:rPr>
      </w:pPr>
      <w:hyperlink w:anchor="_Toc137904363" w:history="1">
        <w:r w:rsidR="00E27B71" w:rsidRPr="00E27B71">
          <w:rPr>
            <w:rStyle w:val="a6"/>
          </w:rPr>
          <w:t>3.3</w:t>
        </w:r>
        <w:r w:rsidR="00E27B71" w:rsidRPr="00E27B71">
          <w:rPr>
            <w:rFonts w:eastAsiaTheme="minorEastAsia"/>
            <w:lang w:eastAsia="ru-RU"/>
          </w:rPr>
          <w:tab/>
        </w:r>
        <w:r w:rsidR="00E27B71" w:rsidRPr="00E27B71">
          <w:rPr>
            <w:rStyle w:val="a6"/>
          </w:rPr>
          <w:t>Лабораторные маркеры эффективности аллерген-специфической иммунотерапии в комплексе с витамином Д с наибольшей прогностической значимостью</w:t>
        </w:r>
        <w:r w:rsidR="00E27B71" w:rsidRPr="00E27B71">
          <w:rPr>
            <w:webHidden/>
          </w:rPr>
          <w:tab/>
        </w:r>
        <w:r w:rsidR="00E27B71" w:rsidRPr="00E27B71">
          <w:rPr>
            <w:webHidden/>
          </w:rPr>
          <w:fldChar w:fldCharType="begin"/>
        </w:r>
        <w:r w:rsidR="00E27B71" w:rsidRPr="00E27B71">
          <w:rPr>
            <w:webHidden/>
          </w:rPr>
          <w:instrText xml:space="preserve"> PAGEREF _Toc137904363 \h </w:instrText>
        </w:r>
        <w:r w:rsidR="00E27B71" w:rsidRPr="00E27B71">
          <w:rPr>
            <w:webHidden/>
          </w:rPr>
        </w:r>
        <w:r w:rsidR="00E27B71" w:rsidRPr="00E27B71">
          <w:rPr>
            <w:webHidden/>
          </w:rPr>
          <w:fldChar w:fldCharType="separate"/>
        </w:r>
        <w:r w:rsidR="00C72046">
          <w:rPr>
            <w:webHidden/>
          </w:rPr>
          <w:t>64</w:t>
        </w:r>
        <w:r w:rsidR="00E27B71" w:rsidRPr="00E27B71">
          <w:rPr>
            <w:webHidden/>
          </w:rPr>
          <w:fldChar w:fldCharType="end"/>
        </w:r>
      </w:hyperlink>
    </w:p>
    <w:p w14:paraId="31E6AC52" w14:textId="65B637DB" w:rsidR="00E27B71" w:rsidRPr="00E27B71" w:rsidRDefault="00F34529" w:rsidP="00E27B71">
      <w:pPr>
        <w:pStyle w:val="21"/>
        <w:spacing w:after="0" w:line="240" w:lineRule="auto"/>
        <w:rPr>
          <w:rFonts w:ascii="Times New Roman" w:eastAsiaTheme="minorEastAsia" w:hAnsi="Times New Roman" w:cs="Times New Roman"/>
          <w:noProof/>
          <w:sz w:val="28"/>
          <w:szCs w:val="28"/>
          <w:lang w:eastAsia="ru-RU"/>
        </w:rPr>
      </w:pPr>
      <w:hyperlink w:anchor="_Toc137904364" w:history="1">
        <w:r w:rsidR="00E27B71" w:rsidRPr="00E27B71">
          <w:rPr>
            <w:rStyle w:val="a6"/>
            <w:rFonts w:ascii="Times New Roman" w:eastAsiaTheme="majorEastAsia" w:hAnsi="Times New Roman" w:cs="Times New Roman"/>
            <w:noProof/>
            <w:sz w:val="28"/>
            <w:szCs w:val="28"/>
          </w:rPr>
          <w:t>3.3.1 Корреляционный анализ клинических и лабораторных показателей</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_Toc137904364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64</w:t>
        </w:r>
        <w:r w:rsidR="00E27B71" w:rsidRPr="00E27B71">
          <w:rPr>
            <w:rFonts w:ascii="Times New Roman" w:hAnsi="Times New Roman" w:cs="Times New Roman"/>
            <w:noProof/>
            <w:webHidden/>
            <w:sz w:val="28"/>
            <w:szCs w:val="28"/>
          </w:rPr>
          <w:fldChar w:fldCharType="end"/>
        </w:r>
      </w:hyperlink>
    </w:p>
    <w:p w14:paraId="796D9283" w14:textId="2DE3E72D" w:rsidR="00E27B71" w:rsidRPr="00E27B71" w:rsidRDefault="00F34529" w:rsidP="00E27B71">
      <w:pPr>
        <w:pStyle w:val="21"/>
        <w:spacing w:after="0" w:line="240" w:lineRule="auto"/>
        <w:rPr>
          <w:rFonts w:ascii="Times New Roman" w:eastAsiaTheme="minorEastAsia" w:hAnsi="Times New Roman" w:cs="Times New Roman"/>
          <w:noProof/>
          <w:sz w:val="28"/>
          <w:szCs w:val="28"/>
          <w:lang w:eastAsia="ru-RU"/>
        </w:rPr>
      </w:pPr>
      <w:hyperlink w:anchor="_Toc137904365" w:history="1">
        <w:r w:rsidR="00E27B71" w:rsidRPr="00E27B71">
          <w:rPr>
            <w:rStyle w:val="a6"/>
            <w:rFonts w:ascii="Times New Roman" w:eastAsiaTheme="majorEastAsia" w:hAnsi="Times New Roman" w:cs="Times New Roman"/>
            <w:noProof/>
            <w:sz w:val="28"/>
            <w:szCs w:val="28"/>
          </w:rPr>
          <w:t>3.3.2 Множественный логистический регрессионный анализ факторов, влияющих на эффективность терапии</w:t>
        </w:r>
        <w:r w:rsidR="00E27B71" w:rsidRPr="00E27B71">
          <w:rPr>
            <w:rFonts w:ascii="Times New Roman" w:hAnsi="Times New Roman" w:cs="Times New Roman"/>
            <w:noProof/>
            <w:webHidden/>
            <w:sz w:val="28"/>
            <w:szCs w:val="28"/>
          </w:rPr>
          <w:tab/>
        </w:r>
        <w:r w:rsidR="00E27B71" w:rsidRPr="00E27B71">
          <w:rPr>
            <w:rFonts w:ascii="Times New Roman" w:hAnsi="Times New Roman" w:cs="Times New Roman"/>
            <w:noProof/>
            <w:webHidden/>
            <w:sz w:val="28"/>
            <w:szCs w:val="28"/>
          </w:rPr>
          <w:fldChar w:fldCharType="begin"/>
        </w:r>
        <w:r w:rsidR="00E27B71" w:rsidRPr="00E27B71">
          <w:rPr>
            <w:rFonts w:ascii="Times New Roman" w:hAnsi="Times New Roman" w:cs="Times New Roman"/>
            <w:noProof/>
            <w:webHidden/>
            <w:sz w:val="28"/>
            <w:szCs w:val="28"/>
          </w:rPr>
          <w:instrText xml:space="preserve"> PAGEREF _Toc137904365 \h </w:instrText>
        </w:r>
        <w:r w:rsidR="00E27B71" w:rsidRPr="00E27B71">
          <w:rPr>
            <w:rFonts w:ascii="Times New Roman" w:hAnsi="Times New Roman" w:cs="Times New Roman"/>
            <w:noProof/>
            <w:webHidden/>
            <w:sz w:val="28"/>
            <w:szCs w:val="28"/>
          </w:rPr>
        </w:r>
        <w:r w:rsidR="00E27B71" w:rsidRPr="00E27B71">
          <w:rPr>
            <w:rFonts w:ascii="Times New Roman" w:hAnsi="Times New Roman" w:cs="Times New Roman"/>
            <w:noProof/>
            <w:webHidden/>
            <w:sz w:val="28"/>
            <w:szCs w:val="28"/>
          </w:rPr>
          <w:fldChar w:fldCharType="separate"/>
        </w:r>
        <w:r w:rsidR="00C72046">
          <w:rPr>
            <w:rFonts w:ascii="Times New Roman" w:hAnsi="Times New Roman" w:cs="Times New Roman"/>
            <w:noProof/>
            <w:webHidden/>
            <w:sz w:val="28"/>
            <w:szCs w:val="28"/>
          </w:rPr>
          <w:t>69</w:t>
        </w:r>
        <w:r w:rsidR="00E27B71" w:rsidRPr="00E27B71">
          <w:rPr>
            <w:rFonts w:ascii="Times New Roman" w:hAnsi="Times New Roman" w:cs="Times New Roman"/>
            <w:noProof/>
            <w:webHidden/>
            <w:sz w:val="28"/>
            <w:szCs w:val="28"/>
          </w:rPr>
          <w:fldChar w:fldCharType="end"/>
        </w:r>
      </w:hyperlink>
    </w:p>
    <w:p w14:paraId="7B9AABCA" w14:textId="7A82EE06" w:rsidR="00E27B71" w:rsidRPr="00E27B71" w:rsidRDefault="00F34529" w:rsidP="00E27B71">
      <w:pPr>
        <w:pStyle w:val="11"/>
        <w:rPr>
          <w:rFonts w:eastAsiaTheme="minorEastAsia"/>
          <w:lang w:eastAsia="ru-RU"/>
        </w:rPr>
      </w:pPr>
      <w:hyperlink w:anchor="_Toc137904366" w:history="1">
        <w:r w:rsidR="00E27B71" w:rsidRPr="00E27B71">
          <w:rPr>
            <w:rStyle w:val="a6"/>
          </w:rPr>
          <w:t>3.4.</w:t>
        </w:r>
        <w:r w:rsidR="00E27B71" w:rsidRPr="00E27B71">
          <w:rPr>
            <w:rFonts w:eastAsiaTheme="minorEastAsia"/>
            <w:lang w:eastAsia="ru-RU"/>
          </w:rPr>
          <w:tab/>
        </w:r>
        <w:r w:rsidR="00E27B71" w:rsidRPr="00E27B71">
          <w:rPr>
            <w:rStyle w:val="a6"/>
          </w:rPr>
          <w:t xml:space="preserve">Клинико-диагностический алгоритм </w:t>
        </w:r>
        <w:r w:rsidR="007C5C46" w:rsidRPr="007C5C46">
          <w:rPr>
            <w:rStyle w:val="a6"/>
          </w:rPr>
          <w:t>менеджмента больных с сезонным аллергическим ринитом</w:t>
        </w:r>
        <w:r w:rsidR="00E27B71" w:rsidRPr="00E27B71">
          <w:rPr>
            <w:webHidden/>
          </w:rPr>
          <w:tab/>
        </w:r>
        <w:r w:rsidR="00E27B71" w:rsidRPr="00E27B71">
          <w:rPr>
            <w:webHidden/>
          </w:rPr>
          <w:fldChar w:fldCharType="begin"/>
        </w:r>
        <w:r w:rsidR="00E27B71" w:rsidRPr="00E27B71">
          <w:rPr>
            <w:webHidden/>
          </w:rPr>
          <w:instrText xml:space="preserve"> PAGEREF _Toc137904366 \h </w:instrText>
        </w:r>
        <w:r w:rsidR="00E27B71" w:rsidRPr="00E27B71">
          <w:rPr>
            <w:webHidden/>
          </w:rPr>
        </w:r>
        <w:r w:rsidR="00E27B71" w:rsidRPr="00E27B71">
          <w:rPr>
            <w:webHidden/>
          </w:rPr>
          <w:fldChar w:fldCharType="separate"/>
        </w:r>
        <w:r w:rsidR="00C72046">
          <w:rPr>
            <w:webHidden/>
          </w:rPr>
          <w:t>73</w:t>
        </w:r>
        <w:r w:rsidR="00E27B71" w:rsidRPr="00E27B71">
          <w:rPr>
            <w:webHidden/>
          </w:rPr>
          <w:fldChar w:fldCharType="end"/>
        </w:r>
      </w:hyperlink>
    </w:p>
    <w:p w14:paraId="77BD5C7D" w14:textId="691D0C62" w:rsidR="00E27B71" w:rsidRPr="00E27B71" w:rsidRDefault="00F34529" w:rsidP="00E27B71">
      <w:pPr>
        <w:pStyle w:val="11"/>
        <w:rPr>
          <w:rFonts w:eastAsiaTheme="minorEastAsia"/>
          <w:lang w:eastAsia="ru-RU"/>
        </w:rPr>
      </w:pPr>
      <w:hyperlink w:anchor="_Toc137904367" w:history="1">
        <w:r w:rsidR="00E27B71" w:rsidRPr="00E27B71">
          <w:rPr>
            <w:rStyle w:val="a6"/>
            <w:b/>
            <w:lang w:eastAsia="ru-RU"/>
          </w:rPr>
          <w:t>ЗАКЛЮЧЕНИЕ</w:t>
        </w:r>
        <w:r w:rsidR="00E27B71" w:rsidRPr="00E27B71">
          <w:rPr>
            <w:webHidden/>
          </w:rPr>
          <w:tab/>
        </w:r>
        <w:r w:rsidR="00E27B71" w:rsidRPr="00E27B71">
          <w:rPr>
            <w:webHidden/>
          </w:rPr>
          <w:fldChar w:fldCharType="begin"/>
        </w:r>
        <w:r w:rsidR="00E27B71" w:rsidRPr="00E27B71">
          <w:rPr>
            <w:webHidden/>
          </w:rPr>
          <w:instrText xml:space="preserve"> PAGEREF _Toc137904367 \h </w:instrText>
        </w:r>
        <w:r w:rsidR="00E27B71" w:rsidRPr="00E27B71">
          <w:rPr>
            <w:webHidden/>
          </w:rPr>
        </w:r>
        <w:r w:rsidR="00E27B71" w:rsidRPr="00E27B71">
          <w:rPr>
            <w:webHidden/>
          </w:rPr>
          <w:fldChar w:fldCharType="separate"/>
        </w:r>
        <w:r w:rsidR="00C72046">
          <w:rPr>
            <w:webHidden/>
          </w:rPr>
          <w:t>76</w:t>
        </w:r>
        <w:r w:rsidR="00E27B71" w:rsidRPr="00E27B71">
          <w:rPr>
            <w:webHidden/>
          </w:rPr>
          <w:fldChar w:fldCharType="end"/>
        </w:r>
      </w:hyperlink>
    </w:p>
    <w:p w14:paraId="36922E35" w14:textId="7D96D2BD" w:rsidR="00E27B71" w:rsidRPr="00E27B71" w:rsidRDefault="00F34529" w:rsidP="00E27B71">
      <w:pPr>
        <w:pStyle w:val="11"/>
        <w:rPr>
          <w:rFonts w:eastAsiaTheme="minorEastAsia"/>
          <w:lang w:eastAsia="ru-RU"/>
        </w:rPr>
      </w:pPr>
      <w:hyperlink w:anchor="_Toc137904368" w:history="1">
        <w:r w:rsidR="00E27B71" w:rsidRPr="00E27B71">
          <w:rPr>
            <w:rStyle w:val="a6"/>
            <w:b/>
          </w:rPr>
          <w:t>СПИСОК ИСПОЛЬЗОВАННЫХ ИСТОЧНИКОВ</w:t>
        </w:r>
        <w:r w:rsidR="00E27B71" w:rsidRPr="00E27B71">
          <w:rPr>
            <w:webHidden/>
          </w:rPr>
          <w:tab/>
        </w:r>
        <w:r w:rsidR="00E27B71" w:rsidRPr="00E27B71">
          <w:rPr>
            <w:webHidden/>
          </w:rPr>
          <w:fldChar w:fldCharType="begin"/>
        </w:r>
        <w:r w:rsidR="00E27B71" w:rsidRPr="00E27B71">
          <w:rPr>
            <w:webHidden/>
          </w:rPr>
          <w:instrText xml:space="preserve"> PAGEREF _Toc137904368 \h </w:instrText>
        </w:r>
        <w:r w:rsidR="00E27B71" w:rsidRPr="00E27B71">
          <w:rPr>
            <w:webHidden/>
          </w:rPr>
        </w:r>
        <w:r w:rsidR="00E27B71" w:rsidRPr="00E27B71">
          <w:rPr>
            <w:webHidden/>
          </w:rPr>
          <w:fldChar w:fldCharType="separate"/>
        </w:r>
        <w:r w:rsidR="00C72046">
          <w:rPr>
            <w:webHidden/>
          </w:rPr>
          <w:t>82</w:t>
        </w:r>
        <w:r w:rsidR="00E27B71" w:rsidRPr="00E27B71">
          <w:rPr>
            <w:webHidden/>
          </w:rPr>
          <w:fldChar w:fldCharType="end"/>
        </w:r>
      </w:hyperlink>
    </w:p>
    <w:p w14:paraId="21037867" w14:textId="3BF1918E" w:rsidR="00E27B71" w:rsidRPr="00E27B71" w:rsidRDefault="00F34529" w:rsidP="00E27B71">
      <w:pPr>
        <w:pStyle w:val="11"/>
        <w:rPr>
          <w:rFonts w:eastAsiaTheme="minorEastAsia"/>
          <w:lang w:eastAsia="ru-RU"/>
        </w:rPr>
      </w:pPr>
      <w:hyperlink w:anchor="_Toc137904369" w:history="1">
        <w:r w:rsidR="00E27B71" w:rsidRPr="00E27B71">
          <w:rPr>
            <w:rStyle w:val="a6"/>
            <w:b/>
          </w:rPr>
          <w:t>ПРИЛОЖЕНИЕ А</w:t>
        </w:r>
        <w:r w:rsidR="00E27B71" w:rsidRPr="00E27B71">
          <w:rPr>
            <w:webHidden/>
          </w:rPr>
          <w:tab/>
        </w:r>
        <w:r w:rsidR="00E27B71" w:rsidRPr="00E27B71">
          <w:rPr>
            <w:webHidden/>
          </w:rPr>
          <w:fldChar w:fldCharType="begin"/>
        </w:r>
        <w:r w:rsidR="00E27B71" w:rsidRPr="00E27B71">
          <w:rPr>
            <w:webHidden/>
          </w:rPr>
          <w:instrText xml:space="preserve"> PAGEREF _Toc137904369 \h </w:instrText>
        </w:r>
        <w:r w:rsidR="00E27B71" w:rsidRPr="00E27B71">
          <w:rPr>
            <w:webHidden/>
          </w:rPr>
        </w:r>
        <w:r w:rsidR="00E27B71" w:rsidRPr="00E27B71">
          <w:rPr>
            <w:webHidden/>
          </w:rPr>
          <w:fldChar w:fldCharType="separate"/>
        </w:r>
        <w:r w:rsidR="00C72046">
          <w:rPr>
            <w:webHidden/>
          </w:rPr>
          <w:t>95</w:t>
        </w:r>
        <w:r w:rsidR="00E27B71" w:rsidRPr="00E27B71">
          <w:rPr>
            <w:webHidden/>
          </w:rPr>
          <w:fldChar w:fldCharType="end"/>
        </w:r>
      </w:hyperlink>
    </w:p>
    <w:p w14:paraId="1D2ED665" w14:textId="1EB6A20F" w:rsidR="00E27B71" w:rsidRPr="00E27B71" w:rsidRDefault="00F34529" w:rsidP="00E27B71">
      <w:pPr>
        <w:pStyle w:val="11"/>
        <w:rPr>
          <w:rFonts w:eastAsiaTheme="minorEastAsia"/>
          <w:lang w:eastAsia="ru-RU"/>
        </w:rPr>
      </w:pPr>
      <w:hyperlink w:anchor="_Toc137904370" w:history="1">
        <w:r w:rsidR="00E27B71" w:rsidRPr="00E27B71">
          <w:rPr>
            <w:rStyle w:val="a6"/>
            <w:b/>
          </w:rPr>
          <w:t>ПРИЛОЖЕНИЕ Б</w:t>
        </w:r>
        <w:r w:rsidR="00E27B71" w:rsidRPr="00E27B71">
          <w:rPr>
            <w:webHidden/>
          </w:rPr>
          <w:tab/>
        </w:r>
        <w:r w:rsidR="00E27B71" w:rsidRPr="00E27B71">
          <w:rPr>
            <w:webHidden/>
          </w:rPr>
          <w:fldChar w:fldCharType="begin"/>
        </w:r>
        <w:r w:rsidR="00E27B71" w:rsidRPr="00E27B71">
          <w:rPr>
            <w:webHidden/>
          </w:rPr>
          <w:instrText xml:space="preserve"> PAGEREF _Toc137904370 \h </w:instrText>
        </w:r>
        <w:r w:rsidR="00E27B71" w:rsidRPr="00E27B71">
          <w:rPr>
            <w:webHidden/>
          </w:rPr>
        </w:r>
        <w:r w:rsidR="00E27B71" w:rsidRPr="00E27B71">
          <w:rPr>
            <w:webHidden/>
          </w:rPr>
          <w:fldChar w:fldCharType="separate"/>
        </w:r>
        <w:r w:rsidR="00C72046">
          <w:rPr>
            <w:webHidden/>
          </w:rPr>
          <w:t>106</w:t>
        </w:r>
        <w:r w:rsidR="00E27B71" w:rsidRPr="00E27B71">
          <w:rPr>
            <w:webHidden/>
          </w:rPr>
          <w:fldChar w:fldCharType="end"/>
        </w:r>
      </w:hyperlink>
    </w:p>
    <w:p w14:paraId="28E3A567" w14:textId="7852D439" w:rsidR="00E27B71" w:rsidRPr="00E27B71" w:rsidRDefault="00F34529" w:rsidP="00E27B71">
      <w:pPr>
        <w:pStyle w:val="11"/>
        <w:rPr>
          <w:rFonts w:eastAsiaTheme="minorEastAsia"/>
          <w:lang w:eastAsia="ru-RU"/>
        </w:rPr>
      </w:pPr>
      <w:hyperlink w:anchor="_Toc137904371" w:history="1">
        <w:r w:rsidR="00E27B71" w:rsidRPr="00E27B71">
          <w:rPr>
            <w:rStyle w:val="a6"/>
            <w:b/>
          </w:rPr>
          <w:t>ПРИЛОЖЕНИЕ В</w:t>
        </w:r>
        <w:r w:rsidR="00E27B71" w:rsidRPr="00E27B71">
          <w:rPr>
            <w:webHidden/>
          </w:rPr>
          <w:tab/>
        </w:r>
        <w:r w:rsidR="00E27B71" w:rsidRPr="00E27B71">
          <w:rPr>
            <w:webHidden/>
          </w:rPr>
          <w:fldChar w:fldCharType="begin"/>
        </w:r>
        <w:r w:rsidR="00E27B71" w:rsidRPr="00E27B71">
          <w:rPr>
            <w:webHidden/>
          </w:rPr>
          <w:instrText xml:space="preserve"> PAGEREF _Toc137904371 \h </w:instrText>
        </w:r>
        <w:r w:rsidR="00E27B71" w:rsidRPr="00E27B71">
          <w:rPr>
            <w:webHidden/>
          </w:rPr>
        </w:r>
        <w:r w:rsidR="00E27B71" w:rsidRPr="00E27B71">
          <w:rPr>
            <w:webHidden/>
          </w:rPr>
          <w:fldChar w:fldCharType="separate"/>
        </w:r>
        <w:r w:rsidR="00C72046">
          <w:rPr>
            <w:webHidden/>
          </w:rPr>
          <w:t>107</w:t>
        </w:r>
        <w:r w:rsidR="00E27B71" w:rsidRPr="00E27B71">
          <w:rPr>
            <w:webHidden/>
          </w:rPr>
          <w:fldChar w:fldCharType="end"/>
        </w:r>
      </w:hyperlink>
    </w:p>
    <w:p w14:paraId="404D298C" w14:textId="70367086" w:rsidR="00E27B71" w:rsidRPr="00E27B71" w:rsidRDefault="00F34529" w:rsidP="00E27B71">
      <w:pPr>
        <w:pStyle w:val="11"/>
        <w:rPr>
          <w:rFonts w:eastAsiaTheme="minorEastAsia"/>
          <w:lang w:eastAsia="ru-RU"/>
        </w:rPr>
      </w:pPr>
      <w:hyperlink w:anchor="_Toc137904372" w:history="1">
        <w:r w:rsidR="00E27B71" w:rsidRPr="00E27B71">
          <w:rPr>
            <w:rStyle w:val="a6"/>
            <w:b/>
          </w:rPr>
          <w:t>ПРИЛОЖЕНИЕ Г</w:t>
        </w:r>
        <w:r w:rsidR="00E27B71" w:rsidRPr="00E27B71">
          <w:rPr>
            <w:webHidden/>
          </w:rPr>
          <w:tab/>
        </w:r>
        <w:r w:rsidR="00E27B71" w:rsidRPr="00E27B71">
          <w:rPr>
            <w:webHidden/>
          </w:rPr>
          <w:fldChar w:fldCharType="begin"/>
        </w:r>
        <w:r w:rsidR="00E27B71" w:rsidRPr="00E27B71">
          <w:rPr>
            <w:webHidden/>
          </w:rPr>
          <w:instrText xml:space="preserve"> PAGEREF _Toc137904372 \h </w:instrText>
        </w:r>
        <w:r w:rsidR="00E27B71" w:rsidRPr="00E27B71">
          <w:rPr>
            <w:webHidden/>
          </w:rPr>
        </w:r>
        <w:r w:rsidR="00E27B71" w:rsidRPr="00E27B71">
          <w:rPr>
            <w:webHidden/>
          </w:rPr>
          <w:fldChar w:fldCharType="separate"/>
        </w:r>
        <w:r w:rsidR="00C72046">
          <w:rPr>
            <w:webHidden/>
          </w:rPr>
          <w:t>110</w:t>
        </w:r>
        <w:r w:rsidR="00E27B71" w:rsidRPr="00E27B71">
          <w:rPr>
            <w:webHidden/>
          </w:rPr>
          <w:fldChar w:fldCharType="end"/>
        </w:r>
      </w:hyperlink>
    </w:p>
    <w:p w14:paraId="6B3FC47C" w14:textId="391A9520" w:rsidR="00E27B71" w:rsidRPr="00E27B71" w:rsidRDefault="00F34529" w:rsidP="00E27B71">
      <w:pPr>
        <w:pStyle w:val="11"/>
        <w:rPr>
          <w:rFonts w:eastAsiaTheme="minorEastAsia"/>
          <w:lang w:eastAsia="ru-RU"/>
        </w:rPr>
      </w:pPr>
      <w:hyperlink w:anchor="_Toc137904373" w:history="1">
        <w:r w:rsidR="00E27B71" w:rsidRPr="00E27B71">
          <w:rPr>
            <w:rStyle w:val="a6"/>
            <w:b/>
            <w:lang w:val="kk-KZ"/>
          </w:rPr>
          <w:t xml:space="preserve">ПРИЛОЖЕНИЕ </w:t>
        </w:r>
        <w:r w:rsidR="00E27B71" w:rsidRPr="00E27B71">
          <w:rPr>
            <w:rStyle w:val="a6"/>
            <w:b/>
          </w:rPr>
          <w:t>Д</w:t>
        </w:r>
        <w:r w:rsidR="00E27B71" w:rsidRPr="00E27B71">
          <w:rPr>
            <w:webHidden/>
          </w:rPr>
          <w:tab/>
        </w:r>
        <w:r w:rsidR="00E27B71" w:rsidRPr="00E27B71">
          <w:rPr>
            <w:webHidden/>
          </w:rPr>
          <w:fldChar w:fldCharType="begin"/>
        </w:r>
        <w:r w:rsidR="00E27B71" w:rsidRPr="00E27B71">
          <w:rPr>
            <w:webHidden/>
          </w:rPr>
          <w:instrText xml:space="preserve"> PAGEREF _Toc137904373 \h </w:instrText>
        </w:r>
        <w:r w:rsidR="00E27B71" w:rsidRPr="00E27B71">
          <w:rPr>
            <w:webHidden/>
          </w:rPr>
        </w:r>
        <w:r w:rsidR="00E27B71" w:rsidRPr="00E27B71">
          <w:rPr>
            <w:webHidden/>
          </w:rPr>
          <w:fldChar w:fldCharType="separate"/>
        </w:r>
        <w:r w:rsidR="00C72046">
          <w:rPr>
            <w:webHidden/>
          </w:rPr>
          <w:t>118</w:t>
        </w:r>
        <w:r w:rsidR="00E27B71" w:rsidRPr="00E27B71">
          <w:rPr>
            <w:webHidden/>
          </w:rPr>
          <w:fldChar w:fldCharType="end"/>
        </w:r>
      </w:hyperlink>
    </w:p>
    <w:p w14:paraId="0861C714" w14:textId="2DD4ACB3" w:rsidR="00E27B71" w:rsidRPr="00E27B71" w:rsidRDefault="00F34529" w:rsidP="00E27B71">
      <w:pPr>
        <w:pStyle w:val="11"/>
        <w:rPr>
          <w:rFonts w:eastAsiaTheme="minorEastAsia"/>
          <w:lang w:eastAsia="ru-RU"/>
        </w:rPr>
      </w:pPr>
      <w:hyperlink w:anchor="_Toc137904374" w:history="1">
        <w:r w:rsidR="00E27B71" w:rsidRPr="00E27B71">
          <w:rPr>
            <w:rStyle w:val="a6"/>
            <w:b/>
          </w:rPr>
          <w:t>ПРИЛОЖЕНИЕ Е</w:t>
        </w:r>
        <w:r w:rsidR="00E27B71" w:rsidRPr="00E27B71">
          <w:rPr>
            <w:webHidden/>
          </w:rPr>
          <w:tab/>
        </w:r>
        <w:r w:rsidR="00E27B71" w:rsidRPr="00E27B71">
          <w:rPr>
            <w:webHidden/>
          </w:rPr>
          <w:fldChar w:fldCharType="begin"/>
        </w:r>
        <w:r w:rsidR="00E27B71" w:rsidRPr="00E27B71">
          <w:rPr>
            <w:webHidden/>
          </w:rPr>
          <w:instrText xml:space="preserve"> PAGEREF _Toc137904374 \h </w:instrText>
        </w:r>
        <w:r w:rsidR="00E27B71" w:rsidRPr="00E27B71">
          <w:rPr>
            <w:webHidden/>
          </w:rPr>
        </w:r>
        <w:r w:rsidR="00E27B71" w:rsidRPr="00E27B71">
          <w:rPr>
            <w:webHidden/>
          </w:rPr>
          <w:fldChar w:fldCharType="separate"/>
        </w:r>
        <w:r w:rsidR="00C72046">
          <w:rPr>
            <w:webHidden/>
          </w:rPr>
          <w:t>123</w:t>
        </w:r>
        <w:r w:rsidR="00E27B71" w:rsidRPr="00E27B71">
          <w:rPr>
            <w:webHidden/>
          </w:rPr>
          <w:fldChar w:fldCharType="end"/>
        </w:r>
      </w:hyperlink>
    </w:p>
    <w:p w14:paraId="2A1F11D3" w14:textId="2DAC6E9E" w:rsidR="00E27B71" w:rsidRPr="00E27B71" w:rsidRDefault="00F34529" w:rsidP="00E27B71">
      <w:pPr>
        <w:pStyle w:val="11"/>
        <w:rPr>
          <w:rFonts w:eastAsiaTheme="minorEastAsia"/>
          <w:lang w:eastAsia="ru-RU"/>
        </w:rPr>
      </w:pPr>
      <w:hyperlink w:anchor="_Toc137904375" w:history="1">
        <w:r w:rsidR="00E27B71" w:rsidRPr="00E27B71">
          <w:rPr>
            <w:rStyle w:val="a6"/>
            <w:b/>
          </w:rPr>
          <w:t>ПРИЛОЖЕНИЕ Ж</w:t>
        </w:r>
        <w:r w:rsidR="00E27B71" w:rsidRPr="00E27B71">
          <w:rPr>
            <w:webHidden/>
          </w:rPr>
          <w:tab/>
        </w:r>
        <w:r w:rsidR="00E27B71" w:rsidRPr="00E27B71">
          <w:rPr>
            <w:webHidden/>
          </w:rPr>
          <w:fldChar w:fldCharType="begin"/>
        </w:r>
        <w:r w:rsidR="00E27B71" w:rsidRPr="00E27B71">
          <w:rPr>
            <w:webHidden/>
          </w:rPr>
          <w:instrText xml:space="preserve"> PAGEREF _Toc137904375 \h </w:instrText>
        </w:r>
        <w:r w:rsidR="00E27B71" w:rsidRPr="00E27B71">
          <w:rPr>
            <w:webHidden/>
          </w:rPr>
        </w:r>
        <w:r w:rsidR="00E27B71" w:rsidRPr="00E27B71">
          <w:rPr>
            <w:webHidden/>
          </w:rPr>
          <w:fldChar w:fldCharType="separate"/>
        </w:r>
        <w:r w:rsidR="00C72046">
          <w:rPr>
            <w:webHidden/>
          </w:rPr>
          <w:t>125</w:t>
        </w:r>
        <w:r w:rsidR="00E27B71" w:rsidRPr="00E27B71">
          <w:rPr>
            <w:webHidden/>
          </w:rPr>
          <w:fldChar w:fldCharType="end"/>
        </w:r>
      </w:hyperlink>
    </w:p>
    <w:p w14:paraId="04FB910A" w14:textId="1C3FFE64" w:rsidR="00E27B71" w:rsidRPr="00E27B71" w:rsidRDefault="00F34529" w:rsidP="00E27B71">
      <w:pPr>
        <w:pStyle w:val="11"/>
        <w:rPr>
          <w:rFonts w:eastAsiaTheme="minorEastAsia"/>
          <w:lang w:eastAsia="ru-RU"/>
        </w:rPr>
      </w:pPr>
      <w:hyperlink w:anchor="_Toc137904376" w:history="1">
        <w:r w:rsidR="00E27B71" w:rsidRPr="00E27B71">
          <w:rPr>
            <w:rStyle w:val="a6"/>
            <w:b/>
          </w:rPr>
          <w:t>ПРИЛОЖЕНИЕ И</w:t>
        </w:r>
        <w:r w:rsidR="00E27B71" w:rsidRPr="00E27B71">
          <w:rPr>
            <w:webHidden/>
          </w:rPr>
          <w:tab/>
        </w:r>
        <w:r w:rsidR="00E27B71" w:rsidRPr="00E27B71">
          <w:rPr>
            <w:webHidden/>
          </w:rPr>
          <w:fldChar w:fldCharType="begin"/>
        </w:r>
        <w:r w:rsidR="00E27B71" w:rsidRPr="00E27B71">
          <w:rPr>
            <w:webHidden/>
          </w:rPr>
          <w:instrText xml:space="preserve"> PAGEREF _Toc137904376 \h </w:instrText>
        </w:r>
        <w:r w:rsidR="00E27B71" w:rsidRPr="00E27B71">
          <w:rPr>
            <w:webHidden/>
          </w:rPr>
        </w:r>
        <w:r w:rsidR="00E27B71" w:rsidRPr="00E27B71">
          <w:rPr>
            <w:webHidden/>
          </w:rPr>
          <w:fldChar w:fldCharType="separate"/>
        </w:r>
        <w:r w:rsidR="00C72046">
          <w:rPr>
            <w:webHidden/>
          </w:rPr>
          <w:t>126</w:t>
        </w:r>
        <w:r w:rsidR="00E27B71" w:rsidRPr="00E27B71">
          <w:rPr>
            <w:webHidden/>
          </w:rPr>
          <w:fldChar w:fldCharType="end"/>
        </w:r>
      </w:hyperlink>
    </w:p>
    <w:p w14:paraId="53D11829" w14:textId="15C47F13" w:rsidR="00120419" w:rsidRDefault="00120419" w:rsidP="00E27B71">
      <w:pPr>
        <w:spacing w:after="0" w:line="240" w:lineRule="auto"/>
        <w:rPr>
          <w:rStyle w:val="fontstyle01"/>
          <w:rFonts w:eastAsiaTheme="majorEastAsia"/>
          <w:b/>
        </w:rPr>
      </w:pPr>
      <w:r w:rsidRPr="00E27B71">
        <w:rPr>
          <w:rStyle w:val="fontstyle01"/>
          <w:rFonts w:eastAsiaTheme="majorEastAsia"/>
          <w:b/>
        </w:rPr>
        <w:fldChar w:fldCharType="end"/>
      </w:r>
      <w:r>
        <w:rPr>
          <w:rStyle w:val="fontstyle01"/>
          <w:rFonts w:eastAsiaTheme="majorEastAsia"/>
          <w:b/>
        </w:rPr>
        <w:br w:type="page"/>
      </w:r>
    </w:p>
    <w:p w14:paraId="7A279A08" w14:textId="3E0CF57A" w:rsidR="00A40A97" w:rsidRPr="006915ED" w:rsidRDefault="00A40A97" w:rsidP="006915ED">
      <w:pPr>
        <w:pStyle w:val="1"/>
        <w:numPr>
          <w:ilvl w:val="0"/>
          <w:numId w:val="0"/>
        </w:numPr>
        <w:jc w:val="center"/>
        <w:rPr>
          <w:rStyle w:val="fontstyle01"/>
          <w:rFonts w:asciiTheme="majorHAnsi" w:hAnsiTheme="majorHAnsi" w:cstheme="majorBidi"/>
          <w:color w:val="2E74B5" w:themeColor="accent1" w:themeShade="BF"/>
          <w:sz w:val="32"/>
          <w:szCs w:val="32"/>
        </w:rPr>
      </w:pPr>
      <w:bookmarkStart w:id="2" w:name="_Toc137904326"/>
      <w:r w:rsidRPr="00A40A97">
        <w:rPr>
          <w:rStyle w:val="fontstyle01"/>
          <w:b/>
        </w:rPr>
        <w:t>НОРМАТИВНЫЕ ССЫЛКИ</w:t>
      </w:r>
      <w:bookmarkEnd w:id="2"/>
    </w:p>
    <w:p w14:paraId="6A322A7E" w14:textId="77777777" w:rsidR="00BC5659" w:rsidRPr="00A40A97" w:rsidRDefault="00BC5659" w:rsidP="00A40A97">
      <w:pPr>
        <w:spacing w:after="0"/>
        <w:jc w:val="center"/>
        <w:rPr>
          <w:rStyle w:val="fontstyle01"/>
          <w:b/>
        </w:rPr>
      </w:pPr>
    </w:p>
    <w:p w14:paraId="6346E9A4" w14:textId="57235392" w:rsidR="00A40A97" w:rsidRPr="00A40A97" w:rsidRDefault="00A40A97" w:rsidP="00A40A97">
      <w:pPr>
        <w:spacing w:after="0"/>
        <w:ind w:firstLine="567"/>
        <w:jc w:val="both"/>
        <w:rPr>
          <w:rStyle w:val="fontstyle21"/>
          <w:rFonts w:ascii="Times New Roman" w:hAnsi="Times New Roman" w:cs="Times New Roman"/>
          <w:sz w:val="28"/>
          <w:szCs w:val="28"/>
        </w:rPr>
      </w:pPr>
      <w:r w:rsidRPr="00A40A97">
        <w:rPr>
          <w:rStyle w:val="fontstyle21"/>
          <w:rFonts w:ascii="Times New Roman" w:hAnsi="Times New Roman" w:cs="Times New Roman"/>
          <w:sz w:val="28"/>
          <w:szCs w:val="28"/>
        </w:rPr>
        <w:t>В настоящей диссертации использованы ссылки на следующие стандарты:</w:t>
      </w:r>
    </w:p>
    <w:p w14:paraId="53E75AD7" w14:textId="372C149A" w:rsidR="00A40A97" w:rsidRDefault="00A40A97" w:rsidP="00A40A97">
      <w:pPr>
        <w:spacing w:after="0"/>
        <w:ind w:firstLine="567"/>
        <w:jc w:val="both"/>
        <w:rPr>
          <w:rStyle w:val="fontstyle21"/>
          <w:rFonts w:ascii="Times New Roman" w:hAnsi="Times New Roman" w:cs="Times New Roman"/>
          <w:sz w:val="28"/>
          <w:szCs w:val="28"/>
        </w:rPr>
      </w:pPr>
      <w:r w:rsidRPr="00A40A97">
        <w:rPr>
          <w:rStyle w:val="fontstyle21"/>
          <w:rFonts w:ascii="Times New Roman" w:hAnsi="Times New Roman" w:cs="Times New Roman"/>
          <w:sz w:val="28"/>
          <w:szCs w:val="28"/>
        </w:rPr>
        <w:t>Закон Республики Казахстан. О науке: принят 18 февраля 2011 года, №407-</w:t>
      </w:r>
      <w:r>
        <w:rPr>
          <w:rStyle w:val="fontstyle21"/>
          <w:rFonts w:ascii="Times New Roman" w:hAnsi="Times New Roman" w:cs="Times New Roman"/>
          <w:sz w:val="28"/>
          <w:szCs w:val="28"/>
        </w:rPr>
        <w:t xml:space="preserve"> </w:t>
      </w:r>
      <w:r w:rsidRPr="00A40A97">
        <w:rPr>
          <w:rStyle w:val="fontstyle21"/>
          <w:rFonts w:ascii="Times New Roman" w:hAnsi="Times New Roman" w:cs="Times New Roman"/>
          <w:sz w:val="28"/>
          <w:szCs w:val="28"/>
        </w:rPr>
        <w:t>IV ЗРК.</w:t>
      </w:r>
      <w:r>
        <w:rPr>
          <w:rStyle w:val="fontstyle21"/>
          <w:rFonts w:ascii="Times New Roman" w:hAnsi="Times New Roman" w:cs="Times New Roman"/>
          <w:sz w:val="28"/>
          <w:szCs w:val="28"/>
        </w:rPr>
        <w:t xml:space="preserve"> </w:t>
      </w:r>
    </w:p>
    <w:p w14:paraId="20E55860" w14:textId="77777777" w:rsidR="00B5422F" w:rsidRDefault="00B5422F" w:rsidP="00B5422F">
      <w:pPr>
        <w:spacing w:after="0"/>
        <w:ind w:firstLine="567"/>
        <w:jc w:val="both"/>
        <w:rPr>
          <w:rFonts w:ascii="Times New Roman" w:hAnsi="Times New Roman" w:cs="Times New Roman"/>
          <w:color w:val="000000"/>
          <w:sz w:val="28"/>
          <w:szCs w:val="28"/>
        </w:rPr>
      </w:pPr>
      <w:r w:rsidRPr="00EE7AFE">
        <w:rPr>
          <w:rFonts w:ascii="Times New Roman" w:hAnsi="Times New Roman" w:cs="Times New Roman"/>
          <w:color w:val="000000"/>
          <w:sz w:val="28"/>
          <w:szCs w:val="28"/>
        </w:rPr>
        <w:t>ГОСТ 7.32-2001. Межгосударственные стандарты (введен взамен ГОСТ</w:t>
      </w:r>
      <w:r>
        <w:rPr>
          <w:rFonts w:ascii="Times New Roman" w:hAnsi="Times New Roman" w:cs="Times New Roman"/>
          <w:color w:val="000000"/>
          <w:sz w:val="28"/>
          <w:szCs w:val="28"/>
        </w:rPr>
        <w:t xml:space="preserve"> </w:t>
      </w:r>
      <w:r w:rsidRPr="00EE7AFE">
        <w:rPr>
          <w:rFonts w:ascii="Times New Roman" w:hAnsi="Times New Roman" w:cs="Times New Roman"/>
          <w:color w:val="000000"/>
          <w:sz w:val="28"/>
          <w:szCs w:val="28"/>
        </w:rPr>
        <w:t>7.32-2017 с 01.02.2019 г. с установлением переходного периода для ГОСТ 7.32-</w:t>
      </w:r>
      <w:r>
        <w:rPr>
          <w:rFonts w:ascii="Times New Roman" w:hAnsi="Times New Roman" w:cs="Times New Roman"/>
          <w:color w:val="000000"/>
          <w:sz w:val="28"/>
          <w:szCs w:val="28"/>
        </w:rPr>
        <w:t xml:space="preserve"> </w:t>
      </w:r>
      <w:r w:rsidRPr="00EE7AFE">
        <w:rPr>
          <w:rFonts w:ascii="Times New Roman" w:hAnsi="Times New Roman" w:cs="Times New Roman"/>
          <w:color w:val="000000"/>
          <w:sz w:val="28"/>
          <w:szCs w:val="28"/>
        </w:rPr>
        <w:t>2001 до 01.02.2020 г.). Отчет о научно-исследовательской работе. Структура и</w:t>
      </w:r>
      <w:r>
        <w:rPr>
          <w:rFonts w:ascii="Times New Roman" w:hAnsi="Times New Roman" w:cs="Times New Roman"/>
          <w:color w:val="000000"/>
          <w:sz w:val="28"/>
          <w:szCs w:val="28"/>
        </w:rPr>
        <w:t xml:space="preserve"> </w:t>
      </w:r>
      <w:r w:rsidRPr="00EE7AFE">
        <w:rPr>
          <w:rFonts w:ascii="Times New Roman" w:hAnsi="Times New Roman" w:cs="Times New Roman"/>
          <w:color w:val="000000"/>
          <w:sz w:val="28"/>
          <w:szCs w:val="28"/>
        </w:rPr>
        <w:t xml:space="preserve">правила оформления. </w:t>
      </w:r>
    </w:p>
    <w:p w14:paraId="64060849" w14:textId="77777777" w:rsidR="00E33ACA" w:rsidRPr="00E33ACA" w:rsidRDefault="00E33ACA" w:rsidP="00E33ACA">
      <w:pPr>
        <w:spacing w:after="0"/>
        <w:ind w:firstLine="567"/>
        <w:jc w:val="both"/>
        <w:rPr>
          <w:rStyle w:val="fontstyle01"/>
        </w:rPr>
      </w:pPr>
      <w:r w:rsidRPr="00E33ACA">
        <w:rPr>
          <w:rStyle w:val="fontstyle01"/>
        </w:rPr>
        <w:t>ГОСТ 7.1-2003. Библиографическая запись. Библиографическое описание. Общие требования и правила составления.</w:t>
      </w:r>
    </w:p>
    <w:p w14:paraId="1AB8D015" w14:textId="5678C790" w:rsidR="00E33ACA" w:rsidRDefault="00E33ACA" w:rsidP="00E33ACA">
      <w:pPr>
        <w:spacing w:after="0"/>
        <w:ind w:firstLine="567"/>
        <w:jc w:val="both"/>
        <w:rPr>
          <w:rStyle w:val="fontstyle01"/>
        </w:rPr>
      </w:pPr>
      <w:r w:rsidRPr="00E33ACA">
        <w:rPr>
          <w:rStyle w:val="fontstyle01"/>
        </w:rPr>
        <w:t>Положение о диссертационном совете НАО «Медицинский Университет Караганды» от 16 августа 2021 года (версия 1).</w:t>
      </w:r>
    </w:p>
    <w:p w14:paraId="3CE0D277" w14:textId="77777777" w:rsidR="00E33ACA" w:rsidRPr="00E33ACA" w:rsidRDefault="00E33ACA" w:rsidP="00E33ACA">
      <w:pPr>
        <w:spacing w:after="0"/>
        <w:ind w:firstLine="567"/>
        <w:jc w:val="both"/>
        <w:rPr>
          <w:rStyle w:val="fontstyle01"/>
        </w:rPr>
      </w:pPr>
      <w:r w:rsidRPr="00E33ACA">
        <w:rPr>
          <w:rStyle w:val="fontstyle01"/>
        </w:rPr>
        <w:t>Об утверждении Правил присуждения степеней: утв. приказом Министра образования и науки Республики Казахстан от 31 марта 2011 года, №127.</w:t>
      </w:r>
    </w:p>
    <w:p w14:paraId="16031329" w14:textId="6537F865" w:rsidR="00E33ACA" w:rsidRDefault="00E33ACA" w:rsidP="00E33ACA">
      <w:pPr>
        <w:spacing w:after="0"/>
        <w:ind w:firstLine="567"/>
        <w:jc w:val="both"/>
        <w:rPr>
          <w:rStyle w:val="fontstyle01"/>
        </w:rPr>
      </w:pPr>
      <w:r w:rsidRPr="00E33ACA">
        <w:rPr>
          <w:rStyle w:val="fontstyle01"/>
        </w:rPr>
        <w:t xml:space="preserve">Заключение этической комиссии по биоэтике на </w:t>
      </w:r>
      <w:r>
        <w:rPr>
          <w:rStyle w:val="fontstyle01"/>
        </w:rPr>
        <w:t>проведение</w:t>
      </w:r>
      <w:r w:rsidRPr="00E33ACA">
        <w:rPr>
          <w:rStyle w:val="fontstyle01"/>
        </w:rPr>
        <w:t xml:space="preserve"> исследований с участием человека </w:t>
      </w:r>
      <w:r>
        <w:rPr>
          <w:rStyle w:val="fontstyle01"/>
        </w:rPr>
        <w:t xml:space="preserve">от 11 марта </w:t>
      </w:r>
      <w:r w:rsidRPr="00E33ACA">
        <w:rPr>
          <w:rStyle w:val="fontstyle01"/>
        </w:rPr>
        <w:t>2019 года Протокол № 14</w:t>
      </w:r>
      <w:r>
        <w:rPr>
          <w:rStyle w:val="fontstyle01"/>
        </w:rPr>
        <w:t xml:space="preserve">; </w:t>
      </w:r>
      <w:r w:rsidRPr="00E33ACA">
        <w:rPr>
          <w:rStyle w:val="fontstyle01"/>
        </w:rPr>
        <w:t xml:space="preserve">от </w:t>
      </w:r>
      <w:r>
        <w:rPr>
          <w:rStyle w:val="fontstyle01"/>
        </w:rPr>
        <w:t xml:space="preserve">27 марта </w:t>
      </w:r>
      <w:r w:rsidRPr="00E33ACA">
        <w:rPr>
          <w:rStyle w:val="fontstyle01"/>
        </w:rPr>
        <w:t>2023 года Протокол № 7</w:t>
      </w:r>
      <w:r>
        <w:rPr>
          <w:rStyle w:val="fontstyle01"/>
        </w:rPr>
        <w:t xml:space="preserve"> (НАО «МУК»</w:t>
      </w:r>
      <w:r w:rsidRPr="00E33ACA">
        <w:rPr>
          <w:rStyle w:val="fontstyle01"/>
        </w:rPr>
        <w:t>).</w:t>
      </w:r>
    </w:p>
    <w:p w14:paraId="618BAC73" w14:textId="77777777" w:rsidR="00E278B9" w:rsidRDefault="00E278B9" w:rsidP="00E278B9">
      <w:pPr>
        <w:spacing w:after="0"/>
        <w:ind w:firstLine="567"/>
        <w:jc w:val="both"/>
        <w:rPr>
          <w:rFonts w:ascii="Times New Roman" w:hAnsi="Times New Roman" w:cs="Times New Roman"/>
          <w:color w:val="000000"/>
          <w:sz w:val="28"/>
          <w:szCs w:val="28"/>
        </w:rPr>
      </w:pPr>
      <w:r w:rsidRPr="00EE7AFE">
        <w:rPr>
          <w:rFonts w:ascii="Times New Roman" w:hAnsi="Times New Roman" w:cs="Times New Roman"/>
          <w:color w:val="000000"/>
          <w:sz w:val="28"/>
          <w:szCs w:val="28"/>
        </w:rPr>
        <w:t>Приказ Министра здравоохранения Республики Казахстан. О внесении</w:t>
      </w:r>
      <w:r>
        <w:rPr>
          <w:rFonts w:ascii="Times New Roman" w:hAnsi="Times New Roman" w:cs="Times New Roman"/>
          <w:color w:val="000000"/>
          <w:sz w:val="28"/>
          <w:szCs w:val="28"/>
        </w:rPr>
        <w:t xml:space="preserve"> </w:t>
      </w:r>
      <w:r w:rsidRPr="00EE7AFE">
        <w:rPr>
          <w:rFonts w:ascii="Times New Roman" w:hAnsi="Times New Roman" w:cs="Times New Roman"/>
          <w:color w:val="000000"/>
          <w:sz w:val="28"/>
          <w:szCs w:val="28"/>
        </w:rPr>
        <w:t>изменения в приказ Министра здравоохранения Республики Казахстан от 12</w:t>
      </w:r>
      <w:r>
        <w:rPr>
          <w:rFonts w:ascii="Times New Roman" w:hAnsi="Times New Roman" w:cs="Times New Roman"/>
          <w:color w:val="000000"/>
          <w:sz w:val="28"/>
          <w:szCs w:val="28"/>
        </w:rPr>
        <w:t xml:space="preserve"> </w:t>
      </w:r>
      <w:r w:rsidRPr="00EE7AFE">
        <w:rPr>
          <w:rFonts w:ascii="Times New Roman" w:hAnsi="Times New Roman" w:cs="Times New Roman"/>
          <w:color w:val="000000"/>
          <w:sz w:val="28"/>
          <w:szCs w:val="28"/>
        </w:rPr>
        <w:t>ноября 2009 года, №697 «Об утверждении Правил проведения медико</w:t>
      </w:r>
      <w:r>
        <w:rPr>
          <w:rFonts w:ascii="Times New Roman" w:hAnsi="Times New Roman" w:cs="Times New Roman"/>
          <w:color w:val="000000"/>
          <w:sz w:val="28"/>
          <w:szCs w:val="28"/>
        </w:rPr>
        <w:t>-</w:t>
      </w:r>
      <w:r w:rsidRPr="00EE7AFE">
        <w:rPr>
          <w:rFonts w:ascii="Times New Roman" w:hAnsi="Times New Roman" w:cs="Times New Roman"/>
          <w:color w:val="000000"/>
          <w:sz w:val="28"/>
          <w:szCs w:val="28"/>
        </w:rPr>
        <w:t>биологических экспериментов, доклинических (неклинических) и клинических</w:t>
      </w:r>
      <w:r>
        <w:rPr>
          <w:rFonts w:ascii="Times New Roman" w:hAnsi="Times New Roman" w:cs="Times New Roman"/>
          <w:color w:val="000000"/>
          <w:sz w:val="28"/>
          <w:szCs w:val="28"/>
        </w:rPr>
        <w:t xml:space="preserve"> </w:t>
      </w:r>
      <w:r w:rsidRPr="00EE7AFE">
        <w:rPr>
          <w:rFonts w:ascii="Times New Roman" w:hAnsi="Times New Roman" w:cs="Times New Roman"/>
          <w:color w:val="000000"/>
          <w:sz w:val="28"/>
          <w:szCs w:val="28"/>
        </w:rPr>
        <w:t xml:space="preserve">исследований: утв. 15 мая 2015 года, №348 </w:t>
      </w:r>
    </w:p>
    <w:p w14:paraId="620F53ED" w14:textId="77777777" w:rsidR="00E33ACA" w:rsidRDefault="00E33ACA" w:rsidP="00EE7AFE">
      <w:pPr>
        <w:spacing w:after="0"/>
        <w:ind w:firstLine="567"/>
        <w:jc w:val="both"/>
        <w:rPr>
          <w:rStyle w:val="fontstyle01"/>
        </w:rPr>
      </w:pPr>
    </w:p>
    <w:p w14:paraId="70186035" w14:textId="18D5A9E9" w:rsidR="00EE7AFE" w:rsidRDefault="00EE7AFE" w:rsidP="00A40A97">
      <w:pPr>
        <w:spacing w:after="0"/>
        <w:ind w:firstLine="567"/>
        <w:jc w:val="both"/>
        <w:rPr>
          <w:rFonts w:ascii="Times New Roman" w:hAnsi="Times New Roman" w:cs="Times New Roman"/>
          <w:color w:val="000000"/>
          <w:sz w:val="28"/>
          <w:szCs w:val="28"/>
        </w:rPr>
      </w:pPr>
      <w:r w:rsidRPr="00EE7AFE">
        <w:rPr>
          <w:rFonts w:ascii="Times New Roman" w:hAnsi="Times New Roman" w:cs="Times New Roman"/>
          <w:color w:val="000000"/>
          <w:sz w:val="28"/>
          <w:szCs w:val="28"/>
        </w:rPr>
        <w:t xml:space="preserve"> </w:t>
      </w:r>
    </w:p>
    <w:p w14:paraId="592C20CA" w14:textId="2097FF41" w:rsidR="00E248DB" w:rsidRDefault="00E248DB" w:rsidP="00FD15DA">
      <w:pPr>
        <w:spacing w:after="0"/>
        <w:ind w:firstLine="567"/>
        <w:jc w:val="both"/>
        <w:rPr>
          <w:rFonts w:ascii="Times New Roman" w:hAnsi="Times New Roman" w:cs="Times New Roman"/>
          <w:sz w:val="28"/>
          <w:szCs w:val="28"/>
        </w:rPr>
      </w:pPr>
    </w:p>
    <w:p w14:paraId="022822DB" w14:textId="77777777" w:rsidR="00E248DB" w:rsidRPr="00A40A97" w:rsidRDefault="00E248DB" w:rsidP="00FD15DA">
      <w:pPr>
        <w:spacing w:after="0"/>
        <w:ind w:firstLine="567"/>
        <w:jc w:val="both"/>
        <w:rPr>
          <w:rFonts w:ascii="Times New Roman" w:hAnsi="Times New Roman" w:cs="Times New Roman"/>
          <w:sz w:val="28"/>
          <w:szCs w:val="28"/>
        </w:rPr>
      </w:pPr>
    </w:p>
    <w:p w14:paraId="2E95A632" w14:textId="21AA23D4" w:rsidR="006915ED" w:rsidRDefault="00A40A97" w:rsidP="006915ED">
      <w:pPr>
        <w:pStyle w:val="1"/>
        <w:numPr>
          <w:ilvl w:val="0"/>
          <w:numId w:val="0"/>
        </w:numPr>
      </w:pPr>
      <w:r>
        <w:rPr>
          <w:rFonts w:ascii="Times New Roman" w:hAnsi="Times New Roman" w:cs="Times New Roman"/>
          <w:b/>
          <w:sz w:val="28"/>
          <w:szCs w:val="28"/>
        </w:rPr>
        <w:br w:type="page"/>
      </w:r>
    </w:p>
    <w:p w14:paraId="1987C20A" w14:textId="1747AA11" w:rsidR="00A40A97" w:rsidRPr="000F60EE" w:rsidRDefault="008D303C" w:rsidP="0025002F">
      <w:pPr>
        <w:spacing w:after="0"/>
        <w:jc w:val="center"/>
        <w:rPr>
          <w:rStyle w:val="fontstyle01"/>
          <w:b/>
        </w:rPr>
      </w:pPr>
      <w:r w:rsidRPr="000F60EE">
        <w:rPr>
          <w:rStyle w:val="fontstyle01"/>
          <w:b/>
        </w:rPr>
        <w:t>ОПРЕДЕЛЕНИЯ</w:t>
      </w:r>
    </w:p>
    <w:p w14:paraId="335418CE" w14:textId="77777777" w:rsidR="0025002F" w:rsidRPr="000F60EE" w:rsidRDefault="0025002F" w:rsidP="0025002F">
      <w:pPr>
        <w:spacing w:after="0"/>
        <w:jc w:val="center"/>
        <w:rPr>
          <w:rFonts w:ascii="Times New Roman" w:hAnsi="Times New Roman" w:cs="Times New Roman"/>
          <w:b/>
          <w:sz w:val="28"/>
          <w:szCs w:val="28"/>
        </w:rPr>
      </w:pPr>
    </w:p>
    <w:p w14:paraId="443A02C5" w14:textId="54410673" w:rsidR="00265C0D" w:rsidRDefault="00E248DB" w:rsidP="00CA41F9">
      <w:pPr>
        <w:spacing w:after="0"/>
        <w:ind w:firstLine="567"/>
        <w:jc w:val="both"/>
        <w:rPr>
          <w:rFonts w:ascii="Times New Roman" w:hAnsi="Times New Roman" w:cs="Times New Roman"/>
          <w:color w:val="000000"/>
          <w:sz w:val="28"/>
          <w:szCs w:val="28"/>
        </w:rPr>
      </w:pPr>
      <w:r w:rsidRPr="000F60EE">
        <w:rPr>
          <w:rFonts w:ascii="Times New Roman" w:hAnsi="Times New Roman" w:cs="Times New Roman"/>
          <w:color w:val="000000"/>
          <w:sz w:val="28"/>
          <w:szCs w:val="28"/>
        </w:rPr>
        <w:t>В настоящей диссертации применяют следующие термины с</w:t>
      </w:r>
      <w:r w:rsidR="00CA41F9" w:rsidRPr="000F60EE">
        <w:rPr>
          <w:rFonts w:ascii="Times New Roman" w:hAnsi="Times New Roman" w:cs="Times New Roman"/>
          <w:color w:val="000000"/>
          <w:sz w:val="28"/>
          <w:szCs w:val="28"/>
        </w:rPr>
        <w:t xml:space="preserve"> </w:t>
      </w:r>
      <w:r w:rsidRPr="000F60EE">
        <w:rPr>
          <w:rFonts w:ascii="Times New Roman" w:hAnsi="Times New Roman" w:cs="Times New Roman"/>
          <w:color w:val="000000"/>
          <w:sz w:val="28"/>
          <w:szCs w:val="28"/>
        </w:rPr>
        <w:t>соответствующими определениями:</w:t>
      </w:r>
    </w:p>
    <w:p w14:paraId="5DA14557" w14:textId="3EA4D1B0" w:rsidR="00F43F70" w:rsidRDefault="00F43F70" w:rsidP="00CA41F9">
      <w:pPr>
        <w:spacing w:after="0"/>
        <w:ind w:firstLine="567"/>
        <w:jc w:val="both"/>
        <w:rPr>
          <w:rFonts w:ascii="Times New Roman" w:hAnsi="Times New Roman" w:cs="Times New Roman"/>
          <w:color w:val="000000"/>
          <w:sz w:val="28"/>
          <w:szCs w:val="28"/>
        </w:rPr>
      </w:pPr>
    </w:p>
    <w:tbl>
      <w:tblPr>
        <w:tblStyle w:val="af3"/>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3114"/>
        <w:gridCol w:w="6520"/>
      </w:tblGrid>
      <w:tr w:rsidR="00F43F70" w14:paraId="78055BF6" w14:textId="77777777" w:rsidTr="006D35E0">
        <w:tc>
          <w:tcPr>
            <w:tcW w:w="3114" w:type="dxa"/>
            <w:shd w:val="clear" w:color="auto" w:fill="FFFFFF" w:themeFill="background1"/>
          </w:tcPr>
          <w:p w14:paraId="505E8543" w14:textId="6E40E97A" w:rsidR="00F43F70" w:rsidRDefault="00D74129" w:rsidP="000803E0">
            <w:pPr>
              <w:jc w:val="both"/>
              <w:rPr>
                <w:rFonts w:ascii="Times New Roman" w:hAnsi="Times New Roman" w:cs="Times New Roman"/>
                <w:color w:val="000000"/>
                <w:sz w:val="28"/>
                <w:szCs w:val="28"/>
              </w:rPr>
            </w:pPr>
            <w:r>
              <w:rPr>
                <w:rFonts w:ascii="Times New Roman" w:hAnsi="Times New Roman" w:cs="Times New Roman"/>
                <w:color w:val="000000"/>
                <w:sz w:val="28"/>
                <w:szCs w:val="28"/>
              </w:rPr>
              <w:t>Индекс</w:t>
            </w:r>
            <w:r w:rsidRPr="00D74129">
              <w:rPr>
                <w:rFonts w:ascii="Times New Roman" w:hAnsi="Times New Roman" w:cs="Times New Roman"/>
                <w:color w:val="000000"/>
                <w:sz w:val="28"/>
                <w:szCs w:val="28"/>
              </w:rPr>
              <w:t xml:space="preserve"> Юдена</w:t>
            </w:r>
          </w:p>
        </w:tc>
        <w:tc>
          <w:tcPr>
            <w:tcW w:w="6520" w:type="dxa"/>
            <w:shd w:val="clear" w:color="auto" w:fill="FFFFFF" w:themeFill="background1"/>
          </w:tcPr>
          <w:p w14:paraId="31C49FE8" w14:textId="77777777" w:rsidR="00F43F70" w:rsidRDefault="00CC6172" w:rsidP="000803E0">
            <w:pPr>
              <w:jc w:val="both"/>
              <w:rPr>
                <w:rFonts w:ascii="Times New Roman" w:hAnsi="Times New Roman" w:cs="Times New Roman"/>
                <w:color w:val="000000"/>
                <w:sz w:val="28"/>
                <w:szCs w:val="28"/>
              </w:rPr>
            </w:pPr>
            <w:r>
              <w:rPr>
                <w:rFonts w:ascii="Times New Roman" w:hAnsi="Times New Roman" w:cs="Times New Roman"/>
                <w:color w:val="000000"/>
                <w:sz w:val="28"/>
                <w:szCs w:val="28"/>
              </w:rPr>
              <w:t>Р</w:t>
            </w:r>
            <w:r w:rsidRPr="00CC6172">
              <w:rPr>
                <w:rFonts w:ascii="Times New Roman" w:hAnsi="Times New Roman" w:cs="Times New Roman"/>
                <w:color w:val="000000"/>
                <w:sz w:val="28"/>
                <w:szCs w:val="28"/>
              </w:rPr>
              <w:t>азница между долей истинно положительных результатов (чувствительностью теста) и долей</w:t>
            </w:r>
            <w:r>
              <w:rPr>
                <w:rFonts w:ascii="Times New Roman" w:hAnsi="Times New Roman" w:cs="Times New Roman"/>
                <w:color w:val="000000"/>
                <w:sz w:val="28"/>
                <w:szCs w:val="28"/>
              </w:rPr>
              <w:t xml:space="preserve"> ложноположительных результатов</w:t>
            </w:r>
            <w:r w:rsidRPr="00CC6172">
              <w:rPr>
                <w:rFonts w:ascii="Times New Roman" w:hAnsi="Times New Roman" w:cs="Times New Roman"/>
                <w:color w:val="000000"/>
                <w:sz w:val="28"/>
                <w:szCs w:val="28"/>
              </w:rPr>
              <w:t xml:space="preserve">. Чем больше это различие, </w:t>
            </w:r>
            <w:r>
              <w:rPr>
                <w:rFonts w:ascii="Times New Roman" w:hAnsi="Times New Roman" w:cs="Times New Roman"/>
                <w:color w:val="000000"/>
                <w:sz w:val="28"/>
                <w:szCs w:val="28"/>
              </w:rPr>
              <w:t>тем лучше работает диагностическая технология</w:t>
            </w:r>
          </w:p>
          <w:p w14:paraId="552B4510" w14:textId="0465002E" w:rsidR="00082204" w:rsidRDefault="00082204" w:rsidP="000803E0">
            <w:pPr>
              <w:jc w:val="both"/>
              <w:rPr>
                <w:rFonts w:ascii="Times New Roman" w:hAnsi="Times New Roman" w:cs="Times New Roman"/>
                <w:color w:val="000000"/>
                <w:sz w:val="28"/>
                <w:szCs w:val="28"/>
              </w:rPr>
            </w:pPr>
          </w:p>
        </w:tc>
      </w:tr>
      <w:tr w:rsidR="00597EA8" w14:paraId="4F29AA1D" w14:textId="77777777" w:rsidTr="006D35E0">
        <w:tc>
          <w:tcPr>
            <w:tcW w:w="3114" w:type="dxa"/>
            <w:shd w:val="clear" w:color="auto" w:fill="FFFFFF" w:themeFill="background1"/>
          </w:tcPr>
          <w:p w14:paraId="413F566F" w14:textId="77777777" w:rsidR="00597EA8" w:rsidRDefault="00597EA8" w:rsidP="00597EA8">
            <w:pPr>
              <w:rPr>
                <w:rFonts w:ascii="Times New Roman" w:hAnsi="Times New Roman" w:cs="Times New Roman"/>
                <w:color w:val="000000"/>
                <w:sz w:val="28"/>
                <w:szCs w:val="28"/>
              </w:rPr>
            </w:pPr>
            <w:r>
              <w:rPr>
                <w:rFonts w:ascii="Times New Roman" w:hAnsi="Times New Roman" w:cs="Times New Roman"/>
                <w:color w:val="000000"/>
                <w:sz w:val="28"/>
                <w:szCs w:val="28"/>
              </w:rPr>
              <w:t>П</w:t>
            </w:r>
            <w:r w:rsidRPr="00EE6730">
              <w:rPr>
                <w:rFonts w:ascii="Times New Roman" w:hAnsi="Times New Roman" w:cs="Times New Roman"/>
                <w:color w:val="000000"/>
                <w:sz w:val="28"/>
                <w:szCs w:val="28"/>
              </w:rPr>
              <w:t>лощадь под кривой</w:t>
            </w:r>
            <w:r>
              <w:rPr>
                <w:rFonts w:ascii="Times New Roman" w:hAnsi="Times New Roman" w:cs="Times New Roman"/>
                <w:color w:val="000000"/>
                <w:sz w:val="28"/>
                <w:szCs w:val="28"/>
              </w:rPr>
              <w:t xml:space="preserve"> </w:t>
            </w:r>
          </w:p>
          <w:p w14:paraId="7A26C4E7" w14:textId="77777777" w:rsidR="00597EA8" w:rsidRDefault="00597EA8" w:rsidP="00597EA8">
            <w:pPr>
              <w:jc w:val="both"/>
              <w:rPr>
                <w:rFonts w:ascii="Times New Roman" w:hAnsi="Times New Roman" w:cs="Times New Roman"/>
                <w:color w:val="000000"/>
                <w:sz w:val="28"/>
                <w:szCs w:val="28"/>
              </w:rPr>
            </w:pPr>
          </w:p>
        </w:tc>
        <w:tc>
          <w:tcPr>
            <w:tcW w:w="6520" w:type="dxa"/>
            <w:shd w:val="clear" w:color="auto" w:fill="FFFFFF" w:themeFill="background1"/>
          </w:tcPr>
          <w:p w14:paraId="35E3BDE9" w14:textId="77777777" w:rsidR="00597EA8" w:rsidRDefault="00597EA8" w:rsidP="00597EA8">
            <w:pPr>
              <w:jc w:val="both"/>
              <w:rPr>
                <w:rFonts w:ascii="Times New Roman" w:hAnsi="Times New Roman" w:cs="Times New Roman"/>
                <w:color w:val="000000"/>
                <w:sz w:val="28"/>
                <w:szCs w:val="28"/>
              </w:rPr>
            </w:pPr>
            <w:r>
              <w:rPr>
                <w:rFonts w:ascii="Times New Roman" w:hAnsi="Times New Roman" w:cs="Times New Roman"/>
                <w:color w:val="000000"/>
                <w:sz w:val="28"/>
                <w:szCs w:val="28"/>
              </w:rPr>
              <w:t>С</w:t>
            </w:r>
            <w:r w:rsidRPr="000803E0">
              <w:rPr>
                <w:rFonts w:ascii="Times New Roman" w:hAnsi="Times New Roman" w:cs="Times New Roman"/>
                <w:color w:val="000000"/>
                <w:sz w:val="28"/>
                <w:szCs w:val="28"/>
              </w:rPr>
              <w:t>пособ оценить эффективность модели прогнозирования</w:t>
            </w:r>
          </w:p>
          <w:p w14:paraId="3C5CCCCD" w14:textId="77777777" w:rsidR="00597EA8" w:rsidRDefault="00597EA8" w:rsidP="00597EA8">
            <w:pPr>
              <w:jc w:val="both"/>
              <w:rPr>
                <w:rFonts w:ascii="Times New Roman" w:hAnsi="Times New Roman" w:cs="Times New Roman"/>
                <w:color w:val="000000"/>
                <w:sz w:val="28"/>
                <w:szCs w:val="28"/>
              </w:rPr>
            </w:pPr>
          </w:p>
        </w:tc>
      </w:tr>
      <w:tr w:rsidR="00597EA8" w14:paraId="260CA97D" w14:textId="77777777" w:rsidTr="006D35E0">
        <w:tc>
          <w:tcPr>
            <w:tcW w:w="3114" w:type="dxa"/>
            <w:shd w:val="clear" w:color="auto" w:fill="FFFFFF" w:themeFill="background1"/>
          </w:tcPr>
          <w:p w14:paraId="34F536C4" w14:textId="49AC9E8B" w:rsidR="00597EA8" w:rsidRPr="00A52FA9" w:rsidRDefault="00597EA8" w:rsidP="00597EA8">
            <w:pPr>
              <w:jc w:val="both"/>
              <w:rPr>
                <w:rFonts w:ascii="Times New Roman" w:hAnsi="Times New Roman" w:cs="Times New Roman"/>
                <w:color w:val="000000"/>
                <w:sz w:val="28"/>
                <w:szCs w:val="28"/>
              </w:rPr>
            </w:pPr>
            <w:r>
              <w:rPr>
                <w:rFonts w:ascii="Times New Roman" w:hAnsi="Times New Roman" w:cs="Times New Roman"/>
                <w:color w:val="000000"/>
                <w:sz w:val="28"/>
                <w:szCs w:val="28"/>
              </w:rPr>
              <w:t>Порог или точка</w:t>
            </w:r>
            <w:r w:rsidRPr="00EE6730">
              <w:rPr>
                <w:rFonts w:ascii="Times New Roman" w:hAnsi="Times New Roman" w:cs="Times New Roman"/>
                <w:color w:val="000000"/>
                <w:sz w:val="28"/>
                <w:szCs w:val="28"/>
              </w:rPr>
              <w:t xml:space="preserve"> отсечения (cut-off value)</w:t>
            </w:r>
          </w:p>
        </w:tc>
        <w:tc>
          <w:tcPr>
            <w:tcW w:w="6520" w:type="dxa"/>
            <w:shd w:val="clear" w:color="auto" w:fill="FFFFFF" w:themeFill="background1"/>
          </w:tcPr>
          <w:p w14:paraId="7E4B1442" w14:textId="77777777" w:rsidR="00597EA8" w:rsidRDefault="00597EA8" w:rsidP="00597EA8">
            <w:pPr>
              <w:jc w:val="both"/>
              <w:rPr>
                <w:rFonts w:ascii="Times New Roman" w:hAnsi="Times New Roman" w:cs="Times New Roman"/>
                <w:color w:val="000000"/>
                <w:sz w:val="28"/>
                <w:szCs w:val="28"/>
              </w:rPr>
            </w:pPr>
            <w:r>
              <w:rPr>
                <w:rFonts w:ascii="Times New Roman" w:hAnsi="Times New Roman" w:cs="Times New Roman"/>
                <w:color w:val="000000"/>
                <w:sz w:val="28"/>
                <w:szCs w:val="28"/>
              </w:rPr>
              <w:t>З</w:t>
            </w:r>
            <w:r w:rsidRPr="00B754A1">
              <w:rPr>
                <w:rFonts w:ascii="Times New Roman" w:hAnsi="Times New Roman" w:cs="Times New Roman"/>
                <w:color w:val="000000"/>
                <w:sz w:val="28"/>
                <w:szCs w:val="28"/>
              </w:rPr>
              <w:t>начение для принятия решения, например точка, в которой достигается наибольшее значение чувствительности и специфичности</w:t>
            </w:r>
          </w:p>
          <w:p w14:paraId="3E42DC5D" w14:textId="77777777" w:rsidR="00597EA8" w:rsidRPr="00A52FA9" w:rsidRDefault="00597EA8" w:rsidP="00597EA8">
            <w:pPr>
              <w:jc w:val="both"/>
              <w:rPr>
                <w:rFonts w:ascii="Times New Roman" w:hAnsi="Times New Roman" w:cs="Times New Roman"/>
                <w:color w:val="000000"/>
                <w:sz w:val="28"/>
                <w:szCs w:val="28"/>
              </w:rPr>
            </w:pPr>
          </w:p>
        </w:tc>
      </w:tr>
      <w:tr w:rsidR="00597EA8" w14:paraId="14F5755B" w14:textId="77777777" w:rsidTr="006D35E0">
        <w:tc>
          <w:tcPr>
            <w:tcW w:w="3114" w:type="dxa"/>
            <w:shd w:val="clear" w:color="auto" w:fill="FFFFFF" w:themeFill="background1"/>
          </w:tcPr>
          <w:p w14:paraId="2C633067" w14:textId="77777777" w:rsidR="00597EA8" w:rsidRDefault="00597EA8" w:rsidP="00597EA8">
            <w:pPr>
              <w:jc w:val="both"/>
              <w:rPr>
                <w:rFonts w:ascii="Times New Roman" w:hAnsi="Times New Roman" w:cs="Times New Roman"/>
                <w:color w:val="000000"/>
                <w:sz w:val="28"/>
                <w:szCs w:val="28"/>
              </w:rPr>
            </w:pPr>
            <w:r w:rsidRPr="00A52FA9">
              <w:rPr>
                <w:rFonts w:ascii="Times New Roman" w:hAnsi="Times New Roman" w:cs="Times New Roman"/>
                <w:color w:val="000000"/>
                <w:sz w:val="28"/>
                <w:szCs w:val="28"/>
              </w:rPr>
              <w:t>Предсказательная ценность отрицательного результата</w:t>
            </w:r>
          </w:p>
          <w:p w14:paraId="00A5F4D1" w14:textId="5DDE189D" w:rsidR="00597EA8" w:rsidRDefault="00597EA8" w:rsidP="00597EA8">
            <w:pPr>
              <w:jc w:val="both"/>
              <w:rPr>
                <w:rFonts w:ascii="Times New Roman" w:hAnsi="Times New Roman" w:cs="Times New Roman"/>
                <w:color w:val="000000"/>
                <w:sz w:val="28"/>
                <w:szCs w:val="28"/>
              </w:rPr>
            </w:pPr>
          </w:p>
        </w:tc>
        <w:tc>
          <w:tcPr>
            <w:tcW w:w="6520" w:type="dxa"/>
            <w:shd w:val="clear" w:color="auto" w:fill="FFFFFF" w:themeFill="background1"/>
          </w:tcPr>
          <w:p w14:paraId="79ADA08F" w14:textId="38B218D7" w:rsidR="00597EA8" w:rsidRDefault="00597EA8" w:rsidP="00597EA8">
            <w:pPr>
              <w:jc w:val="both"/>
              <w:rPr>
                <w:rFonts w:ascii="Times New Roman" w:hAnsi="Times New Roman" w:cs="Times New Roman"/>
                <w:color w:val="000000"/>
                <w:sz w:val="28"/>
                <w:szCs w:val="28"/>
              </w:rPr>
            </w:pPr>
            <w:r w:rsidRPr="00A52FA9">
              <w:rPr>
                <w:rFonts w:ascii="Times New Roman" w:hAnsi="Times New Roman" w:cs="Times New Roman"/>
                <w:color w:val="000000"/>
                <w:sz w:val="28"/>
                <w:szCs w:val="28"/>
              </w:rPr>
              <w:t>Вероятность того, что пациент с отрицательным результатом теста действительно здоров</w:t>
            </w:r>
          </w:p>
        </w:tc>
      </w:tr>
      <w:tr w:rsidR="00597EA8" w14:paraId="26DC7A69" w14:textId="77777777" w:rsidTr="006D35E0">
        <w:tc>
          <w:tcPr>
            <w:tcW w:w="3114" w:type="dxa"/>
            <w:shd w:val="clear" w:color="auto" w:fill="FFFFFF" w:themeFill="background1"/>
          </w:tcPr>
          <w:p w14:paraId="39FB3795" w14:textId="77777777" w:rsidR="00597EA8" w:rsidRDefault="00597EA8" w:rsidP="00597EA8">
            <w:pPr>
              <w:jc w:val="both"/>
              <w:rPr>
                <w:rFonts w:ascii="Times New Roman" w:hAnsi="Times New Roman" w:cs="Times New Roman"/>
                <w:color w:val="000000"/>
                <w:sz w:val="28"/>
                <w:szCs w:val="28"/>
              </w:rPr>
            </w:pPr>
            <w:r w:rsidRPr="00A52FA9">
              <w:rPr>
                <w:rFonts w:ascii="Times New Roman" w:hAnsi="Times New Roman" w:cs="Times New Roman"/>
                <w:color w:val="000000"/>
                <w:sz w:val="28"/>
                <w:szCs w:val="28"/>
              </w:rPr>
              <w:t>Предсказательная ценность положительного результата</w:t>
            </w:r>
          </w:p>
          <w:p w14:paraId="27A3D630" w14:textId="431C9133" w:rsidR="00597EA8" w:rsidRDefault="00597EA8" w:rsidP="00597EA8">
            <w:pPr>
              <w:jc w:val="both"/>
              <w:rPr>
                <w:rFonts w:ascii="Times New Roman" w:hAnsi="Times New Roman" w:cs="Times New Roman"/>
                <w:color w:val="000000"/>
                <w:sz w:val="28"/>
                <w:szCs w:val="28"/>
              </w:rPr>
            </w:pPr>
          </w:p>
        </w:tc>
        <w:tc>
          <w:tcPr>
            <w:tcW w:w="6520" w:type="dxa"/>
            <w:shd w:val="clear" w:color="auto" w:fill="FFFFFF" w:themeFill="background1"/>
          </w:tcPr>
          <w:p w14:paraId="535CB6C5" w14:textId="6F422235" w:rsidR="00597EA8" w:rsidRDefault="00597EA8" w:rsidP="00597EA8">
            <w:pPr>
              <w:jc w:val="both"/>
              <w:rPr>
                <w:rFonts w:ascii="Times New Roman" w:hAnsi="Times New Roman" w:cs="Times New Roman"/>
                <w:color w:val="000000"/>
                <w:sz w:val="28"/>
                <w:szCs w:val="28"/>
              </w:rPr>
            </w:pPr>
            <w:r w:rsidRPr="00A52FA9">
              <w:rPr>
                <w:rFonts w:ascii="Times New Roman" w:hAnsi="Times New Roman" w:cs="Times New Roman"/>
                <w:color w:val="000000"/>
                <w:sz w:val="28"/>
                <w:szCs w:val="28"/>
              </w:rPr>
              <w:t>Вероятность того, что пациент с положительным результатом теста действительно болен</w:t>
            </w:r>
          </w:p>
        </w:tc>
      </w:tr>
      <w:tr w:rsidR="00597EA8" w14:paraId="13406699" w14:textId="77777777" w:rsidTr="006D35E0">
        <w:tc>
          <w:tcPr>
            <w:tcW w:w="3114" w:type="dxa"/>
            <w:shd w:val="clear" w:color="auto" w:fill="FFFFFF" w:themeFill="background1"/>
          </w:tcPr>
          <w:p w14:paraId="7350D5A0" w14:textId="35572B5D" w:rsidR="00597EA8" w:rsidRDefault="00597EA8" w:rsidP="00597EA8">
            <w:pPr>
              <w:jc w:val="both"/>
              <w:rPr>
                <w:rFonts w:ascii="Times New Roman" w:hAnsi="Times New Roman" w:cs="Times New Roman"/>
                <w:color w:val="000000"/>
                <w:sz w:val="28"/>
                <w:szCs w:val="28"/>
              </w:rPr>
            </w:pPr>
            <w:r w:rsidRPr="00010E78">
              <w:rPr>
                <w:rFonts w:ascii="Times New Roman" w:hAnsi="Times New Roman" w:cs="Times New Roman"/>
                <w:color w:val="000000"/>
                <w:sz w:val="28"/>
                <w:szCs w:val="28"/>
              </w:rPr>
              <w:t>Специфичность</w:t>
            </w:r>
          </w:p>
        </w:tc>
        <w:tc>
          <w:tcPr>
            <w:tcW w:w="6520" w:type="dxa"/>
            <w:shd w:val="clear" w:color="auto" w:fill="FFFFFF" w:themeFill="background1"/>
          </w:tcPr>
          <w:p w14:paraId="0DB9379E" w14:textId="77777777" w:rsidR="00597EA8" w:rsidRDefault="00597EA8" w:rsidP="00597EA8">
            <w:pPr>
              <w:jc w:val="both"/>
              <w:rPr>
                <w:rFonts w:ascii="Times New Roman" w:hAnsi="Times New Roman" w:cs="Times New Roman"/>
                <w:color w:val="000000"/>
                <w:sz w:val="28"/>
                <w:szCs w:val="28"/>
              </w:rPr>
            </w:pPr>
            <w:r w:rsidRPr="005C0AEF">
              <w:rPr>
                <w:rFonts w:ascii="Times New Roman" w:hAnsi="Times New Roman" w:cs="Times New Roman"/>
                <w:color w:val="000000"/>
                <w:sz w:val="28"/>
                <w:szCs w:val="28"/>
              </w:rPr>
              <w:t>Вероятность того, что у не больного данной болезнью пациента результат теста будет отрицательным</w:t>
            </w:r>
          </w:p>
          <w:p w14:paraId="7F203FE6" w14:textId="2FCE0597" w:rsidR="00597EA8" w:rsidRDefault="00597EA8" w:rsidP="00597EA8">
            <w:pPr>
              <w:jc w:val="both"/>
              <w:rPr>
                <w:rFonts w:ascii="Times New Roman" w:hAnsi="Times New Roman" w:cs="Times New Roman"/>
                <w:color w:val="000000"/>
                <w:sz w:val="28"/>
                <w:szCs w:val="28"/>
              </w:rPr>
            </w:pPr>
          </w:p>
        </w:tc>
      </w:tr>
      <w:tr w:rsidR="00597EA8" w14:paraId="5A9C7B51" w14:textId="77777777" w:rsidTr="006D35E0">
        <w:tc>
          <w:tcPr>
            <w:tcW w:w="3114" w:type="dxa"/>
            <w:shd w:val="clear" w:color="auto" w:fill="FFFFFF" w:themeFill="background1"/>
          </w:tcPr>
          <w:p w14:paraId="28ACC1CB" w14:textId="379BA12B" w:rsidR="00597EA8" w:rsidRDefault="00597EA8" w:rsidP="00597EA8">
            <w:pPr>
              <w:jc w:val="both"/>
              <w:rPr>
                <w:rFonts w:ascii="Times New Roman" w:hAnsi="Times New Roman" w:cs="Times New Roman"/>
                <w:color w:val="000000"/>
                <w:sz w:val="28"/>
                <w:szCs w:val="28"/>
              </w:rPr>
            </w:pPr>
            <w:r w:rsidRPr="001D107C">
              <w:rPr>
                <w:rFonts w:ascii="Times New Roman" w:hAnsi="Times New Roman" w:cs="Times New Roman"/>
                <w:color w:val="000000"/>
                <w:sz w:val="28"/>
                <w:szCs w:val="28"/>
              </w:rPr>
              <w:t>Чувствительность</w:t>
            </w:r>
          </w:p>
        </w:tc>
        <w:tc>
          <w:tcPr>
            <w:tcW w:w="6520" w:type="dxa"/>
            <w:shd w:val="clear" w:color="auto" w:fill="FFFFFF" w:themeFill="background1"/>
          </w:tcPr>
          <w:p w14:paraId="5BEAD3AC" w14:textId="77777777" w:rsidR="00597EA8" w:rsidRDefault="00597EA8" w:rsidP="00597EA8">
            <w:pPr>
              <w:jc w:val="both"/>
              <w:rPr>
                <w:rFonts w:ascii="Times New Roman" w:hAnsi="Times New Roman" w:cs="Times New Roman"/>
                <w:color w:val="000000"/>
                <w:sz w:val="28"/>
                <w:szCs w:val="28"/>
              </w:rPr>
            </w:pPr>
            <w:r w:rsidRPr="001D107C">
              <w:rPr>
                <w:rFonts w:ascii="Times New Roman" w:hAnsi="Times New Roman" w:cs="Times New Roman"/>
                <w:color w:val="000000"/>
                <w:sz w:val="28"/>
                <w:szCs w:val="28"/>
              </w:rPr>
              <w:t>Вероятность того, что у больного пациента будет положительный результат,</w:t>
            </w:r>
            <w:r>
              <w:rPr>
                <w:rFonts w:ascii="Times New Roman" w:hAnsi="Times New Roman" w:cs="Times New Roman"/>
                <w:color w:val="000000"/>
                <w:sz w:val="28"/>
                <w:szCs w:val="28"/>
              </w:rPr>
              <w:t xml:space="preserve"> </w:t>
            </w:r>
            <w:r w:rsidRPr="001D107C">
              <w:rPr>
                <w:rFonts w:ascii="Times New Roman" w:hAnsi="Times New Roman" w:cs="Times New Roman"/>
                <w:color w:val="000000"/>
                <w:sz w:val="28"/>
                <w:szCs w:val="28"/>
              </w:rPr>
              <w:t>то есть вероятность</w:t>
            </w:r>
            <w:r>
              <w:rPr>
                <w:rFonts w:ascii="Times New Roman" w:hAnsi="Times New Roman" w:cs="Times New Roman"/>
                <w:color w:val="000000"/>
                <w:sz w:val="28"/>
                <w:szCs w:val="28"/>
              </w:rPr>
              <w:t xml:space="preserve"> </w:t>
            </w:r>
            <w:r w:rsidRPr="001D107C">
              <w:rPr>
                <w:rFonts w:ascii="Times New Roman" w:hAnsi="Times New Roman" w:cs="Times New Roman"/>
                <w:color w:val="000000"/>
                <w:sz w:val="28"/>
                <w:szCs w:val="28"/>
              </w:rPr>
              <w:t>положительного</w:t>
            </w:r>
          </w:p>
          <w:p w14:paraId="069343CB" w14:textId="60454166" w:rsidR="00597EA8" w:rsidRDefault="00597EA8" w:rsidP="00597EA8">
            <w:pPr>
              <w:jc w:val="both"/>
              <w:rPr>
                <w:rFonts w:ascii="Times New Roman" w:hAnsi="Times New Roman" w:cs="Times New Roman"/>
                <w:color w:val="000000"/>
                <w:sz w:val="28"/>
                <w:szCs w:val="28"/>
              </w:rPr>
            </w:pPr>
          </w:p>
        </w:tc>
      </w:tr>
      <w:tr w:rsidR="00597EA8" w14:paraId="1DAF089C" w14:textId="77777777" w:rsidTr="006D35E0">
        <w:tc>
          <w:tcPr>
            <w:tcW w:w="3114" w:type="dxa"/>
            <w:shd w:val="clear" w:color="auto" w:fill="FFFFFF" w:themeFill="background1"/>
          </w:tcPr>
          <w:p w14:paraId="6B0B6357" w14:textId="1661DC9A" w:rsidR="00597EA8" w:rsidRPr="00BB7847" w:rsidRDefault="00597EA8" w:rsidP="00597EA8">
            <w:pPr>
              <w:jc w:val="both"/>
              <w:rPr>
                <w:rFonts w:ascii="Times New Roman" w:hAnsi="Times New Roman" w:cs="Times New Roman"/>
                <w:color w:val="000000"/>
                <w:sz w:val="28"/>
                <w:szCs w:val="28"/>
                <w:lang w:val="en-US"/>
              </w:rPr>
            </w:pPr>
            <w:r w:rsidRPr="00BB7847">
              <w:rPr>
                <w:rFonts w:ascii="Times New Roman" w:hAnsi="Times New Roman" w:cs="Times New Roman"/>
                <w:color w:val="000000"/>
                <w:sz w:val="28"/>
                <w:szCs w:val="28"/>
                <w:lang w:val="en-US"/>
              </w:rPr>
              <w:t>ISAC-</w:t>
            </w:r>
            <w:r w:rsidRPr="00C47153">
              <w:rPr>
                <w:rFonts w:ascii="Times New Roman" w:hAnsi="Times New Roman" w:cs="Times New Roman"/>
                <w:color w:val="000000"/>
                <w:sz w:val="28"/>
                <w:szCs w:val="28"/>
              </w:rPr>
              <w:t>тест</w:t>
            </w:r>
            <w:r w:rsidRPr="00BB7847">
              <w:rPr>
                <w:rFonts w:ascii="Times New Roman" w:hAnsi="Times New Roman" w:cs="Times New Roman"/>
                <w:color w:val="000000"/>
                <w:sz w:val="28"/>
                <w:szCs w:val="28"/>
                <w:lang w:val="en-US"/>
              </w:rPr>
              <w:t xml:space="preserve"> (Immuno Solid-phase Allergy Chip)</w:t>
            </w:r>
          </w:p>
        </w:tc>
        <w:tc>
          <w:tcPr>
            <w:tcW w:w="6520" w:type="dxa"/>
            <w:shd w:val="clear" w:color="auto" w:fill="FFFFFF" w:themeFill="background1"/>
          </w:tcPr>
          <w:p w14:paraId="195C3AED" w14:textId="77777777" w:rsidR="00597EA8" w:rsidRDefault="00597EA8" w:rsidP="00597EA8">
            <w:pPr>
              <w:jc w:val="both"/>
              <w:rPr>
                <w:rFonts w:ascii="Times New Roman" w:hAnsi="Times New Roman" w:cs="Times New Roman"/>
                <w:color w:val="000000"/>
                <w:sz w:val="28"/>
                <w:szCs w:val="28"/>
              </w:rPr>
            </w:pPr>
            <w:r>
              <w:rPr>
                <w:rFonts w:ascii="Times New Roman" w:hAnsi="Times New Roman" w:cs="Times New Roman"/>
                <w:color w:val="000000"/>
                <w:sz w:val="28"/>
                <w:szCs w:val="28"/>
              </w:rPr>
              <w:t>Иммунохемилюминесцентный метод исследования</w:t>
            </w:r>
            <w:r w:rsidRPr="00BB7847">
              <w:rPr>
                <w:rFonts w:ascii="Times New Roman" w:hAnsi="Times New Roman" w:cs="Times New Roman"/>
                <w:color w:val="000000"/>
                <w:sz w:val="28"/>
                <w:szCs w:val="28"/>
              </w:rPr>
              <w:t xml:space="preserve"> на иммунном</w:t>
            </w:r>
            <w:r>
              <w:rPr>
                <w:rFonts w:ascii="Times New Roman" w:hAnsi="Times New Roman" w:cs="Times New Roman"/>
                <w:color w:val="000000"/>
                <w:sz w:val="28"/>
                <w:szCs w:val="28"/>
              </w:rPr>
              <w:t xml:space="preserve"> твердофазном аллергочипе, позволяющий определенить аллергены на молекулярном уровне (компонентная аллергодиагностика)</w:t>
            </w:r>
          </w:p>
          <w:p w14:paraId="2EEEE409" w14:textId="352CF914" w:rsidR="00597EA8" w:rsidRPr="001D107C" w:rsidRDefault="00597EA8" w:rsidP="00597EA8">
            <w:pPr>
              <w:jc w:val="both"/>
              <w:rPr>
                <w:rFonts w:ascii="Times New Roman" w:hAnsi="Times New Roman" w:cs="Times New Roman"/>
                <w:color w:val="000000"/>
                <w:sz w:val="28"/>
                <w:szCs w:val="28"/>
              </w:rPr>
            </w:pPr>
          </w:p>
        </w:tc>
      </w:tr>
      <w:tr w:rsidR="00597EA8" w:rsidRPr="000D3A32" w14:paraId="64ED08D0" w14:textId="77777777" w:rsidTr="006D35E0">
        <w:tc>
          <w:tcPr>
            <w:tcW w:w="3114" w:type="dxa"/>
            <w:shd w:val="clear" w:color="auto" w:fill="FFFFFF" w:themeFill="background1"/>
          </w:tcPr>
          <w:p w14:paraId="5240D656" w14:textId="5FF0C34B" w:rsidR="00597EA8" w:rsidRPr="003A4711" w:rsidRDefault="00597EA8" w:rsidP="00597EA8">
            <w:pPr>
              <w:jc w:val="both"/>
              <w:rPr>
                <w:rFonts w:ascii="Times New Roman" w:hAnsi="Times New Roman" w:cs="Times New Roman"/>
                <w:color w:val="000000"/>
                <w:sz w:val="28"/>
                <w:szCs w:val="28"/>
                <w:lang w:val="en-US"/>
              </w:rPr>
            </w:pPr>
            <w:r w:rsidRPr="003A4711">
              <w:rPr>
                <w:rFonts w:ascii="Times New Roman" w:hAnsi="Times New Roman" w:cs="Times New Roman"/>
                <w:color w:val="000000"/>
                <w:sz w:val="28"/>
                <w:szCs w:val="28"/>
                <w:lang w:val="en-US"/>
              </w:rPr>
              <w:t>ROC-</w:t>
            </w:r>
            <w:r w:rsidRPr="00DD3BF5">
              <w:rPr>
                <w:rFonts w:ascii="Times New Roman" w:hAnsi="Times New Roman" w:cs="Times New Roman"/>
                <w:color w:val="000000"/>
                <w:sz w:val="28"/>
                <w:szCs w:val="28"/>
              </w:rPr>
              <w:t>кривая</w:t>
            </w:r>
            <w:r w:rsidRPr="003A4711">
              <w:rPr>
                <w:rFonts w:ascii="Times New Roman" w:hAnsi="Times New Roman" w:cs="Times New Roman"/>
                <w:color w:val="000000"/>
                <w:sz w:val="28"/>
                <w:szCs w:val="28"/>
                <w:lang w:val="en-US"/>
              </w:rPr>
              <w:t xml:space="preserve"> (Receiver Operator Characteristic)</w:t>
            </w:r>
          </w:p>
        </w:tc>
        <w:tc>
          <w:tcPr>
            <w:tcW w:w="6520" w:type="dxa"/>
            <w:shd w:val="clear" w:color="auto" w:fill="FFFFFF" w:themeFill="background1"/>
          </w:tcPr>
          <w:p w14:paraId="1C6B8C2B" w14:textId="1B3557E8" w:rsidR="00597EA8" w:rsidRPr="000D3A32" w:rsidRDefault="00597EA8" w:rsidP="00597EA8">
            <w:pPr>
              <w:jc w:val="both"/>
              <w:rPr>
                <w:rFonts w:ascii="Times New Roman" w:hAnsi="Times New Roman" w:cs="Times New Roman"/>
                <w:color w:val="000000"/>
                <w:sz w:val="28"/>
                <w:szCs w:val="28"/>
              </w:rPr>
            </w:pPr>
            <w:r w:rsidRPr="000D3A32">
              <w:rPr>
                <w:rFonts w:ascii="Times New Roman" w:hAnsi="Times New Roman" w:cs="Times New Roman"/>
                <w:color w:val="000000"/>
                <w:sz w:val="28"/>
                <w:szCs w:val="28"/>
              </w:rPr>
              <w:t>график, позволяющий оценить качество бинарной классификации, отображает соотношение между долей объектов от общего количества носителей признака, верно классифицированных как несущие признак и долей объектов от общего количества объектов, не несущих признака, ошибочно классиф</w:t>
            </w:r>
            <w:r>
              <w:rPr>
                <w:rFonts w:ascii="Times New Roman" w:hAnsi="Times New Roman" w:cs="Times New Roman"/>
                <w:color w:val="000000"/>
                <w:sz w:val="28"/>
                <w:szCs w:val="28"/>
              </w:rPr>
              <w:t>ицированных как несущие признак</w:t>
            </w:r>
            <w:r w:rsidRPr="000D3A32">
              <w:rPr>
                <w:rFonts w:ascii="Times New Roman" w:hAnsi="Times New Roman" w:cs="Times New Roman"/>
                <w:color w:val="000000"/>
                <w:sz w:val="28"/>
                <w:szCs w:val="28"/>
              </w:rPr>
              <w:t xml:space="preserve"> при варьировании порога решающего правила.</w:t>
            </w:r>
          </w:p>
        </w:tc>
      </w:tr>
    </w:tbl>
    <w:p w14:paraId="540D1D7C" w14:textId="77777777" w:rsidR="00F43F70" w:rsidRPr="000D3A32" w:rsidRDefault="00F43F70" w:rsidP="00CA41F9">
      <w:pPr>
        <w:spacing w:after="0"/>
        <w:ind w:firstLine="567"/>
        <w:jc w:val="both"/>
        <w:rPr>
          <w:rFonts w:ascii="Times New Roman" w:hAnsi="Times New Roman" w:cs="Times New Roman"/>
          <w:color w:val="000000"/>
          <w:sz w:val="28"/>
          <w:szCs w:val="28"/>
        </w:rPr>
      </w:pPr>
    </w:p>
    <w:p w14:paraId="723E1E05" w14:textId="77777777" w:rsidR="00975AA4" w:rsidRPr="000D3A32" w:rsidRDefault="00975AA4" w:rsidP="00F43F70">
      <w:pPr>
        <w:spacing w:after="0"/>
        <w:jc w:val="both"/>
        <w:rPr>
          <w:rFonts w:ascii="Times New Roman" w:hAnsi="Times New Roman" w:cs="Times New Roman"/>
          <w:color w:val="000000"/>
          <w:sz w:val="28"/>
          <w:szCs w:val="28"/>
        </w:rPr>
      </w:pPr>
    </w:p>
    <w:p w14:paraId="25679D66" w14:textId="0EB75CBA" w:rsidR="00E248DB" w:rsidRPr="000D3A32" w:rsidRDefault="00E248DB">
      <w:pPr>
        <w:rPr>
          <w:rFonts w:ascii="Times New Roman" w:hAnsi="Times New Roman" w:cs="Times New Roman"/>
          <w:color w:val="000000"/>
          <w:sz w:val="28"/>
          <w:szCs w:val="28"/>
        </w:rPr>
      </w:pPr>
      <w:r w:rsidRPr="000D3A32">
        <w:rPr>
          <w:rFonts w:ascii="Times New Roman" w:hAnsi="Times New Roman" w:cs="Times New Roman"/>
          <w:color w:val="000000"/>
          <w:sz w:val="28"/>
          <w:szCs w:val="28"/>
        </w:rPr>
        <w:br w:type="page"/>
      </w:r>
    </w:p>
    <w:p w14:paraId="75C96003" w14:textId="746EA732" w:rsidR="00265C0D" w:rsidRPr="006915ED" w:rsidRDefault="00265C0D" w:rsidP="006915ED">
      <w:pPr>
        <w:pStyle w:val="1"/>
        <w:numPr>
          <w:ilvl w:val="0"/>
          <w:numId w:val="0"/>
        </w:numPr>
        <w:jc w:val="center"/>
        <w:rPr>
          <w:rStyle w:val="fontstyle01"/>
          <w:rFonts w:asciiTheme="majorHAnsi" w:hAnsiTheme="majorHAnsi" w:cstheme="majorBidi"/>
          <w:color w:val="2E74B5" w:themeColor="accent1" w:themeShade="BF"/>
          <w:sz w:val="32"/>
          <w:szCs w:val="32"/>
        </w:rPr>
      </w:pPr>
      <w:bookmarkStart w:id="3" w:name="_Toc137904327"/>
      <w:r w:rsidRPr="00265C0D">
        <w:rPr>
          <w:rStyle w:val="fontstyle01"/>
          <w:b/>
        </w:rPr>
        <w:t>ОБОЗНАЧЕНИЯ И СОКРАЩЕНИЯ</w:t>
      </w:r>
      <w:bookmarkEnd w:id="3"/>
    </w:p>
    <w:p w14:paraId="62FEE09D" w14:textId="77777777" w:rsidR="00265C0D" w:rsidRPr="00265C0D" w:rsidRDefault="00265C0D" w:rsidP="00265C0D">
      <w:pPr>
        <w:spacing w:after="0"/>
        <w:ind w:firstLine="567"/>
        <w:jc w:val="center"/>
        <w:rPr>
          <w:rFonts w:ascii="Times New Roman" w:hAnsi="Times New Roman" w:cs="Times New Roman"/>
          <w:b/>
          <w:color w:val="000000"/>
          <w:sz w:val="28"/>
          <w:szCs w:val="28"/>
        </w:rPr>
      </w:pPr>
    </w:p>
    <w:tbl>
      <w:tblPr>
        <w:tblStyle w:val="af3"/>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945"/>
      </w:tblGrid>
      <w:tr w:rsidR="007B3949" w14:paraId="09230E6F" w14:textId="77777777" w:rsidTr="00DF1FAF">
        <w:tc>
          <w:tcPr>
            <w:tcW w:w="2689" w:type="dxa"/>
          </w:tcPr>
          <w:p w14:paraId="332DDC17" w14:textId="267DB984" w:rsidR="007B3949" w:rsidRDefault="007B669A" w:rsidP="00DF1FAF">
            <w:pPr>
              <w:spacing w:line="276" w:lineRule="auto"/>
              <w:rPr>
                <w:rFonts w:ascii="Times New Roman" w:hAnsi="Times New Roman" w:cs="Times New Roman"/>
                <w:sz w:val="28"/>
                <w:szCs w:val="28"/>
              </w:rPr>
            </w:pPr>
            <w:r>
              <w:rPr>
                <w:rStyle w:val="fontstyle01"/>
              </w:rPr>
              <w:t>АПК</w:t>
            </w:r>
          </w:p>
        </w:tc>
        <w:tc>
          <w:tcPr>
            <w:tcW w:w="6945" w:type="dxa"/>
          </w:tcPr>
          <w:p w14:paraId="01613461" w14:textId="1F2F0F2C" w:rsidR="007B3949" w:rsidRDefault="007B669A" w:rsidP="00DF1FAF">
            <w:pPr>
              <w:spacing w:line="276" w:lineRule="auto"/>
              <w:rPr>
                <w:rFonts w:ascii="Times New Roman" w:hAnsi="Times New Roman" w:cs="Times New Roman"/>
                <w:sz w:val="28"/>
                <w:szCs w:val="28"/>
              </w:rPr>
            </w:pPr>
            <w:r>
              <w:rPr>
                <w:rFonts w:ascii="Times New Roman" w:hAnsi="Times New Roman" w:cs="Times New Roman"/>
                <w:sz w:val="28"/>
                <w:szCs w:val="28"/>
              </w:rPr>
              <w:t>Антиген-презентирующие клетки</w:t>
            </w:r>
          </w:p>
        </w:tc>
      </w:tr>
      <w:tr w:rsidR="00DF5E05" w14:paraId="482FEC79" w14:textId="77777777" w:rsidTr="00DF1FAF">
        <w:tc>
          <w:tcPr>
            <w:tcW w:w="2689" w:type="dxa"/>
          </w:tcPr>
          <w:p w14:paraId="033FE833" w14:textId="266AB8F4" w:rsidR="00DF5E05" w:rsidRDefault="00DF5E05" w:rsidP="00DF1FAF">
            <w:pPr>
              <w:spacing w:line="276" w:lineRule="auto"/>
              <w:rPr>
                <w:rStyle w:val="fontstyle01"/>
              </w:rPr>
            </w:pPr>
            <w:r w:rsidRPr="00DF5E05">
              <w:rPr>
                <w:rStyle w:val="fontstyle01"/>
              </w:rPr>
              <w:t>АПФ</w:t>
            </w:r>
          </w:p>
        </w:tc>
        <w:tc>
          <w:tcPr>
            <w:tcW w:w="6945" w:type="dxa"/>
          </w:tcPr>
          <w:p w14:paraId="45BB942A" w14:textId="348E5700" w:rsidR="00DF5E05" w:rsidRDefault="00DF5E05" w:rsidP="00DF1FAF">
            <w:pPr>
              <w:spacing w:line="276" w:lineRule="auto"/>
              <w:rPr>
                <w:rFonts w:ascii="Times New Roman" w:hAnsi="Times New Roman" w:cs="Times New Roman"/>
                <w:sz w:val="28"/>
                <w:szCs w:val="28"/>
              </w:rPr>
            </w:pPr>
            <w:r>
              <w:rPr>
                <w:rFonts w:ascii="Times New Roman" w:hAnsi="Times New Roman" w:cs="Times New Roman"/>
                <w:sz w:val="28"/>
                <w:szCs w:val="28"/>
              </w:rPr>
              <w:t>Ангиотензинпревращающий фермент</w:t>
            </w:r>
          </w:p>
        </w:tc>
      </w:tr>
      <w:tr w:rsidR="007B3949" w14:paraId="5D3DA1D9" w14:textId="77777777" w:rsidTr="00DF1FAF">
        <w:tc>
          <w:tcPr>
            <w:tcW w:w="2689" w:type="dxa"/>
          </w:tcPr>
          <w:p w14:paraId="20ED7DB6" w14:textId="5132C3B9" w:rsidR="007B3949" w:rsidRDefault="007B3949" w:rsidP="00DF1FAF">
            <w:pPr>
              <w:spacing w:line="276" w:lineRule="auto"/>
              <w:rPr>
                <w:rFonts w:ascii="Times New Roman" w:hAnsi="Times New Roman" w:cs="Times New Roman"/>
                <w:sz w:val="28"/>
                <w:szCs w:val="28"/>
              </w:rPr>
            </w:pPr>
            <w:r w:rsidRPr="00F00F3A">
              <w:rPr>
                <w:rFonts w:ascii="Times New Roman" w:hAnsi="Times New Roman" w:cs="Times New Roman"/>
                <w:sz w:val="28"/>
                <w:szCs w:val="28"/>
              </w:rPr>
              <w:t>АР</w:t>
            </w:r>
          </w:p>
        </w:tc>
        <w:tc>
          <w:tcPr>
            <w:tcW w:w="6945" w:type="dxa"/>
          </w:tcPr>
          <w:p w14:paraId="51FC75BD" w14:textId="492EB470" w:rsidR="007B3949" w:rsidRDefault="007B3949" w:rsidP="00DF1FAF">
            <w:pPr>
              <w:spacing w:line="276" w:lineRule="auto"/>
              <w:rPr>
                <w:rFonts w:ascii="Times New Roman" w:hAnsi="Times New Roman" w:cs="Times New Roman"/>
                <w:sz w:val="28"/>
                <w:szCs w:val="28"/>
              </w:rPr>
            </w:pPr>
            <w:r>
              <w:rPr>
                <w:rFonts w:ascii="Times New Roman" w:hAnsi="Times New Roman" w:cs="Times New Roman"/>
                <w:sz w:val="28"/>
                <w:szCs w:val="28"/>
              </w:rPr>
              <w:t>Аллергический ринит</w:t>
            </w:r>
          </w:p>
        </w:tc>
      </w:tr>
      <w:tr w:rsidR="007B3949" w14:paraId="606FB29F" w14:textId="77777777" w:rsidTr="00DF1FAF">
        <w:tc>
          <w:tcPr>
            <w:tcW w:w="2689" w:type="dxa"/>
          </w:tcPr>
          <w:p w14:paraId="2076DD3F" w14:textId="68576058" w:rsidR="007B3949" w:rsidRDefault="007B3949" w:rsidP="00DF1FAF">
            <w:pPr>
              <w:spacing w:line="276" w:lineRule="auto"/>
              <w:rPr>
                <w:rFonts w:ascii="Times New Roman" w:hAnsi="Times New Roman" w:cs="Times New Roman"/>
                <w:sz w:val="28"/>
                <w:szCs w:val="28"/>
              </w:rPr>
            </w:pPr>
            <w:r w:rsidRPr="00265C0D">
              <w:rPr>
                <w:rFonts w:ascii="Times New Roman" w:hAnsi="Times New Roman" w:cs="Times New Roman"/>
                <w:sz w:val="28"/>
                <w:szCs w:val="28"/>
              </w:rPr>
              <w:t>АСИТ</w:t>
            </w:r>
          </w:p>
        </w:tc>
        <w:tc>
          <w:tcPr>
            <w:tcW w:w="6945" w:type="dxa"/>
          </w:tcPr>
          <w:p w14:paraId="0B128472" w14:textId="651EAA06" w:rsidR="007B3949" w:rsidRDefault="007B3949" w:rsidP="00DF1FAF">
            <w:pPr>
              <w:spacing w:line="276" w:lineRule="auto"/>
              <w:rPr>
                <w:rFonts w:ascii="Times New Roman" w:hAnsi="Times New Roman" w:cs="Times New Roman"/>
                <w:sz w:val="28"/>
                <w:szCs w:val="28"/>
              </w:rPr>
            </w:pPr>
            <w:r>
              <w:rPr>
                <w:rFonts w:ascii="Times New Roman" w:hAnsi="Times New Roman" w:cs="Times New Roman"/>
                <w:sz w:val="28"/>
                <w:szCs w:val="28"/>
              </w:rPr>
              <w:t>Аллерген-специфическая иммунотерапия</w:t>
            </w:r>
          </w:p>
        </w:tc>
      </w:tr>
      <w:tr w:rsidR="00C74636" w14:paraId="6DEB203B" w14:textId="77777777" w:rsidTr="00DF1FAF">
        <w:tc>
          <w:tcPr>
            <w:tcW w:w="2689" w:type="dxa"/>
          </w:tcPr>
          <w:p w14:paraId="7C96CBC7" w14:textId="4A2A2624" w:rsidR="00C74636" w:rsidRPr="00265C0D" w:rsidRDefault="00C74636" w:rsidP="00DF1FAF">
            <w:pPr>
              <w:spacing w:line="276" w:lineRule="auto"/>
              <w:rPr>
                <w:rFonts w:ascii="Times New Roman" w:hAnsi="Times New Roman" w:cs="Times New Roman"/>
                <w:sz w:val="28"/>
                <w:szCs w:val="28"/>
              </w:rPr>
            </w:pPr>
            <w:r w:rsidRPr="00C74636">
              <w:rPr>
                <w:rFonts w:ascii="Times New Roman" w:hAnsi="Times New Roman" w:cs="Times New Roman"/>
                <w:sz w:val="28"/>
                <w:szCs w:val="28"/>
              </w:rPr>
              <w:t>БА</w:t>
            </w:r>
          </w:p>
        </w:tc>
        <w:tc>
          <w:tcPr>
            <w:tcW w:w="6945" w:type="dxa"/>
          </w:tcPr>
          <w:p w14:paraId="401482CF" w14:textId="7EA92AF0" w:rsidR="00C74636" w:rsidRDefault="00C74636" w:rsidP="00DF1FAF">
            <w:pPr>
              <w:spacing w:line="276" w:lineRule="auto"/>
              <w:rPr>
                <w:rFonts w:ascii="Times New Roman" w:hAnsi="Times New Roman" w:cs="Times New Roman"/>
                <w:sz w:val="28"/>
                <w:szCs w:val="28"/>
              </w:rPr>
            </w:pPr>
            <w:r>
              <w:rPr>
                <w:rFonts w:ascii="Times New Roman" w:hAnsi="Times New Roman" w:cs="Times New Roman"/>
                <w:sz w:val="28"/>
                <w:szCs w:val="28"/>
              </w:rPr>
              <w:t>Бронхиальная астма</w:t>
            </w:r>
          </w:p>
        </w:tc>
      </w:tr>
      <w:tr w:rsidR="00E449D6" w14:paraId="078FFB89" w14:textId="77777777" w:rsidTr="00DF1FAF">
        <w:tc>
          <w:tcPr>
            <w:tcW w:w="2689" w:type="dxa"/>
          </w:tcPr>
          <w:p w14:paraId="048CD90B" w14:textId="2269A4A7" w:rsidR="00E449D6" w:rsidRPr="00265C0D" w:rsidRDefault="00E449D6" w:rsidP="00DF1FAF">
            <w:pPr>
              <w:spacing w:line="276" w:lineRule="auto"/>
              <w:rPr>
                <w:rFonts w:ascii="Times New Roman" w:hAnsi="Times New Roman" w:cs="Times New Roman"/>
                <w:sz w:val="28"/>
                <w:szCs w:val="28"/>
              </w:rPr>
            </w:pPr>
            <w:r w:rsidRPr="00E449D6">
              <w:rPr>
                <w:rFonts w:ascii="Times New Roman" w:hAnsi="Times New Roman" w:cs="Times New Roman"/>
                <w:sz w:val="28"/>
                <w:szCs w:val="28"/>
              </w:rPr>
              <w:t>BAK</w:t>
            </w:r>
          </w:p>
        </w:tc>
        <w:tc>
          <w:tcPr>
            <w:tcW w:w="6945" w:type="dxa"/>
          </w:tcPr>
          <w:p w14:paraId="2A6F36A4" w14:textId="748C6C0F" w:rsidR="00E449D6" w:rsidRDefault="00E449D6" w:rsidP="00DF1FAF">
            <w:pPr>
              <w:spacing w:line="276" w:lineRule="auto"/>
              <w:rPr>
                <w:rFonts w:ascii="Times New Roman" w:hAnsi="Times New Roman" w:cs="Times New Roman"/>
                <w:sz w:val="28"/>
                <w:szCs w:val="28"/>
              </w:rPr>
            </w:pPr>
            <w:r w:rsidRPr="00E449D6">
              <w:rPr>
                <w:rFonts w:ascii="Times New Roman" w:hAnsi="Times New Roman" w:cs="Times New Roman"/>
                <w:sz w:val="28"/>
                <w:szCs w:val="28"/>
              </w:rPr>
              <w:t>Высшая Аттестационная Комиссия</w:t>
            </w:r>
          </w:p>
        </w:tc>
      </w:tr>
      <w:tr w:rsidR="007B3949" w14:paraId="20032047" w14:textId="77777777" w:rsidTr="00DF1FAF">
        <w:tc>
          <w:tcPr>
            <w:tcW w:w="2689" w:type="dxa"/>
          </w:tcPr>
          <w:p w14:paraId="38247A38" w14:textId="7C160C39" w:rsidR="007B3949" w:rsidRDefault="007B3949" w:rsidP="00DF1FAF">
            <w:pPr>
              <w:spacing w:line="276" w:lineRule="auto"/>
              <w:rPr>
                <w:rFonts w:ascii="Times New Roman" w:hAnsi="Times New Roman" w:cs="Times New Roman"/>
                <w:sz w:val="28"/>
                <w:szCs w:val="28"/>
              </w:rPr>
            </w:pPr>
            <w:r>
              <w:rPr>
                <w:rFonts w:ascii="Times New Roman" w:hAnsi="Times New Roman" w:cs="Times New Roman"/>
                <w:color w:val="000000"/>
                <w:sz w:val="28"/>
                <w:szCs w:val="28"/>
              </w:rPr>
              <w:t>ВОЗ</w:t>
            </w:r>
          </w:p>
        </w:tc>
        <w:tc>
          <w:tcPr>
            <w:tcW w:w="6945" w:type="dxa"/>
          </w:tcPr>
          <w:p w14:paraId="6A7184DE" w14:textId="2558ACDC" w:rsidR="007B3949" w:rsidRDefault="007B3949" w:rsidP="00DF1FAF">
            <w:pPr>
              <w:spacing w:line="276" w:lineRule="auto"/>
              <w:rPr>
                <w:rFonts w:ascii="Times New Roman" w:hAnsi="Times New Roman" w:cs="Times New Roman"/>
                <w:sz w:val="28"/>
                <w:szCs w:val="28"/>
              </w:rPr>
            </w:pPr>
            <w:r>
              <w:rPr>
                <w:rFonts w:ascii="Times New Roman" w:hAnsi="Times New Roman" w:cs="Times New Roman"/>
                <w:color w:val="000000"/>
                <w:sz w:val="28"/>
                <w:szCs w:val="28"/>
              </w:rPr>
              <w:t>В</w:t>
            </w:r>
            <w:r w:rsidRPr="00265C0D">
              <w:rPr>
                <w:rFonts w:ascii="Times New Roman" w:hAnsi="Times New Roman" w:cs="Times New Roman"/>
                <w:color w:val="000000"/>
                <w:sz w:val="28"/>
                <w:szCs w:val="28"/>
              </w:rPr>
              <w:t>семирная организация здравоохранения</w:t>
            </w:r>
          </w:p>
        </w:tc>
      </w:tr>
      <w:tr w:rsidR="009F6387" w14:paraId="7DEB4649" w14:textId="77777777" w:rsidTr="00DF1FAF">
        <w:tc>
          <w:tcPr>
            <w:tcW w:w="2689" w:type="dxa"/>
          </w:tcPr>
          <w:p w14:paraId="6B6EA92C" w14:textId="582BC7A8" w:rsidR="009F6387" w:rsidRPr="0076093A" w:rsidRDefault="009F6387" w:rsidP="00DF1FAF">
            <w:pPr>
              <w:spacing w:line="276" w:lineRule="auto"/>
              <w:rPr>
                <w:rFonts w:ascii="Times New Roman" w:hAnsi="Times New Roman" w:cs="Times New Roman"/>
                <w:color w:val="000000"/>
                <w:sz w:val="28"/>
                <w:szCs w:val="28"/>
              </w:rPr>
            </w:pPr>
            <w:r>
              <w:rPr>
                <w:rStyle w:val="fontstyle01"/>
              </w:rPr>
              <w:t>ГКГС</w:t>
            </w:r>
            <w:r w:rsidR="00450C06">
              <w:rPr>
                <w:rFonts w:ascii="Times New Roman" w:hAnsi="Times New Roman" w:cs="Times New Roman"/>
                <w:sz w:val="28"/>
                <w:szCs w:val="28"/>
              </w:rPr>
              <w:t xml:space="preserve"> </w:t>
            </w:r>
            <w:r w:rsidR="0076093A">
              <w:rPr>
                <w:rFonts w:ascii="Times New Roman" w:hAnsi="Times New Roman" w:cs="Times New Roman"/>
                <w:sz w:val="28"/>
                <w:szCs w:val="28"/>
              </w:rPr>
              <w:t>(</w:t>
            </w:r>
            <w:r w:rsidR="0076093A">
              <w:rPr>
                <w:rFonts w:ascii="Times New Roman" w:hAnsi="Times New Roman" w:cs="Times New Roman"/>
                <w:sz w:val="28"/>
                <w:szCs w:val="28"/>
                <w:lang w:val="en-US"/>
              </w:rPr>
              <w:t>MHC)</w:t>
            </w:r>
          </w:p>
        </w:tc>
        <w:tc>
          <w:tcPr>
            <w:tcW w:w="6945" w:type="dxa"/>
          </w:tcPr>
          <w:p w14:paraId="0F5D0090" w14:textId="10663C28" w:rsidR="009F6387" w:rsidRDefault="009F6387" w:rsidP="00DF1FAF">
            <w:pPr>
              <w:spacing w:line="276" w:lineRule="auto"/>
              <w:rPr>
                <w:rFonts w:ascii="Times New Roman" w:hAnsi="Times New Roman" w:cs="Times New Roman"/>
                <w:color w:val="000000"/>
                <w:sz w:val="28"/>
                <w:szCs w:val="28"/>
              </w:rPr>
            </w:pPr>
            <w:r>
              <w:rPr>
                <w:rFonts w:ascii="Times New Roman" w:hAnsi="Times New Roman" w:cs="Times New Roman"/>
                <w:color w:val="000000"/>
                <w:sz w:val="28"/>
                <w:szCs w:val="28"/>
              </w:rPr>
              <w:t>Главный комплекс гистосовместимости</w:t>
            </w:r>
          </w:p>
        </w:tc>
      </w:tr>
      <w:tr w:rsidR="00450C06" w14:paraId="407CE381" w14:textId="77777777" w:rsidTr="00DF1FAF">
        <w:tc>
          <w:tcPr>
            <w:tcW w:w="2689" w:type="dxa"/>
          </w:tcPr>
          <w:p w14:paraId="017FEA37" w14:textId="40E856FD" w:rsidR="00450C06" w:rsidRDefault="00450C06" w:rsidP="00DF1FAF">
            <w:pPr>
              <w:spacing w:line="276" w:lineRule="auto"/>
              <w:rPr>
                <w:rStyle w:val="fontstyle01"/>
              </w:rPr>
            </w:pPr>
            <w:r>
              <w:rPr>
                <w:rFonts w:ascii="Times New Roman" w:hAnsi="Times New Roman" w:cs="Times New Roman"/>
                <w:sz w:val="28"/>
                <w:szCs w:val="28"/>
              </w:rPr>
              <w:t>ГКС</w:t>
            </w:r>
          </w:p>
        </w:tc>
        <w:tc>
          <w:tcPr>
            <w:tcW w:w="6945" w:type="dxa"/>
          </w:tcPr>
          <w:p w14:paraId="2348F21C" w14:textId="2C55395D" w:rsidR="00450C06" w:rsidRDefault="00450C06" w:rsidP="00DF1FAF">
            <w:pPr>
              <w:spacing w:line="276" w:lineRule="auto"/>
              <w:rPr>
                <w:rFonts w:ascii="Times New Roman" w:hAnsi="Times New Roman" w:cs="Times New Roman"/>
                <w:color w:val="000000"/>
                <w:sz w:val="28"/>
                <w:szCs w:val="28"/>
              </w:rPr>
            </w:pPr>
            <w:r w:rsidRPr="00450C06">
              <w:rPr>
                <w:rFonts w:ascii="Times New Roman" w:hAnsi="Times New Roman" w:cs="Times New Roman"/>
                <w:color w:val="000000"/>
                <w:sz w:val="28"/>
                <w:szCs w:val="28"/>
              </w:rPr>
              <w:t>Глюкокортикостероидные средства</w:t>
            </w:r>
          </w:p>
        </w:tc>
      </w:tr>
      <w:tr w:rsidR="00D46374" w14:paraId="009D5849" w14:textId="77777777" w:rsidTr="00DF1FAF">
        <w:tc>
          <w:tcPr>
            <w:tcW w:w="2689" w:type="dxa"/>
          </w:tcPr>
          <w:p w14:paraId="7C52D184" w14:textId="08F0EBEB" w:rsidR="00D46374" w:rsidRDefault="00D46374" w:rsidP="00DF1FAF">
            <w:pPr>
              <w:spacing w:line="276" w:lineRule="auto"/>
              <w:rPr>
                <w:rFonts w:ascii="Times New Roman" w:hAnsi="Times New Roman" w:cs="Times New Roman"/>
                <w:color w:val="000000"/>
                <w:sz w:val="28"/>
                <w:szCs w:val="28"/>
              </w:rPr>
            </w:pPr>
            <w:r>
              <w:rPr>
                <w:rStyle w:val="fontstyle01"/>
              </w:rPr>
              <w:t>ДК</w:t>
            </w:r>
          </w:p>
        </w:tc>
        <w:tc>
          <w:tcPr>
            <w:tcW w:w="6945" w:type="dxa"/>
          </w:tcPr>
          <w:p w14:paraId="103C9E9B" w14:textId="64B92018" w:rsidR="00D46374" w:rsidRDefault="00D46374" w:rsidP="00DF1FAF">
            <w:pPr>
              <w:spacing w:line="276" w:lineRule="auto"/>
              <w:rPr>
                <w:rFonts w:ascii="Times New Roman" w:hAnsi="Times New Roman" w:cs="Times New Roman"/>
                <w:color w:val="000000"/>
                <w:sz w:val="28"/>
                <w:szCs w:val="28"/>
              </w:rPr>
            </w:pPr>
            <w:r>
              <w:rPr>
                <w:rFonts w:ascii="Times New Roman" w:hAnsi="Times New Roman" w:cs="Times New Roman"/>
                <w:color w:val="000000"/>
                <w:sz w:val="28"/>
                <w:szCs w:val="28"/>
              </w:rPr>
              <w:t>Дендритные клетки</w:t>
            </w:r>
          </w:p>
        </w:tc>
      </w:tr>
      <w:tr w:rsidR="006D72D6" w14:paraId="7554F851" w14:textId="77777777" w:rsidTr="00DF1FAF">
        <w:tc>
          <w:tcPr>
            <w:tcW w:w="2689" w:type="dxa"/>
          </w:tcPr>
          <w:p w14:paraId="24C53D8B" w14:textId="1D56C767" w:rsidR="006D72D6" w:rsidRDefault="006D72D6" w:rsidP="00DF1FAF">
            <w:pPr>
              <w:spacing w:line="276" w:lineRule="auto"/>
              <w:rPr>
                <w:rStyle w:val="fontstyle01"/>
              </w:rPr>
            </w:pPr>
            <w:r>
              <w:rPr>
                <w:rFonts w:ascii="Times New Roman" w:hAnsi="Times New Roman" w:cs="Times New Roman"/>
                <w:sz w:val="28"/>
                <w:szCs w:val="28"/>
              </w:rPr>
              <w:t>ИГ</w:t>
            </w:r>
            <w:r w:rsidR="00F86BD3">
              <w:rPr>
                <w:rFonts w:ascii="Times New Roman" w:hAnsi="Times New Roman" w:cs="Times New Roman"/>
                <w:sz w:val="28"/>
                <w:szCs w:val="28"/>
              </w:rPr>
              <w:t xml:space="preserve"> (</w:t>
            </w:r>
            <w:r w:rsidR="00F86BD3">
              <w:rPr>
                <w:rStyle w:val="fontstyle01"/>
              </w:rPr>
              <w:t>Ig)</w:t>
            </w:r>
          </w:p>
        </w:tc>
        <w:tc>
          <w:tcPr>
            <w:tcW w:w="6945" w:type="dxa"/>
          </w:tcPr>
          <w:p w14:paraId="3DD6D277" w14:textId="1124A6AC" w:rsidR="006D72D6" w:rsidRDefault="006D72D6" w:rsidP="00DF1FAF">
            <w:pPr>
              <w:spacing w:line="276" w:lineRule="auto"/>
              <w:rPr>
                <w:rFonts w:ascii="Times New Roman" w:hAnsi="Times New Roman" w:cs="Times New Roman"/>
                <w:color w:val="000000"/>
                <w:sz w:val="28"/>
                <w:szCs w:val="28"/>
              </w:rPr>
            </w:pPr>
            <w:r>
              <w:rPr>
                <w:rStyle w:val="fontstyle01"/>
              </w:rPr>
              <w:t>Иммуноглобулин</w:t>
            </w:r>
          </w:p>
        </w:tc>
      </w:tr>
      <w:tr w:rsidR="00D46374" w14:paraId="4D3A5A6B" w14:textId="77777777" w:rsidTr="00DF1FAF">
        <w:tc>
          <w:tcPr>
            <w:tcW w:w="2689" w:type="dxa"/>
          </w:tcPr>
          <w:p w14:paraId="191B263D" w14:textId="46B9B022" w:rsidR="00D46374" w:rsidRPr="00F86BD3" w:rsidRDefault="009F6387" w:rsidP="00DF1FAF">
            <w:pPr>
              <w:spacing w:line="276" w:lineRule="auto"/>
              <w:rPr>
                <w:rStyle w:val="fontstyle01"/>
              </w:rPr>
            </w:pPr>
            <w:r>
              <w:rPr>
                <w:rFonts w:ascii="Times New Roman" w:hAnsi="Times New Roman" w:cs="Times New Roman"/>
                <w:sz w:val="28"/>
                <w:szCs w:val="28"/>
              </w:rPr>
              <w:t>ИЛ</w:t>
            </w:r>
            <w:r w:rsidR="00F86BD3">
              <w:rPr>
                <w:rFonts w:ascii="Times New Roman" w:hAnsi="Times New Roman" w:cs="Times New Roman"/>
                <w:sz w:val="28"/>
                <w:szCs w:val="28"/>
              </w:rPr>
              <w:t xml:space="preserve"> (</w:t>
            </w:r>
            <w:r w:rsidR="00F86BD3">
              <w:rPr>
                <w:rStyle w:val="fontstyle01"/>
                <w:lang w:val="en-US"/>
              </w:rPr>
              <w:t>IL</w:t>
            </w:r>
            <w:r w:rsidR="00F86BD3">
              <w:rPr>
                <w:rStyle w:val="fontstyle01"/>
              </w:rPr>
              <w:t>)</w:t>
            </w:r>
          </w:p>
        </w:tc>
        <w:tc>
          <w:tcPr>
            <w:tcW w:w="6945" w:type="dxa"/>
          </w:tcPr>
          <w:p w14:paraId="4196B213" w14:textId="56BB5456" w:rsidR="00D46374" w:rsidRDefault="00D46374" w:rsidP="00DF1FAF">
            <w:pPr>
              <w:spacing w:line="276" w:lineRule="auto"/>
              <w:rPr>
                <w:rFonts w:ascii="Times New Roman" w:hAnsi="Times New Roman" w:cs="Times New Roman"/>
                <w:color w:val="000000"/>
                <w:sz w:val="28"/>
                <w:szCs w:val="28"/>
              </w:rPr>
            </w:pPr>
            <w:r>
              <w:rPr>
                <w:rFonts w:ascii="Times New Roman" w:hAnsi="Times New Roman" w:cs="Times New Roman"/>
                <w:sz w:val="28"/>
                <w:szCs w:val="28"/>
              </w:rPr>
              <w:t>И</w:t>
            </w:r>
            <w:r w:rsidR="009F6387">
              <w:rPr>
                <w:rFonts w:ascii="Times New Roman" w:hAnsi="Times New Roman" w:cs="Times New Roman"/>
                <w:sz w:val="28"/>
                <w:szCs w:val="28"/>
              </w:rPr>
              <w:t>нтерлейкин</w:t>
            </w:r>
          </w:p>
        </w:tc>
      </w:tr>
      <w:tr w:rsidR="00BD1995" w14:paraId="4D50F943" w14:textId="77777777" w:rsidTr="00DF1FAF">
        <w:tc>
          <w:tcPr>
            <w:tcW w:w="2689" w:type="dxa"/>
          </w:tcPr>
          <w:p w14:paraId="4A1D8B21" w14:textId="29E350BA" w:rsidR="00BD1995" w:rsidRDefault="00BD1995" w:rsidP="00DF1FAF">
            <w:pPr>
              <w:spacing w:line="276" w:lineRule="auto"/>
              <w:rPr>
                <w:rFonts w:ascii="Times New Roman" w:hAnsi="Times New Roman" w:cs="Times New Roman"/>
                <w:sz w:val="28"/>
                <w:szCs w:val="28"/>
              </w:rPr>
            </w:pPr>
            <w:r>
              <w:rPr>
                <w:rFonts w:ascii="Times New Roman" w:hAnsi="Times New Roman" w:cs="Times New Roman"/>
                <w:sz w:val="28"/>
                <w:szCs w:val="28"/>
              </w:rPr>
              <w:t>ИФА</w:t>
            </w:r>
          </w:p>
        </w:tc>
        <w:tc>
          <w:tcPr>
            <w:tcW w:w="6945" w:type="dxa"/>
          </w:tcPr>
          <w:p w14:paraId="6A6F5D08" w14:textId="7C51944C" w:rsidR="00BD1995" w:rsidRDefault="00BD1995" w:rsidP="00DF1FAF">
            <w:pPr>
              <w:spacing w:line="276" w:lineRule="auto"/>
              <w:rPr>
                <w:rFonts w:ascii="Times New Roman" w:hAnsi="Times New Roman" w:cs="Times New Roman"/>
                <w:sz w:val="28"/>
                <w:szCs w:val="28"/>
              </w:rPr>
            </w:pPr>
            <w:r>
              <w:rPr>
                <w:rFonts w:ascii="Times New Roman" w:hAnsi="Times New Roman" w:cs="Times New Roman"/>
                <w:sz w:val="28"/>
                <w:szCs w:val="28"/>
              </w:rPr>
              <w:t>Иммуноферментный анализ</w:t>
            </w:r>
          </w:p>
        </w:tc>
      </w:tr>
      <w:tr w:rsidR="00D670A5" w14:paraId="121C64FA" w14:textId="77777777" w:rsidTr="00DF1FAF">
        <w:tc>
          <w:tcPr>
            <w:tcW w:w="2689" w:type="dxa"/>
          </w:tcPr>
          <w:p w14:paraId="3AFC9FA9" w14:textId="65553327" w:rsidR="00D670A5" w:rsidRDefault="00D670A5" w:rsidP="00DF1FAF">
            <w:pPr>
              <w:spacing w:line="276" w:lineRule="auto"/>
              <w:rPr>
                <w:rFonts w:ascii="Times New Roman" w:hAnsi="Times New Roman" w:cs="Times New Roman"/>
                <w:sz w:val="28"/>
                <w:szCs w:val="28"/>
              </w:rPr>
            </w:pPr>
            <w:r>
              <w:rPr>
                <w:rFonts w:ascii="Times New Roman" w:hAnsi="Times New Roman" w:cs="Times New Roman"/>
                <w:sz w:val="28"/>
                <w:szCs w:val="28"/>
              </w:rPr>
              <w:t>КГП</w:t>
            </w:r>
          </w:p>
        </w:tc>
        <w:tc>
          <w:tcPr>
            <w:tcW w:w="6945" w:type="dxa"/>
          </w:tcPr>
          <w:p w14:paraId="0885DA82" w14:textId="6FC21607" w:rsidR="00D670A5" w:rsidRDefault="00AC7D14" w:rsidP="00DF1FAF">
            <w:pPr>
              <w:spacing w:line="276" w:lineRule="auto"/>
              <w:rPr>
                <w:rFonts w:ascii="Times New Roman" w:hAnsi="Times New Roman" w:cs="Times New Roman"/>
                <w:sz w:val="28"/>
                <w:szCs w:val="28"/>
              </w:rPr>
            </w:pPr>
            <w:r w:rsidRPr="00AC7D14">
              <w:rPr>
                <w:rFonts w:ascii="Times New Roman" w:hAnsi="Times New Roman" w:cs="Times New Roman"/>
                <w:sz w:val="28"/>
                <w:szCs w:val="28"/>
              </w:rPr>
              <w:t>Коммунальное государственное предприятие</w:t>
            </w:r>
          </w:p>
        </w:tc>
      </w:tr>
      <w:tr w:rsidR="00101EC1" w14:paraId="30A18761" w14:textId="77777777" w:rsidTr="00DF1FAF">
        <w:tc>
          <w:tcPr>
            <w:tcW w:w="2689" w:type="dxa"/>
          </w:tcPr>
          <w:p w14:paraId="49883300" w14:textId="35151DA3" w:rsidR="00101EC1" w:rsidRDefault="00101EC1" w:rsidP="00DF1FAF">
            <w:pPr>
              <w:spacing w:line="276" w:lineRule="auto"/>
              <w:rPr>
                <w:rFonts w:ascii="Times New Roman" w:hAnsi="Times New Roman" w:cs="Times New Roman"/>
                <w:sz w:val="28"/>
                <w:szCs w:val="28"/>
              </w:rPr>
            </w:pPr>
            <w:r>
              <w:rPr>
                <w:rFonts w:ascii="Times New Roman" w:hAnsi="Times New Roman" w:cs="Times New Roman"/>
                <w:sz w:val="28"/>
                <w:szCs w:val="28"/>
              </w:rPr>
              <w:t>ККМФД</w:t>
            </w:r>
          </w:p>
        </w:tc>
        <w:tc>
          <w:tcPr>
            <w:tcW w:w="6945" w:type="dxa"/>
          </w:tcPr>
          <w:p w14:paraId="091974C6" w14:textId="1B105B29" w:rsidR="00101EC1" w:rsidRDefault="000F673A" w:rsidP="00DF1FAF">
            <w:pPr>
              <w:spacing w:line="276" w:lineRule="auto"/>
              <w:rPr>
                <w:rFonts w:ascii="Times New Roman" w:hAnsi="Times New Roman" w:cs="Times New Roman"/>
                <w:sz w:val="28"/>
                <w:szCs w:val="28"/>
              </w:rPr>
            </w:pPr>
            <w:r>
              <w:rPr>
                <w:rFonts w:ascii="Times New Roman" w:hAnsi="Times New Roman" w:cs="Times New Roman"/>
                <w:sz w:val="28"/>
                <w:szCs w:val="28"/>
              </w:rPr>
              <w:t>Департамент к</w:t>
            </w:r>
            <w:r w:rsidR="00101EC1" w:rsidRPr="00101EC1">
              <w:rPr>
                <w:rFonts w:ascii="Times New Roman" w:hAnsi="Times New Roman" w:cs="Times New Roman"/>
                <w:sz w:val="28"/>
                <w:szCs w:val="28"/>
              </w:rPr>
              <w:t>омитета медицинского и фармацевтического контроля</w:t>
            </w:r>
          </w:p>
        </w:tc>
      </w:tr>
      <w:tr w:rsidR="007B3949" w14:paraId="548EE55A" w14:textId="77777777" w:rsidTr="00DF1FAF">
        <w:tc>
          <w:tcPr>
            <w:tcW w:w="2689" w:type="dxa"/>
          </w:tcPr>
          <w:p w14:paraId="32F9FF4A" w14:textId="635A9C96" w:rsidR="007B3949" w:rsidRPr="00C0260C" w:rsidRDefault="007B3949" w:rsidP="00DF1FAF">
            <w:pPr>
              <w:spacing w:line="276" w:lineRule="auto"/>
              <w:rPr>
                <w:rFonts w:ascii="Times New Roman" w:hAnsi="Times New Roman" w:cs="Times New Roman"/>
                <w:sz w:val="28"/>
                <w:szCs w:val="28"/>
              </w:rPr>
            </w:pPr>
            <w:r>
              <w:rPr>
                <w:rFonts w:ascii="Times New Roman" w:hAnsi="Times New Roman" w:cs="Times New Roman"/>
                <w:sz w:val="28"/>
                <w:szCs w:val="28"/>
              </w:rPr>
              <w:t>МА</w:t>
            </w:r>
            <w:r w:rsidR="00C0260C">
              <w:rPr>
                <w:rFonts w:ascii="Times New Roman" w:hAnsi="Times New Roman" w:cs="Times New Roman"/>
                <w:sz w:val="28"/>
                <w:szCs w:val="28"/>
              </w:rPr>
              <w:t>Д</w:t>
            </w:r>
          </w:p>
        </w:tc>
        <w:tc>
          <w:tcPr>
            <w:tcW w:w="6945" w:type="dxa"/>
          </w:tcPr>
          <w:p w14:paraId="3BC375E7" w14:textId="780C1C6E" w:rsidR="007B3949" w:rsidRDefault="007B3949" w:rsidP="00DF1FAF">
            <w:pPr>
              <w:spacing w:line="276" w:lineRule="auto"/>
              <w:rPr>
                <w:rFonts w:ascii="Times New Roman" w:hAnsi="Times New Roman" w:cs="Times New Roman"/>
                <w:sz w:val="28"/>
                <w:szCs w:val="28"/>
              </w:rPr>
            </w:pPr>
            <w:r>
              <w:rPr>
                <w:rFonts w:ascii="Times New Roman" w:hAnsi="Times New Roman" w:cs="Times New Roman"/>
                <w:sz w:val="28"/>
                <w:szCs w:val="28"/>
              </w:rPr>
              <w:t>М</w:t>
            </w:r>
            <w:r w:rsidRPr="007B3949">
              <w:rPr>
                <w:rFonts w:ascii="Times New Roman" w:hAnsi="Times New Roman" w:cs="Times New Roman"/>
                <w:sz w:val="28"/>
                <w:szCs w:val="28"/>
              </w:rPr>
              <w:t>олекулярная аллергодиагностика</w:t>
            </w:r>
          </w:p>
        </w:tc>
      </w:tr>
      <w:tr w:rsidR="00CC2B1A" w14:paraId="78E35F3C" w14:textId="77777777" w:rsidTr="00DF1FAF">
        <w:tc>
          <w:tcPr>
            <w:tcW w:w="2689" w:type="dxa"/>
          </w:tcPr>
          <w:p w14:paraId="38A8AB88" w14:textId="6B5DA73A" w:rsidR="00CC2B1A" w:rsidRDefault="00CC2B1A" w:rsidP="00DF1FAF">
            <w:pPr>
              <w:spacing w:line="276" w:lineRule="auto"/>
              <w:rPr>
                <w:rFonts w:ascii="Times New Roman" w:hAnsi="Times New Roman" w:cs="Times New Roman"/>
                <w:sz w:val="28"/>
                <w:szCs w:val="28"/>
              </w:rPr>
            </w:pPr>
            <w:r>
              <w:rPr>
                <w:rFonts w:ascii="Times New Roman" w:hAnsi="Times New Roman" w:cs="Times New Roman"/>
                <w:sz w:val="28"/>
                <w:szCs w:val="28"/>
              </w:rPr>
              <w:t>МЗ РК</w:t>
            </w:r>
          </w:p>
        </w:tc>
        <w:tc>
          <w:tcPr>
            <w:tcW w:w="6945" w:type="dxa"/>
          </w:tcPr>
          <w:p w14:paraId="39C94185" w14:textId="29F3E3A1" w:rsidR="00CC2B1A" w:rsidRDefault="00CC2B1A" w:rsidP="00DF1FAF">
            <w:pPr>
              <w:spacing w:line="276" w:lineRule="auto"/>
              <w:rPr>
                <w:rFonts w:ascii="Times New Roman" w:hAnsi="Times New Roman" w:cs="Times New Roman"/>
                <w:sz w:val="28"/>
                <w:szCs w:val="28"/>
              </w:rPr>
            </w:pPr>
            <w:r w:rsidRPr="00CC2B1A">
              <w:rPr>
                <w:rFonts w:ascii="Times New Roman" w:hAnsi="Times New Roman" w:cs="Times New Roman"/>
                <w:sz w:val="28"/>
                <w:szCs w:val="28"/>
              </w:rPr>
              <w:t>Министерство здравоохранения Республики Казахстан</w:t>
            </w:r>
          </w:p>
        </w:tc>
      </w:tr>
      <w:tr w:rsidR="007B3949" w14:paraId="790082DF" w14:textId="77777777" w:rsidTr="00DF1FAF">
        <w:tc>
          <w:tcPr>
            <w:tcW w:w="2689" w:type="dxa"/>
          </w:tcPr>
          <w:p w14:paraId="09017DA6" w14:textId="66E60E8F" w:rsidR="007B3949" w:rsidRDefault="004F6BC6" w:rsidP="00DF1FAF">
            <w:pPr>
              <w:spacing w:line="276" w:lineRule="auto"/>
              <w:rPr>
                <w:rFonts w:ascii="Times New Roman" w:hAnsi="Times New Roman" w:cs="Times New Roman"/>
                <w:sz w:val="28"/>
                <w:szCs w:val="28"/>
              </w:rPr>
            </w:pPr>
            <w:r w:rsidRPr="004F6BC6">
              <w:rPr>
                <w:rFonts w:ascii="Times New Roman" w:hAnsi="Times New Roman" w:cs="Times New Roman"/>
                <w:sz w:val="28"/>
                <w:szCs w:val="28"/>
              </w:rPr>
              <w:t>МОН РК</w:t>
            </w:r>
          </w:p>
        </w:tc>
        <w:tc>
          <w:tcPr>
            <w:tcW w:w="6945" w:type="dxa"/>
          </w:tcPr>
          <w:p w14:paraId="193DF584" w14:textId="5C157775" w:rsidR="007B3949" w:rsidRDefault="004F6BC6" w:rsidP="00DF1FAF">
            <w:pPr>
              <w:spacing w:line="276" w:lineRule="auto"/>
              <w:rPr>
                <w:rFonts w:ascii="Times New Roman" w:hAnsi="Times New Roman" w:cs="Times New Roman"/>
                <w:sz w:val="28"/>
                <w:szCs w:val="28"/>
              </w:rPr>
            </w:pPr>
            <w:r w:rsidRPr="004F6BC6">
              <w:rPr>
                <w:rFonts w:ascii="Times New Roman" w:hAnsi="Times New Roman" w:cs="Times New Roman"/>
                <w:sz w:val="28"/>
                <w:szCs w:val="28"/>
              </w:rPr>
              <w:t>Министерство образования и науки Республики Казахстан</w:t>
            </w:r>
          </w:p>
        </w:tc>
      </w:tr>
      <w:tr w:rsidR="006C7878" w14:paraId="6A1C662A" w14:textId="77777777" w:rsidTr="00DF1FAF">
        <w:tc>
          <w:tcPr>
            <w:tcW w:w="2689" w:type="dxa"/>
          </w:tcPr>
          <w:p w14:paraId="2AAC010F" w14:textId="2DED4A51" w:rsidR="006C7878" w:rsidRPr="004F6BC6" w:rsidRDefault="006C7878" w:rsidP="00DF1FAF">
            <w:pPr>
              <w:spacing w:line="276" w:lineRule="auto"/>
              <w:rPr>
                <w:rFonts w:ascii="Times New Roman" w:hAnsi="Times New Roman" w:cs="Times New Roman"/>
                <w:sz w:val="28"/>
                <w:szCs w:val="28"/>
              </w:rPr>
            </w:pPr>
            <w:r>
              <w:rPr>
                <w:rFonts w:ascii="Times New Roman" w:hAnsi="Times New Roman" w:cs="Times New Roman"/>
                <w:sz w:val="28"/>
                <w:szCs w:val="28"/>
              </w:rPr>
              <w:t>НАО «МУК»</w:t>
            </w:r>
          </w:p>
        </w:tc>
        <w:tc>
          <w:tcPr>
            <w:tcW w:w="6945" w:type="dxa"/>
          </w:tcPr>
          <w:p w14:paraId="23B17684" w14:textId="7650CC5C" w:rsidR="006C7878" w:rsidRPr="004F6BC6" w:rsidRDefault="006C7878" w:rsidP="00DF1FAF">
            <w:pPr>
              <w:spacing w:line="276" w:lineRule="auto"/>
              <w:rPr>
                <w:rFonts w:ascii="Times New Roman" w:hAnsi="Times New Roman" w:cs="Times New Roman"/>
                <w:sz w:val="28"/>
                <w:szCs w:val="28"/>
              </w:rPr>
            </w:pPr>
            <w:r w:rsidRPr="006C7878">
              <w:rPr>
                <w:rFonts w:ascii="Times New Roman" w:hAnsi="Times New Roman" w:cs="Times New Roman"/>
                <w:sz w:val="28"/>
                <w:szCs w:val="28"/>
              </w:rPr>
              <w:t>Некоммерческое акционерное общество</w:t>
            </w:r>
            <w:r>
              <w:rPr>
                <w:rFonts w:ascii="Times New Roman" w:hAnsi="Times New Roman" w:cs="Times New Roman"/>
                <w:sz w:val="28"/>
                <w:szCs w:val="28"/>
              </w:rPr>
              <w:t xml:space="preserve"> «</w:t>
            </w:r>
            <w:r w:rsidRPr="006C7878">
              <w:rPr>
                <w:rFonts w:ascii="Times New Roman" w:hAnsi="Times New Roman" w:cs="Times New Roman"/>
                <w:sz w:val="28"/>
                <w:szCs w:val="28"/>
              </w:rPr>
              <w:t>Медицинский Университет Караганды</w:t>
            </w:r>
            <w:r>
              <w:rPr>
                <w:rFonts w:ascii="Times New Roman" w:hAnsi="Times New Roman" w:cs="Times New Roman"/>
                <w:sz w:val="28"/>
                <w:szCs w:val="28"/>
              </w:rPr>
              <w:t>»</w:t>
            </w:r>
          </w:p>
        </w:tc>
      </w:tr>
      <w:tr w:rsidR="00760FCE" w14:paraId="7246605C" w14:textId="77777777" w:rsidTr="00DF1FAF">
        <w:tc>
          <w:tcPr>
            <w:tcW w:w="2689" w:type="dxa"/>
          </w:tcPr>
          <w:p w14:paraId="3C768433" w14:textId="346DA03C" w:rsidR="00760FCE" w:rsidRDefault="00760FCE" w:rsidP="00DF1FAF">
            <w:pPr>
              <w:spacing w:line="276" w:lineRule="auto"/>
              <w:rPr>
                <w:rFonts w:ascii="Times New Roman" w:hAnsi="Times New Roman" w:cs="Times New Roman"/>
                <w:sz w:val="28"/>
                <w:szCs w:val="28"/>
              </w:rPr>
            </w:pPr>
            <w:r>
              <w:rPr>
                <w:rFonts w:ascii="Times New Roman" w:hAnsi="Times New Roman" w:cs="Times New Roman"/>
                <w:sz w:val="28"/>
                <w:szCs w:val="28"/>
              </w:rPr>
              <w:t>ОАС</w:t>
            </w:r>
          </w:p>
        </w:tc>
        <w:tc>
          <w:tcPr>
            <w:tcW w:w="6945" w:type="dxa"/>
          </w:tcPr>
          <w:p w14:paraId="29BA7C7C" w14:textId="17B648F6" w:rsidR="00760FCE" w:rsidRPr="006C7878" w:rsidRDefault="00760FCE" w:rsidP="00DF1FAF">
            <w:pPr>
              <w:spacing w:line="276" w:lineRule="auto"/>
              <w:rPr>
                <w:rFonts w:ascii="Times New Roman" w:hAnsi="Times New Roman" w:cs="Times New Roman"/>
                <w:sz w:val="28"/>
                <w:szCs w:val="28"/>
              </w:rPr>
            </w:pPr>
            <w:r>
              <w:rPr>
                <w:rFonts w:ascii="Times New Roman" w:hAnsi="Times New Roman" w:cs="Times New Roman"/>
                <w:sz w:val="28"/>
                <w:szCs w:val="28"/>
              </w:rPr>
              <w:t>Оральный аллергический синдром</w:t>
            </w:r>
          </w:p>
        </w:tc>
      </w:tr>
      <w:tr w:rsidR="0072419A" w14:paraId="23591C89" w14:textId="77777777" w:rsidTr="00DF1FAF">
        <w:tc>
          <w:tcPr>
            <w:tcW w:w="2689" w:type="dxa"/>
          </w:tcPr>
          <w:p w14:paraId="14ED4AC8" w14:textId="32969C38" w:rsidR="0072419A" w:rsidRPr="004F6BC6" w:rsidRDefault="0072419A" w:rsidP="00DF1FAF">
            <w:pPr>
              <w:spacing w:line="276" w:lineRule="auto"/>
              <w:rPr>
                <w:rFonts w:ascii="Times New Roman" w:hAnsi="Times New Roman" w:cs="Times New Roman"/>
                <w:sz w:val="28"/>
                <w:szCs w:val="28"/>
              </w:rPr>
            </w:pPr>
            <w:r>
              <w:rPr>
                <w:rFonts w:ascii="Times New Roman" w:hAnsi="Times New Roman" w:cs="Times New Roman"/>
                <w:sz w:val="28"/>
                <w:szCs w:val="28"/>
              </w:rPr>
              <w:t>ПАР</w:t>
            </w:r>
          </w:p>
        </w:tc>
        <w:tc>
          <w:tcPr>
            <w:tcW w:w="6945" w:type="dxa"/>
          </w:tcPr>
          <w:p w14:paraId="6E5A9027" w14:textId="397EFA9C" w:rsidR="0072419A" w:rsidRPr="004F6BC6" w:rsidRDefault="0072419A" w:rsidP="00DF1FAF">
            <w:pPr>
              <w:spacing w:line="276" w:lineRule="auto"/>
              <w:rPr>
                <w:rFonts w:ascii="Times New Roman" w:hAnsi="Times New Roman" w:cs="Times New Roman"/>
                <w:sz w:val="28"/>
                <w:szCs w:val="28"/>
              </w:rPr>
            </w:pPr>
            <w:r>
              <w:rPr>
                <w:rFonts w:ascii="Times New Roman" w:hAnsi="Times New Roman" w:cs="Times New Roman"/>
                <w:sz w:val="28"/>
                <w:szCs w:val="28"/>
              </w:rPr>
              <w:t>Постоянный аллергический ринит</w:t>
            </w:r>
          </w:p>
        </w:tc>
      </w:tr>
      <w:tr w:rsidR="002A38A8" w14:paraId="259FB25F" w14:textId="77777777" w:rsidTr="00DF1FAF">
        <w:tc>
          <w:tcPr>
            <w:tcW w:w="2689" w:type="dxa"/>
          </w:tcPr>
          <w:p w14:paraId="4F7B7AE8" w14:textId="0B043FAB" w:rsidR="002A38A8" w:rsidRPr="004F6BC6" w:rsidRDefault="002A38A8" w:rsidP="00DF1FAF">
            <w:pPr>
              <w:spacing w:line="276" w:lineRule="auto"/>
              <w:rPr>
                <w:rFonts w:ascii="Times New Roman" w:hAnsi="Times New Roman" w:cs="Times New Roman"/>
                <w:sz w:val="28"/>
                <w:szCs w:val="28"/>
              </w:rPr>
            </w:pPr>
            <w:r>
              <w:rPr>
                <w:rStyle w:val="fontstyle01"/>
              </w:rPr>
              <w:t>ПКИТ</w:t>
            </w:r>
          </w:p>
        </w:tc>
        <w:tc>
          <w:tcPr>
            <w:tcW w:w="6945" w:type="dxa"/>
          </w:tcPr>
          <w:p w14:paraId="4F26FC09" w14:textId="3541D345" w:rsidR="002A38A8" w:rsidRPr="004F6BC6" w:rsidRDefault="002A38A8" w:rsidP="00DF1FAF">
            <w:pPr>
              <w:spacing w:line="276" w:lineRule="auto"/>
              <w:rPr>
                <w:rFonts w:ascii="Times New Roman" w:hAnsi="Times New Roman" w:cs="Times New Roman"/>
                <w:sz w:val="28"/>
                <w:szCs w:val="28"/>
              </w:rPr>
            </w:pPr>
            <w:r w:rsidRPr="002A38A8">
              <w:rPr>
                <w:rFonts w:ascii="Times New Roman" w:hAnsi="Times New Roman" w:cs="Times New Roman"/>
                <w:sz w:val="28"/>
                <w:szCs w:val="28"/>
              </w:rPr>
              <w:t>П</w:t>
            </w:r>
            <w:r>
              <w:rPr>
                <w:rFonts w:ascii="Times New Roman" w:hAnsi="Times New Roman" w:cs="Times New Roman"/>
                <w:sz w:val="28"/>
                <w:szCs w:val="28"/>
              </w:rPr>
              <w:t xml:space="preserve">одкожная </w:t>
            </w:r>
            <w:r>
              <w:rPr>
                <w:rStyle w:val="fontstyle01"/>
              </w:rPr>
              <w:t>аллерген-специфическая иммунотерапия</w:t>
            </w:r>
          </w:p>
        </w:tc>
      </w:tr>
      <w:tr w:rsidR="00757CB0" w14:paraId="0A04B17F" w14:textId="77777777" w:rsidTr="00DF1FAF">
        <w:tc>
          <w:tcPr>
            <w:tcW w:w="2689" w:type="dxa"/>
          </w:tcPr>
          <w:p w14:paraId="3146F9EE" w14:textId="49A3530C" w:rsidR="00757CB0" w:rsidRPr="004F6BC6" w:rsidRDefault="00757CB0" w:rsidP="00DF1FAF">
            <w:pPr>
              <w:spacing w:line="276" w:lineRule="auto"/>
              <w:rPr>
                <w:rFonts w:ascii="Times New Roman" w:hAnsi="Times New Roman" w:cs="Times New Roman"/>
                <w:sz w:val="28"/>
                <w:szCs w:val="28"/>
              </w:rPr>
            </w:pPr>
            <w:r w:rsidRPr="00757CB0">
              <w:rPr>
                <w:rFonts w:ascii="Times New Roman" w:hAnsi="Times New Roman" w:cs="Times New Roman"/>
                <w:sz w:val="28"/>
                <w:szCs w:val="28"/>
              </w:rPr>
              <w:t>РИНЦ</w:t>
            </w:r>
          </w:p>
        </w:tc>
        <w:tc>
          <w:tcPr>
            <w:tcW w:w="6945" w:type="dxa"/>
          </w:tcPr>
          <w:p w14:paraId="0AEEE646" w14:textId="67895449" w:rsidR="00757CB0" w:rsidRPr="004F6BC6" w:rsidRDefault="00842BBE" w:rsidP="00DF1FAF">
            <w:pPr>
              <w:spacing w:line="276" w:lineRule="auto"/>
              <w:rPr>
                <w:rFonts w:ascii="Times New Roman" w:hAnsi="Times New Roman" w:cs="Times New Roman"/>
                <w:sz w:val="28"/>
                <w:szCs w:val="28"/>
              </w:rPr>
            </w:pPr>
            <w:r w:rsidRPr="00842BBE">
              <w:rPr>
                <w:rFonts w:ascii="Times New Roman" w:hAnsi="Times New Roman" w:cs="Times New Roman"/>
                <w:sz w:val="28"/>
                <w:szCs w:val="28"/>
              </w:rPr>
              <w:t>Российский индекс научного цитирования</w:t>
            </w:r>
          </w:p>
        </w:tc>
      </w:tr>
      <w:tr w:rsidR="007B3949" w14:paraId="66B28B2F" w14:textId="77777777" w:rsidTr="00DF1FAF">
        <w:tc>
          <w:tcPr>
            <w:tcW w:w="2689" w:type="dxa"/>
          </w:tcPr>
          <w:p w14:paraId="23A98E83" w14:textId="6F319E5F" w:rsidR="007B3949" w:rsidRDefault="00412CD6" w:rsidP="00DF1FAF">
            <w:pPr>
              <w:spacing w:line="276" w:lineRule="auto"/>
              <w:rPr>
                <w:rFonts w:ascii="Times New Roman" w:hAnsi="Times New Roman" w:cs="Times New Roman"/>
                <w:sz w:val="28"/>
                <w:szCs w:val="28"/>
              </w:rPr>
            </w:pPr>
            <w:r>
              <w:rPr>
                <w:rFonts w:ascii="Times New Roman" w:hAnsi="Times New Roman" w:cs="Times New Roman"/>
                <w:sz w:val="28"/>
                <w:szCs w:val="28"/>
              </w:rPr>
              <w:t>РК</w:t>
            </w:r>
          </w:p>
        </w:tc>
        <w:tc>
          <w:tcPr>
            <w:tcW w:w="6945" w:type="dxa"/>
          </w:tcPr>
          <w:p w14:paraId="3ACD07D7" w14:textId="47FCF5A2" w:rsidR="007B3949" w:rsidRDefault="00412CD6" w:rsidP="00DF1FAF">
            <w:pPr>
              <w:spacing w:line="276" w:lineRule="auto"/>
              <w:rPr>
                <w:rFonts w:ascii="Times New Roman" w:hAnsi="Times New Roman" w:cs="Times New Roman"/>
                <w:sz w:val="28"/>
                <w:szCs w:val="28"/>
              </w:rPr>
            </w:pPr>
            <w:r>
              <w:rPr>
                <w:rStyle w:val="fontstyle01"/>
              </w:rPr>
              <w:t>Республика Казахстан</w:t>
            </w:r>
          </w:p>
        </w:tc>
      </w:tr>
      <w:tr w:rsidR="00896CA1" w14:paraId="6F4028DF" w14:textId="77777777" w:rsidTr="00DF1FAF">
        <w:tc>
          <w:tcPr>
            <w:tcW w:w="2689" w:type="dxa"/>
          </w:tcPr>
          <w:p w14:paraId="19F48FB2" w14:textId="54B3F598" w:rsidR="00896CA1" w:rsidRDefault="00896CA1" w:rsidP="00DF1FAF">
            <w:pPr>
              <w:spacing w:line="276" w:lineRule="auto"/>
              <w:rPr>
                <w:rStyle w:val="fontstyle01"/>
              </w:rPr>
            </w:pPr>
            <w:r>
              <w:rPr>
                <w:rFonts w:ascii="Times New Roman" w:hAnsi="Times New Roman" w:cs="Times New Roman"/>
                <w:sz w:val="28"/>
                <w:szCs w:val="28"/>
              </w:rPr>
              <w:t>САР</w:t>
            </w:r>
          </w:p>
        </w:tc>
        <w:tc>
          <w:tcPr>
            <w:tcW w:w="6945" w:type="dxa"/>
          </w:tcPr>
          <w:p w14:paraId="56394CB2" w14:textId="32C70F8B" w:rsidR="00896CA1" w:rsidRDefault="00896CA1" w:rsidP="00DF1FAF">
            <w:pPr>
              <w:spacing w:line="276" w:lineRule="auto"/>
              <w:rPr>
                <w:rStyle w:val="fontstyle01"/>
              </w:rPr>
            </w:pPr>
            <w:r>
              <w:rPr>
                <w:rFonts w:ascii="Times New Roman" w:hAnsi="Times New Roman" w:cs="Times New Roman"/>
                <w:sz w:val="28"/>
                <w:szCs w:val="28"/>
              </w:rPr>
              <w:t>Сезонный аллергический ринит</w:t>
            </w:r>
          </w:p>
        </w:tc>
      </w:tr>
      <w:tr w:rsidR="002A38A8" w14:paraId="6D0C131A" w14:textId="77777777" w:rsidTr="00DF1FAF">
        <w:tc>
          <w:tcPr>
            <w:tcW w:w="2689" w:type="dxa"/>
          </w:tcPr>
          <w:p w14:paraId="0B087C07" w14:textId="3768DC99" w:rsidR="002A38A8" w:rsidRDefault="002A38A8" w:rsidP="00DF1FAF">
            <w:pPr>
              <w:spacing w:line="276" w:lineRule="auto"/>
              <w:rPr>
                <w:rFonts w:ascii="Times New Roman" w:hAnsi="Times New Roman" w:cs="Times New Roman"/>
                <w:sz w:val="28"/>
                <w:szCs w:val="28"/>
              </w:rPr>
            </w:pPr>
            <w:r>
              <w:rPr>
                <w:rStyle w:val="fontstyle01"/>
              </w:rPr>
              <w:t>СЛИТ</w:t>
            </w:r>
          </w:p>
        </w:tc>
        <w:tc>
          <w:tcPr>
            <w:tcW w:w="6945" w:type="dxa"/>
          </w:tcPr>
          <w:p w14:paraId="5F8ADB4D" w14:textId="093C6A25" w:rsidR="002A38A8" w:rsidRDefault="002A38A8" w:rsidP="00DF1FAF">
            <w:pPr>
              <w:spacing w:line="276" w:lineRule="auto"/>
              <w:rPr>
                <w:rStyle w:val="fontstyle01"/>
              </w:rPr>
            </w:pPr>
            <w:r>
              <w:rPr>
                <w:rStyle w:val="fontstyle01"/>
              </w:rPr>
              <w:t>Сублингвальная</w:t>
            </w:r>
            <w:r w:rsidR="0007459B">
              <w:rPr>
                <w:rStyle w:val="fontstyle01"/>
              </w:rPr>
              <w:t xml:space="preserve"> </w:t>
            </w:r>
            <w:r>
              <w:rPr>
                <w:rStyle w:val="fontstyle01"/>
              </w:rPr>
              <w:t>аллерген-специфическая иммунотерапия</w:t>
            </w:r>
          </w:p>
        </w:tc>
      </w:tr>
      <w:tr w:rsidR="00512E3F" w14:paraId="5D896ADC" w14:textId="77777777" w:rsidTr="00DF1FAF">
        <w:tc>
          <w:tcPr>
            <w:tcW w:w="2689" w:type="dxa"/>
          </w:tcPr>
          <w:p w14:paraId="5FA9FB5F" w14:textId="64F6E8E2" w:rsidR="00512E3F" w:rsidRDefault="00512E3F" w:rsidP="00DF1FAF">
            <w:pPr>
              <w:spacing w:line="276" w:lineRule="auto"/>
              <w:rPr>
                <w:rStyle w:val="fontstyle01"/>
              </w:rPr>
            </w:pPr>
            <w:r w:rsidRPr="00512E3F">
              <w:rPr>
                <w:rStyle w:val="fontstyle01"/>
              </w:rPr>
              <w:t>СПИД</w:t>
            </w:r>
          </w:p>
        </w:tc>
        <w:tc>
          <w:tcPr>
            <w:tcW w:w="6945" w:type="dxa"/>
          </w:tcPr>
          <w:p w14:paraId="171D63C6" w14:textId="04DA5F2B" w:rsidR="00512E3F" w:rsidRDefault="004A7A15" w:rsidP="00DF1FAF">
            <w:pPr>
              <w:spacing w:line="276" w:lineRule="auto"/>
              <w:rPr>
                <w:rStyle w:val="fontstyle01"/>
              </w:rPr>
            </w:pPr>
            <w:r>
              <w:rPr>
                <w:rStyle w:val="fontstyle01"/>
              </w:rPr>
              <w:t>Синдроом приобретённого иммуунного дефиции</w:t>
            </w:r>
            <w:r w:rsidRPr="004A7A15">
              <w:rPr>
                <w:rStyle w:val="fontstyle01"/>
              </w:rPr>
              <w:t>та</w:t>
            </w:r>
          </w:p>
        </w:tc>
      </w:tr>
      <w:tr w:rsidR="00661B11" w14:paraId="1E649326" w14:textId="77777777" w:rsidTr="00DF1FAF">
        <w:tc>
          <w:tcPr>
            <w:tcW w:w="2689" w:type="dxa"/>
          </w:tcPr>
          <w:p w14:paraId="41A2E03D" w14:textId="44B0633F" w:rsidR="00661B11" w:rsidRPr="00661B11" w:rsidRDefault="006E5EA7" w:rsidP="00DF1FAF">
            <w:pPr>
              <w:spacing w:line="276" w:lineRule="auto"/>
              <w:rPr>
                <w:rStyle w:val="fontstyle01"/>
              </w:rPr>
            </w:pPr>
            <w:r w:rsidRPr="006E5EA7">
              <w:rPr>
                <w:rStyle w:val="fontstyle01"/>
              </w:rPr>
              <w:t>ЭКБ</w:t>
            </w:r>
          </w:p>
        </w:tc>
        <w:tc>
          <w:tcPr>
            <w:tcW w:w="6945" w:type="dxa"/>
          </w:tcPr>
          <w:p w14:paraId="208160A0" w14:textId="4137B66D" w:rsidR="00661B11" w:rsidRDefault="006E5EA7" w:rsidP="00DF1FAF">
            <w:pPr>
              <w:spacing w:line="276" w:lineRule="auto"/>
              <w:rPr>
                <w:rStyle w:val="fontstyle01"/>
              </w:rPr>
            </w:pPr>
            <w:r>
              <w:rPr>
                <w:rStyle w:val="fontstyle01"/>
              </w:rPr>
              <w:t>Эозинофильный катионный белок</w:t>
            </w:r>
          </w:p>
        </w:tc>
      </w:tr>
      <w:tr w:rsidR="0091044A" w14:paraId="5EC17E9C" w14:textId="77777777" w:rsidTr="00DF1FAF">
        <w:tc>
          <w:tcPr>
            <w:tcW w:w="2689" w:type="dxa"/>
          </w:tcPr>
          <w:p w14:paraId="136DD50D" w14:textId="12926FC0" w:rsidR="0091044A" w:rsidRPr="00661B11" w:rsidRDefault="0091044A" w:rsidP="00DF1FAF">
            <w:pPr>
              <w:spacing w:line="276" w:lineRule="auto"/>
              <w:rPr>
                <w:rStyle w:val="fontstyle01"/>
              </w:rPr>
            </w:pPr>
            <w:r>
              <w:rPr>
                <w:rFonts w:ascii="Times New Roman" w:hAnsi="Times New Roman" w:cs="Times New Roman"/>
                <w:sz w:val="28"/>
                <w:szCs w:val="28"/>
                <w:lang w:val="en-US"/>
              </w:rPr>
              <w:t>ARIA</w:t>
            </w:r>
          </w:p>
        </w:tc>
        <w:tc>
          <w:tcPr>
            <w:tcW w:w="6945" w:type="dxa"/>
          </w:tcPr>
          <w:p w14:paraId="779308B2" w14:textId="16D5E58E" w:rsidR="0091044A" w:rsidRDefault="0091044A" w:rsidP="00DF1FAF">
            <w:pPr>
              <w:spacing w:line="276" w:lineRule="auto"/>
              <w:rPr>
                <w:rStyle w:val="fontstyle01"/>
              </w:rPr>
            </w:pPr>
            <w:r w:rsidRPr="00DE693E">
              <w:rPr>
                <w:rStyle w:val="fontstyle01"/>
              </w:rPr>
              <w:t>Аллергический ринит и его влияние на астму</w:t>
            </w:r>
          </w:p>
        </w:tc>
      </w:tr>
      <w:tr w:rsidR="00EE6730" w14:paraId="6F85C854" w14:textId="77777777" w:rsidTr="00DF1FAF">
        <w:tc>
          <w:tcPr>
            <w:tcW w:w="2689" w:type="dxa"/>
          </w:tcPr>
          <w:p w14:paraId="7705A753" w14:textId="6805CB17" w:rsidR="00EE6730" w:rsidRPr="00EE6730" w:rsidRDefault="00EE6730" w:rsidP="00DF1FAF">
            <w:pPr>
              <w:spacing w:line="276" w:lineRule="auto"/>
              <w:rPr>
                <w:rFonts w:ascii="Times New Roman" w:hAnsi="Times New Roman" w:cs="Times New Roman"/>
                <w:sz w:val="28"/>
                <w:szCs w:val="28"/>
              </w:rPr>
            </w:pPr>
            <w:r>
              <w:rPr>
                <w:rFonts w:ascii="Times New Roman" w:hAnsi="Times New Roman" w:cs="Times New Roman"/>
                <w:sz w:val="28"/>
                <w:szCs w:val="28"/>
                <w:lang w:val="en-US"/>
              </w:rPr>
              <w:t xml:space="preserve">AUC </w:t>
            </w:r>
            <w:r>
              <w:rPr>
                <w:rFonts w:ascii="Times New Roman" w:hAnsi="Times New Roman" w:cs="Times New Roman"/>
                <w:sz w:val="28"/>
                <w:szCs w:val="28"/>
              </w:rPr>
              <w:t>(</w:t>
            </w:r>
            <w:r w:rsidRPr="00EE6730">
              <w:rPr>
                <w:rFonts w:ascii="Times New Roman" w:hAnsi="Times New Roman" w:cs="Times New Roman"/>
                <w:sz w:val="28"/>
                <w:szCs w:val="28"/>
                <w:lang w:val="en-US"/>
              </w:rPr>
              <w:t>AreaUndertheCurve</w:t>
            </w:r>
            <w:r>
              <w:rPr>
                <w:rFonts w:ascii="Times New Roman" w:hAnsi="Times New Roman" w:cs="Times New Roman"/>
                <w:sz w:val="28"/>
                <w:szCs w:val="28"/>
              </w:rPr>
              <w:t>)</w:t>
            </w:r>
          </w:p>
        </w:tc>
        <w:tc>
          <w:tcPr>
            <w:tcW w:w="6945" w:type="dxa"/>
          </w:tcPr>
          <w:p w14:paraId="2EF10627" w14:textId="5361A713" w:rsidR="00EE6730" w:rsidRPr="00DE693E" w:rsidRDefault="00EE6730" w:rsidP="00DF1FAF">
            <w:pPr>
              <w:spacing w:line="276" w:lineRule="auto"/>
              <w:rPr>
                <w:rStyle w:val="fontstyle01"/>
              </w:rPr>
            </w:pPr>
            <w:r w:rsidRPr="00EE6730">
              <w:rPr>
                <w:rStyle w:val="fontstyle01"/>
              </w:rPr>
              <w:t>Площадь под кривой</w:t>
            </w:r>
          </w:p>
        </w:tc>
      </w:tr>
      <w:tr w:rsidR="0091044A" w14:paraId="10405B80" w14:textId="77777777" w:rsidTr="00DF1FAF">
        <w:trPr>
          <w:trHeight w:val="310"/>
        </w:trPr>
        <w:tc>
          <w:tcPr>
            <w:tcW w:w="2689" w:type="dxa"/>
          </w:tcPr>
          <w:p w14:paraId="402320E1" w14:textId="7B3A02AC" w:rsidR="0091044A" w:rsidRPr="00661B11" w:rsidRDefault="0091044A" w:rsidP="00DF1FAF">
            <w:pPr>
              <w:spacing w:line="276" w:lineRule="auto"/>
              <w:rPr>
                <w:rStyle w:val="fontstyle01"/>
              </w:rPr>
            </w:pPr>
            <w:r w:rsidRPr="00684AFA">
              <w:rPr>
                <w:rStyle w:val="fontstyle01"/>
              </w:rPr>
              <w:t>Breg</w:t>
            </w:r>
          </w:p>
        </w:tc>
        <w:tc>
          <w:tcPr>
            <w:tcW w:w="6945" w:type="dxa"/>
          </w:tcPr>
          <w:p w14:paraId="1EB13B65" w14:textId="7B857538" w:rsidR="0091044A" w:rsidRDefault="0091044A" w:rsidP="00DF1FAF">
            <w:pPr>
              <w:spacing w:line="276" w:lineRule="auto"/>
              <w:rPr>
                <w:rStyle w:val="fontstyle01"/>
              </w:rPr>
            </w:pPr>
            <w:r>
              <w:rPr>
                <w:rStyle w:val="fontstyle01"/>
              </w:rPr>
              <w:t>B-регуляторные клетки</w:t>
            </w:r>
          </w:p>
        </w:tc>
      </w:tr>
      <w:tr w:rsidR="0091044A" w14:paraId="4151EB2A" w14:textId="77777777" w:rsidTr="00DF1FAF">
        <w:tc>
          <w:tcPr>
            <w:tcW w:w="2689" w:type="dxa"/>
          </w:tcPr>
          <w:p w14:paraId="146A2C08" w14:textId="3BC3FB40" w:rsidR="0091044A" w:rsidRPr="00D14D51" w:rsidRDefault="00D14D51" w:rsidP="00DF1FAF">
            <w:pPr>
              <w:spacing w:line="276" w:lineRule="auto"/>
              <w:rPr>
                <w:rStyle w:val="fontstyle01"/>
                <w:lang w:val="en-US"/>
              </w:rPr>
            </w:pPr>
            <w:r w:rsidRPr="00D14D51">
              <w:rPr>
                <w:rStyle w:val="fontstyle01"/>
                <w:lang w:val="en-US"/>
              </w:rPr>
              <w:t>CCD (Cross-reactive Carbohydrate Determinants)</w:t>
            </w:r>
          </w:p>
        </w:tc>
        <w:tc>
          <w:tcPr>
            <w:tcW w:w="6945" w:type="dxa"/>
          </w:tcPr>
          <w:p w14:paraId="4827FE41" w14:textId="09AD4699" w:rsidR="0091044A" w:rsidRDefault="00D14D51" w:rsidP="00DF1FAF">
            <w:pPr>
              <w:spacing w:line="276" w:lineRule="auto"/>
              <w:rPr>
                <w:rStyle w:val="fontstyle01"/>
              </w:rPr>
            </w:pPr>
            <w:r>
              <w:rPr>
                <w:rStyle w:val="fontstyle01"/>
              </w:rPr>
              <w:t>Перекрестно-реактивные углеводные детерминанты</w:t>
            </w:r>
          </w:p>
        </w:tc>
      </w:tr>
      <w:tr w:rsidR="0091044A" w14:paraId="3ABE89DD" w14:textId="77777777" w:rsidTr="00DF1FAF">
        <w:tc>
          <w:tcPr>
            <w:tcW w:w="2689" w:type="dxa"/>
          </w:tcPr>
          <w:p w14:paraId="1002EDC2" w14:textId="08F9D905" w:rsidR="0091044A" w:rsidRPr="00661B11" w:rsidRDefault="0091044A" w:rsidP="00DF1FAF">
            <w:pPr>
              <w:spacing w:line="276" w:lineRule="auto"/>
              <w:rPr>
                <w:rStyle w:val="fontstyle01"/>
              </w:rPr>
            </w:pPr>
            <w:r>
              <w:rPr>
                <w:rFonts w:ascii="Times New Roman" w:hAnsi="Times New Roman" w:cs="Times New Roman"/>
                <w:sz w:val="28"/>
                <w:szCs w:val="28"/>
              </w:rPr>
              <w:t>EAACI</w:t>
            </w:r>
          </w:p>
        </w:tc>
        <w:tc>
          <w:tcPr>
            <w:tcW w:w="6945" w:type="dxa"/>
          </w:tcPr>
          <w:p w14:paraId="5B67DE0D" w14:textId="4D362608" w:rsidR="0091044A" w:rsidRDefault="0091044A" w:rsidP="00DF1FAF">
            <w:pPr>
              <w:spacing w:line="276" w:lineRule="auto"/>
              <w:rPr>
                <w:rStyle w:val="fontstyle01"/>
              </w:rPr>
            </w:pPr>
            <w:r>
              <w:rPr>
                <w:rFonts w:ascii="Times New Roman" w:hAnsi="Times New Roman" w:cs="Times New Roman"/>
                <w:sz w:val="28"/>
                <w:szCs w:val="28"/>
              </w:rPr>
              <w:t>Европейской академии аллергологии и клинической иммунологии</w:t>
            </w:r>
          </w:p>
        </w:tc>
      </w:tr>
      <w:tr w:rsidR="00F05419" w14:paraId="64A1F6B7" w14:textId="77777777" w:rsidTr="00DF1FAF">
        <w:tc>
          <w:tcPr>
            <w:tcW w:w="2689" w:type="dxa"/>
          </w:tcPr>
          <w:p w14:paraId="58E1A8AA" w14:textId="14E39F70" w:rsidR="00F05419" w:rsidRDefault="00F05419" w:rsidP="00DF1FAF">
            <w:pPr>
              <w:spacing w:line="276" w:lineRule="auto"/>
              <w:rPr>
                <w:rFonts w:ascii="Times New Roman" w:hAnsi="Times New Roman" w:cs="Times New Roman"/>
                <w:sz w:val="28"/>
                <w:szCs w:val="28"/>
              </w:rPr>
            </w:pPr>
            <w:r w:rsidRPr="00FE07BF">
              <w:rPr>
                <w:rFonts w:ascii="Times New Roman" w:hAnsi="Times New Roman" w:cs="Times New Roman"/>
                <w:color w:val="000000"/>
                <w:sz w:val="28"/>
                <w:szCs w:val="28"/>
              </w:rPr>
              <w:t>GINA</w:t>
            </w:r>
          </w:p>
        </w:tc>
        <w:tc>
          <w:tcPr>
            <w:tcW w:w="6945" w:type="dxa"/>
          </w:tcPr>
          <w:p w14:paraId="6410693B" w14:textId="7B684E98" w:rsidR="00F05419" w:rsidRDefault="00F05419" w:rsidP="00DF1FAF">
            <w:pPr>
              <w:spacing w:line="276" w:lineRule="auto"/>
              <w:rPr>
                <w:rFonts w:ascii="Times New Roman" w:hAnsi="Times New Roman" w:cs="Times New Roman"/>
                <w:sz w:val="28"/>
                <w:szCs w:val="28"/>
              </w:rPr>
            </w:pPr>
            <w:r w:rsidRPr="00FE07BF">
              <w:rPr>
                <w:rFonts w:ascii="Times New Roman" w:hAnsi="Times New Roman" w:cs="Times New Roman"/>
                <w:color w:val="000000"/>
                <w:sz w:val="28"/>
                <w:szCs w:val="28"/>
              </w:rPr>
              <w:t>Global Initiative for Asthma – Глобальная инициатива по бронхиальной астме</w:t>
            </w:r>
          </w:p>
        </w:tc>
      </w:tr>
      <w:tr w:rsidR="002E2BB8" w14:paraId="7A6350D9" w14:textId="77777777" w:rsidTr="00DF1FAF">
        <w:tc>
          <w:tcPr>
            <w:tcW w:w="2689" w:type="dxa"/>
          </w:tcPr>
          <w:p w14:paraId="32899458" w14:textId="50A5EEFE" w:rsidR="002E2BB8" w:rsidRPr="00FE07BF" w:rsidRDefault="002E2BB8" w:rsidP="00DF1FAF">
            <w:pPr>
              <w:spacing w:line="276" w:lineRule="auto"/>
              <w:rPr>
                <w:rFonts w:ascii="Times New Roman" w:hAnsi="Times New Roman" w:cs="Times New Roman"/>
                <w:color w:val="000000"/>
                <w:sz w:val="28"/>
                <w:szCs w:val="28"/>
              </w:rPr>
            </w:pPr>
            <w:r w:rsidRPr="002E2BB8">
              <w:rPr>
                <w:rFonts w:ascii="Times New Roman" w:hAnsi="Times New Roman" w:cs="Times New Roman"/>
                <w:color w:val="000000"/>
                <w:sz w:val="28"/>
                <w:szCs w:val="28"/>
              </w:rPr>
              <w:t>kUA/L</w:t>
            </w:r>
          </w:p>
        </w:tc>
        <w:tc>
          <w:tcPr>
            <w:tcW w:w="6945" w:type="dxa"/>
          </w:tcPr>
          <w:p w14:paraId="630CBAB3" w14:textId="183159CA" w:rsidR="002E2BB8" w:rsidRPr="00FE07BF" w:rsidRDefault="002E2BB8" w:rsidP="00DF1FAF">
            <w:pPr>
              <w:spacing w:line="276" w:lineRule="auto"/>
              <w:rPr>
                <w:rFonts w:ascii="Times New Roman" w:hAnsi="Times New Roman" w:cs="Times New Roman"/>
                <w:color w:val="000000"/>
                <w:sz w:val="28"/>
                <w:szCs w:val="28"/>
              </w:rPr>
            </w:pPr>
            <w:r>
              <w:rPr>
                <w:rFonts w:ascii="Times New Roman" w:hAnsi="Times New Roman" w:cs="Times New Roman"/>
                <w:color w:val="000000"/>
                <w:sz w:val="28"/>
                <w:szCs w:val="28"/>
              </w:rPr>
              <w:t>К</w:t>
            </w:r>
            <w:r w:rsidRPr="002E2BB8">
              <w:rPr>
                <w:rFonts w:ascii="Times New Roman" w:hAnsi="Times New Roman" w:cs="Times New Roman"/>
                <w:color w:val="000000"/>
                <w:sz w:val="28"/>
                <w:szCs w:val="28"/>
              </w:rPr>
              <w:t>илоединица на литр</w:t>
            </w:r>
          </w:p>
        </w:tc>
      </w:tr>
      <w:tr w:rsidR="00AB2163" w14:paraId="2A21B546" w14:textId="77777777" w:rsidTr="00DF1FAF">
        <w:tc>
          <w:tcPr>
            <w:tcW w:w="2689" w:type="dxa"/>
          </w:tcPr>
          <w:p w14:paraId="013D5177" w14:textId="0FF28007" w:rsidR="00AB2163" w:rsidRPr="00FE07BF" w:rsidRDefault="00AB2163" w:rsidP="00DF1FAF">
            <w:pPr>
              <w:spacing w:line="276" w:lineRule="auto"/>
              <w:rPr>
                <w:rFonts w:ascii="Times New Roman" w:hAnsi="Times New Roman" w:cs="Times New Roman"/>
                <w:color w:val="000000"/>
                <w:sz w:val="28"/>
                <w:szCs w:val="28"/>
              </w:rPr>
            </w:pPr>
            <w:r w:rsidRPr="00AB2163">
              <w:rPr>
                <w:rFonts w:ascii="Times New Roman" w:hAnsi="Times New Roman" w:cs="Times New Roman"/>
                <w:color w:val="000000"/>
                <w:sz w:val="28"/>
                <w:szCs w:val="28"/>
              </w:rPr>
              <w:t>LTP</w:t>
            </w:r>
            <w:r>
              <w:rPr>
                <w:rFonts w:ascii="Times New Roman" w:hAnsi="Times New Roman" w:cs="Times New Roman"/>
                <w:color w:val="000000"/>
                <w:sz w:val="28"/>
                <w:szCs w:val="28"/>
              </w:rPr>
              <w:t xml:space="preserve"> (ЛТБ)</w:t>
            </w:r>
          </w:p>
        </w:tc>
        <w:tc>
          <w:tcPr>
            <w:tcW w:w="6945" w:type="dxa"/>
          </w:tcPr>
          <w:p w14:paraId="286AF40F" w14:textId="466DC131" w:rsidR="00AB2163" w:rsidRPr="00FE07BF" w:rsidRDefault="00AB2163" w:rsidP="00AB2163">
            <w:pPr>
              <w:spacing w:line="276" w:lineRule="auto"/>
              <w:rPr>
                <w:rFonts w:ascii="Times New Roman" w:hAnsi="Times New Roman" w:cs="Times New Roman"/>
                <w:color w:val="000000"/>
                <w:sz w:val="28"/>
                <w:szCs w:val="28"/>
              </w:rPr>
            </w:pPr>
            <w:r w:rsidRPr="00AB2163">
              <w:rPr>
                <w:rFonts w:ascii="Times New Roman" w:hAnsi="Times New Roman" w:cs="Times New Roman"/>
                <w:color w:val="000000"/>
                <w:sz w:val="28"/>
                <w:szCs w:val="28"/>
              </w:rPr>
              <w:t xml:space="preserve">Липид-транспортные белки </w:t>
            </w:r>
          </w:p>
        </w:tc>
      </w:tr>
      <w:tr w:rsidR="0091044A" w14:paraId="2D31B59F" w14:textId="77777777" w:rsidTr="00DF1FAF">
        <w:tc>
          <w:tcPr>
            <w:tcW w:w="2689" w:type="dxa"/>
          </w:tcPr>
          <w:p w14:paraId="6E2A083B" w14:textId="5764FB6F" w:rsidR="0091044A" w:rsidRDefault="0091044A" w:rsidP="00DF1FAF">
            <w:pPr>
              <w:spacing w:line="276" w:lineRule="auto"/>
              <w:rPr>
                <w:rStyle w:val="fontstyle01"/>
                <w:lang w:val="en-US"/>
              </w:rPr>
            </w:pPr>
            <w:r>
              <w:rPr>
                <w:rFonts w:ascii="Times New Roman" w:eastAsia="Calibri" w:hAnsi="Times New Roman" w:cs="Times New Roman"/>
                <w:sz w:val="28"/>
                <w:szCs w:val="28"/>
              </w:rPr>
              <w:t>MS</w:t>
            </w:r>
          </w:p>
        </w:tc>
        <w:tc>
          <w:tcPr>
            <w:tcW w:w="6945" w:type="dxa"/>
          </w:tcPr>
          <w:p w14:paraId="5D8AB43F" w14:textId="62F088DB" w:rsidR="0091044A" w:rsidRDefault="0091044A" w:rsidP="00DF1FAF">
            <w:pPr>
              <w:spacing w:line="276" w:lineRule="auto"/>
              <w:rPr>
                <w:rFonts w:ascii="Times New Roman" w:hAnsi="Times New Roman" w:cs="Times New Roman"/>
                <w:sz w:val="28"/>
                <w:szCs w:val="28"/>
              </w:rPr>
            </w:pPr>
            <w:r w:rsidRPr="00005A78">
              <w:rPr>
                <w:rFonts w:ascii="Times New Roman" w:hAnsi="Times New Roman" w:cs="Times New Roman"/>
                <w:sz w:val="28"/>
                <w:szCs w:val="28"/>
              </w:rPr>
              <w:t>Балл потребности в медикаментах</w:t>
            </w:r>
          </w:p>
        </w:tc>
      </w:tr>
      <w:tr w:rsidR="0091044A" w14:paraId="3BA651B4" w14:textId="77777777" w:rsidTr="00DF1FAF">
        <w:tc>
          <w:tcPr>
            <w:tcW w:w="2689" w:type="dxa"/>
          </w:tcPr>
          <w:p w14:paraId="69137241" w14:textId="68A12B49" w:rsidR="0091044A" w:rsidRDefault="0091044A" w:rsidP="00DF1FAF">
            <w:pPr>
              <w:spacing w:line="276" w:lineRule="auto"/>
              <w:rPr>
                <w:rFonts w:ascii="Times New Roman" w:eastAsia="Calibri" w:hAnsi="Times New Roman" w:cs="Times New Roman"/>
                <w:sz w:val="28"/>
                <w:szCs w:val="28"/>
              </w:rPr>
            </w:pPr>
            <w:r>
              <w:rPr>
                <w:rFonts w:ascii="Times New Roman" w:eastAsia="Calibri" w:hAnsi="Times New Roman" w:cs="Times New Roman"/>
                <w:sz w:val="28"/>
                <w:szCs w:val="28"/>
              </w:rPr>
              <w:t>RQLQ</w:t>
            </w:r>
          </w:p>
        </w:tc>
        <w:tc>
          <w:tcPr>
            <w:tcW w:w="6945" w:type="dxa"/>
          </w:tcPr>
          <w:p w14:paraId="2A132605" w14:textId="40A95CDB" w:rsidR="0091044A" w:rsidRPr="00005A78" w:rsidRDefault="0091044A" w:rsidP="00DF1FAF">
            <w:pPr>
              <w:spacing w:line="276" w:lineRule="auto"/>
              <w:rPr>
                <w:rFonts w:ascii="Times New Roman" w:hAnsi="Times New Roman" w:cs="Times New Roman"/>
                <w:sz w:val="28"/>
                <w:szCs w:val="28"/>
              </w:rPr>
            </w:pPr>
            <w:r w:rsidRPr="00C34E42">
              <w:rPr>
                <w:rFonts w:ascii="Times New Roman" w:hAnsi="Times New Roman" w:cs="Times New Roman"/>
                <w:sz w:val="28"/>
                <w:szCs w:val="28"/>
              </w:rPr>
              <w:t>Опросник качества жизни при риноконъюнктивите</w:t>
            </w:r>
          </w:p>
        </w:tc>
      </w:tr>
      <w:tr w:rsidR="0091044A" w14:paraId="78591109" w14:textId="77777777" w:rsidTr="00DF1FAF">
        <w:tc>
          <w:tcPr>
            <w:tcW w:w="2689" w:type="dxa"/>
          </w:tcPr>
          <w:p w14:paraId="12A0D1D8" w14:textId="13B44ED3" w:rsidR="0091044A" w:rsidRDefault="0091044A" w:rsidP="00DF1FAF">
            <w:pPr>
              <w:spacing w:line="276" w:lineRule="auto"/>
              <w:rPr>
                <w:rStyle w:val="fontstyle01"/>
              </w:rPr>
            </w:pPr>
            <w:r>
              <w:rPr>
                <w:rStyle w:val="fontstyle01"/>
              </w:rPr>
              <w:t>sIg</w:t>
            </w:r>
          </w:p>
        </w:tc>
        <w:tc>
          <w:tcPr>
            <w:tcW w:w="6945" w:type="dxa"/>
          </w:tcPr>
          <w:p w14:paraId="3E9F1799" w14:textId="39DC8DDA" w:rsidR="0091044A" w:rsidRDefault="0091044A" w:rsidP="00DF1FAF">
            <w:pPr>
              <w:spacing w:line="276" w:lineRule="auto"/>
              <w:rPr>
                <w:rStyle w:val="fontstyle01"/>
              </w:rPr>
            </w:pPr>
            <w:r w:rsidRPr="00661B11">
              <w:rPr>
                <w:rStyle w:val="fontstyle01"/>
              </w:rPr>
              <w:t>Аллерген</w:t>
            </w:r>
            <w:r>
              <w:rPr>
                <w:rStyle w:val="fontstyle01"/>
              </w:rPr>
              <w:t xml:space="preserve"> – специфический иммуноглобулин </w:t>
            </w:r>
          </w:p>
        </w:tc>
      </w:tr>
      <w:tr w:rsidR="0091044A" w14:paraId="6092E89D" w14:textId="77777777" w:rsidTr="00DF1FAF">
        <w:tc>
          <w:tcPr>
            <w:tcW w:w="2689" w:type="dxa"/>
          </w:tcPr>
          <w:p w14:paraId="01B60C7F" w14:textId="7D640742" w:rsidR="0091044A" w:rsidRPr="001C6935" w:rsidRDefault="0091044A" w:rsidP="00DF1FAF">
            <w:pPr>
              <w:spacing w:line="276" w:lineRule="auto"/>
              <w:rPr>
                <w:rStyle w:val="fontstyle01"/>
              </w:rPr>
            </w:pPr>
            <w:r>
              <w:rPr>
                <w:rFonts w:ascii="Times New Roman" w:hAnsi="Times New Roman" w:cs="Times New Roman"/>
                <w:sz w:val="28"/>
                <w:szCs w:val="28"/>
                <w:lang w:val="en-US"/>
              </w:rPr>
              <w:t>TGF</w:t>
            </w:r>
            <w:r>
              <w:rPr>
                <w:rFonts w:ascii="Times New Roman" w:hAnsi="Times New Roman" w:cs="Times New Roman"/>
                <w:sz w:val="28"/>
                <w:szCs w:val="28"/>
              </w:rPr>
              <w:t>-</w:t>
            </w:r>
            <w:r>
              <w:rPr>
                <w:rFonts w:ascii="Times New Roman" w:hAnsi="Times New Roman" w:cs="Times New Roman"/>
                <w:sz w:val="28"/>
                <w:szCs w:val="28"/>
                <w:lang w:val="en-US"/>
              </w:rPr>
              <w:t>β</w:t>
            </w:r>
          </w:p>
        </w:tc>
        <w:tc>
          <w:tcPr>
            <w:tcW w:w="6945" w:type="dxa"/>
          </w:tcPr>
          <w:p w14:paraId="400A274F" w14:textId="3EC251BF" w:rsidR="0091044A" w:rsidRPr="00661B11" w:rsidRDefault="0091044A" w:rsidP="00DF1FAF">
            <w:pPr>
              <w:spacing w:line="276" w:lineRule="auto"/>
              <w:rPr>
                <w:rStyle w:val="fontstyle01"/>
              </w:rPr>
            </w:pPr>
            <w:r>
              <w:rPr>
                <w:rFonts w:ascii="Times New Roman" w:hAnsi="Times New Roman" w:cs="Times New Roman"/>
                <w:sz w:val="28"/>
                <w:szCs w:val="28"/>
              </w:rPr>
              <w:t>Трансформирующий фактор роста бета</w:t>
            </w:r>
          </w:p>
        </w:tc>
      </w:tr>
      <w:tr w:rsidR="00EA1F7E" w14:paraId="71DE06FE" w14:textId="77777777" w:rsidTr="00DF1FAF">
        <w:tc>
          <w:tcPr>
            <w:tcW w:w="2689" w:type="dxa"/>
          </w:tcPr>
          <w:p w14:paraId="32B5CEAD" w14:textId="6A3DA2EF" w:rsidR="00EA1F7E" w:rsidRDefault="00EA1F7E" w:rsidP="00EA1F7E">
            <w:pPr>
              <w:spacing w:line="276" w:lineRule="auto"/>
              <w:rPr>
                <w:rFonts w:ascii="Times New Roman" w:hAnsi="Times New Roman" w:cs="Times New Roman"/>
                <w:sz w:val="28"/>
                <w:szCs w:val="28"/>
                <w:lang w:val="en-US"/>
              </w:rPr>
            </w:pPr>
            <w:r>
              <w:rPr>
                <w:rFonts w:ascii="Times New Roman" w:hAnsi="Times New Roman" w:cs="Times New Roman"/>
                <w:sz w:val="28"/>
                <w:szCs w:val="28"/>
                <w:lang w:val="en-US"/>
              </w:rPr>
              <w:t>Th</w:t>
            </w:r>
            <w:r>
              <w:rPr>
                <w:rFonts w:ascii="Times New Roman" w:hAnsi="Times New Roman" w:cs="Times New Roman"/>
                <w:sz w:val="28"/>
                <w:szCs w:val="28"/>
              </w:rPr>
              <w:t>1</w:t>
            </w:r>
          </w:p>
        </w:tc>
        <w:tc>
          <w:tcPr>
            <w:tcW w:w="6945" w:type="dxa"/>
          </w:tcPr>
          <w:p w14:paraId="03C684B7" w14:textId="7564EFA6" w:rsidR="00EA1F7E" w:rsidRDefault="00EA1F7E" w:rsidP="00EA1F7E">
            <w:pPr>
              <w:spacing w:line="276" w:lineRule="auto"/>
              <w:rPr>
                <w:rFonts w:ascii="Times New Roman" w:hAnsi="Times New Roman" w:cs="Times New Roman"/>
                <w:sz w:val="28"/>
                <w:szCs w:val="28"/>
              </w:rPr>
            </w:pPr>
            <w:r>
              <w:rPr>
                <w:rFonts w:ascii="Times New Roman" w:hAnsi="Times New Roman" w:cs="Times New Roman"/>
                <w:sz w:val="28"/>
                <w:szCs w:val="28"/>
              </w:rPr>
              <w:t>Т-хелпер 1 типа</w:t>
            </w:r>
          </w:p>
        </w:tc>
      </w:tr>
      <w:tr w:rsidR="00EA1F7E" w14:paraId="092ABAC1" w14:textId="77777777" w:rsidTr="00DF1FAF">
        <w:tc>
          <w:tcPr>
            <w:tcW w:w="2689" w:type="dxa"/>
          </w:tcPr>
          <w:p w14:paraId="48C5DCC1" w14:textId="65354443" w:rsidR="00EA1F7E" w:rsidRDefault="00EA1F7E" w:rsidP="00EA1F7E">
            <w:pPr>
              <w:spacing w:line="276" w:lineRule="auto"/>
              <w:rPr>
                <w:rFonts w:ascii="Times New Roman" w:hAnsi="Times New Roman" w:cs="Times New Roman"/>
                <w:sz w:val="28"/>
                <w:szCs w:val="28"/>
                <w:lang w:val="en-US"/>
              </w:rPr>
            </w:pPr>
            <w:r>
              <w:rPr>
                <w:rFonts w:ascii="Times New Roman" w:hAnsi="Times New Roman" w:cs="Times New Roman"/>
                <w:sz w:val="28"/>
                <w:szCs w:val="28"/>
                <w:lang w:val="en-US"/>
              </w:rPr>
              <w:t>Th</w:t>
            </w:r>
            <w:r w:rsidRPr="00A300A8">
              <w:rPr>
                <w:rFonts w:ascii="Times New Roman" w:hAnsi="Times New Roman" w:cs="Times New Roman"/>
                <w:sz w:val="28"/>
                <w:szCs w:val="28"/>
              </w:rPr>
              <w:t>2</w:t>
            </w:r>
          </w:p>
        </w:tc>
        <w:tc>
          <w:tcPr>
            <w:tcW w:w="6945" w:type="dxa"/>
          </w:tcPr>
          <w:p w14:paraId="69B2BDDD" w14:textId="3E7542C6" w:rsidR="00EA1F7E" w:rsidRDefault="00EA1F7E" w:rsidP="00EA1F7E">
            <w:pPr>
              <w:spacing w:line="276" w:lineRule="auto"/>
              <w:rPr>
                <w:rFonts w:ascii="Times New Roman" w:hAnsi="Times New Roman" w:cs="Times New Roman"/>
                <w:sz w:val="28"/>
                <w:szCs w:val="28"/>
              </w:rPr>
            </w:pPr>
            <w:r>
              <w:rPr>
                <w:rFonts w:ascii="Times New Roman" w:hAnsi="Times New Roman" w:cs="Times New Roman"/>
                <w:sz w:val="28"/>
                <w:szCs w:val="28"/>
              </w:rPr>
              <w:t xml:space="preserve">Т-хелпер 2 типа </w:t>
            </w:r>
          </w:p>
        </w:tc>
      </w:tr>
      <w:tr w:rsidR="00EA1F7E" w14:paraId="44B05869" w14:textId="77777777" w:rsidTr="00DF1FAF">
        <w:tc>
          <w:tcPr>
            <w:tcW w:w="2689" w:type="dxa"/>
          </w:tcPr>
          <w:p w14:paraId="0BEF78EA" w14:textId="669DC8AD" w:rsidR="00EA1F7E" w:rsidRDefault="00EA1F7E" w:rsidP="00EA1F7E">
            <w:pPr>
              <w:spacing w:line="276" w:lineRule="auto"/>
              <w:rPr>
                <w:rStyle w:val="fontstyle01"/>
              </w:rPr>
            </w:pPr>
            <w:r w:rsidRPr="00684AFA">
              <w:rPr>
                <w:rStyle w:val="fontstyle01"/>
              </w:rPr>
              <w:t>Treg</w:t>
            </w:r>
          </w:p>
        </w:tc>
        <w:tc>
          <w:tcPr>
            <w:tcW w:w="6945" w:type="dxa"/>
          </w:tcPr>
          <w:p w14:paraId="7CFE592F" w14:textId="1F721E53" w:rsidR="00EA1F7E" w:rsidRDefault="00EA1F7E" w:rsidP="00EA1F7E">
            <w:pPr>
              <w:spacing w:line="276" w:lineRule="auto"/>
              <w:rPr>
                <w:rStyle w:val="fontstyle01"/>
              </w:rPr>
            </w:pPr>
            <w:r>
              <w:rPr>
                <w:rStyle w:val="fontstyle01"/>
              </w:rPr>
              <w:t>Т-регуляторные клетки</w:t>
            </w:r>
          </w:p>
        </w:tc>
      </w:tr>
      <w:tr w:rsidR="00EA1F7E" w14:paraId="299B837B" w14:textId="77777777" w:rsidTr="00DF1FAF">
        <w:tc>
          <w:tcPr>
            <w:tcW w:w="2689" w:type="dxa"/>
          </w:tcPr>
          <w:p w14:paraId="3C3C8332" w14:textId="086C25CD" w:rsidR="00EA1F7E" w:rsidRDefault="00EA1F7E" w:rsidP="00EA1F7E">
            <w:pPr>
              <w:spacing w:line="276" w:lineRule="auto"/>
              <w:rPr>
                <w:rStyle w:val="fontstyle01"/>
              </w:rPr>
            </w:pPr>
            <w:r>
              <w:rPr>
                <w:rFonts w:ascii="Times New Roman" w:eastAsia="Calibri" w:hAnsi="Times New Roman" w:cs="Times New Roman"/>
                <w:sz w:val="28"/>
                <w:szCs w:val="28"/>
              </w:rPr>
              <w:t>TSS</w:t>
            </w:r>
          </w:p>
        </w:tc>
        <w:tc>
          <w:tcPr>
            <w:tcW w:w="6945" w:type="dxa"/>
          </w:tcPr>
          <w:p w14:paraId="7881E0D7" w14:textId="330F70B6" w:rsidR="00EA1F7E" w:rsidRDefault="00EA1F7E" w:rsidP="00EA1F7E">
            <w:pPr>
              <w:tabs>
                <w:tab w:val="left" w:pos="1347"/>
              </w:tabs>
              <w:spacing w:line="276" w:lineRule="auto"/>
              <w:rPr>
                <w:rStyle w:val="fontstyle01"/>
              </w:rPr>
            </w:pPr>
            <w:r>
              <w:rPr>
                <w:rFonts w:ascii="Times New Roman" w:eastAsia="Calibri" w:hAnsi="Times New Roman" w:cs="Times New Roman"/>
                <w:sz w:val="28"/>
                <w:szCs w:val="28"/>
              </w:rPr>
              <w:t>Балл дневных симптомов</w:t>
            </w:r>
          </w:p>
        </w:tc>
      </w:tr>
      <w:tr w:rsidR="00EA1F7E" w14:paraId="5CADAFED" w14:textId="77777777" w:rsidTr="00DF1FAF">
        <w:tc>
          <w:tcPr>
            <w:tcW w:w="2689" w:type="dxa"/>
          </w:tcPr>
          <w:p w14:paraId="1CA5DFD2" w14:textId="7C60F91C" w:rsidR="00EA1F7E" w:rsidRDefault="00EA1F7E" w:rsidP="00EA1F7E">
            <w:pPr>
              <w:spacing w:line="276" w:lineRule="auto"/>
              <w:rPr>
                <w:rStyle w:val="fontstyle01"/>
              </w:rPr>
            </w:pPr>
            <w:r>
              <w:rPr>
                <w:rFonts w:ascii="Times New Roman" w:hAnsi="Times New Roman" w:cs="Times New Roman"/>
                <w:sz w:val="28"/>
                <w:szCs w:val="28"/>
              </w:rPr>
              <w:t>25ОНD</w:t>
            </w:r>
          </w:p>
        </w:tc>
        <w:tc>
          <w:tcPr>
            <w:tcW w:w="6945" w:type="dxa"/>
          </w:tcPr>
          <w:p w14:paraId="22882986" w14:textId="36C20CEC" w:rsidR="00EA1F7E" w:rsidRDefault="00EA1F7E" w:rsidP="00EA1F7E">
            <w:pPr>
              <w:spacing w:line="276" w:lineRule="auto"/>
              <w:rPr>
                <w:rStyle w:val="fontstyle01"/>
              </w:rPr>
            </w:pPr>
            <w:r>
              <w:rPr>
                <w:rFonts w:ascii="Times New Roman" w:hAnsi="Times New Roman" w:cs="Times New Roman"/>
                <w:sz w:val="28"/>
                <w:szCs w:val="28"/>
              </w:rPr>
              <w:t>Гидроксивитамин Д</w:t>
            </w:r>
          </w:p>
        </w:tc>
      </w:tr>
    </w:tbl>
    <w:p w14:paraId="2F0551B7" w14:textId="77777777" w:rsidR="006915ED" w:rsidRPr="00265C0D" w:rsidRDefault="006915ED" w:rsidP="0025002F">
      <w:pPr>
        <w:spacing w:after="0"/>
        <w:ind w:firstLine="567"/>
        <w:rPr>
          <w:rFonts w:ascii="Times New Roman" w:hAnsi="Times New Roman" w:cs="Times New Roman"/>
          <w:sz w:val="28"/>
          <w:szCs w:val="28"/>
        </w:rPr>
      </w:pPr>
    </w:p>
    <w:p w14:paraId="4D8E0602" w14:textId="77777777" w:rsidR="00265C0D" w:rsidRPr="00265C0D" w:rsidRDefault="00265C0D" w:rsidP="0025002F">
      <w:pPr>
        <w:spacing w:after="0"/>
        <w:ind w:firstLine="567"/>
        <w:rPr>
          <w:rFonts w:ascii="Times New Roman" w:hAnsi="Times New Roman" w:cs="Times New Roman"/>
          <w:sz w:val="28"/>
          <w:szCs w:val="28"/>
        </w:rPr>
      </w:pPr>
    </w:p>
    <w:p w14:paraId="38F9FE21" w14:textId="77777777" w:rsidR="0025002F" w:rsidRDefault="0025002F" w:rsidP="0025002F">
      <w:pPr>
        <w:spacing w:after="0"/>
        <w:ind w:firstLine="567"/>
      </w:pPr>
    </w:p>
    <w:p w14:paraId="5E73AD6A" w14:textId="77777777" w:rsidR="0025002F" w:rsidRDefault="0025002F" w:rsidP="006211F7">
      <w:pPr>
        <w:ind w:firstLine="567"/>
      </w:pPr>
    </w:p>
    <w:p w14:paraId="238EB1E5" w14:textId="6EDDB61C" w:rsidR="008D303C" w:rsidRDefault="008D303C" w:rsidP="006211F7">
      <w:pPr>
        <w:ind w:firstLine="567"/>
        <w:rPr>
          <w:rFonts w:ascii="Times New Roman" w:hAnsi="Times New Roman" w:cs="Times New Roman"/>
          <w:b/>
          <w:sz w:val="28"/>
          <w:szCs w:val="28"/>
        </w:rPr>
      </w:pPr>
      <w:r>
        <w:rPr>
          <w:rFonts w:ascii="Times New Roman" w:hAnsi="Times New Roman" w:cs="Times New Roman"/>
          <w:b/>
          <w:sz w:val="28"/>
          <w:szCs w:val="28"/>
        </w:rPr>
        <w:br w:type="page"/>
      </w:r>
    </w:p>
    <w:p w14:paraId="43E65423" w14:textId="52DA80DE" w:rsidR="00AC4340" w:rsidRPr="00120419" w:rsidRDefault="00A40A97" w:rsidP="00120419">
      <w:pPr>
        <w:pStyle w:val="1"/>
        <w:numPr>
          <w:ilvl w:val="0"/>
          <w:numId w:val="0"/>
        </w:numPr>
        <w:spacing w:before="0"/>
        <w:jc w:val="center"/>
        <w:rPr>
          <w:rFonts w:ascii="Times New Roman" w:hAnsi="Times New Roman" w:cs="Times New Roman"/>
          <w:b/>
          <w:color w:val="auto"/>
          <w:sz w:val="28"/>
          <w:szCs w:val="28"/>
        </w:rPr>
      </w:pPr>
      <w:bookmarkStart w:id="4" w:name="_Toc137904328"/>
      <w:r w:rsidRPr="00120419">
        <w:rPr>
          <w:rFonts w:ascii="Times New Roman" w:hAnsi="Times New Roman" w:cs="Times New Roman"/>
          <w:b/>
          <w:color w:val="auto"/>
          <w:sz w:val="28"/>
          <w:szCs w:val="28"/>
        </w:rPr>
        <w:t>ВВЕДЕНИЕ</w:t>
      </w:r>
      <w:bookmarkEnd w:id="4"/>
    </w:p>
    <w:p w14:paraId="005A8E19" w14:textId="77777777" w:rsidR="005E1D29" w:rsidRPr="005E1D29" w:rsidRDefault="005E1D29" w:rsidP="005E1D29">
      <w:pPr>
        <w:spacing w:after="0" w:line="240" w:lineRule="auto"/>
        <w:ind w:firstLine="567"/>
        <w:rPr>
          <w:rFonts w:ascii="Times New Roman" w:hAnsi="Times New Roman" w:cs="Times New Roman"/>
          <w:b/>
          <w:sz w:val="28"/>
          <w:szCs w:val="28"/>
        </w:rPr>
      </w:pPr>
    </w:p>
    <w:p w14:paraId="11A03777" w14:textId="78D74C3A" w:rsidR="00AC4340" w:rsidRPr="005E1D29" w:rsidRDefault="005E1D29" w:rsidP="005E1D29">
      <w:pPr>
        <w:pStyle w:val="a3"/>
        <w:tabs>
          <w:tab w:val="left" w:pos="284"/>
          <w:tab w:val="left" w:pos="709"/>
          <w:tab w:val="left" w:pos="851"/>
        </w:tabs>
        <w:spacing w:after="0" w:line="240" w:lineRule="auto"/>
        <w:ind w:left="0" w:firstLine="567"/>
        <w:jc w:val="both"/>
        <w:rPr>
          <w:rFonts w:ascii="Times New Roman" w:hAnsi="Times New Roman" w:cs="Times New Roman"/>
          <w:b/>
          <w:sz w:val="28"/>
          <w:szCs w:val="28"/>
        </w:rPr>
      </w:pPr>
      <w:r w:rsidRPr="005E1D29">
        <w:rPr>
          <w:rFonts w:ascii="Times New Roman" w:hAnsi="Times New Roman" w:cs="Times New Roman"/>
          <w:b/>
          <w:sz w:val="28"/>
          <w:szCs w:val="28"/>
        </w:rPr>
        <w:t xml:space="preserve">Актуальность </w:t>
      </w:r>
      <w:r w:rsidR="00A84F4A">
        <w:rPr>
          <w:rFonts w:ascii="Times New Roman" w:eastAsia="Times New Roman" w:hAnsi="Times New Roman"/>
          <w:b/>
          <w:bCs/>
          <w:sz w:val="28"/>
          <w:szCs w:val="28"/>
          <w:lang w:eastAsia="ru-RU"/>
        </w:rPr>
        <w:t>темы исследования</w:t>
      </w:r>
    </w:p>
    <w:p w14:paraId="146C3175" w14:textId="5EAA6E25" w:rsidR="00B34EC8" w:rsidRPr="001B27F8" w:rsidRDefault="00B34EC8" w:rsidP="00B34EC8">
      <w:pPr>
        <w:tabs>
          <w:tab w:val="left" w:pos="851"/>
        </w:tabs>
        <w:spacing w:after="0" w:line="240" w:lineRule="auto"/>
        <w:ind w:firstLine="567"/>
        <w:jc w:val="both"/>
        <w:rPr>
          <w:rFonts w:ascii="Times New Roman" w:hAnsi="Times New Roman" w:cs="Times New Roman"/>
          <w:sz w:val="28"/>
          <w:szCs w:val="28"/>
        </w:rPr>
      </w:pPr>
      <w:r w:rsidRPr="001B27F8">
        <w:rPr>
          <w:rFonts w:ascii="Times New Roman" w:hAnsi="Times New Roman" w:cs="Times New Roman"/>
          <w:sz w:val="28"/>
          <w:szCs w:val="28"/>
        </w:rPr>
        <w:t xml:space="preserve">На сегодняшний день сезонные аллергические заболевания являются глобальной медико-социальной проблемой </w:t>
      </w:r>
      <w:r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{"citationItems":[{"id":"ITEM-1","itemData":{"DOI":"10.1016/j.jaip.2014.02.001","ISSN":"22132198","PMID":"24811026","abstract":"Background: Patients with moderate-to-severe allergic rhinitis who are inadequately controlled despite treatment according to current rhinitis management guidelines have a significant unmet medical need. Such patients have a negative impact on daily functioning and are at risk of developing serious comorbidities, such as asthma and chronic rhinosinusitis. Objective: To assess the efficacy and safety of omalizumab in poorly controlled allergic rhinitis under a meta-analysis framework. Methods: MEDLINE and the Cochrane Central Register of Controlled Trials were searched through September 2013. Studies on the efficacy of omalizumab in allergic rhinitis that assessed clinical outcomes were selected. Descriptive and quantitative information was extracted; mean differences and relative risk estimates were synthesized under a fixed or random effects model. Heterogeneity was assessed by using the Q statistic and the I2 metric. Subgroup analyses were performed for the presence of specific immunotherapy treatment. Results: Of the 352 citations retrieved, 11 studies of 2870 patients were finally included. A statistically significant reduction in the daily nasal symptom severity score (standardized mean difference -0.67 [95% CI, -1.3 to -0.31]; P &lt; .0001; I2, 92%) and a statistically significant reduction in daily nasal rescue medication score (-0.22 [95% CI, -0.39 to -0.05; P = .01; I2, 58%) were observed. There was not a statistically significant difference in the occurrence of any adverse event (relative risk 1.06 [95% CI, 0.94-1.19; I2, 55%). Conclusions: Omalizumab is statistically significantly associated with symptom relief, decreased rescue medication use, and improvement of quality of life in patients with inadequately controlled allergic rhinosinusitis. © 2014 American Academy of Allergy, Asthma &amp; Immunology.","author":[{"dropping-particle":"","family":"Tsabouri","given":"Sophia","non-dropping-particle":"","parse-names":false,"suffix":""},{"dropping-particle":"","family":"Tseretopoulou","given":"Xanthippi","non-dropping-particle":"","parse-names":false,"suffix":""},{"dropping-particle":"","family":"Priftis","given":"Konstantinos","non-dropping-particle":"","parse-names":false,"suffix":""},{"dropping-particle":"","family":"Ntzani","given":"Evangelia E.","non-dropping-particle":"","parse-names":false,"suffix":""}],"container-title":"Journal of Allergy and Clinical Immunology: In Practice","id":"ITEM-1","issue":"3","issued":{"date-parts":[["2014"]]},"page":"332-340","publisher":"Elsevier Inc","title":"Omalizumab for the Treatment of Inadequately Controlled Allergic Rhinitis: A Systematic Review and Meta-Analysis of Randomized Clinical Trials","type":"article-journal","volume":"2"},"uris":["http://www.mendeley.com/documents/?uuid=1a68f79a-bd48-4db2-8376-810be1662914"]}],"mendeley":{"formattedCitation":"[1]","plainTextFormattedCitation":"[1]","previouslyFormattedCitation":"[1]"},"properties":{"noteIndex":0},"schema":"https://github.com/citation-style-language/schema/raw/master/csl-citation.json"}</w:instrText>
      </w:r>
      <w:r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[1]</w:t>
      </w:r>
      <w:r w:rsidRPr="001B27F8">
        <w:rPr>
          <w:rFonts w:ascii="Times New Roman" w:hAnsi="Times New Roman" w:cs="Times New Roman"/>
          <w:sz w:val="28"/>
          <w:szCs w:val="28"/>
        </w:rPr>
        <w:fldChar w:fldCharType="end"/>
      </w:r>
      <w:r w:rsidRPr="001B27F8">
        <w:rPr>
          <w:rFonts w:ascii="Times New Roman" w:hAnsi="Times New Roman" w:cs="Times New Roman"/>
          <w:sz w:val="28"/>
          <w:szCs w:val="28"/>
        </w:rPr>
        <w:t xml:space="preserve">. </w:t>
      </w:r>
      <w:r w:rsidRPr="001B27F8">
        <w:rPr>
          <w:rStyle w:val="fontstyle01"/>
          <w:color w:val="auto"/>
        </w:rPr>
        <w:t>Согласно статистическим данным Всемирной О</w:t>
      </w:r>
      <w:r w:rsidR="00EF37CC">
        <w:rPr>
          <w:rStyle w:val="fontstyle01"/>
          <w:color w:val="auto"/>
        </w:rPr>
        <w:t>рганизации Здравоохранения</w:t>
      </w:r>
      <w:r w:rsidRPr="001B27F8">
        <w:rPr>
          <w:rStyle w:val="fontstyle01"/>
          <w:color w:val="auto"/>
        </w:rPr>
        <w:t xml:space="preserve">, аллергией страдают около 40% населения нашей планеты </w:t>
      </w:r>
      <w:r w:rsidRPr="001B27F8">
        <w:rPr>
          <w:rStyle w:val="fontstyle01"/>
          <w:color w:val="auto"/>
        </w:rPr>
        <w:fldChar w:fldCharType="begin" w:fldLock="1"/>
      </w:r>
      <w:r w:rsidR="006B2D4C">
        <w:rPr>
          <w:rStyle w:val="fontstyle01"/>
          <w:color w:val="auto"/>
        </w:rPr>
        <w:instrText>ADDIN CSL_CITATION {"citationItems":[{"id":"ITEM-1","itemData":{"DOI":"10.1186/2045-7022-2-20","ISSN":"20457022","abstract":"Allergy today is a public health concern of pandemic proportions, affecting more than 150 million people in Europe alone. In view of epidemiological trends, the European Academy of Allergy and Clinical Immunology (EAACI) predicts that within the next few decades, more than half of the European population may at some point in their lives experience some type of allergy. Not only do allergic patients suffer from a debilitating disease, with the potential for major impact on their quality of life, career progression, personal development and lifestyle choices, but they also constitute a significant burden on health economics and macroeconomics due to the days of lost productivity and underperformance. Given that allergy triggers, including urbanization, industrialization, pollution and climate change, are not expected to change in the foreseeable future, it is imperative that steps are taken to develop, strengthen and optimize preventive and treatment strategies. Allergen specific immunotherapy is the only currently available medical intervention that has the potential to affect the natural course of the disease. Years of basic science research, clinical trials, and systematic reviews and meta-analyses have convincingly shown that allergen specific immunotherapy can achieve substantial results for patients, improving the allergic individuals' quality of life, reducing the long-term costs and burden of allergies, and changing the course of the disease. Allergen specific immunotherapy not only effectively alleviates allergy symptoms, but it has a long-term effect after conclusion of the treatment and can prevent the progression of allergic diseases. Unfortunately, allergen specific immunotherapy has not yet received adequate attention from European institutions, including research funding bodies, even though this could be a most rewarding field in terms of return on investments, translational value and European integration and, a field in which Europe is recognized as a worldwide leader. Evaluation and surveillance of the full cost of allergic diseases is still lacking and further progress is being stifled by the variety of health systems across Europe. This means that the general population remains unaware of the potential use of allergen specific immunotherapy and its potential benefits. We call upon Europe's policy-makers to coordinate actions and improve individual and public health in allergy by: Promoting awareness of the effectiveness of allergen spec…","author":[{"dropping-particle":"","family":"Calderon","given":"Moises A.","non-dropping-particle":"","parse-names":false,"suffix":""},{"dropping-particle":"","family":"Demoly","given":"Pascal","non-dropping-particle":"","parse-names":false,"suffix":""},{"dropping-particle":"","family":"Gerth Van Wijk","given":"Roy","non-dropping-particle":"","parse-names":false,"suffix":""},{"dropping-particle":"","family":"Bousquet","given":"Jean","non-dropping-particle":"","parse-names":false,"suffix":""},{"dropping-particle":"","family":"Sheikh","given":"Aziz","non-dropping-particle":"","parse-names":false,"suffix":""},{"dropping-particle":"","family":"Frew","given":"Anthony","non-dropping-particle":"","parse-names":false,"suffix":""},{"dropping-particle":"","family":"Scadding","given":"Glenis","non-dropping-particle":"","parse-names":false,"suffix":""},{"dropping-particle":"","family":"Bachert","given":"Claus","non-dropping-particle":"","parse-names":false,"suffix":""},{"dropping-particle":"","family":"Malling","given":"Hans J.","non-dropping-particle":"","parse-names":false,"suffix":""},{"dropping-particle":"","family":"Valenta","given":"Rudolph","non-dropping-particle":"","parse-names":false,"suffix":""},{"dropping-particle":"","family":"Bilo","given":"Beatrice","non-dropping-particle":"","parse-names":false,"suffix":""},{"dropping-particle":"","family":"Nieto","given":"Antonio","non-dropping-particle":"","parse-names":false,"suffix":""},{"dropping-particle":"","family":"Akdis","given":"Cezmi","non-dropping-particle":"","parse-names":false,"suffix":""},{"dropping-particle":"","family":"Just","given":"Jocelyne","non-dropping-particle":"","parse-names":false,"suffix":""},{"dropping-particle":"","family":"Vidal","given":"Carmen","non-dropping-particle":"","parse-names":false,"suffix":""},{"dropping-particle":"","family":"Varga","given":"Eva M.","non-dropping-particle":"","parse-names":false,"suffix":""},{"dropping-particle":"","family":"Alvarez-Cuesta","given":"Emilio","non-dropping-particle":"","parse-names":false,"suffix":""},{"dropping-particle":"","family":"Bohle","given":"Barbara","non-dropping-particle":"","parse-names":false,"suffix":""},{"dropping-particle":"","family":"Bufe","given":"Albrecht","non-dropping-particle":"","parse-names":false,"suffix":""},{"dropping-particle":"","family":"Canonica","given":"Walter G.","non-dropping-particle":"","parse-names":false,"suffix":""},{"dropping-particle":"","family":"Cardona","given":"Victoria","non-dropping-particle":"","parse-names":false,"suffix":""},{"dropping-particle":"","family":"Dahl","given":"Ronald","non-dropping-particle":"","parse-names":false,"suffix":""},{"dropping-particle":"","family":"Didier","given":"Alain","non-dropping-particle":"","parse-names":false,"suffix":""},{"dropping-particle":"","family":"Durham","given":"Stephen R.","non-dropping-particle":"","parse-names":false,"suffix":""},{"dropping-particle":"","family":"Eng","given":"Peter","non-dropping-particle":"","parse-names":false,"suffix":""},{"dropping-particle":"","family":"Fernandez-Rivas","given":"Montserrat","non-dropping-particle":"","parse-names":false,"suffix":""},{"dropping-particle":"","family":"Jacobsen","given":"Lars","non-dropping-particle":"","parse-names":false,"suffix":""},{"dropping-particle":"","family":"Jutel","given":"Marek","non-dropping-particle":"","parse-names":false,"suffix":""},{"dropping-particle":"","family":"Kleine-Tebbe","given":"Jörg","non-dropping-particle":"","parse-names":false,"suffix":""},{"dropping-particle":"","family":"Klimek","given":"Ludger","non-dropping-particle":"","parse-names":false,"suffix":""},{"dropping-particle":"","family":"Lötvall","given":"Jan","non-dropping-particle":"","parse-names":false,"suffix":""},{"dropping-particle":"","family":"Moreno","given":"Carmen","non-dropping-particle":"","parse-names":false,"suffix":""},{"dropping-particle":"","family":"Mosges","given":"Ralph","non-dropping-particle":"","parse-names":false,"suffix":""},{"dropping-particle":"","family":"Muraro","given":"Antonella","non-dropping-particle":"","parse-names":false,"suffix":""},{"dropping-particle":"","family":"Niggemann","given":"Bodo","non-dropping-particle":"","parse-names":false,"suffix":""},{"dropping-particle":"","family":"Pajno","given":"Giovanni","non-dropping-particle":"","parse-names":false,"suffix":""},{"dropping-particle":"","family":"Passalacqua","given":"Giovanni","non-dropping-particle":"","parse-names":false,"suffix":""},{"dropping-particle":"","family":"Pfaar","given":"Oliver","non-dropping-particle":"","parse-names":false,"suffix":""},{"dropping-particle":"","family":"Rak","given":"Sabina","non-dropping-particle":"","parse-names":false,"suffix":""},{"dropping-particle":"","family":"Senna","given":"Gianenrico","non-dropping-particle":"","parse-names":false,"suffix":""},{"dropping-particle":"","family":"Senti","given":"Gabriela","non-dropping-particle":"","parse-names":false,"suffix":""},{"dropping-particle":"","family":"Valovirta","given":"Erkka","non-dropping-particle":"","parse-names":false,"suffix":""},{"dropping-particle":"","family":"Hage","given":"Marianne","non-dropping-particle":"Van","parse-names":false,"suffix":""},{"dropping-particle":"","family":"Virchow","given":"Johannes C.","non-dropping-particle":"","parse-names":false,"suffix":""},{"dropping-particle":"","family":"Wahn","given":"Ulrich","non-dropping-particle":"","parse-names":false,"suffix":""},{"dropping-particle":"","family":"Papadopoulos","given":"Nikolaos","non-dropping-particle":"","parse-names":false,"suffix":""}],"container-title":"Clinical and Translational Allergy","id":"ITEM-1","issue":"1","issued":{"date-parts":[["2012"]]},"page":"20","title":"EAACI: A European Declaration on Immunotherapy. Designing the future of allergen specific immunotherapy","type":"article-journal","volume":"2"},"uris":["http://www.mendeley.com/documents/?uuid=8a25ba78-c889-46a5-a9af-d4389f24737c"]},{"id":"ITEM-2","itemData":{"DOI":"10.1007/s11882-018-0781-y","ISSN":"15346315","PMID":"29574527","abstract":"Purpose of Review: To evaluate the impact of allergic rhinitis (AR) on the development of asthma and to update readers on recent literature suggesting that early treatment of allergic subjects with immunotherapy may prevent asthma onset. Recent Findings: AR is frequently associated with asthma, leading to the concept that these two conditions are different aspects of the same disease. There is increasing evidence that AR precedes the onset of asthmatic symptoms and current treatment strategies are beneficial in symptom control with no impact prevention. There is limited knowledge about the risk factors responsible for the progression of AR to asthma, though recent data supports the notion that it is possible to prevent asthma onset by allergen immunotherapy. Summary: Despite significant advances in specific immunotherapy (SIT) therapy strengthening its efficacy in AR and possible prevention of progression to asthma, the adoption of this therapeutic strategy is still restricted in comparison to therapies directed towards treatment of AR symptoms. Unlike corticosteroids and other symptomatic therapies, the benefit of SIT treatment in allergic individuals has been shown to prevent the development of allergic conditions. Hence, large well-conducted randomized clinical trials with long-term efficacy of SIT are required to confirm or refute the concept that SIT may abrogate the progression of AR to asthma in patients.","author":[{"dropping-particle":"","family":"Morjaria","given":"Jaymin B.","non-dropping-particle":"","parse-names":false,"suffix":""},{"dropping-particle":"","family":"Caruso","given":"Massimo","non-dropping-particle":"","parse-names":false,"suffix":""},{"dropping-particle":"","family":"Emma","given":"Rosalia","non-dropping-particle":"","parse-names":false,"suffix":""},{"dropping-particle":"","family":"Russo","given":"Cristina","non-dropping-particle":"","parse-names":false,"suffix":""},{"dropping-particle":"","family":"Polosa","given":"Riccardo","non-dropping-particle":"","parse-names":false,"suffix":""}],"container-title":"Current Allergy and Asthma Reports","id":"ITEM-2","issue":"4","issued":{"date-parts":[["2018"]]},"page":"23","publisher":"Current Allergy and Asthma Reports","title":"Treatment of Allergic Rhinitis as a Strategy for Preventing Asthma","type":"article-journal","volume":"18"},"uris":["http://www.mendeley.com/documents/?uuid=41612316-94f4-4973-8db5-f7a00251d891"]},{"id":"ITEM-3","itemData":{"DOI":"10.1016/j.jaci.2017.03.050","ISSN":"10976825","PMID":"28602936","abstract":"Background: Allergic rhinitis (AR) affects 10% to 40% of the population. It reduces quality of life and school and work performance and is a frequent reason for office visits in general practice. Medical costs are large, but avoidable costs associated with lost work productivity are even larger than those incurred by asthma. New evidence has accumulated since the last revision of the Allergic Rhinitis and its Impact on Asthma (ARIA) guidelines in 2010, prompting its update. Objective: We sought to provide a targeted update of the ARIA guidelines. Methods: The ARIA guideline panel identified new clinical questions and selected questions requiring an update. We performed systematic reviews of health effects and the evidence about patients’ values and preferences and resource requirements (up to June 2016). We followed the Grading of Recommendations Assessment, Development, and Evaluation (GRADE) evidence-to-decision frameworks to develop recommendations. Results: The 2016 revision of the ARIA guidelines provides both updated and new recommendations about the pharmacologic treatment of AR. Specifically, it addresses the relative merits of using oral H1-antihistamines, intranasal H1-antihistamines, intranasal corticosteroids, and leukotriene receptor antagonists either alone or in combination. The ARIA guideline panel provides specific recommendations for the choice of treatment and the rationale for the choice and discusses specific considerations that clinicians and patients might want to review to choose the management most appropriate for an individual patient. Conclusions: Appropriate treatment of AR might improve patients’ quality of life and school and work productivity. ARIA recommendations support patients, their caregivers, and health care providers in choosing the optimal treatment.","author":[{"dropping-particle":"","family":"Brożek","given":"Jan L.","non-dropping-particle":"","parse-names":false,"suffix":""},{"dropping-particle":"","family":"Bousquet","given":"Jean","non-dropping-particle":"","parse-names":false,"suffix":""},{"dropping-particle":"","family":"Agache","given":"Ioana","non-dropping-particle":"","parse-names":false,"suffix":""},{"dropping-particle":"","family":"Agarwal","given":"Arnav","non-dropping-particle":"","parse-names":false,"suffix":""},{"dropping-particle":"","family":"Bachert","given":"Claus","non-dropping-particle":"","parse-names":false,"suffix":""},{"dropping-particle":"","family":"Bosnic-Anticevich","given":"Sinthia","non-dropping-particle":"","parse-names":false,"suffix":""},{"dropping-particle":"","family":"Brignardello-Petersen","given":"Romina","non-dropping-particle":"","parse-names":false,"suffix":""},{"dropping-particle":"","family":"Canonica","given":"G. Walter","non-dropping-particle":"","parse-names":false,"suffix":""},{"dropping-particle":"","family":"Casale","given":"Thomas","non-dropping-particle":"","parse-names":false,"suffix":""},{"dropping-particle":"","family":"Chavannes","given":"Niels H.","non-dropping-particle":"","parse-names":false,"suffix":""},{"dropping-particle":"","family":"Correia de Sousa","given":"Jaime","non-dropping-particle":"","parse-names":false,"suffix":""},{"dropping-particle":"","family":"Cruz","given":"Alvaro A.","non-dropping-particle":"","parse-names":false,"suffix":""},{"dropping-particle":"","family":"Cuello-Garcia","given":"Carlos A.","non-dropping-particle":"","parse-names":false,"suffix":""},{"dropping-particle":"","family":"Demoly","given":"Pascal","non-dropping-particle":"","parse-names":false,"suffix":""},{"dropping-particle":"","family":"Dykewicz","given":"Mark","non-dropping-particle":"","parse-names":false,"suffix":""},{"dropping-particle":"","family":"Etxeandia-Ikobaltzeta","given":"Itziar","non-dropping-particle":"","parse-names":false,"suffix":""},{"dropping-particle":"","family":"Florez","given":"Ivan D.","non-dropping-particle":"","parse-names":false,"suffix":""},{"dropping-particle":"","family":"Fokkens","given":"Wytske","non-dropping-particle":"","parse-names":false,"suffix":""},{"dropping-particle":"","family":"Fonseca","given":"Joao","non-dropping-particle":"","parse-names":false,"suffix":""},{"dropping-particle":"","family":"Hellings","given":"Peter W.","non-dropping-particle":"","parse-names":false,"suffix":""},{"dropping-particle":"","family":"Klimek","given":"Ludger","non-dropping-particle":"","parse-names":false,"suffix":""},{"dropping-particle":"","family":"Kowalski","given":"Sergio","non-dropping-particle":"","parse-names":false,"suffix":""},{"dropping-particle":"","family":"Kuna","given":"Piotr","non-dropping-particle":"","parse-names":false,"suffix":""},{"dropping-particle":"","family":"Laisaar","given":"Kaja Triin","non-dropping-particle":"","parse-names":false,"suffix":""},{"dropping-particle":"","family":"Larenas-Linnemann","given":"Désirée E.","non-dropping-particle":"","parse-names":false,"suffix":""},{"dropping-particle":"","family":"Lødrup Carlsen","given":"Karin C.","non-dropping-particle":"","parse-names":false,"suffix":""},{"dropping-particle":"","family":"Manning","given":"Peter J.","non-dropping-particle":"","parse-names":false,"suffix":""},{"dropping-particle":"","family":"Meltzer","given":"Eli","non-dropping-particle":"","parse-names":false,"suffix":""},{"dropping-particle":"","family":"Mullol","given":"Joaquim","non-dropping-particle":"","parse-names":false,"suffix":""},{"dropping-particle":"","family":"Muraro","given":"Antonella","non-dropping-particle":"","parse-names":false,"suffix":""},{"dropping-particle":"","family":"O'Hehir","given":"Robyn","non-dropping-particle":"","parse-names":false,"suffix":""},{"dropping-particle":"","family":"Ohta","given":"Ken","non-dropping-particle":"","parse-names":false,"suffix":""},{"dropping-particle":"","family":"Panzner","given":"Petr","non-dropping-particle":"","parse-names":false,"suffix":""},{"dropping-particle":"","family":"Papadopoulos","given":"Nikolaos","non-dropping-particle":"","parse-names":false,"suffix":""},{"dropping-particle":"","family":"Park","given":"Hae Sim","non-dropping-particle":"","parse-names":false,"suffix":""},{"dropping-particle":"","family":"Passalacqua","given":"Gianni","non-dropping-particle":"","parse-names":false,"suffix":""},{"dropping-particle":"","family":"Pawankar","given":"Ruby","non-dropping-particle":"","parse-names":false,"suffix":""},{"dropping-particle":"","family":"Price","given":"David","non-dropping-particle":"","parse-names":false,"suffix":""},{"dropping-particle":"","family":"Riva","given":"John J.","non-dropping-particle":"","parse-names":false,"suffix":""},{"dropping-particle":"","family":"Roldán","given":"Yetiani","non-dropping-particle":"","parse-names":false,"suffix":""},{"dropping-particle":"","family":"Ryan","given":"Dermot","non-dropping-particle":"","parse-names":false,"suffix":""},{"dropping-particle":"","family":"Sadeghirad","given":"Behnam","non-dropping-particle":"","parse-names":false,"suffix":""},{"dropping-particle":"","family":"Samolinski","given":"Boleslaw","non-dropping-particle":"","parse-names":false,"suffix":""},{"dropping-particle":"","family":"Schmid-Grendelmeier","given":"Peter","non-dropping-particle":"","parse-names":false,"suffix":""},{"dropping-particle":"","family":"Sheikh","given":"Aziz","non-dropping-particle":"","parse-names":false,"suffix":""},{"dropping-particle":"","family":"Togias","given":"Alkis","non-dropping-particle":"","parse-names":false,"suffix":""},{"dropping-particle":"","family":"Valero","given":"Antonio","non-dropping-particle":"","parse-names":false,"suffix":""},{"dropping-particle":"","family":"Valiulis","given":"Arunas","non-dropping-particle":"","parse-names":false,"suffix":""},{"dropping-particle":"","family":"Valovirta","given":"Erkka","non-dropping-particle":"","parse-names":false,"suffix":""},{"dropping-particle":"","family":"Ventresca","given":"Matthew","non-dropping-particle":"","parse-names":false,"suffix":""},{"dropping-particle":"","family":"Wallace","given":"Dana","non-dropping-particle":"","parse-names":false,"suffix":""},{"dropping-particle":"","family":"Waserman","given":"Susan","non-dropping-particle":"","parse-names":false,"suffix":""},{"dropping-particle":"","family":"Wickman","given":"Magnus","non-dropping-particle":"","parse-names":false,"suffix":""},{"dropping-particle":"","family":"Wiercioch","given":"Wojtek","non-dropping-particle":"","parse-names":false,"suffix":""},{"dropping-particle":"","family":"Yepes-Nuñez","given":"Juan José","non-dropping-particle":"","parse-names":false,"suffix":""},{"dropping-particle":"","family":"Zhang","given":"Luo","non-dropping-particle":"","parse-names":false,"suffix":""},{"dropping-particle":"","family":"Zhang","given":"Yuan","non-dropping-particle":"","parse-names":false,"suffix":""},{"dropping-particle":"","family":"Zidarn","given":"Mihaela","non-dropping-particle":"","parse-names":false,"suffix":""},{"dropping-particle":"","family":"Zuberbier","given":"Torsten","non-dropping-particle":"","parse-names":false,"suffix":""},{"dropping-particle":"","family":"Schünemann","given":"Holger J.","non-dropping-particle":"","parse-names":false,"suffix":""}],"container-title":"Journal of Allergy and Clinical Immunology","id":"ITEM-3","issue":"4","issued":{"date-parts":[["2017"]]},"page":"950-958","title":"Allergic Rhinitis and its Impact on Asthma (ARIA) guidelines—2016 revision","type":"article-journal","volume":"140"},"uris":["http://www.mendeley.com/documents/?uuid=0fb3a53d-73fc-4247-9360-df54bcbe1d42"]}],"mendeley":{"formattedCitation":"[2–4]","plainTextFormattedCitation":"[2–4]","previouslyFormattedCitation":"[2–4]"},"properties":{"noteIndex":0},"schema":"https://github.com/citation-style-language/schema/raw/master/csl-citation.json"}</w:instrText>
      </w:r>
      <w:r w:rsidRPr="001B27F8">
        <w:rPr>
          <w:rStyle w:val="fontstyle01"/>
          <w:color w:val="auto"/>
        </w:rPr>
        <w:fldChar w:fldCharType="separate"/>
      </w:r>
      <w:r w:rsidR="00877069" w:rsidRPr="00877069">
        <w:rPr>
          <w:rStyle w:val="fontstyle01"/>
          <w:noProof/>
          <w:color w:val="auto"/>
        </w:rPr>
        <w:t>[2–4]</w:t>
      </w:r>
      <w:r w:rsidRPr="001B27F8">
        <w:rPr>
          <w:rStyle w:val="fontstyle01"/>
          <w:color w:val="auto"/>
        </w:rPr>
        <w:fldChar w:fldCharType="end"/>
      </w:r>
      <w:r w:rsidRPr="001B27F8">
        <w:rPr>
          <w:rStyle w:val="fontstyle01"/>
          <w:color w:val="auto"/>
        </w:rPr>
        <w:t>.</w:t>
      </w:r>
      <w:r w:rsidRPr="001B27F8">
        <w:rPr>
          <w:rFonts w:ascii="Times New Roman" w:hAnsi="Times New Roman" w:cs="Times New Roman"/>
          <w:sz w:val="28"/>
          <w:szCs w:val="28"/>
        </w:rPr>
        <w:t xml:space="preserve"> Наблюдается постоянный рост заболеваемости с формированием более тяжелых форм</w:t>
      </w:r>
      <w:r w:rsidR="005075DF">
        <w:rPr>
          <w:rFonts w:ascii="Times New Roman" w:hAnsi="Times New Roman" w:cs="Times New Roman"/>
          <w:sz w:val="28"/>
          <w:szCs w:val="28"/>
        </w:rPr>
        <w:t xml:space="preserve"> </w:t>
      </w:r>
      <w:r w:rsidRPr="001B27F8">
        <w:rPr>
          <w:rFonts w:ascii="Times New Roman" w:hAnsi="Times New Roman" w:cs="Times New Roman"/>
          <w:sz w:val="28"/>
          <w:szCs w:val="28"/>
        </w:rPr>
        <w:t xml:space="preserve">с расширением спектра сенсибилизации к неродственным аллергенам </w:t>
      </w:r>
      <w:r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{"citationItems":[{"id":"ITEM-1","itemData":{"DOI":"10.1016/j.jaci.2015.12.1300","ISSN":"10976825","PMID":"26853128","abstract":"This article continues the comprehensive international consensus (ICON) statement on allergen immunotherapy (AIT). The initial article also recently appeared in the Journal. The conclusions below focus on key mechanisms of AIT-triggered tolerance, requirements in allergen standardization, AIT cost-effectiveness, and regulatory guidance. Potential barriers to and facilitators of the use of AIT are described in addition to future directions. International allergy specialists representing the European Academy of Allergy and Clinical Immunology; the American Academy of Allergy, Asthma &amp; Immunology; the American College of Allergy, Asthma and Immunology; and the World Allergy Organization critically reviewed the existing literature and prepared this summary of recommendations for best AIT practice. The authors contributed equally and reached consensus on the statements presented herein.","author":[{"dropping-particle":"","family":"Jutel","given":"Marek","non-dropping-particle":"","parse-names":false,"suffix":""},{"dropping-particle":"","family":"Agache","given":"Ioana","non-dropping-particle":"","parse-names":false,"suffix":""},{"dropping-particle":"","family":"Bonini","given":"Sergio","non-dropping-particle":"","parse-names":false,"suffix":""},{"dropping-particle":"","family":"Burks","given":"A. Wesley","non-dropping-particle":"","parse-names":false,"suffix":""},{"dropping-particle":"","family":"Calderon","given":"Moises","non-dropping-particle":"","parse-names":false,"suffix":""},{"dropping-particle":"","family":"Canonica","given":"Walter","non-dropping-particle":"","parse-names":false,"suffix":""},{"dropping-particle":"","family":"Cox","given":"Linda","non-dropping-particle":"","parse-names":false,"suffix":""},{"dropping-particle":"","family":"Demoly","given":"Pascal","non-dropping-particle":"","parse-names":false,"suffix":""},{"dropping-particle":"","family":"Frew","given":"Antony J.","non-dropping-particle":"","parse-names":false,"suffix":""},{"dropping-particle":"","family":"O'Hehir","given":"Robyn","non-dropping-particle":"","parse-names":false,"suffix":""},{"dropping-particle":"","family":"Kleine-Tebbe","given":"Jörg","non-dropping-particle":"","parse-names":false,"suffix":""},{"dropping-particle":"","family":"Muraro","given":"Antonella","non-dropping-particle":"","parse-names":false,"suffix":""},{"dropping-particle":"","family":"Lack","given":"Gideon","non-dropping-particle":"","parse-names":false,"suffix":""},{"dropping-particle":"","family":"Larenas","given":"Désirée","non-dropping-particle":"","parse-names":false,"suffix":""},{"dropping-particle":"","family":"Levin","given":"Michael","non-dropping-particle":"","parse-names":false,"suffix":""},{"dropping-particle":"","family":"Martin","given":"Bryan L.","non-dropping-particle":"","parse-names":false,"suffix":""},{"dropping-particle":"","family":"Nelson","given":"Harald","non-dropping-particle":"","parse-names":false,"suffix":""},{"dropping-particle":"","family":"Pawankar","given":"Ruby","non-dropping-particle":"","parse-names":false,"suffix":""},{"dropping-particle":"","family":"Pfaar","given":"Oliver","non-dropping-particle":"","parse-names":false,"suffix":""},{"dropping-particle":"","family":"Ree","given":"Ronald","non-dropping-particle":"Van","parse-names":false,"suffix":""},{"dropping-particle":"","family":"Sampson","given":"Hugh","non-dropping-particle":"","parse-names":false,"suffix":""},{"dropping-particle":"","family":"Sublett","given":"James L.","non-dropping-particle":"","parse-names":false,"suffix":""},{"dropping-particle":"","family":"Sugita","given":"Kazunari","non-dropping-particle":"","parse-names":false,"suffix":""},{"dropping-particle":"","family":"Toit","given":"George","non-dropping-particle":"Du","parse-names":false,"suffix":""},{"dropping-particle":"","family":"Werfel","given":"Thomas","non-dropping-particle":"","parse-names":false,"suffix":""},{"dropping-particle":"","family":"Gerth Van Wijk","given":"Roy","non-dropping-particle":"","parse-names":false,"suffix":""},{"dropping-particle":"","family":"Zhang","given":"Luo","non-dropping-particle":"","parse-names":false,"suffix":""},{"dropping-particle":"","family":"Akdis","given":"Mübeccel","non-dropping-particle":"","parse-names":false,"suffix":""},{"dropping-particle":"","family":"Akdis","given":"Cezmi A.","non-dropping-particle":"","parse-names":false,"suffix":""}],"container-title":"Journal of Allergy and Clinical Immunology","id":"ITEM-1","issue":"2","issued":{"date-parts":[["2016"]]},"page":"358-368","title":"International Consensus on Allergen Immunotherapy II: Mechanisms, standardization, and pharmacoeconomics","type":"article-journal","volume":"137"},"uris":["http://www.mendeley.com/documents/?uuid=addaa286-7c6e-44d3-95a1-949bbcdd8dc2"]},{"id":"ITEM-2","itemData":{"author":[{"dropping-particle":"","family":"Плахина","given":"К.В.","non-dropping-particle":"","parse-names":false,"suffix":""},{"dropping-particle":"","family":"Минаева","given":"Н.В.","non-dropping-particle":"","parse-names":false,"suffix":""}],"container-title":"Социальная медицина","id":"ITEM-2","issue":"4","issued":{"date-parts":[["2016"]]},"page":"82-86","title":"Организационные аспекты сублингвальной аллергенспецифической иммунотерапии","type":"article-journal","volume":"33"},"uris":["http://www.mendeley.com/documents/?uuid=b7bc8ca9-be6a-4edc-9430-4ab162f3812c"]}],"mendeley":{"formattedCitation":"[5,6]","plainTextFormattedCitation":"[5,6]","previouslyFormattedCitation":"[5,6]"},"properties":{"noteIndex":0},"schema":"https://github.com/citation-style-language/schema/raw/master/csl-citation.json"}</w:instrText>
      </w:r>
      <w:r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[5,6]</w:t>
      </w:r>
      <w:r w:rsidRPr="001B27F8">
        <w:rPr>
          <w:rFonts w:ascii="Times New Roman" w:hAnsi="Times New Roman" w:cs="Times New Roman"/>
          <w:sz w:val="28"/>
          <w:szCs w:val="28"/>
        </w:rPr>
        <w:fldChar w:fldCharType="end"/>
      </w:r>
      <w:r w:rsidRPr="001B27F8">
        <w:rPr>
          <w:rFonts w:ascii="Times New Roman" w:hAnsi="Times New Roman" w:cs="Times New Roman"/>
          <w:sz w:val="28"/>
          <w:szCs w:val="28"/>
        </w:rPr>
        <w:t xml:space="preserve">. </w:t>
      </w:r>
    </w:p>
    <w:p w14:paraId="15B21B44" w14:textId="18E64FD4" w:rsidR="00B34EC8" w:rsidRPr="001B27F8" w:rsidRDefault="00B34EC8" w:rsidP="00B34EC8">
      <w:pPr>
        <w:tabs>
          <w:tab w:val="left" w:pos="851"/>
        </w:tabs>
        <w:spacing w:after="0" w:line="240" w:lineRule="auto"/>
        <w:ind w:firstLine="567"/>
        <w:jc w:val="both"/>
        <w:rPr>
          <w:rFonts w:ascii="Times New Roman" w:hAnsi="Times New Roman" w:cs="Times New Roman"/>
          <w:sz w:val="28"/>
          <w:szCs w:val="28"/>
        </w:rPr>
      </w:pPr>
      <w:r w:rsidRPr="001B27F8">
        <w:rPr>
          <w:rFonts w:ascii="Times New Roman" w:hAnsi="Times New Roman" w:cs="Times New Roman"/>
          <w:sz w:val="28"/>
          <w:szCs w:val="28"/>
        </w:rPr>
        <w:t xml:space="preserve">Среди сезонных аллергических заболеваний проблемной ситуацией </w:t>
      </w:r>
      <w:r w:rsidR="009E5847">
        <w:rPr>
          <w:rFonts w:ascii="Times New Roman" w:hAnsi="Times New Roman" w:cs="Times New Roman"/>
          <w:sz w:val="28"/>
          <w:szCs w:val="28"/>
        </w:rPr>
        <w:t>является</w:t>
      </w:r>
      <w:r w:rsidRPr="001B27F8">
        <w:rPr>
          <w:rFonts w:ascii="Times New Roman" w:hAnsi="Times New Roman" w:cs="Times New Roman"/>
          <w:sz w:val="28"/>
          <w:szCs w:val="28"/>
        </w:rPr>
        <w:t xml:space="preserve"> заболеваемость </w:t>
      </w:r>
      <w:r w:rsidR="00EF37CC">
        <w:rPr>
          <w:rFonts w:ascii="Times New Roman" w:hAnsi="Times New Roman" w:cs="Times New Roman"/>
          <w:sz w:val="28"/>
          <w:szCs w:val="28"/>
        </w:rPr>
        <w:t>сезонным аллергическим ринитом</w:t>
      </w:r>
      <w:r w:rsidRPr="001B27F8">
        <w:rPr>
          <w:rFonts w:ascii="Times New Roman" w:hAnsi="Times New Roman" w:cs="Times New Roman"/>
          <w:sz w:val="28"/>
          <w:szCs w:val="28"/>
        </w:rPr>
        <w:t xml:space="preserve"> </w:t>
      </w:r>
      <w:r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{"citationItems":[{"id":"ITEM-1","itemData":{"DOI":"10.1016/j.jaci.2017.03.050","ISSN":"10976825","PMID":"28602936","abstract":"Background: Allergic rhinitis (AR) affects 10% to 40% of the population. It reduces quality of life and school and work performance and is a frequent reason for office visits in general practice. Medical costs are large, but avoidable costs associated with lost work productivity are even larger than those incurred by asthma. New evidence has accumulated since the last revision of the Allergic Rhinitis and its Impact on Asthma (ARIA) guidelines in 2010, prompting its update. Objective: We sought to provide a targeted update of the ARIA guidelines. Methods: The ARIA guideline panel identified new clinical questions and selected questions requiring an update. We performed systematic reviews of health effects and the evidence about patients’ values and preferences and resource requirements (up to June 2016). We followed the Grading of Recommendations Assessment, Development, and Evaluation (GRADE) evidence-to-decision frameworks to develop recommendations. Results: The 2016 revision of the ARIA guidelines provides both updated and new recommendations about the pharmacologic treatment of AR. Specifically, it addresses the relative merits of using oral H1-antihistamines, intranasal H1-antihistamines, intranasal corticosteroids, and leukotriene receptor antagonists either alone or in combination. The ARIA guideline panel provides specific recommendations for the choice of treatment and the rationale for the choice and discusses specific considerations that clinicians and patients might want to review to choose the management most appropriate for an individual patient. Conclusions: Appropriate treatment of AR might improve patients’ quality of life and school and work productivity. ARIA recommendations support patients, their caregivers, and health care providers in choosing the optimal treatment.","author":[{"dropping-particle":"","family":"Brożek","given":"Jan L.","non-dropping-particle":"","parse-names":false,"suffix":""},{"dropping-particle":"","family":"Bousquet","given":"Jean","non-dropping-particle":"","parse-names":false,"suffix":""},{"dropping-particle":"","family":"Agache","given":"Ioana","non-dropping-particle":"","parse-names":false,"suffix":""},{"dropping-particle":"","family":"Agarwal","given":"Arnav","non-dropping-particle":"","parse-names":false,"suffix":""},{"dropping-particle":"","family":"Bachert","given":"Claus","non-dropping-particle":"","parse-names":false,"suffix":""},{"dropping-particle":"","family":"Bosnic-Anticevich","given":"Sinthia","non-dropping-particle":"","parse-names":false,"suffix":""},{"dropping-particle":"","family":"Brignardello-Petersen","given":"Romina","non-dropping-particle":"","parse-names":false,"suffix":""},{"dropping-particle":"","family":"Canonica","given":"G. Walter","non-dropping-particle":"","parse-names":false,"suffix":""},{"dropping-particle":"","family":"Casale","given":"Thomas","non-dropping-particle":"","parse-names":false,"suffix":""},{"dropping-particle":"","family":"Chavannes","given":"Niels H.","non-dropping-particle":"","parse-names":false,"suffix":""},{"dropping-particle":"","family":"Correia de Sousa","given":"Jaime","non-dropping-particle":"","parse-names":false,"suffix":""},{"dropping-particle":"","family":"Cruz","given":"Alvaro A.","non-dropping-particle":"","parse-names":false,"suffix":""},{"dropping-particle":"","family":"Cuello-Garcia","given":"Carlos A.","non-dropping-particle":"","parse-names":false,"suffix":""},{"dropping-particle":"","family":"Demoly","given":"Pascal","non-dropping-particle":"","parse-names":false,"suffix":""},{"dropping-particle":"","family":"Dykewicz","given":"Mark","non-dropping-particle":"","parse-names":false,"suffix":""},{"dropping-particle":"","family":"Etxeandia-Ikobaltzeta","given":"Itziar","non-dropping-particle":"","parse-names":false,"suffix":""},{"dropping-particle":"","family":"Florez","given":"Ivan D.","non-dropping-particle":"","parse-names":false,"suffix":""},{"dropping-particle":"","family":"Fokkens","given":"Wytske","non-dropping-particle":"","parse-names":false,"suffix":""},{"dropping-particle":"","family":"Fonseca","given":"Joao","non-dropping-particle":"","parse-names":false,"suffix":""},{"dropping-particle":"","family":"Hellings","given":"Peter W.","non-dropping-particle":"","parse-names":false,"suffix":""},{"dropping-particle":"","family":"Klimek","given":"Ludger","non-dropping-particle":"","parse-names":false,"suffix":""},{"dropping-particle":"","family":"Kowalski","given":"Sergio","non-dropping-particle":"","parse-names":false,"suffix":""},{"dropping-particle":"","family":"Kuna","given":"Piotr","non-dropping-particle":"","parse-names":false,"suffix":""},{"dropping-particle":"","family":"Laisaar","given":"Kaja Triin","non-dropping-particle":"","parse-names":false,"suffix":""},{"dropping-particle":"","family":"Larenas-Linnemann","given":"Désirée E.","non-dropping-particle":"","parse-names":false,"suffix":""},{"dropping-particle":"","family":"Lødrup Carlsen","given":"Karin C.","non-dropping-particle":"","parse-names":false,"suffix":""},{"dropping-particle":"","family":"Manning","given":"Peter J.","non-dropping-particle":"","parse-names":false,"suffix":""},{"dropping-particle":"","family":"Meltzer","given":"Eli","non-dropping-particle":"","parse-names":false,"suffix":""},{"dropping-particle":"","family":"Mullol","given":"Joaquim","non-dropping-particle":"","parse-names":false,"suffix":""},{"dropping-particle":"","family":"Muraro","given":"Antonella","non-dropping-particle":"","parse-names":false,"suffix":""},{"dropping-particle":"","family":"O'Hehir","given":"Robyn","non-dropping-particle":"","parse-names":false,"suffix":""},{"dropping-particle":"","family":"Ohta","given":"Ken","non-dropping-particle":"","parse-names":false,"suffix":""},{"dropping-particle":"","family":"Panzner","given":"Petr","non-dropping-particle":"","parse-names":false,"suffix":""},{"dropping-particle":"","family":"Papadopoulos","given":"Nikolaos","non-dropping-particle":"","parse-names":false,"suffix":""},{"dropping-particle":"","family":"Park","given":"Hae Sim","non-dropping-particle":"","parse-names":false,"suffix":""},{"dropping-particle":"","family":"Passalacqua","given":"Gianni","non-dropping-particle":"","parse-names":false,"suffix":""},{"dropping-particle":"","family":"Pawankar","given":"Ruby","non-dropping-particle":"","parse-names":false,"suffix":""},{"dropping-particle":"","family":"Price","given":"David","non-dropping-particle":"","parse-names":false,"suffix":""},{"dropping-particle":"","family":"Riva","given":"John J.","non-dropping-particle":"","parse-names":false,"suffix":""},{"dropping-particle":"","family":"Roldán","given":"Yetiani","non-dropping-particle":"","parse-names":false,"suffix":""},{"dropping-particle":"","family":"Ryan","given":"Dermot","non-dropping-particle":"","parse-names":false,"suffix":""},{"dropping-particle":"","family":"Sadeghirad","given":"Behnam","non-dropping-particle":"","parse-names":false,"suffix":""},{"dropping-particle":"","family":"Samolinski","given":"Boleslaw","non-dropping-particle":"","parse-names":false,"suffix":""},{"dropping-particle":"","family":"Schmid-Grendelmeier","given":"Peter","non-dropping-particle":"","parse-names":false,"suffix":""},{"dropping-particle":"","family":"Sheikh","given":"Aziz","non-dropping-particle":"","parse-names":false,"suffix":""},{"dropping-particle":"","family":"Togias","given":"Alkis","non-dropping-particle":"","parse-names":false,"suffix":""},{"dropping-particle":"","family":"Valero","given":"Antonio","non-dropping-particle":"","parse-names":false,"suffix":""},{"dropping-particle":"","family":"Valiulis","given":"Arunas","non-dropping-particle":"","parse-names":false,"suffix":""},{"dropping-particle":"","family":"Valovirta","given":"Erkka","non-dropping-particle":"","parse-names":false,"suffix":""},{"dropping-particle":"","family":"Ventresca","given":"Matthew","non-dropping-particle":"","parse-names":false,"suffix":""},{"dropping-particle":"","family":"Wallace","given":"Dana","non-dropping-particle":"","parse-names":false,"suffix":""},{"dropping-particle":"","family":"Waserman","given":"Susan","non-dropping-particle":"","parse-names":false,"suffix":""},{"dropping-particle":"","family":"Wickman","given":"Magnus","non-dropping-particle":"","parse-names":false,"suffix":""},{"dropping-particle":"","family":"Wiercioch","given":"Wojtek","non-dropping-particle":"","parse-names":false,"suffix":""},{"dropping-particle":"","family":"Yepes-Nuñez","given":"Juan José","non-dropping-particle":"","parse-names":false,"suffix":""},{"dropping-particle":"","family":"Zhang","given":"Luo","non-dropping-particle":"","parse-names":false,"suffix":""},{"dropping-particle":"","family":"Zhang","given":"Yuan","non-dropping-particle":"","parse-names":false,"suffix":""},{"dropping-particle":"","family":"Zidarn","given":"Mihaela","non-dropping-particle":"","parse-names":false,"suffix":""},{"dropping-particle":"","family":"Zuberbier","given":"Torsten","non-dropping-particle":"","parse-names":false,"suffix":""},{"dropping-particle":"","family":"Schünemann","given":"Holger J.","non-dropping-particle":"","parse-names":false,"suffix":""}],"container-title":"Journal of Allergy and Clinical Immunology","id":"ITEM-1","issue":"4","issued":{"date-parts":[["2017"]]},"page":"950-958","title":"Allergic Rhinitis and its Impact on Asthma (ARIA) guidelines—2016 revision","type":"article-journal","volume":"140"},"uris":["http://www.mendeley.com/documents/?uuid=0fb3a53d-73fc-4247-9360-df54bcbe1d42"]}],"mendeley":{"formattedCitation":"[4]","plainTextFormattedCitation":"[4]","previouslyFormattedCitation":"[4]"},"properties":{"noteIndex":0},"schema":"https://github.com/citation-style-language/schema/raw/master/csl-citation.json"}</w:instrText>
      </w:r>
      <w:r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[4]</w:t>
      </w:r>
      <w:r w:rsidRPr="001B27F8">
        <w:rPr>
          <w:rFonts w:ascii="Times New Roman" w:hAnsi="Times New Roman" w:cs="Times New Roman"/>
          <w:sz w:val="28"/>
          <w:szCs w:val="28"/>
        </w:rPr>
        <w:fldChar w:fldCharType="end"/>
      </w:r>
      <w:r w:rsidRPr="001B27F8">
        <w:rPr>
          <w:rFonts w:ascii="Times New Roman" w:hAnsi="Times New Roman" w:cs="Times New Roman"/>
          <w:sz w:val="28"/>
          <w:szCs w:val="28"/>
        </w:rPr>
        <w:t xml:space="preserve">. </w:t>
      </w:r>
      <w:r w:rsidR="00FF65AF">
        <w:rPr>
          <w:rStyle w:val="fontstyle01"/>
          <w:color w:val="auto"/>
        </w:rPr>
        <w:t>В настоящее время более 500 миллионов</w:t>
      </w:r>
      <w:r w:rsidRPr="001B27F8">
        <w:rPr>
          <w:rStyle w:val="fontstyle01"/>
          <w:color w:val="auto"/>
        </w:rPr>
        <w:t xml:space="preserve"> человек страдают </w:t>
      </w:r>
      <w:r w:rsidR="00EF37CC">
        <w:rPr>
          <w:rStyle w:val="fontstyle01"/>
          <w:color w:val="auto"/>
        </w:rPr>
        <w:t>аллергическим ринитом</w:t>
      </w:r>
      <w:r w:rsidRPr="001B27F8">
        <w:rPr>
          <w:rStyle w:val="fontstyle01"/>
          <w:color w:val="auto"/>
        </w:rPr>
        <w:t xml:space="preserve"> во всем мире </w:t>
      </w:r>
      <w:r w:rsidRPr="001B27F8">
        <w:rPr>
          <w:rStyle w:val="fontstyle01"/>
          <w:color w:val="auto"/>
        </w:rPr>
        <w:fldChar w:fldCharType="begin" w:fldLock="1"/>
      </w:r>
      <w:r w:rsidR="003B244B">
        <w:rPr>
          <w:rStyle w:val="fontstyle01"/>
          <w:color w:val="auto"/>
        </w:rPr>
        <w:instrText>ADDIN CSL_CITATION {"citationItems":[{"id":"ITEM-1","itemData":{"DOI":"10.2500/ajra.2016.30.4253","ISSN":"19458932","PMID":"26867530","abstract":"Purpose: To evaluate the role of allergen immunotherapy (AIT) in the treatment of allergic rhinitis (AR). Method: Individual studies, systematic reviews, and practice guidelines that included information on sublingual AIT (SLIT) and subcutaneous AIT (SCIT) in the treatment of AR were considered. Results: AIT via the SLIT or SCIT route has been shown to be effective in treating AR symptoms with resultant improvements in overall quality of life, comorbid illnesses, and medication requirements. Persistent clinical benefits have been demonstrated years after AIT treatment discontinuation. AIT may prevent the progression of AR to asthma. In addition, studies that evaluated the pharmacoeconomics of AR treatment indicate that AIT may be more cost effective than pharmacotherapy. The AIT cost savings are likely underestimated in that few cost comparison studies considered AIT's long-term benefits or preventive effects. Conclusion: Multiple individual studies and systematic reviews provide strong evidence for the clinical effectiveness of AIT in the treatment of AR. Cost-effectiveness and disease modification are additional advantages of AIT compared with standard drug treatment in the management of AR.","author":[{"dropping-particle":"","family":"Cox","given":"Linda","non-dropping-particle":"","parse-names":false,"suffix":""}],"container-title":"American Journal of Rhinology and Allergy","id":"ITEM-1","issue":"1","issued":{"date-parts":[["2016"]]},"page":"48-53","title":"The role of allergen immunotherapy in the management of allergic rhinitis","type":"article-journal","volume":"30"},"uris":["http://www.mendeley.com/documents/?uuid=6de2fac4-2441-4dab-b086-1427db2db676"]},{"id":"ITEM-2","itemData":{"DOI":"10.1183/13993003.01046-2019","ISSN":"13993003","PMID":"31249014","author":[{"dropping-particle":"","family":"Reddel","given":"Helen K.","non-dropping-particle":"","parse-names":false,"suffix":""},{"dropping-particle":"","family":"FitzGerald","given":"J. Mark","non-dropping-particle":"","parse-names":false,"suffix":""},{"dropping-particle":"","family":"Bateman","given":"Eric D.","non-dropping-particle":"","parse-names":false,"suffix":""},{"dropping-particle":"","family":"Bacharier","given":"Leonard B.","non-dropping-particle":"","parse-names":false,"suffix":""},{"dropping-particle":"","family":"Becker","given":"Allan","non-dropping-particle":"","parse-names":false,"suffix":""},{"dropping-particle":"","family":"Brusselle","given":"Guy","non-dropping-particle":"","parse-names":false,"suffix":""},{"dropping-particle":"","family":"Buhl","given":"Roland","non-dropping-particle":"","parse-names":false,"suffix":""},{"dropping-particle":"","family":"Cruz","given":"Alvaro A.","non-dropping-particle":"","parse-names":false,"suffix":""},{"dropping-particle":"","family":"Fleming","given":"Louise","non-dropping-particle":"","parse-names":false,"suffix":""},{"dropping-particle":"","family":"Inoue","given":"Hiromasa","non-dropping-particle":"","parse-names":false,"suffix":""},{"dropping-particle":"","family":"Ko","given":"Fanny Wai San","non-dropping-particle":"","parse-names":false,"suffix":""},{"dropping-particle":"","family":"Krishnan","given":"Jerry A.","non-dropping-particle":"","parse-names":false,"suffix":""},{"dropping-particle":"","family":"Levy","given":"Mark L.","non-dropping-particle":"","parse-names":false,"suffix":""},{"dropping-particle":"","family":"Lin","given":"Jiangtao","non-dropping-particle":"","parse-names":false,"suffix":""},{"dropping-particle":"","family":"Pedersen","given":"Søren E.","non-dropping-particle":"","parse-names":false,"suffix":""},{"dropping-particle":"","family":"Sheikh","given":"Aziz","non-dropping-particle":"","parse-names":false,"suffix":""},{"dropping-particle":"","family":"Yorgancioglu","given":"Arzu","non-dropping-particle":"","parse-names":false,"suffix":""},{"dropping-particle":"","family":"Boulet","given":"Louis Philippe","non-dropping-particle":"","parse-names":false,"suffix":""}],"container-title":"The European respiratory journal","id":"ITEM-2","issue":"6","issued":{"date-parts":[["2019"]]},"page":"1-7","title":"GINA 2019: a fundamental change in asthma management: Treatment of asthma with short-acting bronchodilators alone is no longer recommended for adults and adolescents","type":"article-journal","volume":"53"},"uris":["http://www.mendeley.com/documents/?uuid=2fab4b42-4378-486d-bc79-8f00237f7fb8"]},{"id":"ITEM-3","itemData":{"DOI":"10.1089/acm.2016.0310","ISSN":"1075-5535","PMID":"28437146","abstract":"Objective: The aim of this study was to evaluate the efficacy and effectiveness of homeopathic intervention in the treatment of seasonal or perennial allergic rhinitis (AR). Method: Randomized controlled trials evaluating all forms of homeopathic treatment for AR were included in a systematic review (SR) of studies published up to and including December 2015. Two authors independently screened potential studies, extracted data, and assessed risk of bias. Primary outcomes included symptom improvement and total quality-of-life score. Treatment effect size was quantified as mean difference (continuous data), or by risk ratio (RR) and odds ratio (dichotomous data), with 95% confidence intervals (CI). Meta-analysis was performed after assessing heterogeneity and risk of bias. Results: Eleven studies were eligible for SR. All trials were placebo-controlled except one. Six trials used the treatment approach known as isopathy, but they were unsuitable for meta-analysis due to problems of heterogeneity and data extraction. The overall standard of methods and reporting was poor: 8/11 trials were assessed as \"high risk of bias\"; only one trial, on isopathy for seasonal AR, possessed reliable evidence. Three trials of variable quality (all using Galphimia glauca for seasonal AR) were included in the meta-analysis: Nasal symptom relief at 2 and 4 weeks (RR = 1.48 [95% CI 1.24-1.77] and 1.27 [95% CI 1.10-1.46], respectively) favored homeopathy compared with placebo; ocular symptom relief at 2 and 4 weeks also favored homeopathy (RR = 1.55 [95% CI 1.33-1.80] and 1.37 [95% CI 1.21-1.56], respectively). The single trial with reliable evidence had a small positive treatment effect without statistical significance. A homeopathic and a conventional nasal spray produced equivalent improvements in nasal and ocular symptoms. Conclusions: The low or uncertain overall quality of the evidence warrants caution in drawing firm conclusions about intervention effects. Use of either Galphimia glauca or a homeopathic nasal spray may have small beneficial effects on the nasal and ocular symptoms of AR. The efficacy of isopathic treatment of AR is unclear.","author":[{"dropping-particle":"","family":"Banerjee","given":"Kushal","non-dropping-particle":"","parse-names":false,"suffix":""},{"dropping-particle":"","family":"Mathie","given":"Robert T.","non-dropping-particle":"","parse-names":false,"suffix":""},{"dropping-particle":"","family":"Costelloe","given":"Céire","non-dropping-particle":"","parse-names":false,"suffix":""},{"dropping-particle":"","family":"Howick","given":"Jeremy","non-dropping-particle":"","parse-names":false,"suffix":""}],"container-title":"The Journal of Alternative and Complementary Medicine","id":"ITEM-3","issue":"6","issued":{"date-parts":[["2017","6"]]},"page":"426-444","title":"Homeopathy for Allergic Rhinitis: A Systematic Review","type":"article-journal","volume":"23"},"uris":["http://www.mendeley.com/documents/?uuid=9bcfc48f-80fc-4b1e-8497-d2a7d619eced"]},{"id":"ITEM-4","itemData":{"DOI":"10.1016/j.jaci.2016.04.061","ISSN":"10976825","PMID":"27527264","abstract":"Background Data comparing the treatment effect of allergy immunotherapy and pharmacotherapy are lacking. Objective We sought to indirectly compare the treatment effect of sublingual immunotherapy (SLIT)-tablets with pharmacotherapy for seasonal allergic rhinitis (SAR) and perennial allergic rhinitis (PAR). Methods Pooled data from randomized, double-blind, placebo-controlled trials for the clinical development programs of selected allergic rhinitis treatments were evaluated. Total nasal symptom scores (TNSSs) relative to placebo were compared. Subjects scored symptoms daily during entire pollen seasons in 6 timothy grass SLIT-tablet trials (n = 3094) and 2 ragweed SLIT-tablet trials (n = 658) and during the last 8 weeks of treatment in 2 house dust mite (HDM) SLIT-tablet trials (n = 1768). Subjects scored symptoms daily in 7 montelukast (10 mg, n = 6799), 9 desloratadine (5 mg, n = 4455), and 8 mometasone furoate nasal spray (MFNS; 200 μg daily, n = 2140) SAR or PAR trials. SLIT-tablet trials allowed rescue medication use, whereas most pharmacotherapy trials did not. A fixed-effect meta-analysis method estimated differences in on-treatment average TNSSs. Results In grass and ragweed SLIT-tablet trials, overall improvement in TNSSs relative to placebo was 16.3% and 17.1%, respectively. In HDM SLIT-tablet trials, TNSS overall improvement relative to placebo was 16.1%. In the montelukast, desloratadine, and MFNS trials, TNSS overall improvement relative to placebo was 5.4%, 8.5%, and 22.2%, respectively, for SAR trials, and 3.7%, 4.8%, and 11.2%, respectively, for PAR trials. Conclusions Although comparisons were limited by study design heterogeneity and use of rescue medications in SLIT-tablet trials, effects on nasal symptoms with timothy grass and ragweed SLIT-tablets were nearly as great as with MFNS and numerically greater than with montelukast and desloratadine for SAR. HDM SLIT-tablet effects were numerically greater than all pharmacotherapies for PAR. SLIT-tablets offer the additional benefit of long-term efficacy.","author":[{"dropping-particle":"","family":"Durham","given":"Stephen R.","non-dropping-particle":"","parse-names":false,"suffix":""},{"dropping-particle":"","family":"Creticos","given":"Peter S.","non-dropping-particle":"","parse-names":false,"suffix":""},{"dropping-particle":"","family":"Nelson","given":"Harold S.","non-dropping-particle":"","parse-names":false,"suffix":""},{"dropping-particle":"","family":"Li","given":"Ziliang","non-dropping-particle":"","parse-names":false,"suffix":""},{"dropping-particle":"","family":"Kaur","given":"Amarjot","non-dropping-particle":"","parse-names":false,"suffix":""},{"dropping-particle":"","family":"Meltzer","given":"Eli O.","non-dropping-particle":"","parse-names":false,"suffix":""},{"dropping-particle":"","family":"Nolte","given":"Hendrik","non-dropping-particle":"","parse-names":false,"suffix":""}],"container-title":"Journal of Allergy and Clinical Immunology","id":"ITEM-4","issue":"4","issued":{"date-parts":[["2016"]]},"page":"1081-1088.e4","publisher":"Elsevier Inc.","title":"Treatment effect of sublingual immunotherapy tablets and pharmacotherapies for seasonal and perennial allergic rhinitis: Pooled analyses","type":"article-journal","volume":"138"},"uris":["http://www.mendeley.com/documents/?uuid=0acaef42-f482-4702-a80f-05baff389d4e"]}],"mendeley":{"formattedCitation":"[7–10]","plainTextFormattedCitation":"[7–10]","previouslyFormattedCitation":"[7–10]"},"properties":{"noteIndex":0},"schema":"https://github.com/citation-style-language/schema/raw/master/csl-citation.json"}</w:instrText>
      </w:r>
      <w:r w:rsidRPr="001B27F8">
        <w:rPr>
          <w:rStyle w:val="fontstyle01"/>
          <w:color w:val="auto"/>
        </w:rPr>
        <w:fldChar w:fldCharType="separate"/>
      </w:r>
      <w:r w:rsidR="00877069" w:rsidRPr="00877069">
        <w:rPr>
          <w:rStyle w:val="fontstyle01"/>
          <w:noProof/>
          <w:color w:val="auto"/>
        </w:rPr>
        <w:t>[7–10]</w:t>
      </w:r>
      <w:r w:rsidRPr="001B27F8">
        <w:rPr>
          <w:rStyle w:val="fontstyle01"/>
          <w:color w:val="auto"/>
        </w:rPr>
        <w:fldChar w:fldCharType="end"/>
      </w:r>
      <w:r w:rsidRPr="001B27F8">
        <w:rPr>
          <w:rStyle w:val="fontstyle01"/>
          <w:color w:val="auto"/>
        </w:rPr>
        <w:t xml:space="preserve">. </w:t>
      </w:r>
      <w:r w:rsidRPr="001B27F8">
        <w:rPr>
          <w:rFonts w:ascii="Times New Roman" w:hAnsi="Times New Roman" w:cs="Times New Roman"/>
          <w:sz w:val="28"/>
          <w:szCs w:val="28"/>
        </w:rPr>
        <w:t xml:space="preserve">В Европе </w:t>
      </w:r>
      <w:r w:rsidR="00EF37CC">
        <w:rPr>
          <w:rStyle w:val="fontstyle01"/>
          <w:color w:val="auto"/>
        </w:rPr>
        <w:t>аллергическим ринитом</w:t>
      </w:r>
      <w:r w:rsidRPr="001B27F8">
        <w:rPr>
          <w:rFonts w:ascii="Times New Roman" w:hAnsi="Times New Roman" w:cs="Times New Roman"/>
          <w:sz w:val="28"/>
          <w:szCs w:val="28"/>
        </w:rPr>
        <w:t xml:space="preserve"> страдают 23-30% населения, в Соединенных штатах Америки 12-30% населения, в России 17-35% взрослого населения </w:t>
      </w:r>
      <w:r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{"citationItems":[{"id":"ITEM-1","itemData":{"ISBN":"9789896540821","author":[{"dropping-particle":"","family":"Насунова","given":"А.Ю.","non-dropping-particle":"","parse-names":false,"suffix":""}],"container-title":"диссертация к.м.н.","id":"ITEM-1","issued":{"date-parts":[["2020"]]},"page":"129","title":"Эффективность различных методов аллерген-специфической иммунотерапии при бронхиальной астме и аллергическом рините","type":"article-journal"},"uris":["http://www.mendeley.com/documents/?uuid=42666028-c38d-4afe-b56f-bc2276195b12"]},{"id":"ITEM-2","itemData":{"DOI":"10.1080/14656566.2018.1543401","ISSN":"17447666","PMID":"30439290","abstract":"Introduction: Allergic rhinitis is a common condition with increasing prevalence and is associated with several comorbid disorders such as bronchial asthma and atopic dermatitis. If allergen avoidance is not possible, allergen-specific immunotherapy is the only causal treatment option. Areas covered: This review focuses on current treatments and the future outlook for allergic rhinitis. Pharmacotherapy includes mast cell stabilizers, antihistamines, glucocorticosteroids (GCSs), leukotriene receptor antagonists, and nasal decongestants. Nasal GCSs are currently regarded as the most effective treatment and are considered first-line therapy together with non-sedating antihistamines. The new formulation MP29-02 combines the nasal GCS fluticasone propionate with azelastine in one single spray and has achieved greater improvements than those under monotherapy with modern GCSs or antihistamines. Furthermore, this review discusses allergen immunotherapy alone and in combination with modern monoclonal antibodies. Expert opinion: Despite the variety of medications for allergic rhinitis, ranging from general symptomatic agents like GCSs or decongestants, to more specific ones like histamine receptor or leukotriene blockers, to causal therapy like immunotherapy, many patients still experience treatment failures or unsatisfactory results. The ultimate goal may be to endotype every downstream pathway separately in order to offer patients individualized, targeted therapy with specific antibodies against the respective pathway.","author":[{"dropping-particle":"","family":"Klimek","given":"Ludger","non-dropping-particle":"","parse-names":false,"suffix":""},{"dropping-particle":"","family":"Sperl","given":"Annette","non-dropping-particle":"","parse-names":false,"suffix":""},{"dropping-particle":"","family":"Becker","given":"Sven","non-dropping-particle":"","parse-names":false,"suffix":""},{"dropping-particle":"","family":"Mösges","given":"Ralph","non-dropping-particle":"","parse-names":false,"suffix":""},{"dropping-particle":"","family":"Tomazic","given":"Peter Valentin","non-dropping-particle":"","parse-names":false,"suffix":""}],"container-title":"Expert Opinion on Pharmacotherapy","id":"ITEM-2","issue":"1","issued":{"date-parts":[["2019"]]},"page":"83-89","publisher":"Taylor &amp; Francis","title":"Current therapeutical strategies for allergic rhinitis","type":"article-journal","volume":"20"},"uris":["http://www.mendeley.com/documents/?uuid=d85353fe-ce49-42a2-92bd-6d4378a2d386"]},{"id":"ITEM-3","itemData":{"DOI":"10.1080/14712598.2016.1190829","ISSN":"17447682","PMID":"27269991","abstract":"Introduction: Allergic rhinitis (AR) affects over 20% of the population of Europe and the United States. Allergen immunotherapy (AIT) is currently the only form of treatment that affects symptoms and modifies the progression of disease. Established forms of AIT include subcutaneous (SCIT) and sublingual (SLIT) immunotherapy and are widely effective, yet only 2-9% of eligible patients undergo therapy, likely due to the long duration of treatment. As a result, novel, faster forms of AIT are currently under development. Areas covered: This article provides an overview of AR and summarises the efficacy and mechanisms of established forms of AIT, highlighting the current drawbacks. We discuss novel strategies of AIT that have been developed in an attempt to tackle these limitations, including epicutaneous, intradermal and intralymphatic immunotherapy (ILIT), focusing on ILIT, the treatment that has been most comprehensively assessed. Expert opinion: Current strategies to treat AR suffer from a poor safety profile and, importantly, lack of adherence. ILIT is a faster and safer form of AIT, with a treatment regime of only 12 weeks. Further validation is required, but ILIT, with its short and comparatively inexpensive protocol, has the potential to offer disease-modifying therapy to a larger number of patients.","author":[{"dropping-particle":"","family":"Larsson","given":"Olivia","non-dropping-particle":"","parse-names":false,"suffix":""},{"dropping-particle":"","family":"Hellkvist","given":"Laila","non-dropping-particle":"","parse-names":false,"suffix":""},{"dropping-particle":"","family":"Peterson-Westin","given":"Ulla","non-dropping-particle":"","parse-names":false,"suffix":""},{"dropping-particle":"","family":"Cardell","given":"Lars Olaf","non-dropping-particle":"","parse-names":false,"suffix":""}],"container-title":"Expert Opinion on Biological Therapy","id":"ITEM-3","issue":"9","issued":{"date-parts":[["2016"]]},"page":"1143-1150","title":"Novel strategies for the treatment of grass pollen-induced allergic rhinitis","type":"article-journal","volume":"16"},"uris":["http://www.mendeley.com/documents/?uuid=c4a3b695-4a20-4392-829d-678d215f89cd"]},{"id":"ITEM-4","itemData":{"DOI":"10.1111/j.1365-2222.2012.04025.x","ISSN":"09547894","PMID":"23181786","abstract":"There is comparatively little information on health-related quality of life (HRQoL) in subjects with allergic rhinitis (AR) or allergic rhinoconjunctivitis (AR/C) in countries beyond western Europe and North America. The primary aim of this investigation was therefore to review and assess the information in the public domain on HRQoL in AR/C patients from diverse regions of the world, represented by different countries, including Argentina, Australia, Brazil, Russia, Singapore, South Africa and Turkey. Second, in view of the absence of a standardized definition for 'AR control', the review aimed to determine whether a working definition of AR/C can be inferred from validated tests or other instruments documented to date. Despite the comparatively low number of studies, this review demonstrated that overall the symptoms of AR/C impair the HRQoL of patients in these regions by adversely impacting sleep, daily activities, physical and mental status and social functioning, similar to that demonstrated in much larger numbers of studies of AR/C patients in Europe and the United States. Furthermore, the findings of the review suggest that 'overall' control of the disease should encompass reduction of nasal and ocular symptoms, as well as improvements in HRQoL, comorbid conditions and cognition. Although some instruments are currently available for measuring control of AR, none are capable of assessing all these aspects, emphasizing the need to develop appropriate new instruments. © 2012 Blackwell Publishing Ltd.","author":[{"dropping-particle":"","family":"Maspero","given":"J.","non-dropping-particle":"","parse-names":false,"suffix":""},{"dropping-particle":"","family":"Lee","given":"B. W.","non-dropping-particle":"","parse-names":false,"suffix":""},{"dropping-particle":"","family":"Katelaris","given":"C. H.","non-dropping-particle":"","parse-names":false,"suffix":""},{"dropping-particle":"","family":"Potter","given":"P. C.","non-dropping-particle":"","parse-names":false,"suffix":""},{"dropping-particle":"","family":"Cingi","given":"C.","non-dropping-particle":"","parse-names":false,"suffix":""},{"dropping-particle":"","family":"Lopatin","given":"A.","non-dropping-particle":"","parse-names":false,"suffix":""},{"dropping-particle":"","family":"Saffer","given":"M.","non-dropping-particle":"","parse-names":false,"suffix":""},{"dropping-particle":"","family":"Nadeau","given":"G.","non-dropping-particle":"","parse-names":false,"suffix":""},{"dropping-particle":"","family":"Walters","given":"R. D.","non-dropping-particle":"","parse-names":false,"suffix":""}],"container-title":"Clinical and Experimental Allergy","id":"ITEM-4","issue":"12","issued":{"date-parts":[["2012"]]},"page":"1684-1696","title":"Quality of life and control of allergic rhinitis in patients from regions beyond western Europe and the United States","type":"article-journal","volume":"42"},"uris":["http://www.mendeley.com/documents/?uuid=7c4cba03-d983-4521-b1eb-6e565a3ea04a"]},{"id":"ITEM-5","itemData":{"DOI":"10.1016/j.clinthera.2017.10.006","ISSN":"1879114X","PMID":"29079387","abstract":"Purpose Allergic rhinitis is a highly prevalent disease affecting the quality of life of millions of North Americans. The management of allergic rhinitis includes allergen avoidance, pharmacotherapy, and immunotherapy. Current pharmacologic options include oral and intranasal antihistamines, intranasal corticosteroids, oral and intranasal decongestants, oral and intranasal anticholinergics, and leukotriene receptor antagonists. Second-generation oral antihistamines and intranasal corticosteroids are the mainstays of treatment, with practice guidelines recommending intranasal corticosteroids as first-line treatment for moderate to severe allergic rhinitis. Methods Clinical trials studying a widely used intranasal corticosteroid, fluticasone propionate, in comparison with second-generation oral antihistamines, cetirizine, loratadine, or montelukast, were selected to support the comparative review of the efficacy and tolerability of these 2 classes of medications. Studies evaluating the combination of fluticasone propionate with an oral antihistamine were also included to review the efficacy and tolerability of combination therapy to treat allergic rhinitis. Findings Studies comparing fluticasone propionate with cetirizine had mixed findings; fluticasone propionate was found to have equal or greater efficacy in reducing nasal symptom scores. Combination therapy of fluticasone propionate and the oral antihistamine, loratadine, was found to have efficacy comparable with that of intranasal corticosteroid alone. Implications Many of these medications are available over the counter in the pharmacy, and the community pharmacist plays an important role as part of the patient's health care team in managing this disease. Pharmacotherapy is patient-specific, based on type, duration, and severity of symptoms, comorbidities, prior treatment, and patient preference. This article aims to provide an overview of the pathophysiology, available treatment options, guideline recommendations, and role of the pharmacist for this disease.","author":[{"dropping-particle":"","family":"May","given":"J. Russell","non-dropping-particle":"","parse-names":false,"suffix":""},{"dropping-particle":"","family":"Dolen","given":"William K.","non-dropping-particle":"","parse-names":false,"suffix":""}],"container-title":"Clinical Therapeutics","id":"ITEM-5","issue":"12","issued":{"date-parts":[["2017"]]},"page":"2410-2419","publisher":"Elsevier HS Journals, Inc.","title":"Management of Allergic Rhinitis: A Review for the Community Pharmacist","type":"article-journal","volume":"39"},"uris":["http://www.mendeley.com/documents/?uuid=5debc6e7-dd1a-4722-89e9-939e10485f23"]},{"id":"ITEM-6","itemData":{"DOI":"10.1016/j.iac.2015.12.002","ISSN":"15578607","PMID":"27083099","abstract":"Allergic rhinitis is a highly prevalent and costly condition. The disease burden suffered by patients includes the morbidity of the nasal symptoms, the impairment of multiple domains of quality of life, and numerous comorbidities. The goal of therapy is long-term good control.","author":[{"dropping-particle":"","family":"Meltzer","given":"Eli O.","non-dropping-particle":"","parse-names":false,"suffix":""}],"container-title":"Immunology and Allergy Clinics of North America","id":"ITEM-6","issue":"2","issued":{"date-parts":[["2016"]]},"page":"235-248","publisher":"Elsevier Inc","title":"Allergic Rhinitis. Burden of Illness, Quality of Life, Comorbidities, and Control","type":"article-journal","volume":"36"},"uris":["http://www.mendeley.com/documents/?uuid=d1700b1a-ebda-4eda-8aa3-711a7a2987ee"]}],"mendeley":{"formattedCitation":"[11–16]","plainTextFormattedCitation":"[11–16]","previouslyFormattedCitation":"[11–16]"},"properties":{"noteIndex":0},"schema":"https://github.com/citation-style-language/schema/raw/master/csl-citation.json"}</w:instrText>
      </w:r>
      <w:r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[11–16]</w:t>
      </w:r>
      <w:r w:rsidRPr="001B27F8">
        <w:rPr>
          <w:rFonts w:ascii="Times New Roman" w:hAnsi="Times New Roman" w:cs="Times New Roman"/>
          <w:sz w:val="28"/>
          <w:szCs w:val="28"/>
        </w:rPr>
        <w:fldChar w:fldCharType="end"/>
      </w:r>
      <w:r w:rsidRPr="001B27F8">
        <w:rPr>
          <w:rFonts w:ascii="Times New Roman" w:hAnsi="Times New Roman" w:cs="Times New Roman"/>
          <w:sz w:val="28"/>
          <w:szCs w:val="28"/>
        </w:rPr>
        <w:t xml:space="preserve">. </w:t>
      </w:r>
      <w:r w:rsidRPr="001B27F8">
        <w:rPr>
          <w:rStyle w:val="fontstyle01"/>
          <w:color w:val="auto"/>
        </w:rPr>
        <w:t xml:space="preserve">К тому же в </w:t>
      </w:r>
      <w:r w:rsidRPr="001B27F8">
        <w:rPr>
          <w:rFonts w:ascii="Times New Roman" w:hAnsi="Times New Roman" w:cs="Times New Roman"/>
          <w:sz w:val="28"/>
          <w:szCs w:val="28"/>
        </w:rPr>
        <w:t xml:space="preserve">40–70% случаев обнаруживаются аллергические реакции на пищевые продукты растительного происхождения, в том числе, не относящиеся к перекрестным аллергенам </w:t>
      </w:r>
      <w:r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ISBN":"2017624225229","author":[{"dropping-particle":"","family":"Сновская","given":"М.А.","non-dropping-particle":"","parse-names":false,"suffix":""},{"dropping-particle":"","family":"Намазова-Баранова","given":"Л.С.","non-dropping-particle":"","parse-names":false,"suffix":""},{"dropping-particle":"","family":"Малышев","given":"В.С.","non-dropping-particle":"","parse-names":false,"suffix":""},{"dropping-particle":"","family":"Кожевникова","given":"О.В.","non-dropping-particle":"","parse-names":false,"suffix":""},{"dropping-particle":"","family":"Батырова","given":"А.С.","non-dropping-particle":"","parse-names":false,"suffix":""},{"dropping-particle":"","family":"Вишнева","given":"Е.А.","non-dropping-particle":"","parse-names":false,"suffix":""}],"container-title":"Клиническая лабораторная диагностика","id":"ITEM-1","issue":"4","issued":{"date-parts":[["2017"]]},"page":"225-229","title":"Диагностическое определение sIgE к аллергенам пыльцы деревьев тест- системой «Алкор-Био» и методом ImmunoCAP","type":"article-journal","volume":"62"},"uris":["http://www.mendeley.com/documents/?uuid=3816550b-6c1f-40d9-9be8-1d223ff82a48"]}],"mendeley":{"formattedCitation":"[17]","plainTextFormattedCitation":"[17]","previouslyFormattedCitation":"[17]"},"properties":{"noteIndex":0},"schema":"https://github.com/citation-style-language/schema/raw/master/csl-citation.json"}</w:instrText>
      </w:r>
      <w:r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[17]</w:t>
      </w:r>
      <w:r w:rsidRPr="001B27F8">
        <w:rPr>
          <w:rFonts w:ascii="Times New Roman" w:hAnsi="Times New Roman" w:cs="Times New Roman"/>
          <w:sz w:val="28"/>
          <w:szCs w:val="28"/>
        </w:rPr>
        <w:fldChar w:fldCharType="end"/>
      </w:r>
      <w:r w:rsidRPr="001B27F8">
        <w:rPr>
          <w:rFonts w:ascii="Times New Roman" w:hAnsi="Times New Roman" w:cs="Times New Roman"/>
          <w:sz w:val="28"/>
          <w:szCs w:val="28"/>
        </w:rPr>
        <w:t xml:space="preserve">, что существенно осложняет диагностическую ориентированность. </w:t>
      </w:r>
      <w:r w:rsidRPr="001B27F8">
        <w:rPr>
          <w:rStyle w:val="fontstyle01"/>
          <w:color w:val="auto"/>
        </w:rPr>
        <w:t xml:space="preserve">В Республике Казахстан ситуация с заболеваемостью аллергическим ринитом </w:t>
      </w:r>
      <w:r w:rsidR="00AE6C18">
        <w:rPr>
          <w:rStyle w:val="fontstyle01"/>
          <w:color w:val="auto"/>
        </w:rPr>
        <w:t>такова, что</w:t>
      </w:r>
      <w:r w:rsidRPr="001B27F8">
        <w:rPr>
          <w:rStyle w:val="fontstyle01"/>
          <w:color w:val="auto"/>
        </w:rPr>
        <w:t xml:space="preserve"> среди городских жителей 15-20%</w:t>
      </w:r>
      <w:r w:rsidR="00AE6C18">
        <w:rPr>
          <w:rStyle w:val="fontstyle01"/>
          <w:color w:val="auto"/>
        </w:rPr>
        <w:t xml:space="preserve"> заболевших</w:t>
      </w:r>
      <w:r w:rsidRPr="001B27F8">
        <w:rPr>
          <w:rStyle w:val="fontstyle01"/>
          <w:color w:val="auto"/>
        </w:rPr>
        <w:t>,</w:t>
      </w:r>
      <w:r w:rsidR="0007459B">
        <w:rPr>
          <w:rStyle w:val="fontstyle01"/>
          <w:color w:val="auto"/>
        </w:rPr>
        <w:t xml:space="preserve"> </w:t>
      </w:r>
      <w:r w:rsidR="00AE6C18">
        <w:rPr>
          <w:rStyle w:val="fontstyle01"/>
          <w:color w:val="auto"/>
        </w:rPr>
        <w:t xml:space="preserve">а среди </w:t>
      </w:r>
      <w:r w:rsidRPr="001B27F8">
        <w:rPr>
          <w:rStyle w:val="fontstyle01"/>
          <w:color w:val="auto"/>
        </w:rPr>
        <w:t xml:space="preserve">сельских </w:t>
      </w:r>
      <w:r w:rsidR="00AE6C18">
        <w:rPr>
          <w:rStyle w:val="fontstyle01"/>
          <w:color w:val="auto"/>
        </w:rPr>
        <w:t xml:space="preserve">жителей </w:t>
      </w:r>
      <w:r w:rsidRPr="001B27F8">
        <w:rPr>
          <w:rStyle w:val="fontstyle01"/>
          <w:color w:val="auto"/>
        </w:rPr>
        <w:t xml:space="preserve">– 10-15% </w:t>
      </w:r>
      <w:r w:rsidRPr="001B27F8">
        <w:rPr>
          <w:rStyle w:val="fontstyle01"/>
          <w:color w:val="auto"/>
        </w:rPr>
        <w:fldChar w:fldCharType="begin" w:fldLock="1"/>
      </w:r>
      <w:r w:rsidR="00765C06">
        <w:rPr>
          <w:rStyle w:val="fontstyle01"/>
          <w:color w:val="auto"/>
        </w:rPr>
        <w:instrText>ADDIN CSL_CITATION {"citationItems":[{"id":"ITEM-1","itemData":{"author":[{"dropping-particle":"","family":"Нурпеисов","given":"Т.Т.","non-dropping-particle":"","parse-names":false,"suffix":""}],"container-title":"Вестник КазНМУ","id":"ITEM-1","issue":"4","issued":{"date-parts":[["2017"]]},"page":"416-418","title":"Аллергология казахстана: успехи и перспективы","type":"article-journal"},"uris":["http://www.mendeley.com/documents/?uuid=a536026d-a1c8-47c7-a12d-7fda13542f77"]}],"mendeley":{"formattedCitation":"[18]","plainTextFormattedCitation":"[18]","previouslyFormattedCitation":"[18]"},"properties":{"noteIndex":0},"schema":"https://github.com/citation-style-language/schema/raw/master/csl-citation.json"}</w:instrText>
      </w:r>
      <w:r w:rsidRPr="001B27F8">
        <w:rPr>
          <w:rStyle w:val="fontstyle01"/>
          <w:color w:val="auto"/>
        </w:rPr>
        <w:fldChar w:fldCharType="separate"/>
      </w:r>
      <w:r w:rsidR="00877069" w:rsidRPr="00877069">
        <w:rPr>
          <w:rStyle w:val="fontstyle01"/>
          <w:noProof/>
          <w:color w:val="auto"/>
        </w:rPr>
        <w:t>[18]</w:t>
      </w:r>
      <w:r w:rsidRPr="001B27F8">
        <w:rPr>
          <w:rStyle w:val="fontstyle01"/>
          <w:color w:val="auto"/>
        </w:rPr>
        <w:fldChar w:fldCharType="end"/>
      </w:r>
      <w:r w:rsidRPr="001B27F8">
        <w:rPr>
          <w:rStyle w:val="fontstyle01"/>
          <w:color w:val="auto"/>
        </w:rPr>
        <w:t>. Причем все эти показатели растут в полном соответствии с мировыми тенденциями</w:t>
      </w:r>
      <w:r w:rsidRPr="001B27F8">
        <w:rPr>
          <w:rFonts w:ascii="Times New Roman" w:hAnsi="Times New Roman" w:cs="Times New Roman"/>
          <w:sz w:val="28"/>
          <w:szCs w:val="28"/>
        </w:rPr>
        <w:t xml:space="preserve"> </w:t>
      </w:r>
      <w:r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10.34689/SH.2020.22.2.004","ISBN":"0000000314008","author":[{"dropping-particle":"","family":"Измайлович","given":"М.Р.","non-dropping-particle":"","parse-names":false,"suffix":""},{"dropping-particle":"","family":"Газалиева","given":"М.А.","non-dropping-particle":"","parse-names":false,"suffix":""},{"dropping-particle":"","family":"Глушкова","given":"Н.Е.","non-dropping-particle":"","parse-names":false,"suffix":""},{"dropping-particle":"","family":"Дедова","given":"О.Ю.","non-dropping-particle":"","parse-names":false,"suffix":""},{"dropping-particle":"","family":"Мендибай","given":"С.Т.","non-dropping-particle":"","parse-names":false,"suffix":""},{"dropping-particle":"","family":"Скворцова","given":"А.В.","non-dropping-particle":"","parse-names":false,"suffix":""}],"container-title":"Наука и Здравоохранение","id":"ITEM-1","issue":"2","issued":{"date-parts":[["2020"]]},"page":"38-48","title":"Иммунологические аспекты эффективности аллерген- специфической иммунотерапии. Обзор литературы.","type":"article-journal","volume":"22"},"uris":["http://www.mendeley.com/documents/?uuid=c3bbf822-416f-4513-b28d-0e8490817195"]}],"mendeley":{"formattedCitation":"[19]","plainTextFormattedCitation":"[19]","previouslyFormattedCitation":"[19]"},"properties":{"noteIndex":0},"schema":"https://github.com/citation-style-language/schema/raw/master/csl-citation.json"}</w:instrText>
      </w:r>
      <w:r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[19]</w:t>
      </w:r>
      <w:r w:rsidRPr="001B27F8">
        <w:rPr>
          <w:rFonts w:ascii="Times New Roman" w:hAnsi="Times New Roman" w:cs="Times New Roman"/>
          <w:sz w:val="28"/>
          <w:szCs w:val="28"/>
        </w:rPr>
        <w:fldChar w:fldCharType="end"/>
      </w:r>
      <w:r w:rsidRPr="001B27F8">
        <w:rPr>
          <w:rFonts w:ascii="Times New Roman" w:hAnsi="Times New Roman" w:cs="Times New Roman"/>
          <w:sz w:val="28"/>
          <w:szCs w:val="28"/>
        </w:rPr>
        <w:t>.</w:t>
      </w:r>
    </w:p>
    <w:p w14:paraId="4E25885A" w14:textId="5FCB6E3E" w:rsidR="00BE60C2" w:rsidRPr="00365F40" w:rsidRDefault="00B34EC8" w:rsidP="00BE60C2">
      <w:pPr>
        <w:tabs>
          <w:tab w:val="left" w:pos="851"/>
        </w:tabs>
        <w:spacing w:after="0" w:line="240" w:lineRule="auto"/>
        <w:ind w:firstLine="567"/>
        <w:jc w:val="both"/>
        <w:rPr>
          <w:rFonts w:ascii="Times New Roman" w:hAnsi="Times New Roman" w:cs="Times New Roman"/>
          <w:sz w:val="28"/>
          <w:szCs w:val="28"/>
        </w:rPr>
      </w:pPr>
      <w:r w:rsidRPr="001B27F8">
        <w:rPr>
          <w:rFonts w:ascii="Times New Roman" w:hAnsi="Times New Roman" w:cs="Times New Roman"/>
          <w:sz w:val="28"/>
          <w:szCs w:val="28"/>
        </w:rPr>
        <w:t xml:space="preserve">Самым распространенным сезонным аллергическим заболеванием на территории </w:t>
      </w:r>
      <w:r w:rsidRPr="00EF24A0">
        <w:rPr>
          <w:rFonts w:ascii="Times New Roman" w:hAnsi="Times New Roman" w:cs="Times New Roman"/>
          <w:sz w:val="28"/>
          <w:szCs w:val="28"/>
        </w:rPr>
        <w:t>Казахстана является поллиноз, которым страдает каждый четвертый житель планеты</w:t>
      </w:r>
      <w:r w:rsidR="00BF2DCA" w:rsidRPr="00EF24A0">
        <w:rPr>
          <w:rFonts w:ascii="Times New Roman" w:hAnsi="Times New Roman" w:cs="Times New Roman"/>
          <w:sz w:val="28"/>
          <w:szCs w:val="28"/>
        </w:rPr>
        <w:t xml:space="preserve"> </w:t>
      </w:r>
      <w:r w:rsidR="00BF2DCA" w:rsidRPr="00EF24A0">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{"citationItems":[{"id":"ITEM-1","itemData":{"DOI":"10.24411/ 2542-2006-2019-10047","ISBN":"9788578110796","ISSN":"1098-6596","PMID":"25246403","abstract":"Predicting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Дикарева","given":"Т.В.","non-dropping-particle":"","parse-names":false,"suffix":""},{"dropping-particle":"","family":"Румянцев","given":"В.Ю.","non-dropping-particle":"","parse-names":false,"suffix":""},{"dropping-particle":"","family":"Щербакова","given":"В.В.","non-dropping-particle":"","parse-names":false,"suffix":""}],"container-title":"Экосистемы: экология и динамика","id":"ITEM-1","issue":"4","issued":{"date-parts":[["2019"]]},"page":"99-132","title":"Распространение аллергенных растений на территории России и Казахстана: проблемы изучения и некоторые результаты","type":"article-journal","volume":"3"},"uris":["http://www.mendeley.com/documents/?uuid=a7faa44a-c816-4757-a1b4-dff38958a689"]}],"mendeley":{"formattedCitation":"[20]","plainTextFormattedCitation":"[20]","previouslyFormattedCitation":"[20]"},"properties":{"noteIndex":0},"schema":"https://github.com/citation-style-language/schema/raw/master/csl-citation.json"}</w:instrText>
      </w:r>
      <w:r w:rsidR="00BF2DCA" w:rsidRPr="00EF24A0">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[20]</w:t>
      </w:r>
      <w:r w:rsidR="00BF2DCA" w:rsidRPr="00EF24A0">
        <w:rPr>
          <w:rFonts w:ascii="Times New Roman" w:hAnsi="Times New Roman" w:cs="Times New Roman"/>
          <w:sz w:val="28"/>
          <w:szCs w:val="28"/>
        </w:rPr>
        <w:fldChar w:fldCharType="end"/>
      </w:r>
      <w:r w:rsidRPr="00EF24A0">
        <w:rPr>
          <w:rFonts w:ascii="Times New Roman" w:hAnsi="Times New Roman" w:cs="Times New Roman"/>
          <w:sz w:val="28"/>
          <w:szCs w:val="28"/>
        </w:rPr>
        <w:t xml:space="preserve">. </w:t>
      </w:r>
      <w:r w:rsidRPr="00EF24A0">
        <w:rPr>
          <w:rStyle w:val="fontstyle01"/>
          <w:color w:val="auto"/>
        </w:rPr>
        <w:t>Наиболее частым клиническим проявлением поллиноза является сезонный аллергический</w:t>
      </w:r>
      <w:r w:rsidRPr="001B27F8">
        <w:rPr>
          <w:rStyle w:val="fontstyle01"/>
          <w:color w:val="auto"/>
        </w:rPr>
        <w:t xml:space="preserve"> ринит, характеризующийся ринореей, заложенностью носа, зудом в носовой полости и чиханием, которые носят обратимый характер после прекращения экспозиции аллергенов или при лечении </w:t>
      </w:r>
      <w:r w:rsidRPr="001B27F8">
        <w:rPr>
          <w:rStyle w:val="fontstyle01"/>
          <w:color w:val="auto"/>
        </w:rPr>
        <w:fldChar w:fldCharType="begin" w:fldLock="1"/>
      </w:r>
      <w:r w:rsidR="00765C06">
        <w:rPr>
          <w:rStyle w:val="fontstyle01"/>
          <w:color w:val="auto"/>
        </w:rPr>
        <w:instrText>ADDIN CSL_CITATION {"citationItems":[{"id":"ITEM-1","itemData":{"author":[{"dropping-particle":"","family":"Семенова","given":"И.В.","non-dropping-particle":"","parse-names":false,"suffix":""},{"dropping-particle":"","family":"Выхристенко","given":"Л.Р.","non-dropping-particle":"","parse-names":false,"suffix":""}],"container-title":"Вестник ВГМУ","id":"ITEM-1","issue":"1","issued":{"date-parts":[["2014"]]},"page":"91-97","title":"Комплексная оценка клинической эффективности при пыльцевой аллергии","type":"article-journal","volume":"13"},"uris":["http://www.mendeley.com/documents/?uuid=c25feb0a-6a95-496f-8baa-ca6165169e7f"]},{"id":"ITEM-2","itemData":{"author":[{"dropping-particle":"","family":"Кунельская","given":"Н.Л.","non-dropping-particle":"","parse-names":false,"suffix":""},{"dropping-particle":"","family":"Лучшева","given":"Ю.В.","non-dropping-particle":"","parse-names":false,"suffix":""},{"dropping-particle":"","family":"Г.Н.","given":"Изотова","non-dropping-particle":"","parse-names":false,"suffix":""}],"container-title":"Медицинский совет","id":"ITEM-2","issued":{"date-parts":[["2015"]]},"page":"28-34","title":"Аллергический ринит как одна из граней поллиноза","type":"article-journal","volume":"3"},"uris":["http://www.mendeley.com/documents/?uuid=c78d1f0e-5244-42f2-87dc-60767a5bfb0e"]},{"id":"ITEM-3","itemData":{"ISBN":"2018207679","author":[{"dropping-particle":"","family":"Рязанцев","given":"С.В.","non-dropping-particle":"","parse-names":false,"suffix":""},{"dropping-particle":"","family":"Гончаров","given":"О.И.","non-dropping-particle":"","parse-names":false,"suffix":""}],"container-title":"Медицинский совет","id":"ITEM-3","issue":"20","issued":{"date-parts":[["2018"]]},"page":"76-79","title":"Аллергический ринит","type":"article-journal"},"uris":["http://www.mendeley.com/documents/?uuid=4b37e192-dab5-4390-bee6-269224349e91"]}],"mendeley":{"formattedCitation":"[21–23]","plainTextFormattedCitation":"[21–23]","previouslyFormattedCitation":"[21–23]"},"properties":{"noteIndex":0},"schema":"https://github.com/citation-style-language/schema/raw/master/csl-citation.json"}</w:instrText>
      </w:r>
      <w:r w:rsidRPr="001B27F8">
        <w:rPr>
          <w:rStyle w:val="fontstyle01"/>
          <w:color w:val="auto"/>
        </w:rPr>
        <w:fldChar w:fldCharType="separate"/>
      </w:r>
      <w:r w:rsidR="00877069" w:rsidRPr="00877069">
        <w:rPr>
          <w:rStyle w:val="fontstyle01"/>
          <w:noProof/>
          <w:color w:val="auto"/>
        </w:rPr>
        <w:t>[21–23]</w:t>
      </w:r>
      <w:r w:rsidRPr="001B27F8">
        <w:rPr>
          <w:rStyle w:val="fontstyle01"/>
          <w:color w:val="auto"/>
        </w:rPr>
        <w:fldChar w:fldCharType="end"/>
      </w:r>
      <w:r w:rsidRPr="001B27F8">
        <w:rPr>
          <w:rStyle w:val="fontstyle01"/>
          <w:color w:val="auto"/>
        </w:rPr>
        <w:t>.</w:t>
      </w:r>
      <w:r w:rsidR="00582092">
        <w:rPr>
          <w:rStyle w:val="fontstyle01"/>
          <w:color w:val="auto"/>
        </w:rPr>
        <w:t xml:space="preserve"> </w:t>
      </w:r>
      <w:r w:rsidRPr="001B27F8">
        <w:rPr>
          <w:rFonts w:ascii="Times New Roman" w:hAnsi="Times New Roman" w:cs="Times New Roman"/>
          <w:sz w:val="28"/>
          <w:szCs w:val="28"/>
        </w:rPr>
        <w:t xml:space="preserve">Сезонные аллергические риниты стали серьезной проблемой для Казахстана за последние десятилетия. Многочисленные факторы, среди которых наиболее значимыми являются климато-географические особенности, экологическая обстановка, уровень социально-экономического развития региона усугубляют картину заболеваемости </w:t>
      </w:r>
      <w:r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10.34689/SH.2020.22.2.004","ISBN":"0000000314008","author":[{"dropping-particle":"","family":"Измайлович","given":"М.Р.","non-dropping-particle":"","parse-names":false,"suffix":""},{"dropping-particle":"","family":"Газалиева","given":"М.А.","non-dropping-particle":"","parse-names":false,"suffix":""},{"dropping-particle":"","family":"Глушкова","given":"Н.Е.","non-dropping-particle":"","parse-names":false,"suffix":""},{"dropping-particle":"","family":"Дедова","given":"О.Ю.","non-dropping-particle":"","parse-names":false,"suffix":""},{"dropping-particle":"","family":"Мендибай","given":"С.Т.","non-dropping-particle":"","parse-names":false,"suffix":""},{"dropping-particle":"","family":"Скворцова","given":"А.В.","non-dropping-particle":"","parse-names":false,"suffix":""}],"container-title":"Наука и Здравоохранение","id":"ITEM-1","issue":"2","issued":{"date-parts":[["2020"]]},"page":"38-48","title":"Иммунологические аспекты эффективности аллерген- специфической иммунотерапии. Обзор литературы.","type":"article-journal","volume":"22"},"uris":["http://www.mendeley.com/documents/?uuid=c3bbf822-416f-4513-b28d-0e8490817195"]},{"id":"ITEM-2","itemData":{"author":[{"dropping-particle":"","family":"Нурпеисов","given":"Т.Т.","non-dropping-particle":"","parse-names":false,"suffix":""}],"container-title":"Вестник КазНМУ","id":"ITEM-2","issue":"4","issued":{"date-parts":[["2017"]]},"page":"416-418","title":"Аллергология казахстана: успехи и перспективы","type":"article-journal"},"uris":["http://www.mendeley.com/documents/?uuid=a536026d-a1c8-47c7-a12d-7fda13542f77"]}],"mendeley":{"formattedCitation":"[18,19]","plainTextFormattedCitation":"[18,19]","previouslyFormattedCitation":"[18,19]"},"properties":{"noteIndex":0},"schema":"https://github.com/citation-style-language/schema/raw/master/csl-citation.json"}</w:instrText>
      </w:r>
      <w:r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[18,19]</w:t>
      </w:r>
      <w:r w:rsidRPr="001B27F8">
        <w:rPr>
          <w:rFonts w:ascii="Times New Roman" w:hAnsi="Times New Roman" w:cs="Times New Roman"/>
          <w:sz w:val="28"/>
          <w:szCs w:val="28"/>
        </w:rPr>
        <w:fldChar w:fldCharType="end"/>
      </w:r>
      <w:r w:rsidRPr="001B27F8">
        <w:rPr>
          <w:rFonts w:ascii="Times New Roman" w:hAnsi="Times New Roman" w:cs="Times New Roman"/>
          <w:sz w:val="28"/>
          <w:szCs w:val="28"/>
        </w:rPr>
        <w:t xml:space="preserve">. </w:t>
      </w:r>
      <w:r w:rsidR="00BE60C2" w:rsidRPr="001B27F8">
        <w:rPr>
          <w:rFonts w:ascii="Times New Roman" w:hAnsi="Times New Roman" w:cs="Times New Roman"/>
          <w:sz w:val="28"/>
          <w:szCs w:val="28"/>
        </w:rPr>
        <w:t>В последние годы во всем мире изучается взаимосвязь аллергических заболеваний с низким содержани</w:t>
      </w:r>
      <w:r w:rsidR="006133BE">
        <w:rPr>
          <w:rFonts w:ascii="Times New Roman" w:hAnsi="Times New Roman" w:cs="Times New Roman"/>
          <w:sz w:val="28"/>
          <w:szCs w:val="28"/>
        </w:rPr>
        <w:t>ем витамина Д. Была обнаружена</w:t>
      </w:r>
      <w:r w:rsidR="00BE60C2" w:rsidRPr="001B27F8">
        <w:rPr>
          <w:rFonts w:ascii="Times New Roman" w:hAnsi="Times New Roman" w:cs="Times New Roman"/>
          <w:sz w:val="28"/>
          <w:szCs w:val="28"/>
        </w:rPr>
        <w:t xml:space="preserve"> связь между низким уровнем витамина D в сыворотке крови и увеличением иммунных расстройств </w:t>
      </w:r>
      <w:r w:rsidR="00BE60C2"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{"citationItems":[{"id":"ITEM-1","itemData":{"DOI":"10.5005/jp-journals-10013-1209","ISSN":"09756965","abstract":"Allergic rhinitis is a common condition affecting 5 to 40% of general population and its prevalence is increasing. It is a chronic condition characterized by inflammation of nasal mucosa. As per recent studies, there is an association between serum vitamin D levels and allergic rhinitis status. Vitamin D has major role in the regulation of calcium metabolism. In addition to this, it also has a number of immunological effects and takes part in immunomodulation, which can significantly affect the outcome of allergic responses like in allergic rhinitis. Aims and objectives: To establish the correlation between vitamin D3 serum levels and allergic rhinitis. Materials and methods: Vitamin D levels were assessed in 23 patients with allergic rhinitis diagnosed clinically by allergic rhinitis and its impact on asthma 2008 criteria and results were compared with vitamin D status in the normal population of same region. Results: The levels of serum vitamin D levels were significantly low in the patients of allergic rhinitis. Conclusion: Measuring of serum levels of vitamin D could be considered in the routine assessment of patients with allergic rhinitis.","author":[{"dropping-particle":"","family":"Thakkar","given":"Bhaskar","non-dropping-particle":"","parse-names":false,"suffix":""},{"dropping-particle":"","family":"Katarkar","given":"Ashish","non-dropping-particle":"","parse-names":false,"suffix":""},{"dropping-particle":"","family":"Modh","given":"Datt","non-dropping-particle":"","parse-names":false,"suffix":""},{"dropping-particle":"","family":"Jain","given":"Anil","non-dropping-particle":"","parse-names":false,"suffix":""},{"dropping-particle":"","family":"Shah","given":"Pankaj","non-dropping-particle":"","parse-names":false,"suffix":""},{"dropping-particle":"","family":"Joshi","given":"Krupal","non-dropping-particle":"","parse-names":false,"suffix":""}],"container-title":"Clinical Rhinology","id":"ITEM-1","issue":"3","issued":{"date-parts":[["2014"]]},"page":"112-116","title":"Deficiency of vitamin D in allergic rhinitis: A possible factor in multifactorial disease","type":"article-journal","volume":"7"},"uris":["http://www.mendeley.com/documents/?uuid=6c5d3b80-5dd8-4f9f-ae57-701338b294ad"]}],"mendeley":{"formattedCitation":"[24]","plainTextFormattedCitation":"[24]","previouslyFormattedCitation":"[24]"},"properties":{"noteIndex":0},"schema":"https://github.com/citation-style-language/schema/raw/master/csl-citation.json"}</w:instrText>
      </w:r>
      <w:r w:rsidR="00BE60C2"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[24]</w:t>
      </w:r>
      <w:r w:rsidR="00BE60C2" w:rsidRPr="001B27F8">
        <w:rPr>
          <w:rFonts w:ascii="Times New Roman" w:hAnsi="Times New Roman" w:cs="Times New Roman"/>
          <w:sz w:val="28"/>
          <w:szCs w:val="28"/>
        </w:rPr>
        <w:fldChar w:fldCharType="end"/>
      </w:r>
      <w:r w:rsidR="00BE60C2" w:rsidRPr="001B27F8">
        <w:rPr>
          <w:rFonts w:ascii="Times New Roman" w:hAnsi="Times New Roman" w:cs="Times New Roman"/>
          <w:sz w:val="28"/>
          <w:szCs w:val="28"/>
        </w:rPr>
        <w:t>.</w:t>
      </w:r>
      <w:r w:rsidR="00BE60C2">
        <w:rPr>
          <w:rFonts w:ascii="Times New Roman" w:hAnsi="Times New Roman" w:cs="Times New Roman"/>
          <w:sz w:val="28"/>
          <w:szCs w:val="28"/>
        </w:rPr>
        <w:t xml:space="preserve"> Данные </w:t>
      </w:r>
      <w:r w:rsidR="00BE60C2" w:rsidRPr="00365F40">
        <w:rPr>
          <w:rFonts w:ascii="Times New Roman" w:hAnsi="Times New Roman" w:cs="Times New Roman"/>
          <w:sz w:val="28"/>
          <w:szCs w:val="28"/>
        </w:rPr>
        <w:t>особенности</w:t>
      </w:r>
      <w:r w:rsidRPr="00365F40">
        <w:rPr>
          <w:rFonts w:ascii="Times New Roman" w:hAnsi="Times New Roman" w:cs="Times New Roman"/>
          <w:sz w:val="28"/>
          <w:szCs w:val="28"/>
        </w:rPr>
        <w:t xml:space="preserve"> в совокупности с малообеспеченностью населения </w:t>
      </w:r>
      <w:r w:rsidR="003601CC">
        <w:rPr>
          <w:rFonts w:ascii="Times New Roman" w:hAnsi="Times New Roman" w:cs="Times New Roman"/>
          <w:sz w:val="28"/>
          <w:szCs w:val="28"/>
        </w:rPr>
        <w:t xml:space="preserve">Карагандинского </w:t>
      </w:r>
      <w:r w:rsidRPr="00365F40">
        <w:rPr>
          <w:rFonts w:ascii="Times New Roman" w:hAnsi="Times New Roman" w:cs="Times New Roman"/>
          <w:sz w:val="28"/>
          <w:szCs w:val="28"/>
        </w:rPr>
        <w:t>региона по уровню витамина Д усугубляет рост респираторных аллергических заболеваний</w:t>
      </w:r>
      <w:r w:rsidR="00365F40" w:rsidRPr="00365F40">
        <w:rPr>
          <w:rFonts w:ascii="Times New Roman" w:hAnsi="Times New Roman" w:cs="Times New Roman"/>
          <w:sz w:val="28"/>
          <w:szCs w:val="28"/>
        </w:rPr>
        <w:t xml:space="preserve"> </w:t>
      </w:r>
      <w:r w:rsidR="00365F40" w:rsidRPr="00365F40">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{"citationItems":[{"id":"ITEM-1","itemData":{"DOI":"10.1016/J.JSBMB.2019.105565","ISSN":"18791220","PMID":"31812522","abstract":"Vitamin D deficiency (VDD) is one of the serious and highly debatable public health problems affecting at least one billion of world population. This study objected to evaluate Vitamin D status in adult population of both sexes residing in different geographical areas of Kazakhstan and to elucidate the possible contributing factors related to VDD. This cross-sectional study covered 6 regions of Kazakhstan and applied the systematic random sampling to recruit 1347 healthy adults (of whom 819 were females) with mean age 44 ± 14 years. The concentration of 25-hydroxy vitamin D (25-OHD) was measured from May 2018 to August 2018 with Architect 25OH Vitamin D assay (Abbott Ireland Diagnostics Division Lisnamuck, Longford Co. Longford Ireland). Vitamin D deficiency was defined as 25-OHD values not exceeding 20 ng/mL as a reference threshold in healthy population. The median serum 25(OH)D concentrations in all studied regions of Kazakhstan were below the reference threshold (20 ng/mL). The lowest range of vitamin D (&lt;10 ng/mL) was observed more commonly in females (34.6 % – 283) as compared to males (16.7 % – 88) and was significantly higher in Asians (33.2 % – 352) in contrast with Caucasians (6.7 % – 19) (χ2 = 177,939; D.f. = 3; p-value=&lt;0,001). The proportion of severe VDD was higher in individuals with low body mass index (31.1 % – 188) vs. individuals with high body mass index (18.7 % – 50). In this study individuals aged 60 years and older had the most favorable situation with 25-OHD concentrations since these were normal in 14.4 % of observations (χ2 = 26,589; D.f. = 6; p-value=&lt;0001). Studying the prevalence of VDD is an important public health task. Further research is needed to understand the epidemiology of VDD in more details to tailor intervention programs.","author":[{"dropping-particle":"","family":"Gromova","given":"Olga","non-dropping-particle":"","parse-names":false,"suffix":""},{"dropping-particle":"","family":"Doschanova","given":"Aikerm","non-dropping-particle":"","parse-names":false,"suffix":""},{"dropping-particle":"","family":"Lokshin","given":"Vyacheslav","non-dropping-particle":"","parse-names":false,"suffix":""},{"dropping-particle":"","family":"Tuletova","given":"Ainur","non-dropping-particle":"","parse-names":false,"suffix":""},{"dropping-particle":"","family":"Grebennikova","given":"Galina","non-dropping-particle":"","parse-names":false,"suffix":""},{"dropping-particle":"","family":"Daniyarova","given":"Laura","non-dropping-particle":"","parse-names":false,"suffix":""},{"dropping-particle":"","family":"Kaishibayeva","given":"Gulnaz","non-dropping-particle":"","parse-names":false,"suffix":""},{"dropping-particle":"","family":"Nurpeissov","given":"Tair","non-dropping-particle":"","parse-names":false,"suffix":""},{"dropping-particle":"","family":"Khan","given":"Viktoriya","non-dropping-particle":"","parse-names":false,"suffix":""},{"dropping-particle":"","family":"Semenova","given":"Yuliya","non-dropping-particle":"","parse-names":false,"suffix":""},{"dropping-particle":"","family":"Chibisova","given":"Albina","non-dropping-particle":"","parse-names":false,"suffix":""},{"dropping-particle":"","family":"Suzdalskaya","given":"Natalia","non-dropping-particle":"","parse-names":false,"suffix":""},{"dropping-particle":"","family":"Aitaly","given":"Zhanara","non-dropping-particle":"","parse-names":false,"suffix":""},{"dropping-particle":"","family":"Glushkova","given":"Natalia","non-dropping-particle":"","parse-names":false,"suffix":""}],"container-title":"Journal of Steroid Biochemistry and Molecular Biology","id":"ITEM-1","issue":"19","issued":{"date-parts":[["2020"]]},"page":"105565","publisher":"Elsevier Ltd","title":"Vitamin D deficiency in Kazakhstan: Cross-Sectional study","type":"article-journal","volume":"199"},"uris":["http://www.mendeley.com/documents/?uuid=3b24547d-830c-48c0-8c78-f25709078b03"]}],"mendeley":{"formattedCitation":"[25]","plainTextFormattedCitation":"[25]","previouslyFormattedCitation":"[25]"},"properties":{"noteIndex":0},"schema":"https://github.com/citation-style-language/schema/raw/master/csl-citation.json"}</w:instrText>
      </w:r>
      <w:r w:rsidR="00365F40" w:rsidRPr="00365F40">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[25]</w:t>
      </w:r>
      <w:r w:rsidR="00365F40" w:rsidRPr="00365F40">
        <w:rPr>
          <w:rFonts w:ascii="Times New Roman" w:hAnsi="Times New Roman" w:cs="Times New Roman"/>
          <w:sz w:val="28"/>
          <w:szCs w:val="28"/>
        </w:rPr>
        <w:fldChar w:fldCharType="end"/>
      </w:r>
      <w:r w:rsidRPr="00365F40">
        <w:rPr>
          <w:rFonts w:ascii="Times New Roman" w:hAnsi="Times New Roman" w:cs="Times New Roman"/>
          <w:sz w:val="28"/>
          <w:szCs w:val="28"/>
        </w:rPr>
        <w:t xml:space="preserve">. </w:t>
      </w:r>
    </w:p>
    <w:p w14:paraId="5D70FA5E" w14:textId="1E7C3865" w:rsidR="00387A6C" w:rsidRDefault="00387A6C" w:rsidP="00387A6C">
      <w:pPr>
        <w:pStyle w:val="a3"/>
        <w:tabs>
          <w:tab w:val="left" w:pos="851"/>
        </w:tabs>
        <w:spacing w:after="0" w:line="240" w:lineRule="auto"/>
        <w:ind w:left="0" w:firstLine="567"/>
        <w:jc w:val="both"/>
        <w:rPr>
          <w:rFonts w:ascii="Times New Roman" w:hAnsi="Times New Roman" w:cs="Times New Roman"/>
          <w:sz w:val="28"/>
          <w:szCs w:val="28"/>
        </w:rPr>
      </w:pPr>
      <w:r w:rsidRPr="00365F40">
        <w:rPr>
          <w:rFonts w:ascii="Times New Roman" w:hAnsi="Times New Roman" w:cs="Times New Roman"/>
          <w:sz w:val="28"/>
          <w:szCs w:val="28"/>
        </w:rPr>
        <w:t>На сегодняшний</w:t>
      </w:r>
      <w:r>
        <w:rPr>
          <w:rFonts w:ascii="Times New Roman" w:hAnsi="Times New Roman" w:cs="Times New Roman"/>
          <w:sz w:val="28"/>
          <w:szCs w:val="28"/>
        </w:rPr>
        <w:t xml:space="preserve"> день о</w:t>
      </w:r>
      <w:r w:rsidRPr="005E1D29">
        <w:rPr>
          <w:rFonts w:ascii="Times New Roman" w:hAnsi="Times New Roman" w:cs="Times New Roman"/>
          <w:sz w:val="28"/>
          <w:szCs w:val="28"/>
        </w:rPr>
        <w:t>сновным патогенетическим методом лечения сезонных аллергических заболевани</w:t>
      </w:r>
      <w:r>
        <w:rPr>
          <w:rFonts w:ascii="Times New Roman" w:hAnsi="Times New Roman" w:cs="Times New Roman"/>
          <w:sz w:val="28"/>
          <w:szCs w:val="28"/>
        </w:rPr>
        <w:t>й является а</w:t>
      </w:r>
      <w:r w:rsidRPr="005E1D29">
        <w:rPr>
          <w:rFonts w:ascii="Times New Roman" w:hAnsi="Times New Roman" w:cs="Times New Roman"/>
          <w:sz w:val="28"/>
          <w:szCs w:val="28"/>
        </w:rPr>
        <w:t>ллерген-специфическая иммунотерапия</w:t>
      </w:r>
      <w:r>
        <w:rPr>
          <w:rFonts w:ascii="Times New Roman" w:hAnsi="Times New Roman" w:cs="Times New Roman"/>
          <w:sz w:val="28"/>
          <w:szCs w:val="28"/>
        </w:rPr>
        <w:t xml:space="preserve"> (АСИТ) </w:t>
      </w:r>
      <w:r w:rsidR="006B2D4C">
        <w:rPr>
          <w:rFonts w:ascii="Times New Roman" w:hAnsi="Times New Roman" w:cs="Times New Roman"/>
          <w:sz w:val="28"/>
          <w:szCs w:val="28"/>
        </w:rPr>
        <w:fldChar w:fldCharType="begin" w:fldLock="1"/>
      </w:r>
      <w:r w:rsidR="006B2D4C">
        <w:rPr>
          <w:rFonts w:ascii="Times New Roman" w:hAnsi="Times New Roman" w:cs="Times New Roman"/>
          <w:sz w:val="28"/>
          <w:szCs w:val="28"/>
        </w:rPr>
        <w:instrText>ADDIN CSL_CITATION {"citationItems":[{"id":"ITEM-1","itemData":{"author":[{"dropping-particle":"","family":"Плахина","given":"К.В.","non-dropping-particle":"","parse-names":false,"suffix":""},{"dropping-particle":"","family":"Минаева","given":"Н.В.","non-dropping-particle":"","parse-names":false,"suffix":""}],"container-title":"Социальная медицина","id":"ITEM-1","issue":"4","issued":{"date-parts":[["2016"]]},"page":"82-86","title":"Организационные аспекты сублингвальной аллергенспецифической иммунотерапии","type":"article-journal","volume":"33"},"uris":["http://www.mendeley.com/documents/?uuid=b7bc8ca9-be6a-4edc-9430-4ab162f3812c"]},{"id":"ITEM-2","itemData":{"DOI":"10.2500/ajra.2016.30.4253","ISSN":"19458932","PMID":"26867530","abstract":"Purpose: To evaluate the role of allergen immunotherapy (AIT) in the treatment of allergic rhinitis (AR). Method: Individual studies, systematic reviews, and practice guidelines that included information on sublingual AIT (SLIT) and subcutaneous AIT (SCIT) in the treatment of AR were considered. Results: AIT via the SLIT or SCIT route has been shown to be effective in treating AR symptoms with resultant improvements in overall quality of life, comorbid illnesses, and medication requirements. Persistent clinical benefits have been demonstrated years after AIT treatment discontinuation. AIT may prevent the progression of AR to asthma. In addition, studies that evaluated the pharmacoeconomics of AR treatment indicate that AIT may be more cost effective than pharmacotherapy. The AIT cost savings are likely underestimated in that few cost comparison studies considered AIT's long-term benefits or preventive effects. Conclusion: Multiple individual studies and systematic reviews provide strong evidence for the clinical effectiveness of AIT in the treatment of AR. Cost-effectiveness and disease modification are additional advantages of AIT compared with standard drug treatment in the management of AR.","author":[{"dropping-particle":"","family":"Cox","given":"Linda","non-dropping-particle":"","parse-names":false,"suffix":""}],"container-title":"American Journal of Rhinology and Allergy","id":"ITEM-2","issue":"1","issued":{"date-parts":[["2016"]]},"page":"48-53","title":"The role of allergen immunotherapy in the management of allergic rhinitis","type":"article-journal","volume":"30"},"uris":["http://www.mendeley.com/documents/?uuid=6de2fac4-2441-4dab-b086-1427db2db676"]},{"id":"ITEM-3","itemData":{"DOI":"10.1183/13993003.01046-2019","ISSN":"13993003","PMID":"31249014","author":[{"dropping-particle":"","family":"Reddel","given":"Helen K.","non-dropping-particle":"","parse-names":false,"suffix":""},{"dropping-particle":"","family":"FitzGerald","given":"J. Mark","non-dropping-particle":"","parse-names":false,"suffix":""},{"dropping-particle":"","family":"Bateman","given":"Eric D.","non-dropping-particle":"","parse-names":false,"suffix":""},{"dropping-particle":"","family":"Bacharier","given":"Leonard B.","non-dropping-particle":"","parse-names":false,"suffix":""},{"dropping-particle":"","family":"Becker","given":"Allan","non-dropping-particle":"","parse-names":false,"suffix":""},{"dropping-particle":"","family":"Brusselle","given":"Guy","non-dropping-particle":"","parse-names":false,"suffix":""},{"dropping-particle":"","family":"Buhl","given":"Roland","non-dropping-particle":"","parse-names":false,"suffix":""},{"dropping-particle":"","family":"Cruz","given":"Alvaro A.","non-dropping-particle":"","parse-names":false,"suffix":""},{"dropping-particle":"","family":"Fleming","given":"Louise","non-dropping-particle":"","parse-names":false,"suffix":""},{"dropping-particle":"","family":"Inoue","given":"Hiromasa","non-dropping-particle":"","parse-names":false,"suffix":""},{"dropping-particle":"","family":"Ko","given":"Fanny Wai San","non-dropping-particle":"","parse-names":false,"suffix":""},{"dropping-particle":"","family":"Krishnan","given":"Jerry A.","non-dropping-particle":"","parse-names":false,"suffix":""},{"dropping-particle":"","family":"Levy","given":"Mark L.","non-dropping-particle":"","parse-names":false,"suffix":""},{"dropping-particle":"","family":"Lin","given":"Jiangtao","non-dropping-particle":"","parse-names":false,"suffix":""},{"dropping-particle":"","family":"Pedersen","given":"Søren E.","non-dropping-particle":"","parse-names":false,"suffix":""},{"dropping-particle":"","family":"Sheikh","given":"Aziz","non-dropping-particle":"","parse-names":false,"suffix":""},{"dropping-particle":"","family":"Yorgancioglu","given":"Arzu","non-dropping-particle":"","parse-names":false,"suffix":""},{"dropping-particle":"","family":"Boulet","given":"Louis Philippe","non-dropping-particle":"","parse-names":false,"suffix":""}],"container-title":"The European respiratory journal","id":"ITEM-3","issue":"6","issued":{"date-parts":[["2019"]]},"page":"1-7","title":"GINA 2019: a fundamental change in asthma management: Treatment of asthma with short-acting bronchodilators alone is no longer recommended for adults and adolescents","type":"article-journal","volume":"53"},"uris":["http://www.mendeley.com/documents/?uuid=2fab4b42-4378-486d-bc79-8f00237f7fb8"]}],"mendeley":{"formattedCitation":"[6–8]","plainTextFormattedCitation":"[6–8]","previouslyFormattedCitation":"[6–8]"},"properties":{"noteIndex":0},"schema":"https://github.com/citation-style-language/schema/raw/master/csl-citation.json"}</w:instrText>
      </w:r>
      <w:r w:rsidR="006B2D4C">
        <w:rPr>
          <w:rFonts w:ascii="Times New Roman" w:hAnsi="Times New Roman" w:cs="Times New Roman"/>
          <w:sz w:val="28"/>
          <w:szCs w:val="28"/>
        </w:rPr>
        <w:fldChar w:fldCharType="separate"/>
      </w:r>
      <w:r w:rsidR="006B2D4C" w:rsidRPr="006B2D4C">
        <w:rPr>
          <w:rFonts w:ascii="Times New Roman" w:hAnsi="Times New Roman" w:cs="Times New Roman"/>
          <w:noProof/>
          <w:sz w:val="28"/>
          <w:szCs w:val="28"/>
        </w:rPr>
        <w:t>[6–8]</w:t>
      </w:r>
      <w:r w:rsidR="006B2D4C">
        <w:rPr>
          <w:rFonts w:ascii="Times New Roman" w:hAnsi="Times New Roman" w:cs="Times New Roman"/>
          <w:sz w:val="28"/>
          <w:szCs w:val="28"/>
        </w:rPr>
        <w:fldChar w:fldCharType="end"/>
      </w:r>
      <w:r w:rsidRPr="005E1D29">
        <w:rPr>
          <w:rFonts w:ascii="Times New Roman" w:hAnsi="Times New Roman" w:cs="Times New Roman"/>
          <w:sz w:val="28"/>
          <w:szCs w:val="28"/>
        </w:rPr>
        <w:t xml:space="preserve">. </w:t>
      </w:r>
      <w:r w:rsidRPr="001B27F8">
        <w:rPr>
          <w:rStyle w:val="fontstyle01"/>
          <w:color w:val="auto"/>
        </w:rPr>
        <w:t xml:space="preserve">Данный метод лечения воздействует на все патогенетические </w:t>
      </w:r>
      <w:r w:rsidR="005075DF">
        <w:rPr>
          <w:rStyle w:val="fontstyle01"/>
          <w:color w:val="auto"/>
        </w:rPr>
        <w:t xml:space="preserve">звенья аллергического процесса, </w:t>
      </w:r>
      <w:r w:rsidRPr="001B27F8">
        <w:rPr>
          <w:rStyle w:val="fontstyle01"/>
          <w:color w:val="auto"/>
        </w:rPr>
        <w:t xml:space="preserve">обладает длительным профилактическим эффектом и стойкой ремиссией после завершения лечебных курсов </w:t>
      </w:r>
      <w:r w:rsidRPr="001B27F8">
        <w:rPr>
          <w:rStyle w:val="fontstyle01"/>
          <w:color w:val="auto"/>
        </w:rPr>
        <w:fldChar w:fldCharType="begin" w:fldLock="1"/>
      </w:r>
      <w:r>
        <w:rPr>
          <w:rStyle w:val="fontstyle01"/>
          <w:color w:val="auto"/>
        </w:rPr>
        <w:instrText>ADDIN CSL_CITATION {"citationItems":[{"id":"ITEM-1","itemData":{"DOI":"10.1016/j.jaip.2017.04.020","ISSN":"22132198","PMID":"28734858","abstract":"Background The 5-grass pollen sublingual tablet has been approved for the treatment of grass pollen–induced allergic rhinoconjunctivitis in subjects with or without intermittent asthma. Objective To provide a comprehensive analysis of the safety profile of the 5-grass tablet on the basis of pooled data from 8 clinical trials. Methods Subjects (5-65 years old) with medically confirmed grass pollen–induced allergic rhinoconjunctivitis were included in the double-blind studies. Those with intermittent asthma not requiring treatment other than inhaled beta-2 agonists could participate. Randomized subjects received a 5-grass or placebo tablet daily 2 or 4 months preseasonally and coseasonally (5 single-season studies, over 3 years in a long-term study) or outside the season (phase I studies). Adverse events were pooled and analyzed descriptively. Results Among 2,512 subjects enrolled, 1,514 received the 5-grass tablet. A total of 1,038 adults and 154 pediatric (5-17 years old) subjects were treated with the 300 Index of Reactivity dose (vs 840 and 158 placebo recipients, respectively); 17% had intermittent asthma, and 62% were polysensitized. Adverse reactions (ADRs) reported in more than 10% of actively treated subjects were mild or moderate application-site reactions, for example, oral pruritus 25% (placebo 4%) and throat irritation 21% (placebo 3%). These generally occurred during the first week of treatment and decreased over time. They led to discontinuation in less than 2.5% of subjects. None of the 3 serious ADRs were reports of anaphylaxis. No notable differences were detected in terms of incidence, nature, and severity of ADRs between adult and pediatric populations, nor between subjects with or without asthma. Conclusions The pooled analysis in 1,514 subjects from 8 clinical studies demonstrates that the 5-grass pollen sublingual tablet has a similar good safety profile in adult and pediatric patients with or without mild, intermittent asthma.","author":[{"dropping-particle":"","family":"Casale","given":"Thomas B.","non-dropping-particle":"","parse-names":false,"suffix":""},{"dropping-particle":"","family":"Cox","given":"Linda S.","non-dropping-particle":"","parse-names":false,"suffix":""},{"dropping-particle":"","family":"Wahn","given":"Ulrich","non-dropping-particle":"","parse-names":false,"suffix":""},{"dropping-particle":"","family":"Golden","given":"David B.K.","non-dropping-particle":"","parse-names":false,"suffix":""},{"dropping-particle":"","family":"Bons","given":"Brigitte","non-dropping-particle":"","parse-names":false,"suffix":""},{"dropping-particle":"","family":"Didier","given":"Alain","non-dropping-particle":"","parse-names":false,"suffix":""}],"container-title":"Journal of Allergy and Clinical Immunology: In Practice","id":"ITEM-1","issue":"6","issued":{"date-parts":[["2017"]]},"page":"1717-1727.e1","publisher":"Elsevier Inc","title":"Safety Review of 5-Grass Pollen Tablet from Pooled Data of Clinical Trials","type":"article-journal","volume":"5"},"uris":["http://www.mendeley.com/documents/?uuid=31ff454d-2b42-425a-bf28-ef03e514a75e"]}],"mendeley":{"formattedCitation":"[26]","plainTextFormattedCitation":"[26]","previouslyFormattedCitation":"[26]"},"properties":{"noteIndex":0},"schema":"https://github.com/citation-style-language/schema/raw/master/csl-citation.json"}</w:instrText>
      </w:r>
      <w:r w:rsidRPr="001B27F8">
        <w:rPr>
          <w:rStyle w:val="fontstyle01"/>
          <w:color w:val="auto"/>
        </w:rPr>
        <w:fldChar w:fldCharType="separate"/>
      </w:r>
      <w:r w:rsidRPr="00877069">
        <w:rPr>
          <w:rStyle w:val="fontstyle01"/>
          <w:noProof/>
          <w:color w:val="auto"/>
        </w:rPr>
        <w:t>[26]</w:t>
      </w:r>
      <w:r w:rsidRPr="001B27F8">
        <w:rPr>
          <w:rStyle w:val="fontstyle01"/>
          <w:color w:val="auto"/>
        </w:rPr>
        <w:fldChar w:fldCharType="end"/>
      </w:r>
      <w:r w:rsidRPr="001B27F8">
        <w:rPr>
          <w:rStyle w:val="fontstyle01"/>
          <w:color w:val="auto"/>
        </w:rPr>
        <w:t>.</w:t>
      </w:r>
      <w:r>
        <w:rPr>
          <w:rStyle w:val="fontstyle01"/>
          <w:color w:val="auto"/>
        </w:rPr>
        <w:t xml:space="preserve"> </w:t>
      </w:r>
      <w:r w:rsidRPr="005E1D29">
        <w:rPr>
          <w:rFonts w:ascii="Times New Roman" w:hAnsi="Times New Roman" w:cs="Times New Roman"/>
          <w:sz w:val="28"/>
          <w:szCs w:val="28"/>
        </w:rPr>
        <w:t xml:space="preserve">В недавних исследованиях </w:t>
      </w:r>
      <w:r>
        <w:rPr>
          <w:rFonts w:ascii="Times New Roman" w:hAnsi="Times New Roman" w:cs="Times New Roman"/>
          <w:sz w:val="28"/>
          <w:szCs w:val="28"/>
        </w:rPr>
        <w:t>АСИТ</w:t>
      </w:r>
      <w:r w:rsidRPr="005E1D29">
        <w:rPr>
          <w:rFonts w:ascii="Times New Roman" w:hAnsi="Times New Roman" w:cs="Times New Roman"/>
          <w:sz w:val="28"/>
          <w:szCs w:val="28"/>
        </w:rPr>
        <w:t xml:space="preserve"> </w:t>
      </w:r>
      <w:r>
        <w:rPr>
          <w:rFonts w:ascii="Times New Roman" w:hAnsi="Times New Roman" w:cs="Times New Roman"/>
          <w:sz w:val="28"/>
          <w:szCs w:val="28"/>
        </w:rPr>
        <w:t xml:space="preserve">было высказано предположение о роли </w:t>
      </w:r>
      <w:r w:rsidRPr="005E1D29">
        <w:rPr>
          <w:rFonts w:ascii="Times New Roman" w:hAnsi="Times New Roman" w:cs="Times New Roman"/>
          <w:sz w:val="28"/>
          <w:szCs w:val="28"/>
        </w:rPr>
        <w:t>витамин</w:t>
      </w:r>
      <w:r>
        <w:rPr>
          <w:rFonts w:ascii="Times New Roman" w:hAnsi="Times New Roman" w:cs="Times New Roman"/>
          <w:sz w:val="28"/>
          <w:szCs w:val="28"/>
        </w:rPr>
        <w:t xml:space="preserve">а Д в качестве потенциального фактора, влияющего </w:t>
      </w:r>
      <w:r w:rsidRPr="005E1D29">
        <w:rPr>
          <w:rFonts w:ascii="Times New Roman" w:hAnsi="Times New Roman" w:cs="Times New Roman"/>
          <w:sz w:val="28"/>
          <w:szCs w:val="28"/>
        </w:rPr>
        <w:t xml:space="preserve">на исход </w:t>
      </w:r>
      <w:r>
        <w:rPr>
          <w:rFonts w:ascii="Times New Roman" w:hAnsi="Times New Roman" w:cs="Times New Roman"/>
          <w:sz w:val="28"/>
          <w:szCs w:val="28"/>
        </w:rPr>
        <w:t xml:space="preserve">лечения </w:t>
      </w:r>
      <w:r w:rsidR="006B2D4C">
        <w:rPr>
          <w:rFonts w:ascii="Times New Roman" w:hAnsi="Times New Roman" w:cs="Times New Roman"/>
          <w:sz w:val="28"/>
          <w:szCs w:val="28"/>
        </w:rPr>
        <w:fldChar w:fldCharType="begin" w:fldLock="1"/>
      </w:r>
      <w:r w:rsidR="00D05618">
        <w:rPr>
          <w:rFonts w:ascii="Times New Roman" w:hAnsi="Times New Roman" w:cs="Times New Roman"/>
          <w:sz w:val="28"/>
          <w:szCs w:val="28"/>
        </w:rPr>
        <w:instrText>ADDIN CSL_CITATION {"citationItems":[{"id":"ITEM-1","itemData":{"DOI":"10.1089/acm.2016.0310","ISSN":"1075-5535","PMID":"28437146","abstract":"Objective: The aim of this study was to evaluate the efficacy and effectiveness of homeopathic intervention in the treatment of seasonal or perennial allergic rhinitis (AR). Method: Randomized controlled trials evaluating all forms of homeopathic treatment for AR were included in a systematic review (SR) of studies published up to and including December 2015. Two authors independently screened potential studies, extracted data, and assessed risk of bias. Primary outcomes included symptom improvement and total quality-of-life score. Treatment effect size was quantified as mean difference (continuous data), or by risk ratio (RR) and odds ratio (dichotomous data), with 95% confidence intervals (CI). Meta-analysis was performed after assessing heterogeneity and risk of bias. Results: Eleven studies were eligible for SR. All trials were placebo-controlled except one. Six trials used the treatment approach known as isopathy, but they were unsuitable for meta-analysis due to problems of heterogeneity and data extraction. The overall standard of methods and reporting was poor: 8/11 trials were assessed as \"high risk of bias\"; only one trial, on isopathy for seasonal AR, possessed reliable evidence. Three trials of variable quality (all using Galphimia glauca for seasonal AR) were included in the meta-analysis: Nasal symptom relief at 2 and 4 weeks (RR = 1.48 [95% CI 1.24-1.77] and 1.27 [95% CI 1.10-1.46], respectively) favored homeopathy compared with placebo; ocular symptom relief at 2 and 4 weeks also favored homeopathy (RR = 1.55 [95% CI 1.33-1.80] and 1.37 [95% CI 1.21-1.56], respectively). The single trial with reliable evidence had a small positive treatment effect without statistical significance. A homeopathic and a conventional nasal spray produced equivalent improvements in nasal and ocular symptoms. Conclusions: The low or uncertain overall quality of the evidence warrants caution in drawing firm conclusions about intervention effects. Use of either Galphimia glauca or a homeopathic nasal spray may have small beneficial effects on the nasal and ocular symptoms of AR. The efficacy of isopathic treatment of AR is unclear.","author":[{"dropping-particle":"","family":"Banerjee","given":"Kushal","non-dropping-particle":"","parse-names":false,"suffix":""},{"dropping-particle":"","family":"Mathie","given":"Robert T.","non-dropping-particle":"","parse-names":false,"suffix":""},{"dropping-particle":"","family":"Costelloe","given":"Céire","non-dropping-particle":"","parse-names":false,"suffix":""},{"dropping-particle":"","family":"Howick","given":"Jeremy","non-dropping-particle":"","parse-names":false,"suffix":""}],"container-title":"The Journal of Alternative and Complementary Medicine","id":"ITEM-1","issue":"6","issued":{"date-parts":[["2017","6"]]},"page":"426-444","title":"Homeopathy for Allergic Rhinitis: A Systematic Review","type":"article-journal","volume":"23"},"uris":["http://www.mendeley.com/documents/?uuid=9bcfc48f-80fc-4b1e-8497-d2a7d619eced"]}],"mendeley":{"formattedCitation":"[9]","plainTextFormattedCitation":"[9]","previouslyFormattedCitation":"[9]"},"properties":{"noteIndex":0},"schema":"https://github.com/citation-style-language/schema/raw/master/csl-citation.json"}</w:instrText>
      </w:r>
      <w:r w:rsidR="006B2D4C">
        <w:rPr>
          <w:rFonts w:ascii="Times New Roman" w:hAnsi="Times New Roman" w:cs="Times New Roman"/>
          <w:sz w:val="28"/>
          <w:szCs w:val="28"/>
        </w:rPr>
        <w:fldChar w:fldCharType="separate"/>
      </w:r>
      <w:r w:rsidR="006B2D4C" w:rsidRPr="006B2D4C">
        <w:rPr>
          <w:rFonts w:ascii="Times New Roman" w:hAnsi="Times New Roman" w:cs="Times New Roman"/>
          <w:noProof/>
          <w:sz w:val="28"/>
          <w:szCs w:val="28"/>
        </w:rPr>
        <w:t>[9]</w:t>
      </w:r>
      <w:r w:rsidR="006B2D4C">
        <w:rPr>
          <w:rFonts w:ascii="Times New Roman" w:hAnsi="Times New Roman" w:cs="Times New Roman"/>
          <w:sz w:val="28"/>
          <w:szCs w:val="28"/>
        </w:rPr>
        <w:fldChar w:fldCharType="end"/>
      </w:r>
      <w:r w:rsidRPr="005E1D29">
        <w:rPr>
          <w:rFonts w:ascii="Times New Roman" w:hAnsi="Times New Roman" w:cs="Times New Roman"/>
          <w:sz w:val="28"/>
          <w:szCs w:val="28"/>
        </w:rPr>
        <w:t xml:space="preserve">. </w:t>
      </w:r>
      <w:r>
        <w:rPr>
          <w:rFonts w:ascii="Times New Roman" w:hAnsi="Times New Roman" w:cs="Times New Roman"/>
          <w:sz w:val="28"/>
          <w:szCs w:val="28"/>
        </w:rPr>
        <w:t xml:space="preserve">Таким образом, недостаточность витамина Д </w:t>
      </w:r>
      <w:r w:rsidRPr="005E1D29">
        <w:rPr>
          <w:rFonts w:ascii="Times New Roman" w:hAnsi="Times New Roman" w:cs="Times New Roman"/>
          <w:sz w:val="28"/>
          <w:szCs w:val="28"/>
        </w:rPr>
        <w:t>является одним из возможных факторов,</w:t>
      </w:r>
      <w:r>
        <w:rPr>
          <w:rFonts w:ascii="Times New Roman" w:hAnsi="Times New Roman" w:cs="Times New Roman"/>
          <w:sz w:val="28"/>
          <w:szCs w:val="28"/>
        </w:rPr>
        <w:t xml:space="preserve"> влияющих на эффективность АСИТ и подключение</w:t>
      </w:r>
      <w:r w:rsidR="001D014D">
        <w:rPr>
          <w:rFonts w:ascii="Times New Roman" w:hAnsi="Times New Roman" w:cs="Times New Roman"/>
          <w:sz w:val="28"/>
          <w:szCs w:val="28"/>
        </w:rPr>
        <w:t xml:space="preserve"> витамина Д</w:t>
      </w:r>
      <w:r w:rsidRPr="005E1D29">
        <w:rPr>
          <w:rFonts w:ascii="Times New Roman" w:hAnsi="Times New Roman" w:cs="Times New Roman"/>
          <w:sz w:val="28"/>
          <w:szCs w:val="28"/>
        </w:rPr>
        <w:t xml:space="preserve"> в схему лечения может улучшить исход терапии </w:t>
      </w:r>
      <w:r w:rsidR="00D05618">
        <w:rPr>
          <w:rFonts w:ascii="Times New Roman" w:hAnsi="Times New Roman" w:cs="Times New Roman"/>
          <w:sz w:val="28"/>
          <w:szCs w:val="28"/>
        </w:rPr>
        <w:fldChar w:fldCharType="begin" w:fldLock="1"/>
      </w:r>
      <w:r w:rsidR="00AE213D">
        <w:rPr>
          <w:rFonts w:ascii="Times New Roman" w:hAnsi="Times New Roman" w:cs="Times New Roman"/>
          <w:sz w:val="28"/>
          <w:szCs w:val="28"/>
        </w:rPr>
        <w:instrText>ADDIN CSL_CITATION {"citationItems":[{"id":"ITEM-1","itemData":{"DOI":"10.1016/j.jaci.2016.04.061","ISSN":"10976825","PMID":"27527264","abstract":"Background Data comparing the treatment effect of allergy immunotherapy and pharmacotherapy are lacking. Objective We sought to indirectly compare the treatment effect of sublingual immunotherapy (SLIT)-tablets with pharmacotherapy for seasonal allergic rhinitis (SAR) and perennial allergic rhinitis (PAR). Methods Pooled data from randomized, double-blind, placebo-controlled trials for the clinical development programs of selected allergic rhinitis treatments were evaluated. Total nasal symptom scores (TNSSs) relative to placebo were compared. Subjects scored symptoms daily during entire pollen seasons in 6 timothy grass SLIT-tablet trials (n = 3094) and 2 ragweed SLIT-tablet trials (n = 658) and during the last 8 weeks of treatment in 2 house dust mite (HDM) SLIT-tablet trials (n = 1768). Subjects scored symptoms daily in 7 montelukast (10 mg, n = 6799), 9 desloratadine (5 mg, n = 4455), and 8 mometasone furoate nasal spray (MFNS; 200 μg daily, n = 2140) SAR or PAR trials. SLIT-tablet trials allowed rescue medication use, whereas most pharmacotherapy trials did not. A fixed-effect meta-analysis method estimated differences in on-treatment average TNSSs. Results In grass and ragweed SLIT-tablet trials, overall improvement in TNSSs relative to placebo was 16.3% and 17.1%, respectively. In HDM SLIT-tablet trials, TNSS overall improvement relative to placebo was 16.1%. In the montelukast, desloratadine, and MFNS trials, TNSS overall improvement relative to placebo was 5.4%, 8.5%, and 22.2%, respectively, for SAR trials, and 3.7%, 4.8%, and 11.2%, respectively, for PAR trials. Conclusions Although comparisons were limited by study design heterogeneity and use of rescue medications in SLIT-tablet trials, effects on nasal symptoms with timothy grass and ragweed SLIT-tablets were nearly as great as with MFNS and numerically greater than with montelukast and desloratadine for SAR. HDM SLIT-tablet effects were numerically greater than all pharmacotherapies for PAR. SLIT-tablets offer the additional benefit of long-term efficacy.","author":[{"dropping-particle":"","family":"Durham","given":"Stephen R.","non-dropping-particle":"","parse-names":false,"suffix":""},{"dropping-particle":"","family":"Creticos","given":"Peter S.","non-dropping-particle":"","parse-names":false,"suffix":""},{"dropping-particle":"","family":"Nelson","given":"Harold S.","non-dropping-particle":"","parse-names":false,"suffix":""},{"dropping-particle":"","family":"Li","given":"Ziliang","non-dropping-particle":"","parse-names":false,"suffix":""},{"dropping-particle":"","family":"Kaur","given":"Amarjot","non-dropping-particle":"","parse-names":false,"suffix":""},{"dropping-particle":"","family":"Meltzer","given":"Eli O.","non-dropping-particle":"","parse-names":false,"suffix":""},{"dropping-particle":"","family":"Nolte","given":"Hendrik","non-dropping-particle":"","parse-names":false,"suffix":""}],"container-title":"Journal of Allergy and Clinical Immunology","id":"ITEM-1","issue":"4","issued":{"date-parts":[["2016"]]},"page":"1081-1088.e4","publisher":"Elsevier Inc.","title":"Treatment effect of sublingual immunotherapy tablets and pharmacotherapies for seasonal and perennial allergic rhinitis: Pooled analyses","type":"article-journal","volume":"138"},"uris":["http://www.mendeley.com/documents/?uuid=0acaef42-f482-4702-a80f-05baff389d4e"]}],"mendeley":{"formattedCitation":"[10]","plainTextFormattedCitation":"[10]","previouslyFormattedCitation":"[10]"},"properties":{"noteIndex":0},"schema":"https://github.com/citation-style-language/schema/raw/master/csl-citation.json"}</w:instrText>
      </w:r>
      <w:r w:rsidR="00D05618">
        <w:rPr>
          <w:rFonts w:ascii="Times New Roman" w:hAnsi="Times New Roman" w:cs="Times New Roman"/>
          <w:sz w:val="28"/>
          <w:szCs w:val="28"/>
        </w:rPr>
        <w:fldChar w:fldCharType="separate"/>
      </w:r>
      <w:r w:rsidR="00D05618" w:rsidRPr="00D05618">
        <w:rPr>
          <w:rFonts w:ascii="Times New Roman" w:hAnsi="Times New Roman" w:cs="Times New Roman"/>
          <w:noProof/>
          <w:sz w:val="28"/>
          <w:szCs w:val="28"/>
        </w:rPr>
        <w:t>[10]</w:t>
      </w:r>
      <w:r w:rsidR="00D05618">
        <w:rPr>
          <w:rFonts w:ascii="Times New Roman" w:hAnsi="Times New Roman" w:cs="Times New Roman"/>
          <w:sz w:val="28"/>
          <w:szCs w:val="28"/>
        </w:rPr>
        <w:fldChar w:fldCharType="end"/>
      </w:r>
      <w:r w:rsidRPr="005E1D29">
        <w:rPr>
          <w:rFonts w:ascii="Times New Roman" w:hAnsi="Times New Roman" w:cs="Times New Roman"/>
          <w:sz w:val="28"/>
          <w:szCs w:val="28"/>
        </w:rPr>
        <w:t>.</w:t>
      </w:r>
      <w:r>
        <w:rPr>
          <w:rFonts w:ascii="Times New Roman" w:hAnsi="Times New Roman" w:cs="Times New Roman"/>
          <w:sz w:val="28"/>
          <w:szCs w:val="28"/>
        </w:rPr>
        <w:t xml:space="preserve"> </w:t>
      </w:r>
      <w:r w:rsidRPr="005E1D29">
        <w:rPr>
          <w:rFonts w:ascii="Times New Roman" w:hAnsi="Times New Roman" w:cs="Times New Roman"/>
          <w:sz w:val="28"/>
          <w:szCs w:val="28"/>
        </w:rPr>
        <w:t xml:space="preserve">Однако, данные о </w:t>
      </w:r>
      <w:r>
        <w:rPr>
          <w:rFonts w:ascii="Times New Roman" w:hAnsi="Times New Roman" w:cs="Times New Roman"/>
          <w:sz w:val="28"/>
          <w:szCs w:val="28"/>
        </w:rPr>
        <w:t>взаимодействии витамина Д</w:t>
      </w:r>
      <w:r w:rsidRPr="005E1D29">
        <w:rPr>
          <w:rFonts w:ascii="Times New Roman" w:hAnsi="Times New Roman" w:cs="Times New Roman"/>
          <w:sz w:val="28"/>
          <w:szCs w:val="28"/>
        </w:rPr>
        <w:t xml:space="preserve"> и реакции на АСИТ </w:t>
      </w:r>
      <w:r>
        <w:rPr>
          <w:rFonts w:ascii="Times New Roman" w:hAnsi="Times New Roman" w:cs="Times New Roman"/>
          <w:sz w:val="28"/>
          <w:szCs w:val="28"/>
        </w:rPr>
        <w:t>остаются</w:t>
      </w:r>
      <w:r w:rsidRPr="005E1D29">
        <w:rPr>
          <w:rFonts w:ascii="Times New Roman" w:hAnsi="Times New Roman" w:cs="Times New Roman"/>
          <w:sz w:val="28"/>
          <w:szCs w:val="28"/>
        </w:rPr>
        <w:t xml:space="preserve"> противоречивыми</w:t>
      </w:r>
      <w:r>
        <w:rPr>
          <w:rFonts w:ascii="Times New Roman" w:hAnsi="Times New Roman" w:cs="Times New Roman"/>
          <w:sz w:val="28"/>
          <w:szCs w:val="28"/>
        </w:rPr>
        <w:t xml:space="preserve"> и недостаточно изученными</w:t>
      </w:r>
      <w:r w:rsidRPr="005E1D29">
        <w:rPr>
          <w:rFonts w:ascii="Times New Roman" w:hAnsi="Times New Roman" w:cs="Times New Roman"/>
          <w:sz w:val="28"/>
          <w:szCs w:val="28"/>
        </w:rPr>
        <w:t>.</w:t>
      </w:r>
    </w:p>
    <w:p w14:paraId="5241DD30" w14:textId="5FFC7985" w:rsidR="00387A6C" w:rsidRPr="005E1D29" w:rsidRDefault="00387A6C" w:rsidP="00387A6C">
      <w:pPr>
        <w:pStyle w:val="a3"/>
        <w:tabs>
          <w:tab w:val="left" w:pos="284"/>
          <w:tab w:val="left" w:pos="851"/>
        </w:tabs>
        <w:spacing w:after="0" w:line="240" w:lineRule="auto"/>
        <w:ind w:left="0" w:firstLine="567"/>
        <w:jc w:val="both"/>
        <w:rPr>
          <w:rFonts w:ascii="Times New Roman" w:hAnsi="Times New Roman" w:cs="Times New Roman"/>
          <w:sz w:val="28"/>
          <w:szCs w:val="28"/>
        </w:rPr>
      </w:pPr>
      <w:r w:rsidRPr="005E1D29">
        <w:rPr>
          <w:rFonts w:ascii="Times New Roman" w:hAnsi="Times New Roman" w:cs="Times New Roman"/>
          <w:sz w:val="28"/>
          <w:szCs w:val="28"/>
        </w:rPr>
        <w:t>Учитывая механизм воздействия АСИТ на патогенетическом уровне, в исследование добавлено определение общего</w:t>
      </w:r>
      <w:r>
        <w:rPr>
          <w:rFonts w:ascii="Times New Roman" w:hAnsi="Times New Roman" w:cs="Times New Roman"/>
          <w:sz w:val="28"/>
          <w:szCs w:val="28"/>
        </w:rPr>
        <w:t xml:space="preserve"> и специфического</w:t>
      </w:r>
      <w:r w:rsidRPr="005E1D29">
        <w:rPr>
          <w:rFonts w:ascii="Times New Roman" w:hAnsi="Times New Roman" w:cs="Times New Roman"/>
          <w:sz w:val="28"/>
          <w:szCs w:val="28"/>
        </w:rPr>
        <w:t xml:space="preserve"> иммуноглобулина Е и эозинофильного катионного белка</w:t>
      </w:r>
      <w:r>
        <w:rPr>
          <w:rFonts w:ascii="Times New Roman" w:hAnsi="Times New Roman" w:cs="Times New Roman"/>
          <w:sz w:val="28"/>
          <w:szCs w:val="28"/>
        </w:rPr>
        <w:t xml:space="preserve"> в качестве биомаркеров эффективности АСИТ</w:t>
      </w:r>
      <w:r w:rsidR="00AE213D">
        <w:rPr>
          <w:rFonts w:ascii="Times New Roman" w:hAnsi="Times New Roman" w:cs="Times New Roman"/>
          <w:sz w:val="28"/>
          <w:szCs w:val="28"/>
        </w:rPr>
        <w:t xml:space="preserve"> </w:t>
      </w:r>
      <w:r w:rsidR="00AE213D">
        <w:rPr>
          <w:rFonts w:ascii="Times New Roman" w:hAnsi="Times New Roman" w:cs="Times New Roman"/>
          <w:sz w:val="28"/>
          <w:szCs w:val="28"/>
        </w:rPr>
        <w:fldChar w:fldCharType="begin" w:fldLock="1"/>
      </w:r>
      <w:r w:rsidR="0013545E">
        <w:rPr>
          <w:rFonts w:ascii="Times New Roman" w:hAnsi="Times New Roman" w:cs="Times New Roman"/>
          <w:sz w:val="28"/>
          <w:szCs w:val="28"/>
        </w:rPr>
        <w:instrText>ADDIN CSL_CITATION {"citationItems":[{"id":"ITEM-1","itemData":{"ISBN":"9789896540821","author":[{"dropping-particle":"","family":"Насунова","given":"А.Ю.","non-dropping-particle":"","parse-names":false,"suffix":""}],"container-title":"диссертация к.м.н.","id":"ITEM-1","issued":{"date-parts":[["2020"]]},"page":"129","title":"Эффективность различных методов аллерген-специфической иммунотерапии при бронхиальной астме и аллергическом рините","type":"article-journal"},"uris":["http://www.mendeley.com/documents/?uuid=42666028-c38d-4afe-b56f-bc2276195b12"]},{"id":"ITEM-2","itemData":{"DOI":"10.1080/14656566.2018.1543401","ISSN":"17447666","PMID":"30439290","abstract":"Introduction: Allergic rhinitis is a common condition with increasing prevalence and is associated with several comorbid disorders such as bronchial asthma and atopic dermatitis. If allergen avoidance is not possible, allergen-specific immunotherapy is the only causal treatment option. Areas covered: This review focuses on current treatments and the future outlook for allergic rhinitis. Pharmacotherapy includes mast cell stabilizers, antihistamines, glucocorticosteroids (GCSs), leukotriene receptor antagonists, and nasal decongestants. Nasal GCSs are currently regarded as the most effective treatment and are considered first-line therapy together with non-sedating antihistamines. The new formulation MP29-02 combines the nasal GCS fluticasone propionate with azelastine in one single spray and has achieved greater improvements than those under monotherapy with modern GCSs or antihistamines. Furthermore, this review discusses allergen immunotherapy alone and in combination with modern monoclonal antibodies. Expert opinion: Despite the variety of medications for allergic rhinitis, ranging from general symptomatic agents like GCSs or decongestants, to more specific ones like histamine receptor or leukotriene blockers, to causal therapy like immunotherapy, many patients still experience treatment failures or unsatisfactory results. The ultimate goal may be to endotype every downstream pathway separately in order to offer patients individualized, targeted therapy with specific antibodies against the respective pathway.","author":[{"dropping-particle":"","family":"Klimek","given":"Ludger","non-dropping-particle":"","parse-names":false,"suffix":""},{"dropping-particle":"","family":"Sperl","given":"Annette","non-dropping-particle":"","parse-names":false,"suffix":""},{"dropping-particle":"","family":"Becker","given":"Sven","non-dropping-particle":"","parse-names":false,"suffix":""},{"dropping-particle":"","family":"Mösges","given":"Ralph","non-dropping-particle":"","parse-names":false,"suffix":""},{"dropping-particle":"","family":"Tomazic","given":"Peter Valentin","non-dropping-particle":"","parse-names":false,"suffix":""}],"container-title":"Expert Opinion on Pharmacotherapy","id":"ITEM-2","issue":"1","issued":{"date-parts":[["2019"]]},"page":"83-89","publisher":"Taylor &amp; Francis","title":"Current therapeutical strategies for allergic rhinitis","type":"article-journal","volume":"20"},"uris":["http://www.mendeley.com/documents/?uuid=d85353fe-ce49-42a2-92bd-6d4378a2d386"]},{"id":"ITEM-3","itemData":{"DOI":"10.1080/14712598.2016.1190829","ISSN":"17447682","PMID":"27269991","abstract":"Introduction: Allergic rhinitis (AR) affects over 20% of the population of Europe and the United States. Allergen immunotherapy (AIT) is currently the only form of treatment that affects symptoms and modifies the progression of disease. Established forms of AIT include subcutaneous (SCIT) and sublingual (SLIT) immunotherapy and are widely effective, yet only 2-9% of eligible patients undergo therapy, likely due to the long duration of treatment. As a result, novel, faster forms of AIT are currently under development. Areas covered: This article provides an overview of AR and summarises the efficacy and mechanisms of established forms of AIT, highlighting the current drawbacks. We discuss novel strategies of AIT that have been developed in an attempt to tackle these limitations, including epicutaneous, intradermal and intralymphatic immunotherapy (ILIT), focusing on ILIT, the treatment that has been most comprehensively assessed. Expert opinion: Current strategies to treat AR suffer from a poor safety profile and, importantly, lack of adherence. ILIT is a faster and safer form of AIT, with a treatment regime of only 12 weeks. Further validation is required, but ILIT, with its short and comparatively inexpensive protocol, has the potential to offer disease-modifying therapy to a larger number of patients.","author":[{"dropping-particle":"","family":"Larsson","given":"Olivia","non-dropping-particle":"","parse-names":false,"suffix":""},{"dropping-particle":"","family":"Hellkvist","given":"Laila","non-dropping-particle":"","parse-names":false,"suffix":""},{"dropping-particle":"","family":"Peterson-Westin","given":"Ulla","non-dropping-particle":"","parse-names":false,"suffix":""},{"dropping-particle":"","family":"Cardell","given":"Lars Olaf","non-dropping-particle":"","parse-names":false,"suffix":""}],"container-title":"Expert Opinion on Biological Therapy","id":"ITEM-3","issue":"9","issued":{"date-parts":[["2016"]]},"page":"1143-1150","title":"Novel strategies for the treatment of grass pollen-induced allergic rhinitis","type":"article-journal","volume":"16"},"uris":["http://www.mendeley.com/documents/?uuid=c4a3b695-4a20-4392-829d-678d215f89cd"]}],"mendeley":{"formattedCitation":"[11–13]","plainTextFormattedCitation":"[11–13]","previouslyFormattedCitation":"[11–13]"},"properties":{"noteIndex":0},"schema":"https://github.com/citation-style-language/schema/raw/master/csl-citation.json"}</w:instrText>
      </w:r>
      <w:r w:rsidR="00AE213D">
        <w:rPr>
          <w:rFonts w:ascii="Times New Roman" w:hAnsi="Times New Roman" w:cs="Times New Roman"/>
          <w:sz w:val="28"/>
          <w:szCs w:val="28"/>
        </w:rPr>
        <w:fldChar w:fldCharType="separate"/>
      </w:r>
      <w:r w:rsidR="00AE213D" w:rsidRPr="00AE213D">
        <w:rPr>
          <w:rFonts w:ascii="Times New Roman" w:hAnsi="Times New Roman" w:cs="Times New Roman"/>
          <w:noProof/>
          <w:sz w:val="28"/>
          <w:szCs w:val="28"/>
        </w:rPr>
        <w:t>[11–13]</w:t>
      </w:r>
      <w:r w:rsidR="00AE213D">
        <w:rPr>
          <w:rFonts w:ascii="Times New Roman" w:hAnsi="Times New Roman" w:cs="Times New Roman"/>
          <w:sz w:val="28"/>
          <w:szCs w:val="28"/>
        </w:rPr>
        <w:fldChar w:fldCharType="end"/>
      </w:r>
      <w:r w:rsidRPr="005E1D29">
        <w:rPr>
          <w:rFonts w:ascii="Times New Roman" w:hAnsi="Times New Roman" w:cs="Times New Roman"/>
          <w:sz w:val="28"/>
          <w:szCs w:val="28"/>
        </w:rPr>
        <w:t>. На современном этапе</w:t>
      </w:r>
      <w:r>
        <w:rPr>
          <w:rFonts w:ascii="Times New Roman" w:hAnsi="Times New Roman" w:cs="Times New Roman"/>
          <w:sz w:val="28"/>
          <w:szCs w:val="28"/>
        </w:rPr>
        <w:t xml:space="preserve"> для подбора препарата для АСИТ</w:t>
      </w:r>
      <w:r w:rsidRPr="005E1D29">
        <w:rPr>
          <w:rFonts w:ascii="Times New Roman" w:hAnsi="Times New Roman" w:cs="Times New Roman"/>
          <w:sz w:val="28"/>
          <w:szCs w:val="28"/>
        </w:rPr>
        <w:t xml:space="preserve"> наиболее достоверным методом дифференциальной диагностики истинной сенсибилизации и перекрестной реактивности у полисенсибилизированных пациентов является мол</w:t>
      </w:r>
      <w:r>
        <w:rPr>
          <w:rFonts w:ascii="Times New Roman" w:hAnsi="Times New Roman" w:cs="Times New Roman"/>
          <w:sz w:val="28"/>
          <w:szCs w:val="28"/>
        </w:rPr>
        <w:t>екулярная аллергодиагностика</w:t>
      </w:r>
      <w:r w:rsidR="0013545E">
        <w:rPr>
          <w:rFonts w:ascii="Times New Roman" w:hAnsi="Times New Roman" w:cs="Times New Roman"/>
          <w:sz w:val="28"/>
          <w:szCs w:val="28"/>
        </w:rPr>
        <w:t xml:space="preserve"> </w:t>
      </w:r>
      <w:r w:rsidR="0013545E">
        <w:rPr>
          <w:rFonts w:ascii="Times New Roman" w:hAnsi="Times New Roman" w:cs="Times New Roman"/>
          <w:sz w:val="28"/>
          <w:szCs w:val="28"/>
        </w:rPr>
        <w:fldChar w:fldCharType="begin" w:fldLock="1"/>
      </w:r>
      <w:r w:rsidR="00A53ED2">
        <w:rPr>
          <w:rFonts w:ascii="Times New Roman" w:hAnsi="Times New Roman" w:cs="Times New Roman"/>
          <w:sz w:val="28"/>
          <w:szCs w:val="28"/>
        </w:rPr>
        <w:instrText>ADDIN CSL_CITATION {"citationItems":[{"id":"ITEM-1","itemData":{"DOI":"10.1016/j.jaci.2017.03.050","ISSN":"10976825","PMID":"28602936","abstract":"Background: Allergic rhinitis (AR) affects 10% to 40% of the population. It reduces quality of life and school and work performance and is a frequent reason for office visits in general practice. Medical costs are large, but avoidable costs associated with lost work productivity are even larger than those incurred by asthma. New evidence has accumulated since the last revision of the Allergic Rhinitis and its Impact on Asthma (ARIA) guidelines in 2010, prompting its update. Objective: We sought to provide a targeted update of the ARIA guidelines. Methods: The ARIA guideline panel identified new clinical questions and selected questions requiring an update. We performed systematic reviews of health effects and the evidence about patients’ values and preferences and resource requirements (up to June 2016). We followed the Grading of Recommendations Assessment, Development, and Evaluation (GRADE) evidence-to-decision frameworks to develop recommendations. Results: The 2016 revision of the ARIA guidelines provides both updated and new recommendations about the pharmacologic treatment of AR. Specifically, it addresses the relative merits of using oral H1-antihistamines, intranasal H1-antihistamines, intranasal corticosteroids, and leukotriene receptor antagonists either alone or in combination. The ARIA guideline panel provides specific recommendations for the choice of treatment and the rationale for the choice and discusses specific considerations that clinicians and patients might want to review to choose the management most appropriate for an individual patient. Conclusions: Appropriate treatment of AR might improve patients’ quality of life and school and work productivity. ARIA recommendations support patients, their caregivers, and health care providers in choosing the optimal treatment.","author":[{"dropping-particle":"","family":"Brożek","given":"Jan L.","non-dropping-particle":"","parse-names":false,"suffix":""},{"dropping-particle":"","family":"Bousquet","given":"Jean","non-dropping-particle":"","parse-names":false,"suffix":""},{"dropping-particle":"","family":"Agache","given":"Ioana","non-dropping-particle":"","parse-names":false,"suffix":""},{"dropping-particle":"","family":"Agarwal","given":"Arnav","non-dropping-particle":"","parse-names":false,"suffix":""},{"dropping-particle":"","family":"Bachert","given":"Claus","non-dropping-particle":"","parse-names":false,"suffix":""},{"dropping-particle":"","family":"Bosnic-Anticevich","given":"Sinthia","non-dropping-particle":"","parse-names":false,"suffix":""},{"dropping-particle":"","family":"Brignardello-Petersen","given":"Romina","non-dropping-particle":"","parse-names":false,"suffix":""},{"dropping-particle":"","family":"Canonica","given":"G. Walter","non-dropping-particle":"","parse-names":false,"suffix":""},{"dropping-particle":"","family":"Casale","given":"Thomas","non-dropping-particle":"","parse-names":false,"suffix":""},{"dropping-particle":"","family":"Chavannes","given":"Niels H.","non-dropping-particle":"","parse-names":false,"suffix":""},{"dropping-particle":"","family":"Correia de Sousa","given":"Jaime","non-dropping-particle":"","parse-names":false,"suffix":""},{"dropping-particle":"","family":"Cruz","given":"Alvaro A.","non-dropping-particle":"","parse-names":false,"suffix":""},{"dropping-particle":"","family":"Cuello-Garcia","given":"Carlos A.","non-dropping-particle":"","parse-names":false,"suffix":""},{"dropping-particle":"","family":"Demoly","given":"Pascal","non-dropping-particle":"","parse-names":false,"suffix":""},{"dropping-particle":"","family":"Dykewicz","given":"Mark","non-dropping-particle":"","parse-names":false,"suffix":""},{"dropping-particle":"","family":"Etxeandia-Ikobaltzeta","given":"Itziar","non-dropping-particle":"","parse-names":false,"suffix":""},{"dropping-particle":"","family":"Florez","given":"Ivan D.","non-dropping-particle":"","parse-names":false,"suffix":""},{"dropping-particle":"","family":"Fokkens","given":"Wytske","non-dropping-particle":"","parse-names":false,"suffix":""},{"dropping-particle":"","family":"Fonseca","given":"Joao","non-dropping-particle":"","parse-names":false,"suffix":""},{"dropping-particle":"","family":"Hellings","given":"Peter W.","non-dropping-particle":"","parse-names":false,"suffix":""},{"dropping-particle":"","family":"Klimek","given":"Ludger","non-dropping-particle":"","parse-names":false,"suffix":""},{"dropping-particle":"","family":"Kowalski","given":"Sergio","non-dropping-particle":"","parse-names":false,"suffix":""},{"dropping-particle":"","family":"Kuna","given":"Piotr","non-dropping-particle":"","parse-names":false,"suffix":""},{"dropping-particle":"","family":"Laisaar","given":"Kaja Triin","non-dropping-particle":"","parse-names":false,"suffix":""},{"dropping-particle":"","family":"Larenas-Linnemann","given":"Désirée E.","non-dropping-particle":"","parse-names":false,"suffix":""},{"dropping-particle":"","family":"Lødrup Carlsen","given":"Karin C.","non-dropping-particle":"","parse-names":false,"suffix":""},{"dropping-particle":"","family":"Manning","given":"Peter J.","non-dropping-particle":"","parse-names":false,"suffix":""},{"dropping-particle":"","family":"Meltzer","given":"Eli","non-dropping-particle":"","parse-names":false,"suffix":""},{"dropping-particle":"","family":"Mullol","given":"Joaquim","non-dropping-particle":"","parse-names":false,"suffix":""},{"dropping-particle":"","family":"Muraro","given":"Antonella","non-dropping-particle":"","parse-names":false,"suffix":""},{"dropping-particle":"","family":"O'Hehir","given":"Robyn","non-dropping-particle":"","parse-names":false,"suffix":""},{"dropping-particle":"","family":"Ohta","given":"Ken","non-dropping-particle":"","parse-names":false,"suffix":""},{"dropping-particle":"","family":"Panzner","given":"Petr","non-dropping-particle":"","parse-names":false,"suffix":""},{"dropping-particle":"","family":"Papadopoulos","given":"Nikolaos","non-dropping-particle":"","parse-names":false,"suffix":""},{"dropping-particle":"","family":"Park","given":"Hae Sim","non-dropping-particle":"","parse-names":false,"suffix":""},{"dropping-particle":"","family":"Passalacqua","given":"Gianni","non-dropping-particle":"","parse-names":false,"suffix":""},{"dropping-particle":"","family":"Pawankar","given":"Ruby","non-dropping-particle":"","parse-names":false,"suffix":""},{"dropping-particle":"","family":"Price","given":"David","non-dropping-particle":"","parse-names":false,"suffix":""},{"dropping-particle":"","family":"Riva","given":"John J.","non-dropping-particle":"","parse-names":false,"suffix":""},{"dropping-particle":"","family":"Roldán","given":"Yetiani","non-dropping-particle":"","parse-names":false,"suffix":""},{"dropping-particle":"","family":"Ryan","given":"Dermot","non-dropping-particle":"","parse-names":false,"suffix":""},{"dropping-particle":"","family":"Sadeghirad","given":"Behnam","non-dropping-particle":"","parse-names":false,"suffix":""},{"dropping-particle":"","family":"Samolinski","given":"Boleslaw","non-dropping-particle":"","parse-names":false,"suffix":""},{"dropping-particle":"","family":"Schmid-Grendelmeier","given":"Peter","non-dropping-particle":"","parse-names":false,"suffix":""},{"dropping-particle":"","family":"Sheikh","given":"Aziz","non-dropping-particle":"","parse-names":false,"suffix":""},{"dropping-particle":"","family":"Togias","given":"Alkis","non-dropping-particle":"","parse-names":false,"suffix":""},{"dropping-particle":"","family":"Valero","given":"Antonio","non-dropping-particle":"","parse-names":false,"suffix":""},{"dropping-particle":"","family":"Valiulis","given":"Arunas","non-dropping-particle":"","parse-names":false,"suffix":""},{"dropping-particle":"","family":"Valovirta","given":"Erkka","non-dropping-particle":"","parse-names":false,"suffix":""},{"dropping-particle":"","family":"Ventresca","given":"Matthew","non-dropping-particle":"","parse-names":false,"suffix":""},{"dropping-particle":"","family":"Wallace","given":"Dana","non-dropping-particle":"","parse-names":false,"suffix":""},{"dropping-particle":"","family":"Waserman","given":"Susan","non-dropping-particle":"","parse-names":false,"suffix":""},{"dropping-particle":"","family":"Wickman","given":"Magnus","non-dropping-particle":"","parse-names":false,"suffix":""},{"dropping-particle":"","family":"Wiercioch","given":"Wojtek","non-dropping-particle":"","parse-names":false,"suffix":""},{"dropping-particle":"","family":"Yepes-Nuñez","given":"Juan José","non-dropping-particle":"","parse-names":false,"suffix":""},{"dropping-particle":"","family":"Zhang","given":"Luo","non-dropping-particle":"","parse-names":false,"suffix":""},{"dropping-particle":"","family":"Zhang","given":"Yuan","non-dropping-particle":"","parse-names":false,"suffix":""},{"dropping-particle":"","family":"Zidarn","given":"Mihaela","non-dropping-particle":"","parse-names":false,"suffix":""},{"dropping-particle":"","family":"Zuberbier","given":"Torsten","non-dropping-particle":"","parse-names":false,"suffix":""},{"dropping-particle":"","family":"Schünemann","given":"Holger J.","non-dropping-particle":"","parse-names":false,"suffix":""}],"container-title":"Journal of Allergy and Clinical Immunology","id":"ITEM-1","issue":"4","issued":{"date-parts":[["2017"]]},"page":"950-958","title":"Allergic Rhinitis and its Impact on Asthma (ARIA) guidelines—2016 revision","type":"article-journal","volume":"140"},"uris":["http://www.mendeley.com/documents/?uuid=0fb3a53d-73fc-4247-9360-df54bcbe1d42"]}],"mendeley":{"formattedCitation":"[4]","plainTextFormattedCitation":"[4]","previouslyFormattedCitation":"[4]"},"properties":{"noteIndex":0},"schema":"https://github.com/citation-style-language/schema/raw/master/csl-citation.json"}</w:instrText>
      </w:r>
      <w:r w:rsidR="0013545E">
        <w:rPr>
          <w:rFonts w:ascii="Times New Roman" w:hAnsi="Times New Roman" w:cs="Times New Roman"/>
          <w:sz w:val="28"/>
          <w:szCs w:val="28"/>
        </w:rPr>
        <w:fldChar w:fldCharType="separate"/>
      </w:r>
      <w:r w:rsidR="0013545E" w:rsidRPr="0013545E">
        <w:rPr>
          <w:rFonts w:ascii="Times New Roman" w:hAnsi="Times New Roman" w:cs="Times New Roman"/>
          <w:noProof/>
          <w:sz w:val="28"/>
          <w:szCs w:val="28"/>
        </w:rPr>
        <w:t>[4]</w:t>
      </w:r>
      <w:r w:rsidR="0013545E">
        <w:rPr>
          <w:rFonts w:ascii="Times New Roman" w:hAnsi="Times New Roman" w:cs="Times New Roman"/>
          <w:sz w:val="28"/>
          <w:szCs w:val="28"/>
        </w:rPr>
        <w:fldChar w:fldCharType="end"/>
      </w:r>
      <w:r>
        <w:rPr>
          <w:rFonts w:ascii="Times New Roman" w:hAnsi="Times New Roman" w:cs="Times New Roman"/>
          <w:sz w:val="28"/>
          <w:szCs w:val="28"/>
        </w:rPr>
        <w:t xml:space="preserve">. </w:t>
      </w:r>
      <w:r w:rsidRPr="005E1D29">
        <w:rPr>
          <w:rFonts w:ascii="Times New Roman" w:hAnsi="Times New Roman" w:cs="Times New Roman"/>
          <w:sz w:val="28"/>
          <w:szCs w:val="28"/>
        </w:rPr>
        <w:t xml:space="preserve">Данный метод позволяет определить аллерген-специфический иммуноглобулин Е к более сотне рекомбинантных аллергенных молекул </w:t>
      </w:r>
      <w:r>
        <w:rPr>
          <w:rFonts w:ascii="Times New Roman" w:hAnsi="Times New Roman" w:cs="Times New Roman"/>
          <w:sz w:val="28"/>
          <w:szCs w:val="28"/>
        </w:rPr>
        <w:t>одномоментно</w:t>
      </w:r>
      <w:r w:rsidRPr="005E1D29">
        <w:rPr>
          <w:rFonts w:ascii="Times New Roman" w:hAnsi="Times New Roman" w:cs="Times New Roman"/>
          <w:sz w:val="28"/>
          <w:szCs w:val="28"/>
        </w:rPr>
        <w:t xml:space="preserve">, что играет важную роль в установлении </w:t>
      </w:r>
      <w:r>
        <w:rPr>
          <w:rFonts w:ascii="Times New Roman" w:hAnsi="Times New Roman" w:cs="Times New Roman"/>
          <w:sz w:val="28"/>
          <w:szCs w:val="28"/>
        </w:rPr>
        <w:t>причинно-значимого аллергена для подбора аллерген-специфической иммунотерапии</w:t>
      </w:r>
      <w:r w:rsidR="00A53ED2">
        <w:rPr>
          <w:rFonts w:ascii="Times New Roman" w:hAnsi="Times New Roman" w:cs="Times New Roman"/>
          <w:sz w:val="28"/>
          <w:szCs w:val="28"/>
        </w:rPr>
        <w:t xml:space="preserve"> </w:t>
      </w:r>
      <w:r w:rsidR="00A53ED2">
        <w:rPr>
          <w:rFonts w:ascii="Times New Roman" w:hAnsi="Times New Roman" w:cs="Times New Roman"/>
          <w:sz w:val="28"/>
          <w:szCs w:val="28"/>
        </w:rPr>
        <w:fldChar w:fldCharType="begin" w:fldLock="1"/>
      </w:r>
      <w:r w:rsidR="00A53ED2">
        <w:rPr>
          <w:rFonts w:ascii="Times New Roman" w:hAnsi="Times New Roman" w:cs="Times New Roman"/>
          <w:sz w:val="28"/>
          <w:szCs w:val="28"/>
        </w:rPr>
        <w:instrText>ADDIN CSL_CITATION {"citationItems":[{"id":"ITEM-1","itemData":{"DOI":"10.1016/j.jaci.2015.12.1300","ISSN":"10976825","PMID":"26853128","abstract":"This article continues the comprehensive international consensus (ICON) statement on allergen immunotherapy (AIT). The initial article also recently appeared in the Journal. The conclusions below focus on key mechanisms of AIT-triggered tolerance, requirements in allergen standardization, AIT cost-effectiveness, and regulatory guidance. Potential barriers to and facilitators of the use of AIT are described in addition to future directions. International allergy specialists representing the European Academy of Allergy and Clinical Immunology; the American Academy of Allergy, Asthma &amp; Immunology; the American College of Allergy, Asthma and Immunology; and the World Allergy Organization critically reviewed the existing literature and prepared this summary of recommendations for best AIT practice. The authors contributed equally and reached consensus on the statements presented herein.","author":[{"dropping-particle":"","family":"Jutel","given":"Marek","non-dropping-particle":"","parse-names":false,"suffix":""},{"dropping-particle":"","family":"Agache","given":"Ioana","non-dropping-particle":"","parse-names":false,"suffix":""},{"dropping-particle":"","family":"Bonini","given":"Sergio","non-dropping-particle":"","parse-names":false,"suffix":""},{"dropping-particle":"","family":"Burks","given":"A. Wesley","non-dropping-particle":"","parse-names":false,"suffix":""},{"dropping-particle":"","family":"Calderon","given":"Moises","non-dropping-particle":"","parse-names":false,"suffix":""},{"dropping-particle":"","family":"Canonica","given":"Walter","non-dropping-particle":"","parse-names":false,"suffix":""},{"dropping-particle":"","family":"Cox","given":"Linda","non-dropping-particle":"","parse-names":false,"suffix":""},{"dropping-particle":"","family":"Demoly","given":"Pascal","non-dropping-particle":"","parse-names":false,"suffix":""},{"dropping-particle":"","family":"Frew","given":"Antony J.","non-dropping-particle":"","parse-names":false,"suffix":""},{"dropping-particle":"","family":"O'Hehir","given":"Robyn","non-dropping-particle":"","parse-names":false,"suffix":""},{"dropping-particle":"","family":"Kleine-Tebbe","given":"Jörg","non-dropping-particle":"","parse-names":false,"suffix":""},{"dropping-particle":"","family":"Muraro","given":"Antonella","non-dropping-particle":"","parse-names":false,"suffix":""},{"dropping-particle":"","family":"Lack","given":"Gideon","non-dropping-particle":"","parse-names":false,"suffix":""},{"dropping-particle":"","family":"Larenas","given":"Désirée","non-dropping-particle":"","parse-names":false,"suffix":""},{"dropping-particle":"","family":"Levin","given":"Michael","non-dropping-particle":"","parse-names":false,"suffix":""},{"dropping-particle":"","family":"Martin","given":"Bryan L.","non-dropping-particle":"","parse-names":false,"suffix":""},{"dropping-particle":"","family":"Nelson","given":"Harald","non-dropping-particle":"","parse-names":false,"suffix":""},{"dropping-particle":"","family":"Pawankar","given":"Ruby","non-dropping-particle":"","parse-names":false,"suffix":""},{"dropping-particle":"","family":"Pfaar","given":"Oliver","non-dropping-particle":"","parse-names":false,"suffix":""},{"dropping-particle":"","family":"Ree","given":"Ronald","non-dropping-particle":"Van","parse-names":false,"suffix":""},{"dropping-particle":"","family":"Sampson","given":"Hugh","non-dropping-particle":"","parse-names":false,"suffix":""},{"dropping-particle":"","family":"Sublett","given":"James L.","non-dropping-particle":"","parse-names":false,"suffix":""},{"dropping-particle":"","family":"Sugita","given":"Kazunari","non-dropping-particle":"","parse-names":false,"suffix":""},{"dropping-particle":"","family":"Toit","given":"George","non-dropping-particle":"Du","parse-names":false,"suffix":""},{"dropping-particle":"","family":"Werfel","given":"Thomas","non-dropping-particle":"","parse-names":false,"suffix":""},{"dropping-particle":"","family":"Gerth Van Wijk","given":"Roy","non-dropping-particle":"","parse-names":false,"suffix":""},{"dropping-particle":"","family":"Zhang","given":"Luo","non-dropping-particle":"","parse-names":false,"suffix":""},{"dropping-particle":"","family":"Akdis","given":"Mübeccel","non-dropping-particle":"","parse-names":false,"suffix":""},{"dropping-particle":"","family":"Akdis","given":"Cezmi A.","non-dropping-particle":"","parse-names":false,"suffix":""}],"container-title":"Journal of Allergy and Clinical Immunology","id":"ITEM-1","issue":"2","issued":{"date-parts":[["2016"]]},"page":"358-368","title":"International Consensus on Allergen Immunotherapy II: Mechanisms, standardization, and pharmacoeconomics","type":"article-journal","volume":"137"},"uris":["http://www.mendeley.com/documents/?uuid=addaa286-7c6e-44d3-95a1-949bbcdd8dc2"]}],"mendeley":{"formattedCitation":"[5]","plainTextFormattedCitation":"[5]"},"properties":{"noteIndex":0},"schema":"https://github.com/citation-style-language/schema/raw/master/csl-citation.json"}</w:instrText>
      </w:r>
      <w:r w:rsidR="00A53ED2">
        <w:rPr>
          <w:rFonts w:ascii="Times New Roman" w:hAnsi="Times New Roman" w:cs="Times New Roman"/>
          <w:sz w:val="28"/>
          <w:szCs w:val="28"/>
        </w:rPr>
        <w:fldChar w:fldCharType="separate"/>
      </w:r>
      <w:r w:rsidR="00A53ED2" w:rsidRPr="00A53ED2">
        <w:rPr>
          <w:rFonts w:ascii="Times New Roman" w:hAnsi="Times New Roman" w:cs="Times New Roman"/>
          <w:noProof/>
          <w:sz w:val="28"/>
          <w:szCs w:val="28"/>
        </w:rPr>
        <w:t>[5]</w:t>
      </w:r>
      <w:r w:rsidR="00A53ED2">
        <w:rPr>
          <w:rFonts w:ascii="Times New Roman" w:hAnsi="Times New Roman" w:cs="Times New Roman"/>
          <w:sz w:val="28"/>
          <w:szCs w:val="28"/>
        </w:rPr>
        <w:fldChar w:fldCharType="end"/>
      </w:r>
      <w:r w:rsidRPr="005E1D29">
        <w:rPr>
          <w:rFonts w:ascii="Times New Roman" w:hAnsi="Times New Roman" w:cs="Times New Roman"/>
          <w:sz w:val="28"/>
          <w:szCs w:val="28"/>
        </w:rPr>
        <w:t>.</w:t>
      </w:r>
    </w:p>
    <w:p w14:paraId="43CF49A3" w14:textId="77777777" w:rsidR="00387A6C" w:rsidRDefault="00387A6C" w:rsidP="00387A6C">
      <w:pPr>
        <w:pStyle w:val="a3"/>
        <w:tabs>
          <w:tab w:val="left" w:pos="284"/>
          <w:tab w:val="left" w:pos="851"/>
        </w:tabs>
        <w:spacing w:after="0" w:line="240" w:lineRule="auto"/>
        <w:ind w:left="0" w:firstLine="567"/>
        <w:jc w:val="both"/>
        <w:rPr>
          <w:rFonts w:ascii="Times New Roman" w:hAnsi="Times New Roman" w:cs="Times New Roman"/>
          <w:sz w:val="28"/>
          <w:szCs w:val="28"/>
        </w:rPr>
      </w:pPr>
      <w:r>
        <w:rPr>
          <w:rStyle w:val="fontstyle01"/>
        </w:rPr>
        <w:t>Учитывая вышеизложенные проблемы в терапии сезонных аллергических ринитов назрела необходимость поиска путей по созданию оптимального протокола АСИТ, имеющего персонифицированный подход. Решение поставленной задачи благоприятно скажется на лечении данной категории больных и таким образом отразится на его качестве жизни.</w:t>
      </w:r>
    </w:p>
    <w:p w14:paraId="0ADEC776" w14:textId="621BB8A0" w:rsidR="005E1D29" w:rsidRDefault="00A84F4A" w:rsidP="005E1D29">
      <w:pPr>
        <w:tabs>
          <w:tab w:val="left" w:pos="284"/>
          <w:tab w:val="left" w:pos="567"/>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Цель исследования</w:t>
      </w:r>
      <w:r w:rsidR="0091409E">
        <w:rPr>
          <w:rFonts w:ascii="Times New Roman" w:hAnsi="Times New Roman" w:cs="Times New Roman"/>
          <w:b/>
          <w:sz w:val="28"/>
          <w:szCs w:val="28"/>
        </w:rPr>
        <w:t>:</w:t>
      </w:r>
      <w:r w:rsidR="00390DE0">
        <w:rPr>
          <w:rFonts w:ascii="Times New Roman" w:hAnsi="Times New Roman" w:cs="Times New Roman"/>
          <w:b/>
          <w:sz w:val="28"/>
          <w:szCs w:val="28"/>
        </w:rPr>
        <w:t xml:space="preserve"> </w:t>
      </w:r>
      <w:r w:rsidR="00CA7AC5">
        <w:rPr>
          <w:rFonts w:ascii="Times New Roman" w:hAnsi="Times New Roman" w:cs="Times New Roman"/>
          <w:sz w:val="28"/>
          <w:szCs w:val="28"/>
        </w:rPr>
        <w:t>О</w:t>
      </w:r>
      <w:r w:rsidR="00AC4340" w:rsidRPr="005E1D29">
        <w:rPr>
          <w:rFonts w:ascii="Times New Roman" w:hAnsi="Times New Roman" w:cs="Times New Roman"/>
          <w:sz w:val="28"/>
          <w:szCs w:val="28"/>
        </w:rPr>
        <w:t xml:space="preserve">птимизация </w:t>
      </w:r>
      <w:r w:rsidR="00DD2B85" w:rsidRPr="00DD2B85">
        <w:rPr>
          <w:rFonts w:ascii="Times New Roman" w:hAnsi="Times New Roman" w:cs="Times New Roman"/>
          <w:sz w:val="28"/>
          <w:szCs w:val="28"/>
        </w:rPr>
        <w:t>алгоритма аллерген-специфической иммунотерапии при сезонных аллергических заболеваниях, на примере сезонного аллергического ринита.</w:t>
      </w:r>
    </w:p>
    <w:p w14:paraId="76B28AC7" w14:textId="63102CBE" w:rsidR="00633CED" w:rsidRPr="005E1D29" w:rsidRDefault="005E1D29" w:rsidP="005E1D29">
      <w:pPr>
        <w:tabs>
          <w:tab w:val="left" w:pos="0"/>
          <w:tab w:val="left" w:pos="284"/>
          <w:tab w:val="left" w:pos="709"/>
          <w:tab w:val="left" w:pos="851"/>
        </w:tabs>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Задачи исследования</w:t>
      </w:r>
      <w:r w:rsidR="00390DE0">
        <w:rPr>
          <w:rFonts w:ascii="Times New Roman" w:hAnsi="Times New Roman" w:cs="Times New Roman"/>
          <w:b/>
          <w:sz w:val="28"/>
          <w:szCs w:val="28"/>
        </w:rPr>
        <w:t>:</w:t>
      </w:r>
    </w:p>
    <w:p w14:paraId="72E8EFC0" w14:textId="4169A7A8" w:rsidR="00EB7E5E" w:rsidRPr="00587305" w:rsidRDefault="00EB7E5E" w:rsidP="00102E42">
      <w:pPr>
        <w:pStyle w:val="a3"/>
        <w:numPr>
          <w:ilvl w:val="0"/>
          <w:numId w:val="3"/>
        </w:numPr>
        <w:tabs>
          <w:tab w:val="left" w:pos="284"/>
          <w:tab w:val="left" w:pos="851"/>
        </w:tabs>
        <w:spacing w:after="0" w:line="240" w:lineRule="auto"/>
        <w:ind w:left="0" w:firstLine="556"/>
        <w:jc w:val="both"/>
        <w:rPr>
          <w:rFonts w:ascii="Times New Roman" w:hAnsi="Times New Roman" w:cs="Times New Roman"/>
          <w:sz w:val="28"/>
          <w:szCs w:val="28"/>
        </w:rPr>
      </w:pPr>
      <w:r w:rsidRPr="00EB7E5E">
        <w:rPr>
          <w:rFonts w:ascii="Times New Roman" w:hAnsi="Times New Roman" w:cs="Times New Roman"/>
          <w:sz w:val="28"/>
          <w:szCs w:val="28"/>
        </w:rPr>
        <w:t>Провести систематический обзор исследований</w:t>
      </w:r>
      <w:r w:rsidR="004950E6">
        <w:rPr>
          <w:rFonts w:ascii="Times New Roman" w:hAnsi="Times New Roman" w:cs="Times New Roman"/>
          <w:sz w:val="28"/>
          <w:szCs w:val="28"/>
        </w:rPr>
        <w:t xml:space="preserve"> </w:t>
      </w:r>
      <w:r w:rsidR="004950E6" w:rsidRPr="00587305">
        <w:rPr>
          <w:rFonts w:ascii="Times New Roman" w:hAnsi="Times New Roman" w:cs="Times New Roman"/>
          <w:sz w:val="28"/>
          <w:szCs w:val="28"/>
        </w:rPr>
        <w:t>молекулярной аллергодиагностики при</w:t>
      </w:r>
      <w:r w:rsidRPr="00587305">
        <w:rPr>
          <w:rFonts w:ascii="Times New Roman" w:hAnsi="Times New Roman" w:cs="Times New Roman"/>
          <w:sz w:val="28"/>
          <w:szCs w:val="28"/>
        </w:rPr>
        <w:t xml:space="preserve"> аллерген-специфической иммунотерапии.</w:t>
      </w:r>
    </w:p>
    <w:p w14:paraId="6D429308" w14:textId="77777777" w:rsidR="00EB7E5E" w:rsidRPr="00587305" w:rsidRDefault="00EB7E5E" w:rsidP="00102E42">
      <w:pPr>
        <w:pStyle w:val="a3"/>
        <w:numPr>
          <w:ilvl w:val="0"/>
          <w:numId w:val="3"/>
        </w:numPr>
        <w:tabs>
          <w:tab w:val="left" w:pos="284"/>
          <w:tab w:val="left" w:pos="851"/>
        </w:tabs>
        <w:spacing w:after="0" w:line="240" w:lineRule="auto"/>
        <w:ind w:left="0" w:firstLine="556"/>
        <w:jc w:val="both"/>
        <w:rPr>
          <w:rFonts w:ascii="Times New Roman" w:hAnsi="Times New Roman" w:cs="Times New Roman"/>
          <w:sz w:val="28"/>
          <w:szCs w:val="28"/>
        </w:rPr>
      </w:pPr>
      <w:r w:rsidRPr="00587305">
        <w:rPr>
          <w:rFonts w:ascii="Times New Roman" w:hAnsi="Times New Roman" w:cs="Times New Roman"/>
          <w:sz w:val="28"/>
          <w:szCs w:val="28"/>
        </w:rPr>
        <w:t>Изучить клинико-лабораторную эффективность разных режимов аллерген-специфической иммунотерапии на основании результатов рандомизированного клинического исследования.</w:t>
      </w:r>
    </w:p>
    <w:p w14:paraId="2E0F8488" w14:textId="20CCD28D" w:rsidR="00EB7E5E" w:rsidRPr="00587305" w:rsidRDefault="0050357B" w:rsidP="00102E42">
      <w:pPr>
        <w:pStyle w:val="a3"/>
        <w:numPr>
          <w:ilvl w:val="0"/>
          <w:numId w:val="3"/>
        </w:numPr>
        <w:tabs>
          <w:tab w:val="left" w:pos="284"/>
          <w:tab w:val="left" w:pos="851"/>
        </w:tabs>
        <w:spacing w:after="0" w:line="240" w:lineRule="auto"/>
        <w:ind w:left="0" w:firstLine="556"/>
        <w:jc w:val="both"/>
        <w:rPr>
          <w:rFonts w:ascii="Times New Roman" w:hAnsi="Times New Roman" w:cs="Times New Roman"/>
          <w:sz w:val="28"/>
          <w:szCs w:val="28"/>
        </w:rPr>
      </w:pPr>
      <w:r w:rsidRPr="00587305">
        <w:rPr>
          <w:rFonts w:ascii="Times New Roman" w:hAnsi="Times New Roman" w:cs="Times New Roman"/>
          <w:sz w:val="28"/>
          <w:szCs w:val="28"/>
        </w:rPr>
        <w:t>Определить прогностически значимые лабораторные маркеры эффективности аллерген-специфической иммунотерапии в комплексе с витамином Д</w:t>
      </w:r>
      <w:r w:rsidR="00EB7E5E" w:rsidRPr="00587305">
        <w:rPr>
          <w:rFonts w:ascii="Times New Roman" w:hAnsi="Times New Roman" w:cs="Times New Roman"/>
          <w:sz w:val="28"/>
          <w:szCs w:val="28"/>
        </w:rPr>
        <w:t>.</w:t>
      </w:r>
    </w:p>
    <w:p w14:paraId="245C1B2B" w14:textId="45081BA1" w:rsidR="00EB7E5E" w:rsidRPr="00587305" w:rsidRDefault="00EB7E5E" w:rsidP="00102E42">
      <w:pPr>
        <w:pStyle w:val="a3"/>
        <w:numPr>
          <w:ilvl w:val="0"/>
          <w:numId w:val="3"/>
        </w:numPr>
        <w:tabs>
          <w:tab w:val="left" w:pos="284"/>
          <w:tab w:val="left" w:pos="851"/>
        </w:tabs>
        <w:spacing w:after="0" w:line="240" w:lineRule="auto"/>
        <w:ind w:left="0" w:firstLine="556"/>
        <w:jc w:val="both"/>
        <w:rPr>
          <w:rFonts w:ascii="Times New Roman" w:hAnsi="Times New Roman" w:cs="Times New Roman"/>
          <w:sz w:val="28"/>
          <w:szCs w:val="28"/>
        </w:rPr>
      </w:pPr>
      <w:r w:rsidRPr="00587305">
        <w:rPr>
          <w:rFonts w:ascii="Times New Roman" w:hAnsi="Times New Roman" w:cs="Times New Roman"/>
          <w:sz w:val="28"/>
          <w:szCs w:val="28"/>
        </w:rPr>
        <w:t>Разработать клинико-диагностический алгоритм менеджмента больных с сезонными аллергическими заболеваниями</w:t>
      </w:r>
      <w:r w:rsidR="00490717" w:rsidRPr="00587305">
        <w:rPr>
          <w:rFonts w:ascii="Times New Roman" w:hAnsi="Times New Roman" w:cs="Times New Roman"/>
          <w:sz w:val="28"/>
          <w:szCs w:val="28"/>
        </w:rPr>
        <w:t>,</w:t>
      </w:r>
      <w:r w:rsidRPr="00587305">
        <w:rPr>
          <w:rFonts w:ascii="Times New Roman" w:hAnsi="Times New Roman" w:cs="Times New Roman"/>
          <w:sz w:val="28"/>
          <w:szCs w:val="28"/>
        </w:rPr>
        <w:t xml:space="preserve"> на примере сезонного аллергического ринита.</w:t>
      </w:r>
    </w:p>
    <w:p w14:paraId="7D71522C" w14:textId="715C057F" w:rsidR="0029738C" w:rsidRPr="00587305" w:rsidRDefault="0029738C" w:rsidP="0029738C">
      <w:pPr>
        <w:tabs>
          <w:tab w:val="left" w:pos="284"/>
          <w:tab w:val="left" w:pos="709"/>
          <w:tab w:val="left" w:pos="851"/>
        </w:tabs>
        <w:spacing w:after="0" w:line="240" w:lineRule="auto"/>
        <w:ind w:firstLine="567"/>
        <w:jc w:val="both"/>
        <w:rPr>
          <w:rFonts w:ascii="Times New Roman" w:hAnsi="Times New Roman" w:cs="Times New Roman"/>
          <w:b/>
          <w:sz w:val="28"/>
          <w:szCs w:val="28"/>
        </w:rPr>
      </w:pPr>
      <w:r w:rsidRPr="00587305">
        <w:rPr>
          <w:rFonts w:ascii="Times New Roman" w:hAnsi="Times New Roman" w:cs="Times New Roman"/>
          <w:b/>
          <w:sz w:val="28"/>
          <w:szCs w:val="28"/>
        </w:rPr>
        <w:t>Научная новизна</w:t>
      </w:r>
    </w:p>
    <w:p w14:paraId="2199DE8E" w14:textId="24F04F00" w:rsidR="009C0A3E" w:rsidRPr="009C0A3E" w:rsidRDefault="009C0A3E" w:rsidP="009C0A3E">
      <w:pPr>
        <w:tabs>
          <w:tab w:val="left" w:pos="284"/>
          <w:tab w:val="left" w:pos="709"/>
          <w:tab w:val="left" w:pos="851"/>
        </w:tabs>
        <w:spacing w:after="0" w:line="240" w:lineRule="auto"/>
        <w:ind w:firstLine="567"/>
        <w:jc w:val="both"/>
        <w:rPr>
          <w:rFonts w:ascii="Times New Roman" w:hAnsi="Times New Roman" w:cs="Times New Roman"/>
          <w:sz w:val="28"/>
          <w:szCs w:val="28"/>
        </w:rPr>
      </w:pPr>
      <w:r w:rsidRPr="00587305">
        <w:rPr>
          <w:rFonts w:ascii="Times New Roman" w:hAnsi="Times New Roman" w:cs="Times New Roman"/>
          <w:sz w:val="28"/>
          <w:szCs w:val="28"/>
        </w:rPr>
        <w:t>Впервые, соблюдая строгую методологическую основу, проведён систематический обзор исследований за период с 2011 до 2021 года, где</w:t>
      </w:r>
      <w:r w:rsidR="0007459B">
        <w:rPr>
          <w:rFonts w:ascii="Times New Roman" w:hAnsi="Times New Roman" w:cs="Times New Roman"/>
          <w:sz w:val="28"/>
          <w:szCs w:val="28"/>
        </w:rPr>
        <w:t xml:space="preserve"> </w:t>
      </w:r>
      <w:r w:rsidRPr="00587305">
        <w:rPr>
          <w:rFonts w:ascii="Times New Roman" w:hAnsi="Times New Roman" w:cs="Times New Roman"/>
          <w:sz w:val="28"/>
          <w:szCs w:val="28"/>
        </w:rPr>
        <w:t xml:space="preserve">собраны данные, подтверждающие повышение эффективности АСИТ </w:t>
      </w:r>
      <w:r w:rsidR="00894FEF" w:rsidRPr="00587305">
        <w:rPr>
          <w:rFonts w:ascii="Times New Roman" w:hAnsi="Times New Roman" w:cs="Times New Roman"/>
          <w:sz w:val="28"/>
          <w:szCs w:val="28"/>
        </w:rPr>
        <w:t>у пациентов с установленным причинно-значимым аллергеном с использ</w:t>
      </w:r>
      <w:r w:rsidR="00894FEF" w:rsidRPr="00913C5A">
        <w:rPr>
          <w:rFonts w:ascii="Times New Roman" w:hAnsi="Times New Roman" w:cs="Times New Roman"/>
          <w:sz w:val="28"/>
          <w:szCs w:val="28"/>
        </w:rPr>
        <w:t>ованием</w:t>
      </w:r>
      <w:r w:rsidRPr="009C0A3E">
        <w:rPr>
          <w:rFonts w:ascii="Times New Roman" w:hAnsi="Times New Roman" w:cs="Times New Roman"/>
          <w:sz w:val="28"/>
          <w:szCs w:val="28"/>
        </w:rPr>
        <w:t xml:space="preserve"> МАД.</w:t>
      </w:r>
    </w:p>
    <w:p w14:paraId="26FBBA77" w14:textId="4FF0ABAD" w:rsidR="009C0A3E" w:rsidRPr="009C0A3E" w:rsidRDefault="009C0A3E" w:rsidP="009C0A3E">
      <w:pPr>
        <w:tabs>
          <w:tab w:val="left" w:pos="284"/>
          <w:tab w:val="left" w:pos="709"/>
          <w:tab w:val="left" w:pos="851"/>
        </w:tabs>
        <w:spacing w:after="0" w:line="240" w:lineRule="auto"/>
        <w:ind w:firstLine="567"/>
        <w:jc w:val="both"/>
        <w:rPr>
          <w:rFonts w:ascii="Times New Roman" w:hAnsi="Times New Roman" w:cs="Times New Roman"/>
          <w:sz w:val="28"/>
          <w:szCs w:val="28"/>
        </w:rPr>
      </w:pPr>
      <w:r w:rsidRPr="009C0A3E">
        <w:rPr>
          <w:rFonts w:ascii="Times New Roman" w:hAnsi="Times New Roman" w:cs="Times New Roman"/>
          <w:sz w:val="28"/>
          <w:szCs w:val="28"/>
        </w:rPr>
        <w:t>Впервые проведена сравнительная комплексная оценка изменений клинических (общая оценка симптомов, оценка потребности в фармакотерапии, оценка качества жизни) и лабораторных (общий иммуноглобулин Е (ИГЕ), эозинофильный катионный белок (ЭКБ), аллерген-специфический ИГЕ, витамин Д в сыворотке крови)</w:t>
      </w:r>
      <w:r w:rsidR="004950E6">
        <w:rPr>
          <w:rFonts w:ascii="Times New Roman" w:hAnsi="Times New Roman" w:cs="Times New Roman"/>
          <w:sz w:val="28"/>
          <w:szCs w:val="28"/>
        </w:rPr>
        <w:t xml:space="preserve"> показателей</w:t>
      </w:r>
      <w:r w:rsidRPr="009C0A3E">
        <w:rPr>
          <w:rFonts w:ascii="Times New Roman" w:hAnsi="Times New Roman" w:cs="Times New Roman"/>
          <w:sz w:val="28"/>
          <w:szCs w:val="28"/>
        </w:rPr>
        <w:t xml:space="preserve"> при применении адаптированной схемы аллерген-специфической иммунотерапии (АСИТ) в комплексе с витамином Д у больных с сезонным </w:t>
      </w:r>
      <w:r w:rsidRPr="00D06493">
        <w:rPr>
          <w:rFonts w:ascii="Times New Roman" w:hAnsi="Times New Roman" w:cs="Times New Roman"/>
          <w:sz w:val="28"/>
          <w:szCs w:val="28"/>
        </w:rPr>
        <w:t>аллергическим ринитом до лечения, после лечения и в сезон пыления причинного аллергена</w:t>
      </w:r>
      <w:r w:rsidR="000768C4" w:rsidRPr="00D06493">
        <w:rPr>
          <w:rFonts w:ascii="Times New Roman" w:hAnsi="Times New Roman" w:cs="Times New Roman"/>
          <w:sz w:val="28"/>
          <w:szCs w:val="28"/>
        </w:rPr>
        <w:t xml:space="preserve"> </w:t>
      </w:r>
      <w:r w:rsidR="00D06493" w:rsidRPr="00D06493">
        <w:rPr>
          <w:rFonts w:ascii="Times New Roman" w:hAnsi="Times New Roman" w:cs="Times New Roman"/>
          <w:sz w:val="28"/>
          <w:szCs w:val="28"/>
        </w:rPr>
        <w:t>(</w:t>
      </w:r>
      <w:r w:rsidR="000768C4" w:rsidRPr="00D06493">
        <w:rPr>
          <w:rFonts w:ascii="Times New Roman" w:hAnsi="Times New Roman" w:cs="Times New Roman"/>
          <w:sz w:val="28"/>
          <w:szCs w:val="28"/>
        </w:rPr>
        <w:t>Авторское</w:t>
      </w:r>
      <w:r w:rsidR="000768C4" w:rsidRPr="000768C4">
        <w:rPr>
          <w:rFonts w:ascii="Times New Roman" w:hAnsi="Times New Roman" w:cs="Times New Roman"/>
          <w:sz w:val="28"/>
          <w:szCs w:val="28"/>
        </w:rPr>
        <w:t xml:space="preserve"> свидетельство № 14535 от 19.01.2021 года)</w:t>
      </w:r>
      <w:r w:rsidRPr="000768C4">
        <w:rPr>
          <w:rFonts w:ascii="Times New Roman" w:hAnsi="Times New Roman" w:cs="Times New Roman"/>
          <w:sz w:val="28"/>
          <w:szCs w:val="28"/>
        </w:rPr>
        <w:t>.</w:t>
      </w:r>
    </w:p>
    <w:p w14:paraId="222D28A5" w14:textId="47D0DB51" w:rsidR="009C0A3E" w:rsidRPr="009C0A3E" w:rsidRDefault="009C0A3E" w:rsidP="009C0A3E">
      <w:pPr>
        <w:tabs>
          <w:tab w:val="left" w:pos="284"/>
          <w:tab w:val="left" w:pos="709"/>
          <w:tab w:val="left" w:pos="851"/>
        </w:tabs>
        <w:spacing w:after="0" w:line="240" w:lineRule="auto"/>
        <w:ind w:firstLine="567"/>
        <w:jc w:val="both"/>
        <w:rPr>
          <w:rFonts w:ascii="Times New Roman" w:hAnsi="Times New Roman" w:cs="Times New Roman"/>
          <w:sz w:val="28"/>
          <w:szCs w:val="28"/>
        </w:rPr>
      </w:pPr>
      <w:r w:rsidRPr="009C0A3E">
        <w:rPr>
          <w:rFonts w:ascii="Times New Roman" w:hAnsi="Times New Roman" w:cs="Times New Roman"/>
          <w:sz w:val="28"/>
          <w:szCs w:val="28"/>
        </w:rPr>
        <w:t>Впервые проведена оптимизация алгоритма аллерген-специфической иммунотерапии при сезонных аллергических заболеваниях с позиции молекулярной аллергодиагностики. Введен персонализированный подход к назначению АСИТ и усовершенствована тактика лечения пациентов с аллергическим ринитом на основании результатов проведенного исследования</w:t>
      </w:r>
      <w:r w:rsidR="000768C4" w:rsidRPr="000768C4">
        <w:t xml:space="preserve"> (</w:t>
      </w:r>
      <w:r w:rsidR="000768C4" w:rsidRPr="000768C4">
        <w:rPr>
          <w:rFonts w:ascii="Times New Roman" w:hAnsi="Times New Roman" w:cs="Times New Roman"/>
          <w:sz w:val="28"/>
          <w:szCs w:val="28"/>
        </w:rPr>
        <w:t>Авторское свидетельство № 1475</w:t>
      </w:r>
      <w:r w:rsidR="000768C4">
        <w:rPr>
          <w:rFonts w:ascii="Times New Roman" w:hAnsi="Times New Roman" w:cs="Times New Roman"/>
          <w:sz w:val="28"/>
          <w:szCs w:val="28"/>
        </w:rPr>
        <w:t>0 от 29.01.2021 19.01.2021 года</w:t>
      </w:r>
      <w:r w:rsidR="00161EC8">
        <w:rPr>
          <w:rFonts w:ascii="Times New Roman" w:hAnsi="Times New Roman" w:cs="Times New Roman"/>
          <w:sz w:val="28"/>
          <w:szCs w:val="28"/>
        </w:rPr>
        <w:t>;</w:t>
      </w:r>
      <w:r w:rsidR="00161EC8" w:rsidRPr="00161EC8">
        <w:rPr>
          <w:rFonts w:ascii="Times New Roman" w:hAnsi="Times New Roman" w:cs="Times New Roman"/>
          <w:sz w:val="28"/>
          <w:szCs w:val="28"/>
        </w:rPr>
        <w:t xml:space="preserve"> </w:t>
      </w:r>
      <w:r w:rsidR="00161EC8" w:rsidRPr="007B6D20">
        <w:rPr>
          <w:rFonts w:ascii="Times New Roman" w:hAnsi="Times New Roman" w:cs="Times New Roman"/>
          <w:sz w:val="28"/>
          <w:szCs w:val="28"/>
        </w:rPr>
        <w:t>Авторское свидетель</w:t>
      </w:r>
      <w:r w:rsidR="009A4BCA">
        <w:rPr>
          <w:rFonts w:ascii="Times New Roman" w:hAnsi="Times New Roman" w:cs="Times New Roman"/>
          <w:sz w:val="28"/>
          <w:szCs w:val="28"/>
        </w:rPr>
        <w:t>ство № 14774 от 01.02.2021 года</w:t>
      </w:r>
      <w:r w:rsidR="000768C4" w:rsidRPr="000768C4">
        <w:rPr>
          <w:rFonts w:ascii="Times New Roman" w:hAnsi="Times New Roman" w:cs="Times New Roman"/>
          <w:sz w:val="28"/>
          <w:szCs w:val="28"/>
        </w:rPr>
        <w:t>)</w:t>
      </w:r>
      <w:r w:rsidRPr="000768C4">
        <w:rPr>
          <w:rFonts w:ascii="Times New Roman" w:hAnsi="Times New Roman" w:cs="Times New Roman"/>
          <w:sz w:val="28"/>
          <w:szCs w:val="28"/>
        </w:rPr>
        <w:t>.</w:t>
      </w:r>
    </w:p>
    <w:p w14:paraId="397D0B5F" w14:textId="25AA36B7" w:rsidR="009C0A3E" w:rsidRPr="009C0A3E" w:rsidRDefault="009C0A3E" w:rsidP="009C0A3E">
      <w:pPr>
        <w:tabs>
          <w:tab w:val="left" w:pos="284"/>
          <w:tab w:val="left" w:pos="709"/>
          <w:tab w:val="left" w:pos="851"/>
        </w:tabs>
        <w:spacing w:after="0" w:line="240" w:lineRule="auto"/>
        <w:ind w:firstLine="567"/>
        <w:jc w:val="both"/>
        <w:rPr>
          <w:rFonts w:ascii="Times New Roman" w:hAnsi="Times New Roman" w:cs="Times New Roman"/>
          <w:sz w:val="28"/>
          <w:szCs w:val="28"/>
        </w:rPr>
      </w:pPr>
      <w:r w:rsidRPr="009C0A3E">
        <w:rPr>
          <w:rFonts w:ascii="Times New Roman" w:hAnsi="Times New Roman" w:cs="Times New Roman"/>
          <w:sz w:val="28"/>
          <w:szCs w:val="28"/>
        </w:rPr>
        <w:t>Впервые в РК получены результаты, доказывающие</w:t>
      </w:r>
      <w:r w:rsidR="00B33DD3">
        <w:rPr>
          <w:rFonts w:ascii="Times New Roman" w:hAnsi="Times New Roman" w:cs="Times New Roman"/>
          <w:sz w:val="28"/>
          <w:szCs w:val="28"/>
        </w:rPr>
        <w:t>,</w:t>
      </w:r>
      <w:r w:rsidRPr="009C0A3E">
        <w:rPr>
          <w:rFonts w:ascii="Times New Roman" w:hAnsi="Times New Roman" w:cs="Times New Roman"/>
          <w:sz w:val="28"/>
          <w:szCs w:val="28"/>
        </w:rPr>
        <w:t xml:space="preserve"> что лабораторными маркерами эффективности аллерген-специфической иммунотерапии в комплексе с витамином Д с наибольшей прогностической значимостью</w:t>
      </w:r>
      <w:r w:rsidR="00E32135">
        <w:rPr>
          <w:rFonts w:ascii="Times New Roman" w:hAnsi="Times New Roman" w:cs="Times New Roman"/>
          <w:sz w:val="28"/>
          <w:szCs w:val="28"/>
        </w:rPr>
        <w:t>,</w:t>
      </w:r>
      <w:r w:rsidRPr="009C0A3E">
        <w:rPr>
          <w:rFonts w:ascii="Times New Roman" w:hAnsi="Times New Roman" w:cs="Times New Roman"/>
          <w:sz w:val="28"/>
          <w:szCs w:val="28"/>
        </w:rPr>
        <w:t xml:space="preserve"> являются общий ИГЕ и уровень витамина Д в крови.</w:t>
      </w:r>
    </w:p>
    <w:p w14:paraId="4DE367C3" w14:textId="0D2A15A7" w:rsidR="00836831" w:rsidRDefault="009C0A3E" w:rsidP="009C0A3E">
      <w:pPr>
        <w:tabs>
          <w:tab w:val="left" w:pos="284"/>
          <w:tab w:val="left" w:pos="709"/>
          <w:tab w:val="left" w:pos="851"/>
        </w:tabs>
        <w:spacing w:after="0" w:line="240" w:lineRule="auto"/>
        <w:ind w:firstLine="567"/>
        <w:jc w:val="both"/>
        <w:rPr>
          <w:rFonts w:ascii="Times New Roman" w:hAnsi="Times New Roman" w:cs="Times New Roman"/>
          <w:sz w:val="28"/>
          <w:szCs w:val="28"/>
        </w:rPr>
      </w:pPr>
      <w:r w:rsidRPr="009C0A3E">
        <w:rPr>
          <w:rFonts w:ascii="Times New Roman" w:hAnsi="Times New Roman" w:cs="Times New Roman"/>
          <w:sz w:val="28"/>
          <w:szCs w:val="28"/>
        </w:rPr>
        <w:t>Впервые в РК исследовано качество жизни пациентов, получавших АСИТ в комплексе с витамином Д.</w:t>
      </w:r>
    </w:p>
    <w:p w14:paraId="1DC18B00" w14:textId="43DB0485" w:rsidR="00EA0CD6" w:rsidRPr="00E752CF" w:rsidRDefault="00EA0CD6" w:rsidP="00EA0CD6">
      <w:pPr>
        <w:tabs>
          <w:tab w:val="left" w:pos="284"/>
          <w:tab w:val="left" w:pos="709"/>
          <w:tab w:val="left" w:pos="851"/>
        </w:tabs>
        <w:spacing w:after="0" w:line="240" w:lineRule="auto"/>
        <w:ind w:firstLine="567"/>
        <w:jc w:val="both"/>
        <w:rPr>
          <w:rFonts w:ascii="Times New Roman" w:hAnsi="Times New Roman" w:cs="Times New Roman"/>
          <w:b/>
          <w:sz w:val="28"/>
          <w:szCs w:val="28"/>
        </w:rPr>
      </w:pPr>
      <w:r w:rsidRPr="002E57D6">
        <w:rPr>
          <w:rFonts w:ascii="Times New Roman" w:hAnsi="Times New Roman" w:cs="Times New Roman"/>
          <w:b/>
          <w:bCs/>
          <w:color w:val="000000"/>
          <w:sz w:val="28"/>
          <w:szCs w:val="28"/>
        </w:rPr>
        <w:t>Основные</w:t>
      </w:r>
      <w:r>
        <w:rPr>
          <w:rFonts w:ascii="Times New Roman" w:hAnsi="Times New Roman" w:cs="Times New Roman"/>
          <w:b/>
          <w:bCs/>
          <w:color w:val="000000"/>
          <w:sz w:val="28"/>
          <w:szCs w:val="28"/>
        </w:rPr>
        <w:t xml:space="preserve"> положения, выносимые на защиту</w:t>
      </w:r>
      <w:r w:rsidR="006B053C">
        <w:rPr>
          <w:rFonts w:ascii="Times New Roman" w:hAnsi="Times New Roman" w:cs="Times New Roman"/>
          <w:b/>
          <w:bCs/>
          <w:color w:val="000000"/>
          <w:sz w:val="28"/>
          <w:szCs w:val="28"/>
        </w:rPr>
        <w:t>:</w:t>
      </w:r>
    </w:p>
    <w:p w14:paraId="61BC9304" w14:textId="77777777" w:rsidR="007630D2" w:rsidRPr="007630D2" w:rsidRDefault="007630D2" w:rsidP="007630D2">
      <w:pPr>
        <w:pStyle w:val="a3"/>
        <w:numPr>
          <w:ilvl w:val="0"/>
          <w:numId w:val="42"/>
        </w:numPr>
        <w:tabs>
          <w:tab w:val="left" w:pos="851"/>
        </w:tabs>
        <w:spacing w:after="0" w:line="240" w:lineRule="auto"/>
        <w:ind w:left="0" w:firstLine="556"/>
        <w:jc w:val="both"/>
        <w:rPr>
          <w:rFonts w:ascii="Times New Roman" w:hAnsi="Times New Roman"/>
          <w:sz w:val="28"/>
          <w:szCs w:val="28"/>
        </w:rPr>
      </w:pPr>
      <w:r w:rsidRPr="007630D2">
        <w:rPr>
          <w:rFonts w:ascii="Times New Roman" w:hAnsi="Times New Roman"/>
          <w:sz w:val="28"/>
          <w:szCs w:val="28"/>
        </w:rPr>
        <w:t>Молекулярная аллергодиагностика является высокоточным методом подбора аллергенного профиля для проведения аллерген-специфической иммунотерапии, что позволяет выявить предикторы эффективности аллерген-специфической иммунотерапии.</w:t>
      </w:r>
    </w:p>
    <w:p w14:paraId="1A60F7F7" w14:textId="6AF5E83E" w:rsidR="007630D2" w:rsidRPr="00587305" w:rsidRDefault="007630D2" w:rsidP="007630D2">
      <w:pPr>
        <w:pStyle w:val="a3"/>
        <w:numPr>
          <w:ilvl w:val="0"/>
          <w:numId w:val="42"/>
        </w:numPr>
        <w:tabs>
          <w:tab w:val="left" w:pos="851"/>
        </w:tabs>
        <w:spacing w:after="0" w:line="240" w:lineRule="auto"/>
        <w:ind w:left="0" w:firstLine="556"/>
        <w:jc w:val="both"/>
        <w:rPr>
          <w:rFonts w:ascii="Times New Roman" w:hAnsi="Times New Roman"/>
          <w:sz w:val="28"/>
          <w:szCs w:val="28"/>
        </w:rPr>
      </w:pPr>
      <w:r w:rsidRPr="007630D2">
        <w:rPr>
          <w:rFonts w:ascii="Times New Roman" w:hAnsi="Times New Roman"/>
          <w:sz w:val="28"/>
          <w:szCs w:val="28"/>
        </w:rPr>
        <w:t xml:space="preserve">АСИТ в комплексе с витамином Д является более эффективной терапией по </w:t>
      </w:r>
      <w:r w:rsidRPr="00587305">
        <w:rPr>
          <w:rFonts w:ascii="Times New Roman" w:hAnsi="Times New Roman"/>
          <w:sz w:val="28"/>
          <w:szCs w:val="28"/>
        </w:rPr>
        <w:t xml:space="preserve">сравнению </w:t>
      </w:r>
      <w:r w:rsidR="0050357B" w:rsidRPr="00587305">
        <w:rPr>
          <w:rFonts w:ascii="Times New Roman" w:hAnsi="Times New Roman" w:cs="Times New Roman"/>
          <w:sz w:val="28"/>
          <w:szCs w:val="28"/>
        </w:rPr>
        <w:t>с классической схемой АСИТ</w:t>
      </w:r>
      <w:r w:rsidRPr="00587305">
        <w:rPr>
          <w:rFonts w:ascii="Times New Roman" w:hAnsi="Times New Roman"/>
          <w:sz w:val="28"/>
          <w:szCs w:val="28"/>
        </w:rPr>
        <w:t xml:space="preserve">, что подтверждено клинически (более низким баллом симптомов тяжести, более высоком баллом качества жизни) и лабораторно (более низкими результатами общего и специфического иммуноглобулина Е, эозинофильного катионного белка и более высоким уровнем витамина Д в крови). </w:t>
      </w:r>
    </w:p>
    <w:p w14:paraId="15158DB5" w14:textId="77777777" w:rsidR="007630D2" w:rsidRPr="00587305" w:rsidRDefault="007630D2" w:rsidP="007630D2">
      <w:pPr>
        <w:pStyle w:val="a3"/>
        <w:numPr>
          <w:ilvl w:val="0"/>
          <w:numId w:val="42"/>
        </w:numPr>
        <w:tabs>
          <w:tab w:val="left" w:pos="851"/>
        </w:tabs>
        <w:spacing w:after="0" w:line="240" w:lineRule="auto"/>
        <w:ind w:left="0" w:firstLine="556"/>
        <w:jc w:val="both"/>
        <w:rPr>
          <w:rFonts w:ascii="Times New Roman" w:hAnsi="Times New Roman"/>
          <w:sz w:val="28"/>
          <w:szCs w:val="28"/>
        </w:rPr>
      </w:pPr>
      <w:r w:rsidRPr="00587305">
        <w:rPr>
          <w:rFonts w:ascii="Times New Roman" w:hAnsi="Times New Roman"/>
          <w:sz w:val="28"/>
          <w:szCs w:val="28"/>
        </w:rPr>
        <w:t>Лабораторными маркерами эффективности аллерген-специфической иммунотерапии в комплексе с витамином Д с наибольшей прогностической значимостью являются уровень витамина Д и общего иммуноглобулина Е.</w:t>
      </w:r>
    </w:p>
    <w:p w14:paraId="6B7797A7" w14:textId="2EBC47BB" w:rsidR="007630D2" w:rsidRPr="00587305" w:rsidRDefault="00041099" w:rsidP="007630D2">
      <w:pPr>
        <w:pStyle w:val="a3"/>
        <w:numPr>
          <w:ilvl w:val="0"/>
          <w:numId w:val="42"/>
        </w:numPr>
        <w:tabs>
          <w:tab w:val="left" w:pos="851"/>
        </w:tabs>
        <w:spacing w:after="0" w:line="240" w:lineRule="auto"/>
        <w:ind w:left="0" w:firstLine="556"/>
        <w:jc w:val="both"/>
        <w:rPr>
          <w:rFonts w:ascii="Times New Roman" w:hAnsi="Times New Roman"/>
          <w:sz w:val="28"/>
          <w:szCs w:val="28"/>
        </w:rPr>
      </w:pPr>
      <w:r w:rsidRPr="00587305">
        <w:rPr>
          <w:rFonts w:ascii="Times New Roman" w:hAnsi="Times New Roman"/>
          <w:sz w:val="28"/>
          <w:szCs w:val="28"/>
        </w:rPr>
        <w:t>Разработанный и предложенный клинико-диагностический алгоритм менеджмента сезонного аллергического ринита является эффективным инструментом, повышающим качество жизни и снижающим тяжесть симптомов у пациентов на практике.</w:t>
      </w:r>
    </w:p>
    <w:p w14:paraId="1F9384F5" w14:textId="41A17E50" w:rsidR="00373536" w:rsidRPr="00373536" w:rsidRDefault="00373536" w:rsidP="007630D2">
      <w:pPr>
        <w:tabs>
          <w:tab w:val="left" w:pos="851"/>
        </w:tabs>
        <w:spacing w:after="0" w:line="240" w:lineRule="auto"/>
        <w:ind w:firstLine="567"/>
        <w:jc w:val="both"/>
        <w:rPr>
          <w:rFonts w:ascii="Times New Roman" w:hAnsi="Times New Roman"/>
          <w:b/>
          <w:sz w:val="28"/>
          <w:szCs w:val="28"/>
        </w:rPr>
      </w:pPr>
      <w:r w:rsidRPr="00373536">
        <w:rPr>
          <w:rFonts w:ascii="Times New Roman" w:hAnsi="Times New Roman"/>
          <w:b/>
          <w:sz w:val="28"/>
          <w:szCs w:val="28"/>
        </w:rPr>
        <w:t>Теоретическая значимость</w:t>
      </w:r>
    </w:p>
    <w:p w14:paraId="2660EEB7" w14:textId="77777777" w:rsidR="00373536" w:rsidRPr="00373536" w:rsidRDefault="00373536" w:rsidP="00373536">
      <w:pPr>
        <w:tabs>
          <w:tab w:val="left" w:pos="851"/>
        </w:tabs>
        <w:spacing w:after="0" w:line="240" w:lineRule="auto"/>
        <w:ind w:firstLine="567"/>
        <w:jc w:val="both"/>
        <w:rPr>
          <w:rFonts w:ascii="Times New Roman" w:hAnsi="Times New Roman"/>
          <w:sz w:val="28"/>
          <w:szCs w:val="28"/>
        </w:rPr>
      </w:pPr>
      <w:r w:rsidRPr="00373536">
        <w:rPr>
          <w:rFonts w:ascii="Times New Roman" w:hAnsi="Times New Roman"/>
          <w:sz w:val="28"/>
          <w:szCs w:val="28"/>
        </w:rPr>
        <w:t>Проведенные в диссертационной работе исследования расширяют имеющиеся представления о диагностике и лечении сезонного аллергического ринита для врачей аллергологов-иммунологов;</w:t>
      </w:r>
    </w:p>
    <w:p w14:paraId="13CB6440" w14:textId="54497A4E" w:rsidR="00373536" w:rsidRPr="00373536" w:rsidRDefault="00373536" w:rsidP="00373536">
      <w:pPr>
        <w:tabs>
          <w:tab w:val="left" w:pos="851"/>
        </w:tabs>
        <w:spacing w:after="0" w:line="240" w:lineRule="auto"/>
        <w:ind w:firstLine="567"/>
        <w:jc w:val="both"/>
        <w:rPr>
          <w:rFonts w:ascii="Times New Roman" w:hAnsi="Times New Roman"/>
          <w:sz w:val="28"/>
          <w:szCs w:val="28"/>
        </w:rPr>
      </w:pPr>
      <w:r w:rsidRPr="00373536">
        <w:rPr>
          <w:rFonts w:ascii="Times New Roman" w:hAnsi="Times New Roman"/>
          <w:sz w:val="28"/>
          <w:szCs w:val="28"/>
        </w:rPr>
        <w:t>По результатам диссертационного исследования разработаны методические рекомендации для врачей аллергологов-иммунологов «Оценка состояния пациентов с сезонным аллергическим ринитом на фоне проведения аллерген-специфической иммунотерапии», которые расширяют теоретические знания практикующих врачей и конвертируются в практическую деятельность врачей аллергологов-иммунологов на амбулаторном уровне (акты внедрения в КГП «Поликлиника №1 города Караганды», КГП «Поликлиника №3 города Караганды», КГП «Поликлиника №4 города Караганды», КГП «Поликлиника №5 города</w:t>
      </w:r>
      <w:r>
        <w:rPr>
          <w:rFonts w:ascii="Times New Roman" w:hAnsi="Times New Roman"/>
          <w:sz w:val="28"/>
          <w:szCs w:val="28"/>
        </w:rPr>
        <w:t xml:space="preserve"> Караганды») (Приложение А, Б);</w:t>
      </w:r>
    </w:p>
    <w:p w14:paraId="01208606" w14:textId="7CD1A5FE" w:rsidR="00373536" w:rsidRPr="00373536" w:rsidRDefault="00373536" w:rsidP="00373536">
      <w:pPr>
        <w:tabs>
          <w:tab w:val="left" w:pos="851"/>
        </w:tabs>
        <w:spacing w:after="0" w:line="240" w:lineRule="auto"/>
        <w:ind w:firstLine="567"/>
        <w:jc w:val="both"/>
        <w:rPr>
          <w:rFonts w:ascii="Times New Roman" w:hAnsi="Times New Roman"/>
          <w:sz w:val="28"/>
          <w:szCs w:val="28"/>
        </w:rPr>
      </w:pPr>
      <w:r w:rsidRPr="00373536">
        <w:rPr>
          <w:rFonts w:ascii="Times New Roman" w:hAnsi="Times New Roman"/>
          <w:sz w:val="28"/>
          <w:szCs w:val="28"/>
        </w:rPr>
        <w:t>Методические рекомендации «Оценка состояния пациентов с сезонным аллергическим ринитом на фоне проведения аллерген-специфической иммунотерапии» включены в программы обучения интернов, резидентов, врачей аллергологов-иммунологов на кафедре внутренних болезней НАО «МУК» (Приложение А, Б).</w:t>
      </w:r>
    </w:p>
    <w:p w14:paraId="71423603" w14:textId="6DD6112D" w:rsidR="0029738C" w:rsidRPr="006F4268" w:rsidRDefault="0029738C" w:rsidP="0029738C">
      <w:pPr>
        <w:tabs>
          <w:tab w:val="left" w:pos="284"/>
          <w:tab w:val="left" w:pos="709"/>
          <w:tab w:val="left" w:pos="851"/>
        </w:tabs>
        <w:spacing w:after="0" w:line="240" w:lineRule="auto"/>
        <w:ind w:firstLine="567"/>
        <w:jc w:val="both"/>
        <w:rPr>
          <w:rFonts w:ascii="Times New Roman" w:hAnsi="Times New Roman" w:cs="Times New Roman"/>
          <w:b/>
          <w:sz w:val="28"/>
          <w:szCs w:val="28"/>
        </w:rPr>
      </w:pPr>
      <w:r w:rsidRPr="006F4268">
        <w:rPr>
          <w:rFonts w:ascii="Times New Roman" w:hAnsi="Times New Roman" w:cs="Times New Roman"/>
          <w:b/>
          <w:sz w:val="28"/>
          <w:szCs w:val="28"/>
        </w:rPr>
        <w:t xml:space="preserve">Практическая значимость </w:t>
      </w:r>
    </w:p>
    <w:p w14:paraId="1A789CF1" w14:textId="7B02289A" w:rsidR="007B6D20" w:rsidRPr="007B6D20" w:rsidRDefault="007B6D20" w:rsidP="007B6D20">
      <w:pPr>
        <w:tabs>
          <w:tab w:val="left" w:pos="284"/>
          <w:tab w:val="left" w:pos="709"/>
          <w:tab w:val="left" w:pos="851"/>
        </w:tabs>
        <w:spacing w:after="0" w:line="240" w:lineRule="auto"/>
        <w:ind w:firstLine="567"/>
        <w:jc w:val="both"/>
        <w:rPr>
          <w:rFonts w:ascii="Times New Roman" w:hAnsi="Times New Roman" w:cs="Times New Roman"/>
          <w:sz w:val="28"/>
          <w:szCs w:val="28"/>
        </w:rPr>
      </w:pPr>
      <w:r w:rsidRPr="007B6D20">
        <w:rPr>
          <w:rFonts w:ascii="Times New Roman" w:hAnsi="Times New Roman" w:cs="Times New Roman"/>
          <w:sz w:val="28"/>
          <w:szCs w:val="28"/>
        </w:rPr>
        <w:t>Разработан эффективный инструмент оценки тяжести симптомов и качества жизни у пациентов с сезонными аллергическими ринитами для врачей аллергологов-иммунологов и внедрён в деятельность медицинских организаций (акты внедрения КГП «Поликлиника №1 города Караганды», КГП «Поликлиника №5 города Караганды») (Приложение В);</w:t>
      </w:r>
    </w:p>
    <w:p w14:paraId="20299AB3" w14:textId="02982C87" w:rsidR="007B6D20" w:rsidRPr="007B6D20" w:rsidRDefault="007B6D20" w:rsidP="007B6D20">
      <w:pPr>
        <w:tabs>
          <w:tab w:val="left" w:pos="284"/>
          <w:tab w:val="left" w:pos="709"/>
          <w:tab w:val="left" w:pos="851"/>
        </w:tabs>
        <w:spacing w:after="0" w:line="240" w:lineRule="auto"/>
        <w:ind w:firstLine="567"/>
        <w:jc w:val="both"/>
        <w:rPr>
          <w:rFonts w:ascii="Times New Roman" w:hAnsi="Times New Roman" w:cs="Times New Roman"/>
          <w:sz w:val="28"/>
          <w:szCs w:val="28"/>
        </w:rPr>
      </w:pPr>
      <w:r w:rsidRPr="007B6D20">
        <w:rPr>
          <w:rFonts w:ascii="Times New Roman" w:hAnsi="Times New Roman" w:cs="Times New Roman"/>
          <w:sz w:val="28"/>
          <w:szCs w:val="28"/>
        </w:rPr>
        <w:t>Разработана схема аллерген-специфической иммунотерапии в комплексе с витамином Д при сезонных аллергических ринитах и внедрена для врачей аллергологов-иммунологов (акты внедрения акты внедрения КГП «Поликлиника №1 города Караганды», КГП «Поликлиника №5 города Караганды») (Приложение В);</w:t>
      </w:r>
    </w:p>
    <w:p w14:paraId="713C47E9" w14:textId="511FCB01" w:rsidR="007B6D20" w:rsidRDefault="007B6D20" w:rsidP="007B6D20">
      <w:pPr>
        <w:tabs>
          <w:tab w:val="left" w:pos="284"/>
          <w:tab w:val="left" w:pos="709"/>
          <w:tab w:val="left" w:pos="851"/>
        </w:tabs>
        <w:spacing w:after="0" w:line="240" w:lineRule="auto"/>
        <w:ind w:firstLine="567"/>
        <w:jc w:val="both"/>
        <w:rPr>
          <w:rFonts w:ascii="Times New Roman" w:hAnsi="Times New Roman" w:cs="Times New Roman"/>
          <w:sz w:val="28"/>
          <w:szCs w:val="28"/>
        </w:rPr>
      </w:pPr>
      <w:r w:rsidRPr="007B6D20">
        <w:rPr>
          <w:rFonts w:ascii="Times New Roman" w:hAnsi="Times New Roman" w:cs="Times New Roman"/>
          <w:sz w:val="28"/>
          <w:szCs w:val="28"/>
        </w:rPr>
        <w:t>Разработан алгоритм менеджмента сезонного аллергического ринита у амбулаторных пациентов для врачей аллергологов-иммунологов и внедрён в деятельность медицинских организаций (акты внедрения КГП «Поликлиника №1 города Караганды», КГП «Поликлиника №5 города Караганды») (Приложение В).</w:t>
      </w:r>
    </w:p>
    <w:p w14:paraId="6A40797A" w14:textId="500C2324" w:rsidR="00E67947" w:rsidRPr="001A28F4" w:rsidRDefault="00E67947" w:rsidP="00E67947">
      <w:pPr>
        <w:tabs>
          <w:tab w:val="left" w:pos="851"/>
        </w:tabs>
        <w:spacing w:after="0" w:line="240" w:lineRule="auto"/>
        <w:ind w:firstLine="567"/>
        <w:jc w:val="both"/>
        <w:rPr>
          <w:rStyle w:val="fontstyle01"/>
          <w:b/>
        </w:rPr>
      </w:pPr>
      <w:r w:rsidRPr="001A28F4">
        <w:rPr>
          <w:rStyle w:val="fontstyle01"/>
          <w:b/>
        </w:rPr>
        <w:t>Личный вклад автора</w:t>
      </w:r>
    </w:p>
    <w:p w14:paraId="7CAD0978" w14:textId="1C951CBF" w:rsidR="00240B37" w:rsidRPr="00240B37" w:rsidRDefault="00AC5801" w:rsidP="00240B37">
      <w:pPr>
        <w:tabs>
          <w:tab w:val="left" w:pos="851"/>
        </w:tabs>
        <w:spacing w:after="0" w:line="240" w:lineRule="auto"/>
        <w:ind w:firstLine="567"/>
        <w:jc w:val="both"/>
        <w:rPr>
          <w:rStyle w:val="fontstyle01"/>
        </w:rPr>
      </w:pPr>
      <w:r w:rsidRPr="001A28F4">
        <w:rPr>
          <w:rStyle w:val="fontstyle01"/>
        </w:rPr>
        <w:t>И</w:t>
      </w:r>
      <w:r w:rsidR="00240B37" w:rsidRPr="001A28F4">
        <w:rPr>
          <w:rStyle w:val="fontstyle01"/>
        </w:rPr>
        <w:t>сследование</w:t>
      </w:r>
      <w:r w:rsidRPr="001A28F4">
        <w:rPr>
          <w:rStyle w:val="fontstyle01"/>
        </w:rPr>
        <w:t xml:space="preserve"> проведено самостоятельно</w:t>
      </w:r>
      <w:r w:rsidR="001A28F4" w:rsidRPr="001A28F4">
        <w:rPr>
          <w:rStyle w:val="fontstyle01"/>
        </w:rPr>
        <w:t>:</w:t>
      </w:r>
      <w:r w:rsidR="004B3006">
        <w:rPr>
          <w:rStyle w:val="fontstyle01"/>
        </w:rPr>
        <w:t xml:space="preserve"> набор,</w:t>
      </w:r>
      <w:r w:rsidR="00240B37" w:rsidRPr="001A28F4">
        <w:rPr>
          <w:rStyle w:val="fontstyle01"/>
        </w:rPr>
        <w:t xml:space="preserve"> </w:t>
      </w:r>
      <w:r w:rsidRPr="001A28F4">
        <w:rPr>
          <w:rStyle w:val="fontstyle01"/>
        </w:rPr>
        <w:t xml:space="preserve">первичная и статистическая </w:t>
      </w:r>
      <w:r w:rsidR="00240B37" w:rsidRPr="001A28F4">
        <w:rPr>
          <w:rStyle w:val="fontstyle01"/>
        </w:rPr>
        <w:t>обработка материал</w:t>
      </w:r>
      <w:r w:rsidRPr="001A28F4">
        <w:rPr>
          <w:rStyle w:val="fontstyle01"/>
        </w:rPr>
        <w:t>ов</w:t>
      </w:r>
      <w:r w:rsidR="00240B37" w:rsidRPr="001A28F4">
        <w:rPr>
          <w:rStyle w:val="fontstyle01"/>
        </w:rPr>
        <w:t>, анализ, обобщение результатов исследования и их описание, написаны все главы диссертационной работы, участие в конференциях,</w:t>
      </w:r>
      <w:r w:rsidR="00181B97">
        <w:rPr>
          <w:rStyle w:val="fontstyle01"/>
        </w:rPr>
        <w:t xml:space="preserve"> получение авторских свидетельств, актов внедрения,</w:t>
      </w:r>
      <w:r w:rsidR="00240B37" w:rsidRPr="001A28F4">
        <w:rPr>
          <w:rStyle w:val="fontstyle01"/>
        </w:rPr>
        <w:t xml:space="preserve"> а также работа с публикациями от написания материала до подачи в</w:t>
      </w:r>
      <w:r w:rsidR="00367AA7" w:rsidRPr="001A28F4">
        <w:rPr>
          <w:rStyle w:val="fontstyle01"/>
        </w:rPr>
        <w:t xml:space="preserve"> научные</w:t>
      </w:r>
      <w:r w:rsidR="00240B37" w:rsidRPr="001A28F4">
        <w:rPr>
          <w:rStyle w:val="fontstyle01"/>
        </w:rPr>
        <w:t xml:space="preserve"> журналы.</w:t>
      </w:r>
    </w:p>
    <w:p w14:paraId="0C3393FD" w14:textId="740886FB" w:rsidR="007F6E16" w:rsidRDefault="007F6E16" w:rsidP="007F6E16">
      <w:pPr>
        <w:tabs>
          <w:tab w:val="left" w:pos="851"/>
        </w:tabs>
        <w:spacing w:after="0" w:line="240" w:lineRule="auto"/>
        <w:ind w:firstLine="567"/>
        <w:jc w:val="both"/>
        <w:rPr>
          <w:rStyle w:val="fontstyle01"/>
          <w:b/>
        </w:rPr>
      </w:pPr>
      <w:r w:rsidRPr="007F6E16">
        <w:rPr>
          <w:rStyle w:val="fontstyle01"/>
          <w:b/>
        </w:rPr>
        <w:t>Апробация работы</w:t>
      </w:r>
    </w:p>
    <w:p w14:paraId="3CF0E274" w14:textId="471E1828" w:rsidR="007F6E16" w:rsidRPr="007F6E16" w:rsidRDefault="007F6E16" w:rsidP="007F6E16">
      <w:pPr>
        <w:tabs>
          <w:tab w:val="left" w:pos="851"/>
        </w:tabs>
        <w:spacing w:after="0" w:line="240" w:lineRule="auto"/>
        <w:ind w:firstLine="567"/>
        <w:jc w:val="both"/>
        <w:rPr>
          <w:rStyle w:val="fontstyle01"/>
        </w:rPr>
      </w:pPr>
      <w:r>
        <w:rPr>
          <w:rStyle w:val="fontstyle01"/>
        </w:rPr>
        <w:t>Основные положения диссертации доложены и обсуждены</w:t>
      </w:r>
      <w:r w:rsidR="0007459B">
        <w:rPr>
          <w:rStyle w:val="fontstyle01"/>
        </w:rPr>
        <w:t xml:space="preserve"> на</w:t>
      </w:r>
      <w:r>
        <w:rPr>
          <w:rStyle w:val="fontstyle01"/>
        </w:rPr>
        <w:t>:</w:t>
      </w:r>
    </w:p>
    <w:p w14:paraId="30028901" w14:textId="2FDBD5E0" w:rsidR="007F6E16" w:rsidRDefault="0007459B" w:rsidP="007F6E16">
      <w:pPr>
        <w:tabs>
          <w:tab w:val="left" w:pos="851"/>
        </w:tabs>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sidR="007F6E16">
        <w:rPr>
          <w:rFonts w:ascii="Times New Roman" w:hAnsi="Times New Roman"/>
          <w:sz w:val="28"/>
          <w:szCs w:val="28"/>
        </w:rPr>
        <w:t>62 научно-практической студенческой</w:t>
      </w:r>
      <w:r w:rsidR="007F6E16" w:rsidRPr="007F6E16">
        <w:rPr>
          <w:rFonts w:ascii="Times New Roman" w:hAnsi="Times New Roman"/>
          <w:sz w:val="28"/>
          <w:szCs w:val="28"/>
        </w:rPr>
        <w:t xml:space="preserve"> конференция с международным участием </w:t>
      </w:r>
      <w:r w:rsidR="007F6E16">
        <w:rPr>
          <w:rFonts w:ascii="Times New Roman" w:hAnsi="Times New Roman"/>
          <w:sz w:val="28"/>
          <w:szCs w:val="28"/>
        </w:rPr>
        <w:t>«Студенческая наука и здоровье»,</w:t>
      </w:r>
      <w:r w:rsidR="007F6E16" w:rsidRPr="007F6E16">
        <w:rPr>
          <w:rFonts w:ascii="Times New Roman" w:hAnsi="Times New Roman"/>
          <w:sz w:val="28"/>
          <w:szCs w:val="28"/>
        </w:rPr>
        <w:t xml:space="preserve"> НАО «Медицинский университет Семей» </w:t>
      </w:r>
      <w:r w:rsidR="00C51CFC">
        <w:rPr>
          <w:rFonts w:ascii="Times New Roman" w:hAnsi="Times New Roman"/>
          <w:sz w:val="28"/>
          <w:szCs w:val="28"/>
        </w:rPr>
        <w:t>(</w:t>
      </w:r>
      <w:r w:rsidR="00D469FA">
        <w:rPr>
          <w:rFonts w:ascii="Times New Roman" w:hAnsi="Times New Roman"/>
          <w:sz w:val="28"/>
          <w:szCs w:val="28"/>
        </w:rPr>
        <w:t>15 мая 2020</w:t>
      </w:r>
      <w:r w:rsidR="00C51CFC">
        <w:rPr>
          <w:rFonts w:ascii="Times New Roman" w:hAnsi="Times New Roman"/>
          <w:sz w:val="28"/>
          <w:szCs w:val="28"/>
        </w:rPr>
        <w:t>, Семей)</w:t>
      </w:r>
      <w:r w:rsidR="007F6E16">
        <w:rPr>
          <w:rFonts w:ascii="Times New Roman" w:hAnsi="Times New Roman"/>
          <w:sz w:val="28"/>
          <w:szCs w:val="28"/>
        </w:rPr>
        <w:t>;</w:t>
      </w:r>
    </w:p>
    <w:p w14:paraId="28D66507" w14:textId="449A273C" w:rsidR="00466C2D" w:rsidRPr="00C03FB1" w:rsidRDefault="0007459B" w:rsidP="007F6E16">
      <w:pPr>
        <w:tabs>
          <w:tab w:val="left" w:pos="851"/>
        </w:tabs>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w:t>
      </w:r>
      <w:r w:rsidR="00D14E94" w:rsidRPr="00D14E94">
        <w:rPr>
          <w:rFonts w:ascii="Times New Roman" w:hAnsi="Times New Roman"/>
          <w:sz w:val="28"/>
          <w:szCs w:val="28"/>
          <w:lang w:val="en-US"/>
        </w:rPr>
        <w:t xml:space="preserve"> 8th International Conference on Research in Life</w:t>
      </w:r>
      <w:r w:rsidR="00C51CFC">
        <w:rPr>
          <w:rFonts w:ascii="Times New Roman" w:hAnsi="Times New Roman"/>
          <w:sz w:val="28"/>
          <w:szCs w:val="28"/>
          <w:lang w:val="en-US"/>
        </w:rPr>
        <w:t xml:space="preserve">-Sciences &amp; Healthcare (ICRLSH) </w:t>
      </w:r>
      <w:r w:rsidR="00C51CFC" w:rsidRPr="00C51CFC">
        <w:rPr>
          <w:rFonts w:ascii="Times New Roman" w:hAnsi="Times New Roman"/>
          <w:sz w:val="28"/>
          <w:szCs w:val="28"/>
          <w:lang w:val="en-US"/>
        </w:rPr>
        <w:t>(</w:t>
      </w:r>
      <w:r w:rsidR="00D14E94" w:rsidRPr="00D14E94">
        <w:rPr>
          <w:rFonts w:ascii="Times New Roman" w:hAnsi="Times New Roman"/>
          <w:sz w:val="28"/>
          <w:szCs w:val="28"/>
          <w:lang w:val="en-US"/>
        </w:rPr>
        <w:t xml:space="preserve">26-27 June </w:t>
      </w:r>
      <w:r w:rsidR="00D14E94" w:rsidRPr="00C03FB1">
        <w:rPr>
          <w:rFonts w:ascii="Times New Roman" w:hAnsi="Times New Roman"/>
          <w:sz w:val="28"/>
          <w:szCs w:val="28"/>
          <w:lang w:val="en-US"/>
        </w:rPr>
        <w:t>2021, Singapore</w:t>
      </w:r>
      <w:r w:rsidR="00C51CFC" w:rsidRPr="00C03FB1">
        <w:rPr>
          <w:rFonts w:ascii="Times New Roman" w:hAnsi="Times New Roman"/>
          <w:sz w:val="28"/>
          <w:szCs w:val="28"/>
          <w:lang w:val="en-US"/>
        </w:rPr>
        <w:t>)</w:t>
      </w:r>
      <w:r w:rsidR="00466C2D" w:rsidRPr="00C03FB1">
        <w:rPr>
          <w:rFonts w:ascii="Times New Roman" w:hAnsi="Times New Roman"/>
          <w:sz w:val="28"/>
          <w:szCs w:val="28"/>
          <w:lang w:val="en-US"/>
        </w:rPr>
        <w:t>;</w:t>
      </w:r>
    </w:p>
    <w:p w14:paraId="1224AAED" w14:textId="3ADAB06E" w:rsidR="007F6E16" w:rsidRPr="00466C2D" w:rsidRDefault="0007459B" w:rsidP="007F6E16">
      <w:pPr>
        <w:tabs>
          <w:tab w:val="left" w:pos="851"/>
        </w:tabs>
        <w:spacing w:after="0" w:line="240" w:lineRule="auto"/>
        <w:ind w:firstLine="567"/>
        <w:jc w:val="both"/>
        <w:rPr>
          <w:rFonts w:ascii="Times New Roman" w:hAnsi="Times New Roman"/>
          <w:sz w:val="28"/>
          <w:szCs w:val="28"/>
        </w:rPr>
      </w:pPr>
      <w:r>
        <w:rPr>
          <w:rStyle w:val="fontstyle01"/>
        </w:rPr>
        <w:t>-</w:t>
      </w:r>
      <w:r w:rsidR="00466C2D" w:rsidRPr="00C03FB1">
        <w:rPr>
          <w:rStyle w:val="fontstyle01"/>
        </w:rPr>
        <w:t xml:space="preserve"> расширенном заседании кафедры внутренних болезней НАО «Медицинский университет Караганды»</w:t>
      </w:r>
      <w:r w:rsidR="00D14E94" w:rsidRPr="00C03FB1">
        <w:rPr>
          <w:rFonts w:ascii="Times New Roman" w:hAnsi="Times New Roman"/>
          <w:sz w:val="28"/>
          <w:szCs w:val="28"/>
        </w:rPr>
        <w:t>.</w:t>
      </w:r>
    </w:p>
    <w:p w14:paraId="398F45A0" w14:textId="064124F6" w:rsidR="0040105C" w:rsidRPr="005925B5" w:rsidRDefault="0040105C" w:rsidP="0040105C">
      <w:pPr>
        <w:tabs>
          <w:tab w:val="left" w:pos="851"/>
        </w:tabs>
        <w:spacing w:after="0" w:line="240" w:lineRule="auto"/>
        <w:ind w:firstLine="567"/>
        <w:jc w:val="both"/>
        <w:rPr>
          <w:rFonts w:ascii="Times New Roman" w:hAnsi="Times New Roman"/>
          <w:b/>
          <w:sz w:val="28"/>
          <w:szCs w:val="28"/>
        </w:rPr>
      </w:pPr>
      <w:r w:rsidRPr="005925B5">
        <w:rPr>
          <w:rFonts w:ascii="Times New Roman" w:hAnsi="Times New Roman"/>
          <w:b/>
          <w:sz w:val="28"/>
          <w:szCs w:val="28"/>
        </w:rPr>
        <w:t xml:space="preserve">Публикации </w:t>
      </w:r>
    </w:p>
    <w:p w14:paraId="42ED640F" w14:textId="49DB8FAC" w:rsidR="00D56EB0" w:rsidRDefault="005925B5" w:rsidP="005925B5">
      <w:pPr>
        <w:tabs>
          <w:tab w:val="left" w:pos="851"/>
        </w:tabs>
        <w:spacing w:after="0" w:line="240" w:lineRule="auto"/>
        <w:ind w:firstLine="567"/>
        <w:jc w:val="both"/>
        <w:rPr>
          <w:rFonts w:ascii="Times New Roman" w:hAnsi="Times New Roman"/>
          <w:sz w:val="28"/>
          <w:szCs w:val="28"/>
        </w:rPr>
      </w:pPr>
      <w:r>
        <w:rPr>
          <w:rStyle w:val="fontstyle01"/>
        </w:rPr>
        <w:t>По матери</w:t>
      </w:r>
      <w:r w:rsidR="00196DAB">
        <w:rPr>
          <w:rStyle w:val="fontstyle01"/>
        </w:rPr>
        <w:t>алам диссертации опубликовано 1</w:t>
      </w:r>
      <w:r w:rsidR="00B622C5">
        <w:rPr>
          <w:rStyle w:val="fontstyle01"/>
        </w:rPr>
        <w:t>4</w:t>
      </w:r>
      <w:r>
        <w:rPr>
          <w:rStyle w:val="fontstyle01"/>
        </w:rPr>
        <w:t xml:space="preserve"> научных работ, из них:</w:t>
      </w:r>
    </w:p>
    <w:p w14:paraId="4BB4B022" w14:textId="764BA4B3" w:rsidR="009B5DE3" w:rsidRDefault="009B5DE3" w:rsidP="00D52142">
      <w:pPr>
        <w:pStyle w:val="a3"/>
        <w:numPr>
          <w:ilvl w:val="0"/>
          <w:numId w:val="41"/>
        </w:numPr>
        <w:tabs>
          <w:tab w:val="clear" w:pos="720"/>
          <w:tab w:val="num" w:pos="360"/>
          <w:tab w:val="left" w:pos="993"/>
        </w:tabs>
        <w:spacing w:after="0" w:line="240" w:lineRule="auto"/>
        <w:ind w:left="0" w:firstLine="567"/>
        <w:jc w:val="both"/>
        <w:rPr>
          <w:rStyle w:val="fontstyle01"/>
        </w:rPr>
      </w:pPr>
      <w:r>
        <w:rPr>
          <w:rStyle w:val="fontstyle01"/>
        </w:rPr>
        <w:t>4</w:t>
      </w:r>
      <w:r w:rsidR="00F33C0E">
        <w:rPr>
          <w:rStyle w:val="fontstyle01"/>
        </w:rPr>
        <w:t xml:space="preserve"> публикации</w:t>
      </w:r>
      <w:r>
        <w:rPr>
          <w:rStyle w:val="fontstyle01"/>
        </w:rPr>
        <w:t xml:space="preserve"> в научных изданиях, рекомендованных Комитетом по контролю в </w:t>
      </w:r>
      <w:r w:rsidRPr="009B5DE3">
        <w:rPr>
          <w:rStyle w:val="fontstyle01"/>
        </w:rPr>
        <w:t>сфере образования и науки МОН РК;</w:t>
      </w:r>
    </w:p>
    <w:p w14:paraId="7447069C" w14:textId="31F81253" w:rsidR="009B5DE3" w:rsidRPr="0040693D" w:rsidRDefault="002016EF" w:rsidP="00D52142">
      <w:pPr>
        <w:pStyle w:val="af4"/>
        <w:numPr>
          <w:ilvl w:val="0"/>
          <w:numId w:val="41"/>
        </w:numPr>
        <w:tabs>
          <w:tab w:val="left" w:pos="993"/>
        </w:tabs>
        <w:spacing w:before="0" w:beforeAutospacing="0" w:after="0" w:afterAutospacing="0"/>
        <w:ind w:left="0" w:firstLine="567"/>
        <w:jc w:val="both"/>
        <w:rPr>
          <w:rStyle w:val="fontstyle01"/>
        </w:rPr>
      </w:pPr>
      <w:r>
        <w:rPr>
          <w:rStyle w:val="fontstyle21"/>
          <w:rFonts w:ascii="Times New Roman" w:hAnsi="Times New Roman"/>
          <w:sz w:val="28"/>
          <w:szCs w:val="28"/>
        </w:rPr>
        <w:t>2</w:t>
      </w:r>
      <w:r w:rsidR="009B5DE3">
        <w:rPr>
          <w:rStyle w:val="fontstyle21"/>
          <w:rFonts w:ascii="Times New Roman" w:hAnsi="Times New Roman"/>
          <w:sz w:val="28"/>
          <w:szCs w:val="28"/>
        </w:rPr>
        <w:t xml:space="preserve"> </w:t>
      </w:r>
      <w:r>
        <w:rPr>
          <w:rStyle w:val="fontstyle21"/>
          <w:rFonts w:ascii="Times New Roman" w:hAnsi="Times New Roman"/>
          <w:sz w:val="28"/>
          <w:szCs w:val="28"/>
        </w:rPr>
        <w:t>публикации</w:t>
      </w:r>
      <w:r w:rsidR="009B5DE3" w:rsidRPr="009B5DE3">
        <w:rPr>
          <w:rStyle w:val="fontstyle21"/>
          <w:rFonts w:ascii="Times New Roman" w:hAnsi="Times New Roman"/>
          <w:sz w:val="28"/>
          <w:szCs w:val="28"/>
        </w:rPr>
        <w:t xml:space="preserve"> в международных научных изданиях, входящих на</w:t>
      </w:r>
      <w:r w:rsidR="009B5DE3" w:rsidRPr="009B5DE3">
        <w:rPr>
          <w:b/>
          <w:bCs/>
          <w:color w:val="000000"/>
          <w:sz w:val="28"/>
          <w:szCs w:val="28"/>
        </w:rPr>
        <w:br/>
      </w:r>
      <w:r w:rsidR="009B5DE3" w:rsidRPr="009B5DE3">
        <w:rPr>
          <w:rStyle w:val="fontstyle21"/>
          <w:rFonts w:ascii="Times New Roman" w:hAnsi="Times New Roman"/>
          <w:sz w:val="28"/>
          <w:szCs w:val="28"/>
        </w:rPr>
        <w:t>момент публикации статей в информационную базу Scopus</w:t>
      </w:r>
      <w:r w:rsidR="0040693D">
        <w:rPr>
          <w:rStyle w:val="fontstyle21"/>
          <w:rFonts w:ascii="Times New Roman" w:hAnsi="Times New Roman"/>
          <w:sz w:val="28"/>
          <w:szCs w:val="28"/>
        </w:rPr>
        <w:t xml:space="preserve"> ( </w:t>
      </w:r>
      <w:r w:rsidR="0040693D" w:rsidRPr="0040693D">
        <w:rPr>
          <w:rStyle w:val="fontstyle21"/>
          <w:rFonts w:ascii="Times New Roman" w:hAnsi="Times New Roman"/>
          <w:sz w:val="28"/>
          <w:szCs w:val="28"/>
        </w:rPr>
        <w:t>журналы «</w:t>
      </w:r>
      <w:r w:rsidR="00B63AC5" w:rsidRPr="0040693D">
        <w:rPr>
          <w:rStyle w:val="fontstyle21"/>
          <w:rFonts w:ascii="Times New Roman" w:hAnsi="Times New Roman"/>
          <w:sz w:val="28"/>
          <w:szCs w:val="28"/>
          <w:lang w:val="en-US"/>
        </w:rPr>
        <w:t>Cells</w:t>
      </w:r>
      <w:r w:rsidR="0040693D" w:rsidRPr="0040693D">
        <w:rPr>
          <w:rStyle w:val="fontstyle21"/>
          <w:rFonts w:ascii="Times New Roman" w:hAnsi="Times New Roman"/>
          <w:sz w:val="28"/>
          <w:szCs w:val="28"/>
        </w:rPr>
        <w:t>» и</w:t>
      </w:r>
      <w:r w:rsidR="0007459B">
        <w:rPr>
          <w:rStyle w:val="fontstyle21"/>
          <w:rFonts w:ascii="Times New Roman" w:hAnsi="Times New Roman"/>
          <w:sz w:val="28"/>
          <w:szCs w:val="28"/>
        </w:rPr>
        <w:t xml:space="preserve"> </w:t>
      </w:r>
      <w:r w:rsidR="0040693D" w:rsidRPr="0040693D">
        <w:rPr>
          <w:rStyle w:val="fontstyle21"/>
          <w:rFonts w:ascii="Times New Roman" w:hAnsi="Times New Roman"/>
          <w:sz w:val="28"/>
          <w:szCs w:val="28"/>
        </w:rPr>
        <w:t>«</w:t>
      </w:r>
      <w:r w:rsidR="004E509C" w:rsidRPr="0040693D">
        <w:rPr>
          <w:rStyle w:val="fontstyle21"/>
          <w:rFonts w:ascii="Times New Roman" w:hAnsi="Times New Roman"/>
          <w:sz w:val="28"/>
          <w:szCs w:val="28"/>
          <w:lang w:val="kk-KZ"/>
        </w:rPr>
        <w:t>Russian Open Medical Journal</w:t>
      </w:r>
      <w:r w:rsidR="0040693D" w:rsidRPr="0040693D">
        <w:rPr>
          <w:rStyle w:val="fontstyle21"/>
          <w:rFonts w:ascii="Times New Roman" w:hAnsi="Times New Roman"/>
          <w:sz w:val="28"/>
          <w:szCs w:val="28"/>
          <w:lang w:val="kk-KZ"/>
        </w:rPr>
        <w:t>»)</w:t>
      </w:r>
      <w:r w:rsidR="00F531AE" w:rsidRPr="0040693D">
        <w:rPr>
          <w:rStyle w:val="fontstyle01"/>
        </w:rPr>
        <w:t>;</w:t>
      </w:r>
      <w:r w:rsidR="00B63AC5" w:rsidRPr="0040693D">
        <w:rPr>
          <w:rStyle w:val="fontstyle01"/>
        </w:rPr>
        <w:t xml:space="preserve"> </w:t>
      </w:r>
    </w:p>
    <w:p w14:paraId="7607C114" w14:textId="1D7E3134" w:rsidR="0008197D" w:rsidRDefault="0008197D" w:rsidP="00D52142">
      <w:pPr>
        <w:pStyle w:val="a3"/>
        <w:numPr>
          <w:ilvl w:val="0"/>
          <w:numId w:val="41"/>
        </w:numPr>
        <w:tabs>
          <w:tab w:val="left" w:pos="993"/>
        </w:tabs>
        <w:spacing w:after="0" w:line="240" w:lineRule="auto"/>
        <w:ind w:left="0" w:firstLine="567"/>
        <w:jc w:val="both"/>
        <w:rPr>
          <w:rStyle w:val="fontstyle01"/>
        </w:rPr>
      </w:pPr>
      <w:r w:rsidRPr="0040693D">
        <w:rPr>
          <w:rStyle w:val="fontstyle01"/>
        </w:rPr>
        <w:t xml:space="preserve">1 публикация </w:t>
      </w:r>
      <w:r w:rsidRPr="00D52142">
        <w:rPr>
          <w:rStyle w:val="fontstyle21"/>
          <w:rFonts w:ascii="Times New Roman" w:hAnsi="Times New Roman" w:cs="Times New Roman"/>
          <w:sz w:val="28"/>
          <w:szCs w:val="28"/>
        </w:rPr>
        <w:t>в международных научных изданиях, индексируемых в РИНЦ и входящих</w:t>
      </w:r>
      <w:r w:rsidRPr="0008197D">
        <w:t xml:space="preserve"> </w:t>
      </w:r>
      <w:r w:rsidRPr="00D52142">
        <w:rPr>
          <w:rStyle w:val="fontstyle21"/>
          <w:rFonts w:ascii="Times New Roman" w:hAnsi="Times New Roman" w:cs="Times New Roman"/>
          <w:sz w:val="28"/>
          <w:szCs w:val="28"/>
        </w:rPr>
        <w:t>в перечень BAK;</w:t>
      </w:r>
    </w:p>
    <w:p w14:paraId="6A6C72A0" w14:textId="348FB801" w:rsidR="00F531AE" w:rsidRPr="00E4764E" w:rsidRDefault="0008197D" w:rsidP="00D52142">
      <w:pPr>
        <w:pStyle w:val="a3"/>
        <w:numPr>
          <w:ilvl w:val="0"/>
          <w:numId w:val="41"/>
        </w:numPr>
        <w:tabs>
          <w:tab w:val="left" w:pos="993"/>
        </w:tabs>
        <w:spacing w:after="0" w:line="240" w:lineRule="auto"/>
        <w:ind w:left="0" w:firstLine="567"/>
        <w:jc w:val="both"/>
        <w:rPr>
          <w:rStyle w:val="fontstyle01"/>
        </w:rPr>
      </w:pPr>
      <w:r>
        <w:rPr>
          <w:rStyle w:val="fontstyle01"/>
        </w:rPr>
        <w:t>3</w:t>
      </w:r>
      <w:r w:rsidR="00F531AE">
        <w:rPr>
          <w:rStyle w:val="fontstyle01"/>
        </w:rPr>
        <w:t xml:space="preserve"> </w:t>
      </w:r>
      <w:r>
        <w:rPr>
          <w:rStyle w:val="fontstyle01"/>
        </w:rPr>
        <w:t>публикации</w:t>
      </w:r>
      <w:r w:rsidR="00F531AE">
        <w:rPr>
          <w:rStyle w:val="fontstyle01"/>
        </w:rPr>
        <w:t xml:space="preserve"> в мате</w:t>
      </w:r>
      <w:r w:rsidR="00325158">
        <w:rPr>
          <w:rStyle w:val="fontstyle01"/>
        </w:rPr>
        <w:t xml:space="preserve">риалах </w:t>
      </w:r>
      <w:r w:rsidR="00325158" w:rsidRPr="00E4764E">
        <w:rPr>
          <w:rStyle w:val="fontstyle01"/>
        </w:rPr>
        <w:t>международных конференций</w:t>
      </w:r>
      <w:r w:rsidR="00595C43" w:rsidRPr="00E4764E">
        <w:rPr>
          <w:rStyle w:val="fontstyle01"/>
        </w:rPr>
        <w:t>;</w:t>
      </w:r>
    </w:p>
    <w:p w14:paraId="27B9459E" w14:textId="7E51A214" w:rsidR="000B5ECB" w:rsidRPr="00E4764E" w:rsidRDefault="009E497D" w:rsidP="00EF24A0">
      <w:pPr>
        <w:pStyle w:val="a3"/>
        <w:numPr>
          <w:ilvl w:val="0"/>
          <w:numId w:val="41"/>
        </w:numPr>
        <w:tabs>
          <w:tab w:val="left" w:pos="851"/>
          <w:tab w:val="left" w:pos="993"/>
        </w:tabs>
        <w:spacing w:after="0" w:line="240" w:lineRule="auto"/>
        <w:ind w:left="0" w:firstLine="567"/>
        <w:jc w:val="both"/>
        <w:rPr>
          <w:rFonts w:ascii="Times New Roman" w:hAnsi="Times New Roman"/>
          <w:sz w:val="28"/>
          <w:szCs w:val="28"/>
          <w:lang w:val="kk-KZ"/>
        </w:rPr>
      </w:pPr>
      <w:r w:rsidRPr="00E4764E">
        <w:rPr>
          <w:rStyle w:val="fontstyle01"/>
        </w:rPr>
        <w:t>3 свидетельства</w:t>
      </w:r>
      <w:r w:rsidR="002E57D6" w:rsidRPr="00E4764E">
        <w:rPr>
          <w:rStyle w:val="fontstyle01"/>
        </w:rPr>
        <w:t xml:space="preserve"> о внесении сведений в государственный реестр прав на</w:t>
      </w:r>
      <w:r w:rsidRPr="00E4764E">
        <w:rPr>
          <w:rStyle w:val="fontstyle01"/>
        </w:rPr>
        <w:t xml:space="preserve"> </w:t>
      </w:r>
      <w:r w:rsidR="002E57D6" w:rsidRPr="00E4764E">
        <w:rPr>
          <w:rStyle w:val="fontstyle01"/>
        </w:rPr>
        <w:t>объекты, охраняемые авторским правом</w:t>
      </w:r>
      <w:r w:rsidR="00D52142" w:rsidRPr="00E4764E">
        <w:rPr>
          <w:rStyle w:val="fontstyle01"/>
        </w:rPr>
        <w:t xml:space="preserve"> </w:t>
      </w:r>
      <w:r w:rsidR="00DA3506" w:rsidRPr="00E4764E">
        <w:rPr>
          <w:rFonts w:ascii="Times New Roman" w:hAnsi="Times New Roman"/>
          <w:sz w:val="28"/>
          <w:szCs w:val="28"/>
          <w:lang w:val="kk-KZ"/>
        </w:rPr>
        <w:t>(</w:t>
      </w:r>
      <w:r w:rsidR="00EE5052" w:rsidRPr="00E4764E">
        <w:rPr>
          <w:rFonts w:ascii="Times New Roman" w:hAnsi="Times New Roman"/>
          <w:sz w:val="28"/>
          <w:szCs w:val="28"/>
          <w:lang w:val="kk-KZ"/>
        </w:rPr>
        <w:t xml:space="preserve">Приложение </w:t>
      </w:r>
      <w:r w:rsidR="003E50C3" w:rsidRPr="00E4764E">
        <w:rPr>
          <w:rFonts w:ascii="Times New Roman" w:hAnsi="Times New Roman"/>
          <w:sz w:val="28"/>
          <w:szCs w:val="28"/>
          <w:lang w:val="kk-KZ"/>
        </w:rPr>
        <w:t>В</w:t>
      </w:r>
      <w:r w:rsidR="00DA3506" w:rsidRPr="00E4764E">
        <w:rPr>
          <w:rFonts w:ascii="Times New Roman" w:hAnsi="Times New Roman"/>
          <w:sz w:val="28"/>
          <w:szCs w:val="28"/>
          <w:lang w:val="kk-KZ"/>
        </w:rPr>
        <w:t>)</w:t>
      </w:r>
      <w:r w:rsidR="00595C43" w:rsidRPr="00E4764E">
        <w:rPr>
          <w:rFonts w:ascii="Times New Roman" w:hAnsi="Times New Roman"/>
          <w:sz w:val="28"/>
          <w:szCs w:val="28"/>
          <w:lang w:val="kk-KZ"/>
        </w:rPr>
        <w:t>;</w:t>
      </w:r>
    </w:p>
    <w:p w14:paraId="677F83F9" w14:textId="662800F3" w:rsidR="00F2118D" w:rsidRPr="000B5ECB" w:rsidRDefault="00F2118D" w:rsidP="00EF24A0">
      <w:pPr>
        <w:pStyle w:val="a3"/>
        <w:numPr>
          <w:ilvl w:val="0"/>
          <w:numId w:val="41"/>
        </w:numPr>
        <w:tabs>
          <w:tab w:val="left" w:pos="851"/>
          <w:tab w:val="left" w:pos="993"/>
        </w:tabs>
        <w:spacing w:after="0" w:line="240" w:lineRule="auto"/>
        <w:ind w:left="0" w:firstLine="567"/>
        <w:jc w:val="both"/>
        <w:rPr>
          <w:rFonts w:ascii="Times New Roman" w:hAnsi="Times New Roman"/>
          <w:sz w:val="28"/>
          <w:szCs w:val="28"/>
          <w:lang w:val="kk-KZ"/>
        </w:rPr>
      </w:pPr>
      <w:r w:rsidRPr="00E4764E">
        <w:rPr>
          <w:rFonts w:ascii="Times New Roman" w:hAnsi="Times New Roman"/>
          <w:sz w:val="28"/>
          <w:szCs w:val="28"/>
          <w:lang w:val="kk-KZ"/>
        </w:rPr>
        <w:t>Разработаны методические рекомендации для врачей: Измайлович М. Р., Газалиева М. А., Глушкова Н. Е. «Оценка состояния пациентов с сезонным аллергическим ринитом на фоне проведения аллерген</w:t>
      </w:r>
      <w:r w:rsidRPr="000B5ECB">
        <w:rPr>
          <w:rFonts w:ascii="Times New Roman" w:hAnsi="Times New Roman"/>
          <w:sz w:val="28"/>
          <w:szCs w:val="28"/>
          <w:lang w:val="kk-KZ"/>
        </w:rPr>
        <w:t>-специфической иммунотерапии»</w:t>
      </w:r>
      <w:r w:rsidR="008F3927" w:rsidRPr="000B5ECB">
        <w:rPr>
          <w:rFonts w:ascii="Times New Roman" w:hAnsi="Times New Roman"/>
          <w:sz w:val="28"/>
          <w:szCs w:val="28"/>
          <w:lang w:val="kk-KZ"/>
        </w:rPr>
        <w:t>.</w:t>
      </w:r>
      <w:r w:rsidRPr="000B5ECB">
        <w:rPr>
          <w:rFonts w:ascii="Times New Roman" w:hAnsi="Times New Roman"/>
          <w:sz w:val="28"/>
          <w:szCs w:val="28"/>
          <w:lang w:val="kk-KZ"/>
        </w:rPr>
        <w:t xml:space="preserve"> </w:t>
      </w:r>
    </w:p>
    <w:p w14:paraId="272FD37A" w14:textId="11392CFC" w:rsidR="005925B5" w:rsidRPr="00A73082" w:rsidRDefault="00A73082" w:rsidP="00A73082">
      <w:pPr>
        <w:tabs>
          <w:tab w:val="left" w:pos="851"/>
        </w:tabs>
        <w:spacing w:after="0" w:line="240" w:lineRule="auto"/>
        <w:ind w:firstLine="567"/>
        <w:jc w:val="both"/>
        <w:rPr>
          <w:rFonts w:ascii="Times New Roman" w:hAnsi="Times New Roman"/>
          <w:b/>
          <w:sz w:val="28"/>
          <w:szCs w:val="28"/>
          <w:highlight w:val="yellow"/>
        </w:rPr>
      </w:pPr>
      <w:r w:rsidRPr="00A73082">
        <w:rPr>
          <w:rStyle w:val="fontstyle01"/>
          <w:b/>
        </w:rPr>
        <w:t>Структура и объем диссертации</w:t>
      </w:r>
    </w:p>
    <w:p w14:paraId="178F9BCD" w14:textId="7592CCF9" w:rsidR="00D56EB0" w:rsidRDefault="002139BC" w:rsidP="00D56EB0">
      <w:pPr>
        <w:tabs>
          <w:tab w:val="left" w:pos="851"/>
        </w:tabs>
        <w:spacing w:after="0" w:line="240" w:lineRule="auto"/>
        <w:ind w:firstLine="567"/>
        <w:jc w:val="both"/>
        <w:rPr>
          <w:rFonts w:ascii="Times New Roman" w:hAnsi="Times New Roman"/>
          <w:sz w:val="28"/>
          <w:szCs w:val="28"/>
        </w:rPr>
      </w:pPr>
      <w:r>
        <w:rPr>
          <w:rFonts w:ascii="Times New Roman" w:hAnsi="Times New Roman"/>
          <w:sz w:val="28"/>
          <w:szCs w:val="28"/>
        </w:rPr>
        <w:t>Диссертация изложена на 12</w:t>
      </w:r>
      <w:r w:rsidR="004307B4">
        <w:rPr>
          <w:rFonts w:ascii="Times New Roman" w:hAnsi="Times New Roman"/>
          <w:sz w:val="28"/>
          <w:szCs w:val="28"/>
        </w:rPr>
        <w:t>6</w:t>
      </w:r>
      <w:r w:rsidR="00ED12DC">
        <w:rPr>
          <w:rFonts w:ascii="Times New Roman" w:hAnsi="Times New Roman"/>
          <w:sz w:val="28"/>
          <w:szCs w:val="28"/>
        </w:rPr>
        <w:t xml:space="preserve"> страницах</w:t>
      </w:r>
      <w:r w:rsidR="00D56EB0" w:rsidRPr="00AC057B">
        <w:rPr>
          <w:rFonts w:ascii="Times New Roman" w:hAnsi="Times New Roman"/>
          <w:sz w:val="28"/>
          <w:szCs w:val="28"/>
        </w:rPr>
        <w:t xml:space="preserve"> маши</w:t>
      </w:r>
      <w:r w:rsidR="00767F96">
        <w:rPr>
          <w:rFonts w:ascii="Times New Roman" w:hAnsi="Times New Roman"/>
          <w:sz w:val="28"/>
          <w:szCs w:val="28"/>
        </w:rPr>
        <w:t>нописного текста, содержи</w:t>
      </w:r>
      <w:r w:rsidR="009037F7">
        <w:rPr>
          <w:rFonts w:ascii="Times New Roman" w:hAnsi="Times New Roman"/>
          <w:sz w:val="28"/>
          <w:szCs w:val="28"/>
        </w:rPr>
        <w:t>т 20</w:t>
      </w:r>
      <w:r w:rsidR="00D56EB0" w:rsidRPr="00AC057B">
        <w:rPr>
          <w:rFonts w:ascii="Times New Roman" w:hAnsi="Times New Roman"/>
          <w:sz w:val="28"/>
          <w:szCs w:val="28"/>
        </w:rPr>
        <w:t xml:space="preserve"> таблиц</w:t>
      </w:r>
      <w:r w:rsidR="001E54F3">
        <w:rPr>
          <w:rFonts w:ascii="Times New Roman" w:hAnsi="Times New Roman"/>
          <w:sz w:val="28"/>
          <w:szCs w:val="28"/>
        </w:rPr>
        <w:t xml:space="preserve"> и 12</w:t>
      </w:r>
      <w:r w:rsidR="00D56EB0" w:rsidRPr="00AC057B">
        <w:rPr>
          <w:rFonts w:ascii="Times New Roman" w:hAnsi="Times New Roman"/>
          <w:sz w:val="28"/>
          <w:szCs w:val="28"/>
        </w:rPr>
        <w:t xml:space="preserve"> рисунков. Диссертация включает в себя следующие разделы: введение, обзор литературы, материалы и методы, результаты собственных исследований, обсуждение результатов, </w:t>
      </w:r>
      <w:r w:rsidR="00F05D51" w:rsidRPr="00AC057B">
        <w:rPr>
          <w:rFonts w:ascii="Times New Roman" w:hAnsi="Times New Roman"/>
          <w:sz w:val="28"/>
          <w:szCs w:val="28"/>
        </w:rPr>
        <w:t>заключение</w:t>
      </w:r>
      <w:r w:rsidR="00D56EB0" w:rsidRPr="00AC057B">
        <w:rPr>
          <w:rFonts w:ascii="Times New Roman" w:hAnsi="Times New Roman"/>
          <w:sz w:val="28"/>
          <w:szCs w:val="28"/>
        </w:rPr>
        <w:t>, список литературы,</w:t>
      </w:r>
      <w:r w:rsidR="00AC057B" w:rsidRPr="00AC057B">
        <w:rPr>
          <w:rFonts w:ascii="Times New Roman" w:hAnsi="Times New Roman"/>
          <w:sz w:val="28"/>
          <w:szCs w:val="28"/>
        </w:rPr>
        <w:t xml:space="preserve"> приложения</w:t>
      </w:r>
      <w:r w:rsidR="00D56EB0" w:rsidRPr="00AC057B">
        <w:rPr>
          <w:rFonts w:ascii="Times New Roman" w:hAnsi="Times New Roman"/>
          <w:sz w:val="28"/>
          <w:szCs w:val="28"/>
        </w:rPr>
        <w:t xml:space="preserve">. </w:t>
      </w:r>
      <w:r w:rsidR="00D15FC8">
        <w:rPr>
          <w:rFonts w:ascii="Times New Roman" w:hAnsi="Times New Roman"/>
          <w:sz w:val="28"/>
          <w:szCs w:val="28"/>
        </w:rPr>
        <w:t>Библиография включает 180</w:t>
      </w:r>
      <w:r w:rsidR="00AC057B" w:rsidRPr="00AC057B">
        <w:rPr>
          <w:rFonts w:ascii="Times New Roman" w:hAnsi="Times New Roman"/>
          <w:sz w:val="28"/>
          <w:szCs w:val="28"/>
        </w:rPr>
        <w:t xml:space="preserve"> источников</w:t>
      </w:r>
      <w:r w:rsidR="00D56EB0" w:rsidRPr="00AC057B">
        <w:rPr>
          <w:rFonts w:ascii="Times New Roman" w:hAnsi="Times New Roman"/>
          <w:sz w:val="28"/>
          <w:szCs w:val="28"/>
        </w:rPr>
        <w:t xml:space="preserve"> </w:t>
      </w:r>
      <w:r w:rsidR="00AC057B" w:rsidRPr="00AC057B">
        <w:rPr>
          <w:rStyle w:val="fontstyle01"/>
        </w:rPr>
        <w:t>на</w:t>
      </w:r>
      <w:r w:rsidR="006F4268">
        <w:rPr>
          <w:rStyle w:val="fontstyle01"/>
        </w:rPr>
        <w:t xml:space="preserve"> </w:t>
      </w:r>
      <w:r w:rsidR="00AC057B" w:rsidRPr="00AC057B">
        <w:rPr>
          <w:rStyle w:val="fontstyle01"/>
        </w:rPr>
        <w:t>русском и английском языках.</w:t>
      </w:r>
    </w:p>
    <w:p w14:paraId="238C2091" w14:textId="77777777" w:rsidR="000735B3" w:rsidRDefault="000735B3">
      <w:pPr>
        <w:rPr>
          <w:rFonts w:ascii="Times New Roman" w:hAnsi="Times New Roman"/>
          <w:sz w:val="28"/>
          <w:szCs w:val="28"/>
        </w:rPr>
      </w:pPr>
      <w:r>
        <w:rPr>
          <w:rFonts w:ascii="Times New Roman" w:hAnsi="Times New Roman"/>
          <w:sz w:val="28"/>
          <w:szCs w:val="28"/>
        </w:rPr>
        <w:br w:type="page"/>
      </w:r>
    </w:p>
    <w:p w14:paraId="79AFC56B" w14:textId="7953DF6C" w:rsidR="00CE2630" w:rsidRPr="001B27F8" w:rsidRDefault="00E43276" w:rsidP="001B27F8">
      <w:pPr>
        <w:pStyle w:val="1"/>
        <w:numPr>
          <w:ilvl w:val="0"/>
          <w:numId w:val="0"/>
        </w:numPr>
        <w:tabs>
          <w:tab w:val="left" w:pos="851"/>
        </w:tabs>
        <w:spacing w:before="0" w:line="240" w:lineRule="auto"/>
        <w:ind w:firstLine="567"/>
        <w:jc w:val="both"/>
        <w:rPr>
          <w:rFonts w:ascii="Times New Roman" w:hAnsi="Times New Roman" w:cs="Times New Roman"/>
          <w:b/>
          <w:color w:val="auto"/>
          <w:sz w:val="28"/>
          <w:szCs w:val="28"/>
        </w:rPr>
      </w:pPr>
      <w:bookmarkStart w:id="5" w:name="_Toc137904329"/>
      <w:bookmarkEnd w:id="0"/>
      <w:r w:rsidRPr="001B27F8">
        <w:rPr>
          <w:rFonts w:ascii="Times New Roman" w:hAnsi="Times New Roman" w:cs="Times New Roman"/>
          <w:b/>
          <w:color w:val="auto"/>
          <w:sz w:val="28"/>
          <w:szCs w:val="28"/>
        </w:rPr>
        <w:t>1</w:t>
      </w:r>
      <w:r w:rsidR="00F23A53" w:rsidRPr="001B27F8">
        <w:rPr>
          <w:rFonts w:ascii="Times New Roman" w:hAnsi="Times New Roman" w:cs="Times New Roman"/>
          <w:b/>
          <w:color w:val="auto"/>
          <w:sz w:val="28"/>
          <w:szCs w:val="28"/>
        </w:rPr>
        <w:t xml:space="preserve"> </w:t>
      </w:r>
      <w:r w:rsidR="00663AA3" w:rsidRPr="001B27F8">
        <w:rPr>
          <w:rFonts w:ascii="Times New Roman" w:hAnsi="Times New Roman" w:cs="Times New Roman"/>
          <w:b/>
          <w:color w:val="auto"/>
          <w:sz w:val="28"/>
          <w:szCs w:val="28"/>
        </w:rPr>
        <w:t>ОБЗОР ЛИТЕРАТУРЫ</w:t>
      </w:r>
      <w:bookmarkEnd w:id="5"/>
    </w:p>
    <w:p w14:paraId="5CA3FC9C" w14:textId="77777777" w:rsidR="00B177E8" w:rsidRPr="001B27F8" w:rsidRDefault="00B177E8" w:rsidP="001B27F8">
      <w:pPr>
        <w:tabs>
          <w:tab w:val="left" w:pos="851"/>
        </w:tabs>
        <w:spacing w:after="0" w:line="240" w:lineRule="auto"/>
        <w:ind w:firstLine="567"/>
        <w:jc w:val="both"/>
        <w:rPr>
          <w:rFonts w:ascii="Times New Roman" w:hAnsi="Times New Roman" w:cs="Times New Roman"/>
          <w:sz w:val="28"/>
          <w:szCs w:val="28"/>
        </w:rPr>
      </w:pPr>
    </w:p>
    <w:p w14:paraId="67358C49" w14:textId="4299380C" w:rsidR="00064854" w:rsidRPr="00120419" w:rsidRDefault="00064854" w:rsidP="00102E42">
      <w:pPr>
        <w:pStyle w:val="1"/>
        <w:numPr>
          <w:ilvl w:val="1"/>
          <w:numId w:val="2"/>
        </w:numPr>
        <w:tabs>
          <w:tab w:val="left" w:pos="851"/>
          <w:tab w:val="left" w:pos="1134"/>
        </w:tabs>
        <w:spacing w:before="0" w:line="240" w:lineRule="auto"/>
        <w:ind w:left="0" w:firstLine="567"/>
        <w:jc w:val="both"/>
        <w:rPr>
          <w:rStyle w:val="a4"/>
          <w:rFonts w:ascii="Times New Roman" w:hAnsi="Times New Roman" w:cs="Times New Roman"/>
          <w:bCs w:val="0"/>
          <w:i w:val="0"/>
          <w:iCs w:val="0"/>
          <w:color w:val="auto"/>
          <w:spacing w:val="0"/>
          <w:sz w:val="28"/>
          <w:szCs w:val="28"/>
        </w:rPr>
      </w:pPr>
      <w:bookmarkStart w:id="6" w:name="_Toc137904330"/>
      <w:r w:rsidRPr="00120419">
        <w:rPr>
          <w:rStyle w:val="a4"/>
          <w:rFonts w:ascii="Times New Roman" w:hAnsi="Times New Roman" w:cs="Times New Roman"/>
          <w:bCs w:val="0"/>
          <w:i w:val="0"/>
          <w:iCs w:val="0"/>
          <w:color w:val="auto"/>
          <w:spacing w:val="0"/>
          <w:sz w:val="28"/>
          <w:szCs w:val="28"/>
        </w:rPr>
        <w:t xml:space="preserve">Медико-социальное значение </w:t>
      </w:r>
      <w:r w:rsidR="00021FE6" w:rsidRPr="00120419">
        <w:rPr>
          <w:rStyle w:val="a4"/>
          <w:rFonts w:ascii="Times New Roman" w:hAnsi="Times New Roman" w:cs="Times New Roman"/>
          <w:bCs w:val="0"/>
          <w:i w:val="0"/>
          <w:iCs w:val="0"/>
          <w:color w:val="auto"/>
          <w:spacing w:val="0"/>
          <w:sz w:val="28"/>
          <w:szCs w:val="28"/>
        </w:rPr>
        <w:t>сез</w:t>
      </w:r>
      <w:r w:rsidR="004D36A4" w:rsidRPr="00120419">
        <w:rPr>
          <w:rStyle w:val="a4"/>
          <w:rFonts w:ascii="Times New Roman" w:hAnsi="Times New Roman" w:cs="Times New Roman"/>
          <w:bCs w:val="0"/>
          <w:i w:val="0"/>
          <w:iCs w:val="0"/>
          <w:color w:val="auto"/>
          <w:spacing w:val="0"/>
          <w:sz w:val="28"/>
          <w:szCs w:val="28"/>
        </w:rPr>
        <w:t xml:space="preserve">онных аллергических </w:t>
      </w:r>
      <w:r w:rsidR="00A10BBE" w:rsidRPr="00120419">
        <w:rPr>
          <w:rStyle w:val="a4"/>
          <w:rFonts w:ascii="Times New Roman" w:hAnsi="Times New Roman" w:cs="Times New Roman"/>
          <w:bCs w:val="0"/>
          <w:i w:val="0"/>
          <w:iCs w:val="0"/>
          <w:color w:val="auto"/>
          <w:spacing w:val="0"/>
          <w:sz w:val="28"/>
          <w:szCs w:val="28"/>
        </w:rPr>
        <w:t>ринитов</w:t>
      </w:r>
      <w:bookmarkEnd w:id="6"/>
    </w:p>
    <w:p w14:paraId="2BADDA8E" w14:textId="1CBD8E4A" w:rsidR="007C6798" w:rsidRPr="001B27F8" w:rsidRDefault="00BC4A2E" w:rsidP="001B27F8">
      <w:pPr>
        <w:tabs>
          <w:tab w:val="left" w:pos="851"/>
        </w:tabs>
        <w:spacing w:after="0" w:line="240" w:lineRule="auto"/>
        <w:ind w:firstLine="567"/>
        <w:jc w:val="both"/>
        <w:rPr>
          <w:rFonts w:ascii="Times New Roman" w:hAnsi="Times New Roman" w:cs="Times New Roman"/>
          <w:sz w:val="28"/>
          <w:szCs w:val="28"/>
        </w:rPr>
      </w:pPr>
      <w:r w:rsidRPr="001B27F8">
        <w:rPr>
          <w:rStyle w:val="fontstyle01"/>
          <w:color w:val="auto"/>
        </w:rPr>
        <w:t>Сезонные</w:t>
      </w:r>
      <w:r w:rsidR="00874E80" w:rsidRPr="001B27F8">
        <w:rPr>
          <w:rStyle w:val="fontstyle01"/>
          <w:color w:val="auto"/>
        </w:rPr>
        <w:t xml:space="preserve"> аллергические риниты</w:t>
      </w:r>
      <w:r w:rsidR="00561E13">
        <w:rPr>
          <w:rStyle w:val="fontstyle01"/>
          <w:color w:val="auto"/>
        </w:rPr>
        <w:t xml:space="preserve"> (САР)</w:t>
      </w:r>
      <w:r w:rsidR="00874E80" w:rsidRPr="001B27F8">
        <w:rPr>
          <w:rStyle w:val="fontstyle01"/>
          <w:color w:val="auto"/>
        </w:rPr>
        <w:t xml:space="preserve"> в Республике Казахстан</w:t>
      </w:r>
      <w:r w:rsidR="00561E13">
        <w:rPr>
          <w:rStyle w:val="fontstyle01"/>
          <w:color w:val="auto"/>
        </w:rPr>
        <w:t xml:space="preserve"> (РК)</w:t>
      </w:r>
      <w:r w:rsidR="00874E80" w:rsidRPr="001B27F8">
        <w:rPr>
          <w:rStyle w:val="fontstyle01"/>
          <w:color w:val="auto"/>
        </w:rPr>
        <w:t xml:space="preserve"> имеют характерную особенность сенсибилизации </w:t>
      </w:r>
      <w:r w:rsidR="00385398" w:rsidRPr="001B27F8">
        <w:rPr>
          <w:rStyle w:val="fontstyle01"/>
          <w:color w:val="auto"/>
        </w:rPr>
        <w:t>к причинно-значимым аллергенам</w:t>
      </w:r>
      <w:r w:rsidR="00874E80" w:rsidRPr="001B27F8">
        <w:rPr>
          <w:rStyle w:val="fontstyle01"/>
          <w:color w:val="auto"/>
        </w:rPr>
        <w:t xml:space="preserve"> </w:t>
      </w:r>
      <w:r w:rsidR="00385398" w:rsidRPr="001B27F8">
        <w:rPr>
          <w:rStyle w:val="fontstyle01"/>
          <w:color w:val="auto"/>
        </w:rPr>
        <w:t>с тенденцией</w:t>
      </w:r>
      <w:r w:rsidR="00874E80" w:rsidRPr="001B27F8">
        <w:rPr>
          <w:rStyle w:val="fontstyle01"/>
          <w:color w:val="auto"/>
        </w:rPr>
        <w:t xml:space="preserve"> усиления аллергизации в сторону сорных трав, а особенно полыни</w:t>
      </w:r>
      <w:r w:rsidR="00C7400A" w:rsidRPr="001B27F8">
        <w:rPr>
          <w:rStyle w:val="fontstyle01"/>
          <w:color w:val="auto"/>
        </w:rPr>
        <w:t xml:space="preserve"> </w:t>
      </w:r>
      <w:r w:rsidR="00C7400A" w:rsidRPr="001B27F8">
        <w:rPr>
          <w:rStyle w:val="fontstyle01"/>
          <w:color w:val="auto"/>
        </w:rPr>
        <w:fldChar w:fldCharType="begin" w:fldLock="1"/>
      </w:r>
      <w:r w:rsidR="00765C06">
        <w:rPr>
          <w:rStyle w:val="fontstyle01"/>
          <w:color w:val="auto"/>
        </w:rPr>
        <w:instrText>ADDIN CSL_CITATION {"citationItems":[{"id":"ITEM-1","itemData":{"DOI":"10.34689/SH.2020.22.2.004","ISBN":"0000000314008","author":[{"dropping-particle":"","family":"Измайлович","given":"М.Р.","non-dropping-particle":"","parse-names":false,"suffix":""},{"dropping-particle":"","family":"Газалиева","given":"М.А.","non-dropping-particle":"","parse-names":false,"suffix":""},{"dropping-particle":"","family":"Глушкова","given":"Н.Е.","non-dropping-particle":"","parse-names":false,"suffix":""},{"dropping-particle":"","family":"Дедова","given":"О.Ю.","non-dropping-particle":"","parse-names":false,"suffix":""},{"dropping-particle":"","family":"Мендибай","given":"С.Т.","non-dropping-particle":"","parse-names":false,"suffix":""},{"dropping-particle":"","family":"Скворцова","given":"А.В.","non-dropping-particle":"","parse-names":false,"suffix":""}],"container-title":"Наука и Здравоохранение","id":"ITEM-1","issue":"2","issued":{"date-parts":[["2020"]]},"page":"38-48","title":"Иммунологические аспекты эффективности аллерген- специфической иммунотерапии. Обзор литературы.","type":"article-journal","volume":"22"},"uris":["http://www.mendeley.com/documents/?uuid=c3bbf822-416f-4513-b28d-0e8490817195"]},{"id":"ITEM-2","itemData":{"author":[{"dropping-particle":"","family":"Салтабаева","given":"У.Ш.","non-dropping-particle":"","parse-names":false,"suffix":""}],"container-title":"Евразийское научное объединение","id":"ITEM-2","issue":"9","issued":{"date-parts":[["2015"]]},"page":"17-18","title":"Сравнительная эффективность видов аллерген - специфической иммунотерапии при поллинозе","type":"article-journal","volume":"1"},"uris":["http://www.mendeley.com/documents/?uuid=52d67703-1818-4cd4-b352-78d16867b968"]},{"id":"ITEM-3","itemData":{"author":[{"dropping-particle":"","family":"Розенсон","given":"Р.И.","non-dropping-particle":"","parse-names":false,"suffix":""}],"container-title":"Клиническая медицина Казахстана","id":"ITEM-3","issue":"28","issued":{"date-parts":[["2013"]]},"page":"75-76","title":"Сравнительная характеристика аллергических и неаллергических ринитов у детей","type":"article-journal","volume":"2"},"uris":["http://www.mendeley.com/documents/?uuid=4351813e-af1a-486a-b82d-c3ef978378b1"]}],"mendeley":{"formattedCitation":"[19,27,28]","plainTextFormattedCitation":"[19,27,28]","previouslyFormattedCitation":"[19,27,28]"},"properties":{"noteIndex":0},"schema":"https://github.com/citation-style-language/schema/raw/master/csl-citation.json"}</w:instrText>
      </w:r>
      <w:r w:rsidR="00C7400A" w:rsidRPr="001B27F8">
        <w:rPr>
          <w:rStyle w:val="fontstyle01"/>
          <w:color w:val="auto"/>
        </w:rPr>
        <w:fldChar w:fldCharType="separate"/>
      </w:r>
      <w:r w:rsidR="00877069" w:rsidRPr="00877069">
        <w:rPr>
          <w:rStyle w:val="fontstyle01"/>
          <w:noProof/>
          <w:color w:val="auto"/>
        </w:rPr>
        <w:t>[19,27,28]</w:t>
      </w:r>
      <w:r w:rsidR="00C7400A" w:rsidRPr="001B27F8">
        <w:rPr>
          <w:rStyle w:val="fontstyle01"/>
          <w:color w:val="auto"/>
        </w:rPr>
        <w:fldChar w:fldCharType="end"/>
      </w:r>
      <w:r w:rsidR="00874E80" w:rsidRPr="001B27F8">
        <w:rPr>
          <w:rStyle w:val="fontstyle01"/>
          <w:color w:val="auto"/>
        </w:rPr>
        <w:t>.</w:t>
      </w:r>
      <w:r w:rsidR="00B61D9F" w:rsidRPr="001B27F8">
        <w:rPr>
          <w:rStyle w:val="fontstyle01"/>
          <w:color w:val="auto"/>
        </w:rPr>
        <w:t xml:space="preserve"> </w:t>
      </w:r>
      <w:r w:rsidR="00874E80" w:rsidRPr="001B27F8">
        <w:rPr>
          <w:rStyle w:val="fontstyle01"/>
          <w:color w:val="auto"/>
        </w:rPr>
        <w:t>Интенсивность</w:t>
      </w:r>
      <w:r w:rsidR="00C7400A" w:rsidRPr="001B27F8">
        <w:rPr>
          <w:rStyle w:val="fontstyle01"/>
          <w:color w:val="auto"/>
        </w:rPr>
        <w:t xml:space="preserve"> </w:t>
      </w:r>
      <w:r w:rsidR="00874E80" w:rsidRPr="001B27F8">
        <w:rPr>
          <w:rStyle w:val="fontstyle01"/>
          <w:color w:val="auto"/>
        </w:rPr>
        <w:t>сенсибилизации к данным</w:t>
      </w:r>
      <w:r w:rsidR="00C7400A" w:rsidRPr="001B27F8">
        <w:rPr>
          <w:rStyle w:val="fontstyle01"/>
          <w:color w:val="auto"/>
        </w:rPr>
        <w:t xml:space="preserve"> </w:t>
      </w:r>
      <w:r w:rsidR="00874E80" w:rsidRPr="001B27F8">
        <w:rPr>
          <w:rStyle w:val="fontstyle01"/>
          <w:color w:val="auto"/>
        </w:rPr>
        <w:t xml:space="preserve">аллергенам в миллион раз превышает таковую отмечающуюся в Центральной Европе и Европейской части Российской Федерации </w:t>
      </w:r>
      <w:r w:rsidR="00874E80" w:rsidRPr="001B27F8">
        <w:rPr>
          <w:rStyle w:val="fontstyle01"/>
          <w:color w:val="auto"/>
        </w:rPr>
        <w:fldChar w:fldCharType="begin" w:fldLock="1"/>
      </w:r>
      <w:r w:rsidR="00765C06">
        <w:rPr>
          <w:rStyle w:val="fontstyle01"/>
          <w:color w:val="auto"/>
        </w:rPr>
        <w:instrText>ADDIN CSL_CITATION {"citationItems":[{"id":"ITEM-1","itemData":{"ISBN":"978 0 7559 6590 8","ISSN":"1573045X","PMID":"14766562","abstract":"Each type of property has its own attributes that imposed significant impact to the property value and buying decisions. From the past studies the attribute which could gave impact to the location decisions and property valuea were social, physical, economic and environment. In this study, researcher examined the impact of the neighbourhood facilities towards the locational decisions of the potential buyers and residential property value in case study area. The research objectives of this study were to identify the existing pattern and layout of neighbourhood facilities attributes in case study area as well as to ascertain the classification of neighbourhood facilities attributes follow the current existing pattern and layout in case study area. Besides, this study aimed investigated the significant of the identified neighbourhood facilities attributes influencing value of the residential properties in case study area and investigate the significant of the identified neighbourhood facilities attributes influencing the locational decisions in case study area. The researcher adopted mixed method approach and data collection method was mainly based on the relevant documents such as Kajang Municipal Council and Sepang Municipal Council Local Plans as well as the document review from NAPIC, interview and observation in the case study area. The method analysis was done by using Thematic Analysis, Mann Whitney U Test Analysis and Trend Analysis. The findings indicate the area of study was divided into 16 sections and the neighbourhood facilities‟ attributes were further categorized as “institutional and community facilities”, “open space and recreationconveniences” and “accessibility.” The general finding of this study reveal that there are significant relationship between some of neighbourhood facilities such as shopping complexes, schools, sport accomodation, highway accessibility and worship centers towards location decisions as well as values of the residential properties in Bandar Baru Bangi.","author":[{"dropping-particle":"","family":"Маслова","given":"Л. В.","non-dropping-particle":"","parse-names":false,"suffix":""}],"container-title":"диссертация д.м.н.","id":"ITEM-1","issued":{"date-parts":[["2014"]]},"number-of-pages":"198","title":"Эффективность и механизмы сублингвальной иммунотерапии с аллергическими заболеваниями дыхательных путей","type":"thesis"},"uris":["http://www.mendeley.com/documents/?uuid=52352ad2-7703-481d-a627-492973fe7ebc"]},{"id":"ITEM-2","itemData":{"author":[{"dropping-particle":"","family":"Салтабаева","given":"У.Ш.","non-dropping-particle":"","parse-names":false,"suffix":""}],"container-title":"Евразийское научное объединение","id":"ITEM-2","issue":"9","issued":{"date-parts":[["2015"]]},"page":"17-18","title":"Сравнительная эффективность видов аллерген - специфической иммунотерапии при поллинозе","type":"article-journal","volume":"1"},"uris":["http://www.mendeley.com/documents/?uuid=52d67703-1818-4cd4-b352-78d16867b968"]}],"mendeley":{"formattedCitation":"[27,29]","plainTextFormattedCitation":"[27,29]","previouslyFormattedCitation":"[27,29]"},"properties":{"noteIndex":0},"schema":"https://github.com/citation-style-language/schema/raw/master/csl-citation.json"}</w:instrText>
      </w:r>
      <w:r w:rsidR="00874E80" w:rsidRPr="001B27F8">
        <w:rPr>
          <w:rStyle w:val="fontstyle01"/>
          <w:color w:val="auto"/>
        </w:rPr>
        <w:fldChar w:fldCharType="separate"/>
      </w:r>
      <w:r w:rsidR="00877069" w:rsidRPr="00877069">
        <w:rPr>
          <w:rStyle w:val="fontstyle01"/>
          <w:noProof/>
          <w:color w:val="auto"/>
        </w:rPr>
        <w:t>[27,29]</w:t>
      </w:r>
      <w:r w:rsidR="00874E80" w:rsidRPr="001B27F8">
        <w:rPr>
          <w:rStyle w:val="fontstyle01"/>
          <w:color w:val="auto"/>
        </w:rPr>
        <w:fldChar w:fldCharType="end"/>
      </w:r>
      <w:r w:rsidR="00874E80" w:rsidRPr="001B27F8">
        <w:rPr>
          <w:rStyle w:val="fontstyle01"/>
          <w:color w:val="auto"/>
        </w:rPr>
        <w:t xml:space="preserve">. Одним из наиболее распространенных аллергенов пыльцы в Европе и Северной Америке является трава тимофеевка </w:t>
      </w:r>
      <w:r w:rsidR="00874E80" w:rsidRPr="001B27F8">
        <w:rPr>
          <w:rStyle w:val="fontstyle01"/>
          <w:color w:val="auto"/>
        </w:rPr>
        <w:fldChar w:fldCharType="begin" w:fldLock="1"/>
      </w:r>
      <w:r w:rsidR="00765C06">
        <w:rPr>
          <w:rStyle w:val="fontstyle01"/>
          <w:color w:val="auto"/>
        </w:rPr>
        <w:instrText>ADDIN CSL_CITATION {"citationItems":[{"id":"ITEM-1","itemData":{"DOI":"10.1111/bcpt.12416","ISSN":"17427843","PMID":"25968654","abstract":"Allergic rhinitis (AR) triggered by grass pollen is a common disease, affecting millions of people worldwide. Treatment consists of symptom-alleviating drugs, such as topical corticosteroids or antihistamines. Another option is potentially curative immunotherapy, currently available as sublingual and subcutaneous treatment. We investigated the potential differences in the prevalence and severity of adverse events related to subcutaneous and sublingual immunotherapy (SLIT) against grass pollen-induced AR. A thorough literature search was performed with PubMed and EMBASE. The findings were compared with the available summaries of product characteristics (SPC) and with commercial pharmacology databases (Micromedex). The majority of available safety data originate from registered products of standardized allergens. A surprisingly large percentage of drugs, especially those used in the United States, have no systematically collected safety data. No sufficiently powered randomized trials comparing sublingual and subcutaneous immunotherapy (SCIT) were available, but general safety assessments indicate that sublingual tablet treatment is safer than subcutaneous treatment. Not all commonly used immunotherapy drugs are officially registered, and not all have systematically collected safety data. This is especially true for older drugs used in the United States. In contrast, newer drugs that have undergone extensive clinical testing have better documentation, but unified collection of safety data is still lacking. Considering the evidence available, most drugs elicit similar side effects from the same organ systems, and symptoms from the sublingual drug classes are probably less severe. However, a head-to-head comparison of safety and efficacy is lacking.","author":[{"dropping-particle":"","family":"Aasbjerg","given":"Kristian","non-dropping-particle":"","parse-names":false,"suffix":""},{"dropping-particle":"","family":"Dalhoff","given":"Kim Peder","non-dropping-particle":"","parse-names":false,"suffix":""},{"dropping-particle":"","family":"Backer","given":"Vibeke","non-dropping-particle":"","parse-names":false,"suffix":""}],"container-title":"Basic and Clinical Pharmacology and Toxicology","id":"ITEM-1","issue":"2","issued":{"date-parts":[["2015"]]},"page":"73-84","title":"Adverse Events During Immunotherapy Against Grass Pollen-Induced Allergic Rhinitis - Differences Between Subcutaneous and Sublingual Treatment","type":"article-journal","volume":"117"},"uris":["http://www.mendeley.com/documents/?uuid=ca369fcc-814e-4056-a2a9-098aa3a70bf2"]}],"mendeley":{"formattedCitation":"[30]","plainTextFormattedCitation":"[30]","previouslyFormattedCitation":"[30]"},"properties":{"noteIndex":0},"schema":"https://github.com/citation-style-language/schema/raw/master/csl-citation.json"}</w:instrText>
      </w:r>
      <w:r w:rsidR="00874E80" w:rsidRPr="001B27F8">
        <w:rPr>
          <w:rStyle w:val="fontstyle01"/>
          <w:color w:val="auto"/>
        </w:rPr>
        <w:fldChar w:fldCharType="separate"/>
      </w:r>
      <w:r w:rsidR="00877069" w:rsidRPr="00877069">
        <w:rPr>
          <w:rStyle w:val="fontstyle01"/>
          <w:noProof/>
          <w:color w:val="auto"/>
        </w:rPr>
        <w:t>[30]</w:t>
      </w:r>
      <w:r w:rsidR="00874E80" w:rsidRPr="001B27F8">
        <w:rPr>
          <w:rStyle w:val="fontstyle01"/>
          <w:color w:val="auto"/>
        </w:rPr>
        <w:fldChar w:fldCharType="end"/>
      </w:r>
      <w:r w:rsidR="00874E80" w:rsidRPr="001B27F8">
        <w:rPr>
          <w:rStyle w:val="fontstyle01"/>
          <w:color w:val="auto"/>
        </w:rPr>
        <w:t>.</w:t>
      </w:r>
      <w:r w:rsidR="00CE152C" w:rsidRPr="001B27F8">
        <w:rPr>
          <w:rStyle w:val="fontstyle01"/>
          <w:color w:val="auto"/>
        </w:rPr>
        <w:t xml:space="preserve"> По данным другого исследования частой причиной пыльцевой сенсибилизации является пыльца березы </w:t>
      </w:r>
      <w:r w:rsidR="00CE152C" w:rsidRPr="001B27F8">
        <w:rPr>
          <w:rStyle w:val="fontstyle01"/>
          <w:color w:val="auto"/>
        </w:rPr>
        <w:fldChar w:fldCharType="begin" w:fldLock="1"/>
      </w:r>
      <w:r w:rsidR="00765C06">
        <w:rPr>
          <w:rStyle w:val="fontstyle01"/>
          <w:color w:val="auto"/>
        </w:rPr>
        <w:instrText>ADDIN CSL_CITATION {"citationItems":[{"id":"ITEM-1","itemData":{"DOI":"10.1159/000437325","ISSN":"14230097","PMID":"26302651","abstract":"Background: Some patients with Japanese cedar pollen (JCP)-induced allergic rhinitis develop pollen-food allergy syndrome (PFAS) as a reaction to tomato fruit. Pollen allergen-specific subcutaneous immunotherapy (SCIT) is reportedly beneficial for some associated food allergies; however, the reported changes in food allergen-specific immunoglobulin (Ig)E and IgG4 levels are inconsistent. Here, we investigated immunologic reactivity to tomato fruit after JCP-based SCIT. Methods: Twenty-three children (aged 6-17 years) with JCP-induced allergic rhinitis and sensitized to tomato (serum tomato fruit-specific IgE level &gt;0.34 UA/ml) received JCP-based SCIT. Basophil activation by tomato and JCP extracts and serum-specific IgE and IgG4 levels against these allergens were determined before and after 4 or 5 months of maintenance SCIT. Basophil activation was assessed by monitoring CD203c upregulation on flow cytometry. Results: JCP-based SCIT significantly reduced the basophil activation caused by tomato fruit (p = 0.03) and JCP (p &lt; 0.001) extracts. JCP-specific IgG4 levels markedly increased after SCIT (p &lt; 0.001), whereas tomato fruit-specific IgG4 levels did not. After SCIT, no significant changes were observed in specific IgE levels for tomato fruit (p = 0.11) or JCP (p = 0.19). Conclusions: Tomato fruit-specific basophil activation decreases after JCP-based SCIT, suggesting that it is efficacious in relieving and preventing the symptoms of PFAS in patients with JCP-induced allergic rhinitis.","author":[{"dropping-particle":"","family":"Inuo","given":"Chisato","non-dropping-particle":"","parse-names":false,"suffix":""},{"dropping-particle":"","family":"Kondo","given":"Yasuto","non-dropping-particle":"","parse-names":false,"suffix":""},{"dropping-particle":"","family":"Tanaka","given":"Kenichi","non-dropping-particle":"","parse-names":false,"suffix":""},{"dropping-particle":"","family":"Nakajima","given":"Yoichi","non-dropping-particle":"","parse-names":false,"suffix":""},{"dropping-particle":"","family":"Nomura","given":"Takayasu","non-dropping-particle":"","parse-names":false,"suffix":""},{"dropping-particle":"","family":"Ando","given":"Hitoshi","non-dropping-particle":"","parse-names":false,"suffix":""},{"dropping-particle":"","family":"Suzuki","given":"Satoko","non-dropping-particle":"","parse-names":false,"suffix":""},{"dropping-particle":"","family":"Tsuge","given":"Ikuya","non-dropping-particle":"","parse-names":false,"suffix":""},{"dropping-particle":"","family":"Yoshikawa","given":"Tetsushi","non-dropping-particle":"","parse-names":false,"suffix":""},{"dropping-particle":"","family":"Urisu","given":"Atsuo","non-dropping-particle":"","parse-names":false,"suffix":""}],"container-title":"International Archives of Allergy and Immunology","id":"ITEM-1","issue":"2","issued":{"date-parts":[["2015"]]},"page":"137-145","title":"Japanese cedar pollen-based subcutaneous immunotherapy decreases tomato fruit-specific basophil activation","type":"article-journal","volume":"167"},"uris":["http://www.mendeley.com/documents/?uuid=434fb021-7134-4d4d-bb73-f126a1b3c5a0"]}],"mendeley":{"formattedCitation":"[31]","plainTextFormattedCitation":"[31]","previouslyFormattedCitation":"[31]"},"properties":{"noteIndex":0},"schema":"https://github.com/citation-style-language/schema/raw/master/csl-citation.json"}</w:instrText>
      </w:r>
      <w:r w:rsidR="00CE152C" w:rsidRPr="001B27F8">
        <w:rPr>
          <w:rStyle w:val="fontstyle01"/>
          <w:color w:val="auto"/>
        </w:rPr>
        <w:fldChar w:fldCharType="separate"/>
      </w:r>
      <w:r w:rsidR="00877069" w:rsidRPr="00877069">
        <w:rPr>
          <w:rStyle w:val="fontstyle01"/>
          <w:noProof/>
          <w:color w:val="auto"/>
        </w:rPr>
        <w:t>[31]</w:t>
      </w:r>
      <w:r w:rsidR="00CE152C" w:rsidRPr="001B27F8">
        <w:rPr>
          <w:rStyle w:val="fontstyle01"/>
          <w:color w:val="auto"/>
        </w:rPr>
        <w:fldChar w:fldCharType="end"/>
      </w:r>
      <w:r w:rsidR="00CE152C" w:rsidRPr="001B27F8">
        <w:rPr>
          <w:rStyle w:val="fontstyle01"/>
          <w:color w:val="auto"/>
        </w:rPr>
        <w:t>.</w:t>
      </w:r>
      <w:r w:rsidR="00DD23A9" w:rsidRPr="001B27F8">
        <w:rPr>
          <w:rFonts w:ascii="Times New Roman" w:hAnsi="Times New Roman" w:cs="Times New Roman"/>
          <w:sz w:val="28"/>
          <w:szCs w:val="28"/>
        </w:rPr>
        <w:t xml:space="preserve"> </w:t>
      </w:r>
      <w:r w:rsidR="00DD23A9" w:rsidRPr="001B27F8">
        <w:rPr>
          <w:rStyle w:val="fontstyle01"/>
          <w:color w:val="auto"/>
        </w:rPr>
        <w:t xml:space="preserve">По меньшей мере, у 40-50% популяции Европы, США, Австралии, Новой Зеландии выявляется сенсибилизация к аэроаллергенам </w:t>
      </w:r>
      <w:r w:rsidR="00DD23A9" w:rsidRPr="001B27F8">
        <w:rPr>
          <w:rStyle w:val="fontstyle01"/>
          <w:color w:val="auto"/>
        </w:rPr>
        <w:fldChar w:fldCharType="begin" w:fldLock="1"/>
      </w:r>
      <w:r w:rsidR="00765C06">
        <w:rPr>
          <w:rStyle w:val="fontstyle01"/>
          <w:color w:val="auto"/>
        </w:rPr>
        <w:instrText>ADDIN CSL_CITATION {"citationItems":[{"id":"ITEM-1","itemData":{"author":[{"dropping-particle":"","family":"Козулина","given":"И.Е.","non-dropping-particle":"","parse-names":false,"suffix":""}],"container-title":"диссертация к.м.н.","id":"ITEM-1","issued":{"date-parts":[["2017"]]},"number-of-pages":"103","title":"Клиническая эффективность, безопасность и экономическая целесообразность сублингвального и подкожного методов аллерген-специфической иммунотерапии","type":"thesis"},"uris":["http://www.mendeley.com/documents/?uuid=c3725692-ee95-49b6-b8d5-8f0362da8952"]}],"mendeley":{"formattedCitation":"[32]","plainTextFormattedCitation":"[32]","previouslyFormattedCitation":"[32]"},"properties":{"noteIndex":0},"schema":"https://github.com/citation-style-language/schema/raw/master/csl-citation.json"}</w:instrText>
      </w:r>
      <w:r w:rsidR="00DD23A9" w:rsidRPr="001B27F8">
        <w:rPr>
          <w:rStyle w:val="fontstyle01"/>
          <w:color w:val="auto"/>
        </w:rPr>
        <w:fldChar w:fldCharType="separate"/>
      </w:r>
      <w:r w:rsidR="00877069" w:rsidRPr="00877069">
        <w:rPr>
          <w:rStyle w:val="fontstyle01"/>
          <w:noProof/>
          <w:color w:val="auto"/>
        </w:rPr>
        <w:t>[32]</w:t>
      </w:r>
      <w:r w:rsidR="00DD23A9" w:rsidRPr="001B27F8">
        <w:rPr>
          <w:rStyle w:val="fontstyle01"/>
          <w:color w:val="auto"/>
        </w:rPr>
        <w:fldChar w:fldCharType="end"/>
      </w:r>
      <w:r w:rsidR="009058F8" w:rsidRPr="001B27F8">
        <w:rPr>
          <w:rStyle w:val="fontstyle01"/>
          <w:color w:val="auto"/>
        </w:rPr>
        <w:t>.</w:t>
      </w:r>
    </w:p>
    <w:p w14:paraId="47A64185" w14:textId="3571C1AF" w:rsidR="009015E9" w:rsidRPr="001B27F8" w:rsidRDefault="009C2960" w:rsidP="001B27F8">
      <w:pPr>
        <w:tabs>
          <w:tab w:val="left" w:pos="851"/>
        </w:tabs>
        <w:spacing w:after="0" w:line="240" w:lineRule="auto"/>
        <w:ind w:firstLine="567"/>
        <w:jc w:val="both"/>
        <w:rPr>
          <w:rFonts w:ascii="Times New Roman" w:hAnsi="Times New Roman" w:cs="Times New Roman"/>
          <w:sz w:val="28"/>
          <w:szCs w:val="28"/>
        </w:rPr>
      </w:pPr>
      <w:r w:rsidRPr="001B27F8">
        <w:rPr>
          <w:rFonts w:ascii="Times New Roman" w:hAnsi="Times New Roman" w:cs="Times New Roman"/>
          <w:sz w:val="28"/>
          <w:szCs w:val="28"/>
        </w:rPr>
        <w:t>На фоне аллергического ринита</w:t>
      </w:r>
      <w:r w:rsidR="002D4795">
        <w:rPr>
          <w:rFonts w:ascii="Times New Roman" w:hAnsi="Times New Roman" w:cs="Times New Roman"/>
          <w:sz w:val="28"/>
          <w:szCs w:val="28"/>
        </w:rPr>
        <w:t xml:space="preserve"> (АР)</w:t>
      </w:r>
      <w:r w:rsidRPr="001B27F8">
        <w:rPr>
          <w:rFonts w:ascii="Times New Roman" w:hAnsi="Times New Roman" w:cs="Times New Roman"/>
          <w:sz w:val="28"/>
          <w:szCs w:val="28"/>
        </w:rPr>
        <w:t>, в отсутствие своевременного лечения, зачастую развиваются такие заболевания, как аллергический конъюнктивит, бронхиальная астма</w:t>
      </w:r>
      <w:r w:rsidR="002D4795">
        <w:rPr>
          <w:rFonts w:ascii="Times New Roman" w:hAnsi="Times New Roman" w:cs="Times New Roman"/>
          <w:sz w:val="28"/>
          <w:szCs w:val="28"/>
        </w:rPr>
        <w:t xml:space="preserve"> (БА)</w:t>
      </w:r>
      <w:r w:rsidRPr="001B27F8">
        <w:rPr>
          <w:rFonts w:ascii="Times New Roman" w:hAnsi="Times New Roman" w:cs="Times New Roman"/>
          <w:sz w:val="28"/>
          <w:szCs w:val="28"/>
        </w:rPr>
        <w:t xml:space="preserve">, хронические синуситы, евстахииты, полипоз носа, серозный средний отит и другие заболевания дыхательных путей </w:t>
      </w:r>
      <w:r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{"citationItems":[{"id":"ITEM-1","itemData":{"DOI":"10.1038/s41533-016-0001-y","ISSN":"20551010","PMID":"28115736","abstract":"Allergic rhinitis is a frequent presenting problem in primary care in the UK, and has increased in prevalence over the last 30 years. When symptomatic, patients report significant reduction in their quality of life and impairment in school and work performance. Achieving adequate symptom control is pivotal to successful allergic rhinitis management, and relies mostly on pharmacotherapy. While it is recognised that most mild-moderate allergic rhinitis symptoms can be managed successfully in primary care, important gaps in general practitioner training in relation to allergic rhinitis have been identified. With the availability of new effective combination therapies, such as the novel intranasal formulation of azelastine hydrochloride and fluticasone propionate in a single device (Dymista®; Meda), the majority of allergic rhinitis symptoms can be treated in the primary care setting. The primary objective of this consensus statement is to improve diagnosis and treatment of allergic rhinitis in primary care, and offer guidance on appropriate referral of difficult-to-treat patients into secondary care. The guidance provided herein outlines a sequential treatment pathway for allergic rhinitis in primary care that incorporates a considered approach to improve the management of allergic rhinitis symptoms and improve compliance and patient satisfaction with therapy. Adherence with this care pathway has the potential to limit the cost of providing effective allergic rhinitis management in the UK by avoiding unnecessary treatments and investigations, and avoiding the need for costly referrals to secondary care in the majority of allergic rhinitis cases. The fundamentals presented in this consensus article should apply in most health-care settings.","author":[{"dropping-particle":"","family":"Lipworth","given":"Brian","non-dropping-particle":"","parse-names":false,"suffix":""},{"dropping-particle":"","family":"Newton","given":"Jon","non-dropping-particle":"","parse-names":false,"suffix":""},{"dropping-particle":"","family":"Ram","given":"Bhaskar","non-dropping-particle":"","parse-names":false,"suffix":""},{"dropping-particle":"","family":"Small","given":"Iain","non-dropping-particle":"","parse-names":false,"suffix":""},{"dropping-particle":"","family":"Schwarze","given":"Jürgen","non-dropping-particle":"","parse-names":false,"suffix":""}],"container-title":"npj Primary Care Respiratory Medicine","id":"ITEM-1","issue":"1","issued":{"date-parts":[["2017"]]},"page":"0-1","publisher":"Springer US","title":"An algorithm recommendation for the pharmacological management of allergic rhinitis in the UK: A consensus statement from an expert panel","type":"article-journal","volume":"27"},"uris":["http://www.mendeley.com/documents/?uuid=1932dda7-28b9-4752-9317-9eeab8211255"]},{"id":"ITEM-2","itemData":{"DOI":"10.1089/acm.2016.0310","ISSN":"1075-5535","PMID":"28437146","abstract":"Objective: The aim of this study was to evaluate the efficacy and effectiveness of homeopathic intervention in the treatment of seasonal or perennial allergic rhinitis (AR). Method: Randomized controlled trials evaluating all forms of homeopathic treatment for AR were included in a systematic review (SR) of studies published up to and including December 2015. Two authors independently screened potential studies, extracted data, and assessed risk of bias. Primary outcomes included symptom improvement and total quality-of-life score. Treatment effect size was quantified as mean difference (continuous data), or by risk ratio (RR) and odds ratio (dichotomous data), with 95% confidence intervals (CI). Meta-analysis was performed after assessing heterogeneity and risk of bias. Results: Eleven studies were eligible for SR. All trials were placebo-controlled except one. Six trials used the treatment approach known as isopathy, but they were unsuitable for meta-analysis due to problems of heterogeneity and data extraction. The overall standard of methods and reporting was poor: 8/11 trials were assessed as \"high risk of bias\"; only one trial, on isopathy for seasonal AR, possessed reliable evidence. Three trials of variable quality (all using Galphimia glauca for seasonal AR) were included in the meta-analysis: Nasal symptom relief at 2 and 4 weeks (RR = 1.48 [95% CI 1.24-1.77] and 1.27 [95% CI 1.10-1.46], respectively) favored homeopathy compared with placebo; ocular symptom relief at 2 and 4 weeks also favored homeopathy (RR = 1.55 [95% CI 1.33-1.80] and 1.37 [95% CI 1.21-1.56], respectively). The single trial with reliable evidence had a small positive treatment effect without statistical significance. A homeopathic and a conventional nasal spray produced equivalent improvements in nasal and ocular symptoms. Conclusions: The low or uncertain overall quality of the evidence warrants caution in drawing firm conclusions about intervention effects. Use of either Galphimia glauca or a homeopathic nasal spray may have small beneficial effects on the nasal and ocular symptoms of AR. The efficacy of isopathic treatment of AR is unclear.","author":[{"dropping-particle":"","family":"Banerjee","given":"Kushal","non-dropping-particle":"","parse-names":false,"suffix":""},{"dropping-particle":"","family":"Mathie","given":"Robert T.","non-dropping-particle":"","parse-names":false,"suffix":""},{"dropping-particle":"","family":"Costelloe","given":"Céire","non-dropping-particle":"","parse-names":false,"suffix":""},{"dropping-particle":"","family":"Howick","given":"Jeremy","non-dropping-particle":"","parse-names":false,"suffix":""}],"container-title":"The Journal of Alternative and Complementary Medicine","id":"ITEM-2","issue":"6","issued":{"date-parts":[["2017","6"]]},"page":"426-444","title":"Homeopathy for Allergic Rhinitis: A Systematic Review","type":"article-journal","volume":"23"},"uris":["http://www.mendeley.com/documents/?uuid=9bcfc48f-80fc-4b1e-8497-d2a7d619eced"]},{"id":"ITEM-3","itemData":{"DOI":"10.1016/j.pop.2016.04.009","ISSN":"1558299X","PMID":"27545735","abstract":"Among the atopic disorders, allergic rhinitis is the most prevalent. Patients who suffer from allergic rhinitis sustain significant morbidity and loss of productivity. Cardinal symptoms include nasal congestion, rhinorrhea, sneezing, and nasal itching, although multiple related symptoms may occur. Causes should be ruled out with a thorough history and physical examination, with particular attention to red flag or atypical symptoms. Skin testing or serum sampling can confirm diagnosis and also guide therapy. Therapy is multimodal, tailored to a particular patient's symptom burden and quality of life.","author":[{"dropping-particle":"","family":"Kakli","given":"Hasan A.","non-dropping-particle":"","parse-names":false,"suffix":""},{"dropping-particle":"","family":"Riley","given":"Timothy D.","non-dropping-particle":"","parse-names":false,"suffix":""}],"container-title":"Primary Care - Clinics in Office Practice","id":"ITEM-3","issue":"3","issued":{"date-parts":[["2016"]]},"page":"465-475","publisher":"Elsevier Inc","title":"Allergic Rhinitis","type":"article-journal","volume":"43"},"uris":["http://www.mendeley.com/documents/?uuid=f6d7b599-31fb-466f-90e6-a2907f00ece7"]}],"mendeley":{"formattedCitation":"[9,33,34]","plainTextFormattedCitation":"[9,33,34]","previouslyFormattedCitation":"[9,33,34]"},"properties":{"noteIndex":0},"schema":"https://github.com/citation-style-language/schema/raw/master/csl-citation.json"}</w:instrText>
      </w:r>
      <w:r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[9,33,34]</w:t>
      </w:r>
      <w:r w:rsidRPr="001B27F8">
        <w:rPr>
          <w:rFonts w:ascii="Times New Roman" w:hAnsi="Times New Roman" w:cs="Times New Roman"/>
          <w:sz w:val="28"/>
          <w:szCs w:val="28"/>
        </w:rPr>
        <w:fldChar w:fldCharType="end"/>
      </w:r>
      <w:r w:rsidRPr="001B27F8">
        <w:rPr>
          <w:rFonts w:ascii="Times New Roman" w:hAnsi="Times New Roman" w:cs="Times New Roman"/>
          <w:sz w:val="28"/>
          <w:szCs w:val="28"/>
        </w:rPr>
        <w:t>. Самым распространённым осложнением аллергического ринита является бронхиальная астма, которой</w:t>
      </w:r>
      <w:r w:rsidR="00A10963" w:rsidRPr="001B27F8">
        <w:rPr>
          <w:rFonts w:ascii="Times New Roman" w:hAnsi="Times New Roman" w:cs="Times New Roman"/>
          <w:sz w:val="28"/>
          <w:szCs w:val="28"/>
        </w:rPr>
        <w:t xml:space="preserve"> страдают 10-4</w:t>
      </w:r>
      <w:r w:rsidRPr="001B27F8">
        <w:rPr>
          <w:rFonts w:ascii="Times New Roman" w:hAnsi="Times New Roman" w:cs="Times New Roman"/>
          <w:sz w:val="28"/>
          <w:szCs w:val="28"/>
        </w:rPr>
        <w:t xml:space="preserve">0% населения </w:t>
      </w:r>
      <w:r w:rsidRPr="001B27F8">
        <w:rPr>
          <w:rFonts w:ascii="Times New Roman" w:hAnsi="Times New Roman" w:cs="Times New Roman"/>
          <w:sz w:val="28"/>
          <w:szCs w:val="28"/>
        </w:rPr>
        <w:fldChar w:fldCharType="begin" w:fldLock="1"/>
      </w:r>
      <w:r w:rsidR="006B2D4C">
        <w:rPr>
          <w:rFonts w:ascii="Times New Roman" w:hAnsi="Times New Roman" w:cs="Times New Roman"/>
          <w:sz w:val="28"/>
          <w:szCs w:val="28"/>
        </w:rPr>
        <w:instrText>ADDIN CSL_CITATION {"citationItems":[{"id":"ITEM-1","itemData":{"DOI":"10.1186/1939-4551-7-6","ISSN":"19394551","abstract":"We have prepared this document, \"Sublingual Immunotherapy: World Allergy Organization Position Paper 2013 Update\", according to the evidence-based criteria, revising and updating chapters of the originally published paper, \"Sublingual Immunotherapy: World Allergy Organization Position Paper 2009\", available at. Namely, these comprise: \"Mechanisms of sublingual immunotherapy;\" \"Clinical efficacy of sublingual immunotherapy\" - reporting all the data of all controlled trials published after 2009; \"Safety of sublingual immunotherapy\" - with the recently published Grading System for adverse reactions; \"Impact of sublingual immunotherapy on the natural history of respiratory allergy\" - with the relevant evidences published since 2009; \"Efficacy of SLIT in children\" - with detailed analysis of all the studies; \"Definition of SLIT patient selection\" - reporting the criteria for eligibility to sublingual immunotherapy; \"The future of immunotherapy in the community care setting\"; \"Methodology of clinical trials according to the current scientific and regulatory standards\"; and \"Guideline development: from evidence-based medicine to patients' views\" - including the evolution of the methods to make clinical recommendations. Additionally, we have added new chapters to cover a few emerging crucial topics: \"Practical aspects of schedules and dosages and counseling for adherence\" - which is crucial in clinical practice for all treatments; \"Perspectives and new approaches\" - including recombinant allergens, adjuvants, modified allergens, and the concept of validity of the single products. Furthermore, \"Raising public awareness about sublingual immunotherapy\", as a need for our patients, and strategies to increase awareness of allergen immunotherapy (AIT) among patients, the medical community, all healthcare stakeholders, and public opinion, are also reported in detail.","author":[{"dropping-particle":"","family":"Canonica","given":"Giorgio Walter","non-dropping-particle":"","parse-names":false,"suffix":""},{"dropping-particle":"","family":"Cox","given":"Linda","non-dropping-particle":"","parse-names":false,"suffix":""},{"dropping-particle":"","family":"Pawankar","given":"Ruby","non-dropping-particle":"","parse-names":false,"suffix":""},{"dropping-particle":"","family":"Baena-Cagnani","given":"Carlos E.","non-dropping-particle":"","parse-names":false,"suffix":""},{"dropping-particle":"","family":"Blaiss","given":"Michael","non-dropping-particle":"","parse-names":false,"suffix":""},{"dropping-particle":"","family":"Bonini","given":"Sergio","non-dropping-particle":"","parse-names":false,"suffix":""},{"dropping-particle":"","family":"Bousquet","given":"Jean","non-dropping-particle":"","parse-names":false,"suffix":""},{"dropping-particle":"","family":"Calderón","given":"Moises","non-dropping-particle":"","parse-names":false,"suffix":""},{"dropping-particle":"","family":"Compalati","given":"Enrico","non-dropping-particle":"","parse-names":false,"suffix":""},{"dropping-particle":"","family":"Durham","given":"Stephen R.","non-dropping-particle":"","parse-names":false,"suffix":""},{"dropping-particle":"","family":"Wijk","given":"Roy Gerth","non-dropping-particle":"Van","parse-names":false,"suffix":""},{"dropping-particle":"","family":"Larenas-Linnemann","given":"Désirée","non-dropping-particle":"","parse-names":false,"suffix":""},{"dropping-particle":"","family":"Nelson","given":"Harold","non-dropping-particle":"","parse-names":false,"suffix":""},{"dropping-particle":"","family":"Passalacqua","given":"Giovanni","non-dropping-particle":"","parse-names":false,"suffix":""},{"dropping-particle":"","family":"Pfaar","given":"Oliver","non-dropping-particle":"","parse-names":false,"suffix":""},{"dropping-particle":"","family":"Rosário","given":"Nelson","non-dropping-particle":"","parse-names":false,"suffix":""},{"dropping-particle":"","family":"Ryan","given":"Dermot","non-dropping-particle":"","parse-names":false,"suffix":""},{"dropping-particle":"","family":"Rosenwasser","given":"Lanny","non-dropping-particle":"","parse-names":false,"suffix":""},{"dropping-particle":"","family":"Schmid-Grendelmeier","given":"Peter","non-dropping-particle":"","parse-names":false,"suffix":""},{"dropping-particle":"","family":"Senna","given":"Gianenrico","non-dropping-particle":"","parse-names":false,"suffix":""},{"dropping-particle":"","family":"Valovirta","given":"Erkka","non-dropping-particle":"","parse-names":false,"suffix":""},{"dropping-particle":"","family":"Bever","given":"Hugo","non-dropping-particle":"Van","parse-names":false,"suffix":""},{"dropping-particle":"","family":"Vichyanond","given":"Pakit","non-dropping-particle":"","parse-names":false,"suffix":""},{"dropping-particle":"","family":"Wahn","given":"Ulrich","non-dropping-particle":"","parse-names":false,"suffix":""},{"dropping-particle":"","family":"Yusuf","given":"Osman","non-dropping-particle":"","parse-names":false,"suffix":""}],"container-title":"World Allergy Organization Journal","id":"ITEM-1","issue":"1","issued":{"date-parts":[["2014"]]},"note":"From Duplicate 2 (Sublingual immunotherapy: World Allergy Organization position paper 2013 update - Canonica, Giorgio Walter; Cox, Linda; Pawankar, Ruby; Baena-Cagnani, Carlos E.; Blaiss, Michael; Bonini, Sergio; Bousquet, Jean; Calderón, Moises; Compalati, Enrico; Durham, Stephen R.; Van Wijk, Roy Gerth; Larenas-Linnemann, Désirée; Nelson, Harold; Passalacqua, Giovanni; Pfaar, Oliver; Rosário, Nelson; Ryan, Dermot; Rosenwasser, Lanny; Schmid-Grendelmeier, Peter; Senna, Gianenrico; Valovirta, Erkka; Van Bever, Hugo; Vichyanond, Pakit; Wahn, Ulrich; Yusuf, Osman)\n\nBiomarkers","title":"Sublingual immunotherapy: World Allergy Organization position paper 2013 update","type":"article-journal","volume":"7"},"uris":["http://www.mendeley.com/documents/?uuid=9046e1a1-88eb-4b17-b246-73d0541321b5"]},{"id":"ITEM-2","itemData":{"DOI":"10.1007/s11882-018-0781-y","ISSN":"15346315","PMID":"29574527","abstract":"Purpose of Review: To evaluate the impact of allergic rhinitis (AR) on the development of asthma and to update readers on recent literature suggesting that early treatment of allergic subjects with immunotherapy may prevent asthma onset. Recent Findings: AR is frequently associated with asthma, leading to the concept that these two conditions are different aspects of the same disease. There is increasing evidence that AR precedes the onset of asthmatic symptoms and current treatment strategies are beneficial in symptom control with no impact prevention. There is limited knowledge about the risk factors responsible for the progression of AR to asthma, though recent data supports the notion that it is possible to prevent asthma onset by allergen immunotherapy. Summary: Despite significant advances in specific immunotherapy (SIT) therapy strengthening its efficacy in AR and possible prevention of progression to asthma, the adoption of this therapeutic strategy is still restricted in comparison to therapies directed towards treatment of AR symptoms. Unlike corticosteroids and other symptomatic therapies, the benefit of SIT treatment in allergic individuals has been shown to prevent the development of allergic conditions. Hence, large well-conducted randomized clinical trials with long-term efficacy of SIT are required to confirm or refute the concept that SIT may abrogate the progression of AR to asthma in patients.","author":[{"dropping-particle":"","family":"Morjaria","given":"Jaymin B.","non-dropping-particle":"","parse-names":false,"suffix":""},{"dropping-particle":"","family":"Caruso","given":"Massimo","non-dropping-particle":"","parse-names":false,"suffix":""},{"dropping-particle":"","family":"Emma","given":"Rosalia","non-dropping-particle":"","parse-names":false,"suffix":""},{"dropping-particle":"","family":"Russo","given":"Cristina","non-dropping-particle":"","parse-names":false,"suffix":""},{"dropping-particle":"","family":"Polosa","given":"Riccardo","non-dropping-particle":"","parse-names":false,"suffix":""}],"container-title":"Current Allergy and Asthma Reports","id":"ITEM-2","issue":"4","issued":{"date-parts":[["2018"]]},"page":"23","publisher":"Current Allergy and Asthma Reports","title":"Treatment of Allergic Rhinitis as a Strategy for Preventing Asthma","type":"article-journal","volume":"18"},"uris":["http://www.mendeley.com/documents/?uuid=41612316-94f4-4973-8db5-f7a00251d891"]},{"id":"ITEM-3","itemData":{"DOI":"10.1016/j.jaci.2017.03.050","ISSN":"10976825","PMID":"28602936","abstract":"Background: Allergic rhinitis (AR) affects 10% to 40% of the population. It reduces quality of life and school and work performance and is a frequent reason for office visits in general practice. Medical costs are large, but avoidable costs associated with lost work productivity are even larger than those incurred by asthma. New evidence has accumulated since the last revision of the Allergic Rhinitis and its Impact on Asthma (ARIA) guidelines in 2010, prompting its update. Objective: We sought to provide a targeted update of the ARIA guidelines. Methods: The ARIA guideline panel identified new clinical questions and selected questions requiring an update. We performed systematic reviews of health effects and the evidence about patients’ values and preferences and resource requirements (up to June 2016). We followed the Grading of Recommendations Assessment, Development, and Evaluation (GRADE) evidence-to-decision frameworks to develop recommendations. Results: The 2016 revision of the ARIA guidelines provides both updated and new recommendations about the pharmacologic treatment of AR. Specifically, it addresses the relative merits of using oral H1-antihistamines, intranasal H1-antihistamines, intranasal corticosteroids, and leukotriene receptor antagonists either alone or in combination. The ARIA guideline panel provides specific recommendations for the choice of treatment and the rationale for the choice and discusses specific considerations that clinicians and patients might want to review to choose the management most appropriate for an individual patient. Conclusions: Appropriate treatment of AR might improve patients’ quality of life and school and work productivity. ARIA recommendations support patients, their caregivers, and health care providers in choosing the optimal treatment.","author":[{"dropping-particle":"","family":"Brożek","given":"Jan L.","non-dropping-particle":"","parse-names":false,"suffix":""},{"dropping-particle":"","family":"Bousquet","given":"Jean","non-dropping-particle":"","parse-names":false,"suffix":""},{"dropping-particle":"","family":"Agache","given":"Ioana","non-dropping-particle":"","parse-names":false,"suffix":""},{"dropping-particle":"","family":"Agarwal","given":"Arnav","non-dropping-particle":"","parse-names":false,"suffix":""},{"dropping-particle":"","family":"Bachert","given":"Claus","non-dropping-particle":"","parse-names":false,"suffix":""},{"dropping-particle":"","family":"Bosnic-Anticevich","given":"Sinthia","non-dropping-particle":"","parse-names":false,"suffix":""},{"dropping-particle":"","family":"Brignardello-Petersen","given":"Romina","non-dropping-particle":"","parse-names":false,"suffix":""},{"dropping-particle":"","family":"Canonica","given":"G. Walter","non-dropping-particle":"","parse-names":false,"suffix":""},{"dropping-particle":"","family":"Casale","given":"Thomas","non-dropping-particle":"","parse-names":false,"suffix":""},{"dropping-particle":"","family":"Chavannes","given":"Niels H.","non-dropping-particle":"","parse-names":false,"suffix":""},{"dropping-particle":"","family":"Correia de Sousa","given":"Jaime","non-dropping-particle":"","parse-names":false,"suffix":""},{"dropping-particle":"","family":"Cruz","given":"Alvaro A.","non-dropping-particle":"","parse-names":false,"suffix":""},{"dropping-particle":"","family":"Cuello-Garcia","given":"Carlos A.","non-dropping-particle":"","parse-names":false,"suffix":""},{"dropping-particle":"","family":"Demoly","given":"Pascal","non-dropping-particle":"","parse-names":false,"suffix":""},{"dropping-particle":"","family":"Dykewicz","given":"Mark","non-dropping-particle":"","parse-names":false,"suffix":""},{"dropping-particle":"","family":"Etxeandia-Ikobaltzeta","given":"Itziar","non-dropping-particle":"","parse-names":false,"suffix":""},{"dropping-particle":"","family":"Florez","given":"Ivan D.","non-dropping-particle":"","parse-names":false,"suffix":""},{"dropping-particle":"","family":"Fokkens","given":"Wytske","non-dropping-particle":"","parse-names":false,"suffix":""},{"dropping-particle":"","family":"Fonseca","given":"Joao","non-dropping-particle":"","parse-names":false,"suffix":""},{"dropping-particle":"","family":"Hellings","given":"Peter W.","non-dropping-particle":"","parse-names":false,"suffix":""},{"dropping-particle":"","family":"Klimek","given":"Ludger","non-dropping-particle":"","parse-names":false,"suffix":""},{"dropping-particle":"","family":"Kowalski","given":"Sergio","non-dropping-particle":"","parse-names":false,"suffix":""},{"dropping-particle":"","family":"Kuna","given":"Piotr","non-dropping-particle":"","parse-names":false,"suffix":""},{"dropping-particle":"","family":"Laisaar","given":"Kaja Triin","non-dropping-particle":"","parse-names":false,"suffix":""},{"dropping-particle":"","family":"Larenas-Linnemann","given":"Désirée E.","non-dropping-particle":"","parse-names":false,"suffix":""},{"dropping-particle":"","family":"Lødrup Carlsen","given":"Karin C.","non-dropping-particle":"","parse-names":false,"suffix":""},{"dropping-particle":"","family":"Manning","given":"Peter J.","non-dropping-particle":"","parse-names":false,"suffix":""},{"dropping-particle":"","family":"Meltzer","given":"Eli","non-dropping-particle":"","parse-names":false,"suffix":""},{"dropping-particle":"","family":"Mullol","given":"Joaquim","non-dropping-particle":"","parse-names":false,"suffix":""},{"dropping-particle":"","family":"Muraro","given":"Antonella","non-dropping-particle":"","parse-names":false,"suffix":""},{"dropping-particle":"","family":"O'Hehir","given":"Robyn","non-dropping-particle":"","parse-names":false,"suffix":""},{"dropping-particle":"","family":"Ohta","given":"Ken","non-dropping-particle":"","parse-names":false,"suffix":""},{"dropping-particle":"","family":"Panzner","given":"Petr","non-dropping-particle":"","parse-names":false,"suffix":""},{"dropping-particle":"","family":"Papadopoulos","given":"Nikolaos","non-dropping-particle":"","parse-names":false,"suffix":""},{"dropping-particle":"","family":"Park","given":"Hae Sim","non-dropping-particle":"","parse-names":false,"suffix":""},{"dropping-particle":"","family":"Passalacqua","given":"Gianni","non-dropping-particle":"","parse-names":false,"suffix":""},{"dropping-particle":"","family":"Pawankar","given":"Ruby","non-dropping-particle":"","parse-names":false,"suffix":""},{"dropping-particle":"","family":"Price","given":"David","non-dropping-particle":"","parse-names":false,"suffix":""},{"dropping-particle":"","family":"Riva","given":"John J.","non-dropping-particle":"","parse-names":false,"suffix":""},{"dropping-particle":"","family":"Roldán","given":"Yetiani","non-dropping-particle":"","parse-names":false,"suffix":""},{"dropping-particle":"","family":"Ryan","given":"Dermot","non-dropping-particle":"","parse-names":false,"suffix":""},{"dropping-particle":"","family":"Sadeghirad","given":"Behnam","non-dropping-particle":"","parse-names":false,"suffix":""},{"dropping-particle":"","family":"Samolinski","given":"Boleslaw","non-dropping-particle":"","parse-names":false,"suffix":""},{"dropping-particle":"","family":"Schmid-Grendelmeier","given":"Peter","non-dropping-particle":"","parse-names":false,"suffix":""},{"dropping-particle":"","family":"Sheikh","given":"Aziz","non-dropping-particle":"","parse-names":false,"suffix":""},{"dropping-particle":"","family":"Togias","given":"Alkis","non-dropping-particle":"","parse-names":false,"suffix":""},{"dropping-particle":"","family":"Valero","given":"Antonio","non-dropping-particle":"","parse-names":false,"suffix":""},{"dropping-particle":"","family":"Valiulis","given":"Arunas","non-dropping-particle":"","parse-names":false,"suffix":""},{"dropping-particle":"","family":"Valovirta","given":"Erkka","non-dropping-particle":"","parse-names":false,"suffix":""},{"dropping-particle":"","family":"Ventresca","given":"Matthew","non-dropping-particle":"","parse-names":false,"suffix":""},{"dropping-particle":"","family":"Wallace","given":"Dana","non-dropping-particle":"","parse-names":false,"suffix":""},{"dropping-particle":"","family":"Waserman","given":"Susan","non-dropping-particle":"","parse-names":false,"suffix":""},{"dropping-particle":"","family":"Wickman","given":"Magnus","non-dropping-particle":"","parse-names":false,"suffix":""},{"dropping-particle":"","family":"Wiercioch","given":"Wojtek","non-dropping-particle":"","parse-names":false,"suffix":""},{"dropping-particle":"","family":"Yepes-Nuñez","given":"Juan José","non-dropping-particle":"","parse-names":false,"suffix":""},{"dropping-particle":"","family":"Zhang","given":"Luo","non-dropping-particle":"","parse-names":false,"suffix":""},{"dropping-particle":"","family":"Zhang","given":"Yuan","non-dropping-particle":"","parse-names":false,"suffix":""},{"dropping-particle":"","family":"Zidarn","given":"Mihaela","non-dropping-particle":"","parse-names":false,"suffix":""},{"dropping-particle":"","family":"Zuberbier","given":"Torsten","non-dropping-particle":"","parse-names":false,"suffix":""},{"dropping-particle":"","family":"Schünemann","given":"Holger J.","non-dropping-particle":"","parse-names":false,"suffix":""}],"container-title":"Journal of Allergy and Clinical Immunology","id":"ITEM-3","issue":"4","issued":{"date-parts":[["2017"]]},"page":"950-958","title":"Allergic Rhinitis and its Impact on Asthma (ARIA) guidelines—2016 revision","type":"article-journal","volume":"140"},"uris":["http://www.mendeley.com/documents/?uuid=0fb3a53d-73fc-4247-9360-df54bcbe1d42"]}],"mendeley":{"formattedCitation":"[3,4,35]","plainTextFormattedCitation":"[3,4,35]","previouslyFormattedCitation":"[3,4,35]"},"properties":{"noteIndex":0},"schema":"https://github.com/citation-style-language/schema/raw/master/csl-citation.json"}</w:instrText>
      </w:r>
      <w:r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[3,4,35]</w:t>
      </w:r>
      <w:r w:rsidRPr="001B27F8">
        <w:rPr>
          <w:rFonts w:ascii="Times New Roman" w:hAnsi="Times New Roman" w:cs="Times New Roman"/>
          <w:sz w:val="28"/>
          <w:szCs w:val="28"/>
        </w:rPr>
        <w:fldChar w:fldCharType="end"/>
      </w:r>
      <w:r w:rsidRPr="001B27F8">
        <w:rPr>
          <w:rFonts w:ascii="Times New Roman" w:hAnsi="Times New Roman" w:cs="Times New Roman"/>
          <w:sz w:val="28"/>
          <w:szCs w:val="28"/>
        </w:rPr>
        <w:t xml:space="preserve">. Наличие в анамнезе у ребёнка аллергического ринита увеличивает риск развития бронхиальной астмы в три раза в возрасте 20-40 лет и в 4 раза в возрасте 12-20 лет </w:t>
      </w:r>
      <w:r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{"citationItems":[{"id":"ITEM-1","itemData":{"ISBN":"9789896540821","author":[{"dropping-particle":"","family":"Насунова","given":"А.Ю.","non-dropping-particle":"","parse-names":false,"suffix":""}],"container-title":"диссертация к.м.н.","id":"ITEM-1","issued":{"date-parts":[["2020"]]},"page":"129","title":"Эффективность различных методов аллерген-специфической иммунотерапии при бронхиальной астме и аллергическом рините","type":"article-journal"},"uris":["http://www.mendeley.com/documents/?uuid=42666028-c38d-4afe-b56f-bc2276195b12"]}],"mendeley":{"formattedCitation":"[11]","plainTextFormattedCitation":"[11]","previouslyFormattedCitation":"[11]"},"properties":{"noteIndex":0},"schema":"https://github.com/citation-style-language/schema/raw/master/csl-citation.json"}</w:instrText>
      </w:r>
      <w:r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[11]</w:t>
      </w:r>
      <w:r w:rsidRPr="001B27F8">
        <w:rPr>
          <w:rFonts w:ascii="Times New Roman" w:hAnsi="Times New Roman" w:cs="Times New Roman"/>
          <w:sz w:val="28"/>
          <w:szCs w:val="28"/>
        </w:rPr>
        <w:fldChar w:fldCharType="end"/>
      </w:r>
      <w:r w:rsidRPr="001B27F8">
        <w:rPr>
          <w:rFonts w:ascii="Times New Roman" w:hAnsi="Times New Roman" w:cs="Times New Roman"/>
          <w:sz w:val="28"/>
          <w:szCs w:val="28"/>
        </w:rPr>
        <w:t>.</w:t>
      </w:r>
      <w:r w:rsidR="00A63E4D" w:rsidRPr="001B27F8">
        <w:rPr>
          <w:rFonts w:ascii="Times New Roman" w:hAnsi="Times New Roman" w:cs="Times New Roman"/>
          <w:sz w:val="28"/>
          <w:szCs w:val="28"/>
        </w:rPr>
        <w:t xml:space="preserve"> Таким образом, концепция «единых дыхательных путей» предполагает, что воспаление в верхних дыхательных путях затрагивает и нижние дыхательные пути </w:t>
      </w:r>
      <w:r w:rsidR="008B0249"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{"citationItems":[{"id":"ITEM-1","itemData":{"DOI":"10.1016/j.jaci.2016.04.061","ISSN":"10976825","PMID":"27527264","abstract":"Background Data comparing the treatment effect of allergy immunotherapy and pharmacotherapy are lacking. Objective We sought to indirectly compare the treatment effect of sublingual immunotherapy (SLIT)-tablets with pharmacotherapy for seasonal allergic rhinitis (SAR) and perennial allergic rhinitis (PAR). Methods Pooled data from randomized, double-blind, placebo-controlled trials for the clinical development programs of selected allergic rhinitis treatments were evaluated. Total nasal symptom scores (TNSSs) relative to placebo were compared. Subjects scored symptoms daily during entire pollen seasons in 6 timothy grass SLIT-tablet trials (n = 3094) and 2 ragweed SLIT-tablet trials (n = 658) and during the last 8 weeks of treatment in 2 house dust mite (HDM) SLIT-tablet trials (n = 1768). Subjects scored symptoms daily in 7 montelukast (10 mg, n = 6799), 9 desloratadine (5 mg, n = 4455), and 8 mometasone furoate nasal spray (MFNS; 200 μg daily, n = 2140) SAR or PAR trials. SLIT-tablet trials allowed rescue medication use, whereas most pharmacotherapy trials did not. A fixed-effect meta-analysis method estimated differences in on-treatment average TNSSs. Results In grass and ragweed SLIT-tablet trials, overall improvement in TNSSs relative to placebo was 16.3% and 17.1%, respectively. In HDM SLIT-tablet trials, TNSS overall improvement relative to placebo was 16.1%. In the montelukast, desloratadine, and MFNS trials, TNSS overall improvement relative to placebo was 5.4%, 8.5%, and 22.2%, respectively, for SAR trials, and 3.7%, 4.8%, and 11.2%, respectively, for PAR trials. Conclusions Although comparisons were limited by study design heterogeneity and use of rescue medications in SLIT-tablet trials, effects on nasal symptoms with timothy grass and ragweed SLIT-tablets were nearly as great as with MFNS and numerically greater than with montelukast and desloratadine for SAR. HDM SLIT-tablet effects were numerically greater than all pharmacotherapies for PAR. SLIT-tablets offer the additional benefit of long-term efficacy.","author":[{"dropping-particle":"","family":"Durham","given":"Stephen R.","non-dropping-particle":"","parse-names":false,"suffix":""},{"dropping-particle":"","family":"Creticos","given":"Peter S.","non-dropping-particle":"","parse-names":false,"suffix":""},{"dropping-particle":"","family":"Nelson","given":"Harold S.","non-dropping-particle":"","parse-names":false,"suffix":""},{"dropping-particle":"","family":"Li","given":"Ziliang","non-dropping-particle":"","parse-names":false,"suffix":""},{"dropping-particle":"","family":"Kaur","given":"Amarjot","non-dropping-particle":"","parse-names":false,"suffix":""},{"dropping-particle":"","family":"Meltzer","given":"Eli O.","non-dropping-particle":"","parse-names":false,"suffix":""},{"dropping-particle":"","family":"Nolte","given":"Hendrik","non-dropping-particle":"","parse-names":false,"suffix":""}],"container-title":"Journal of Allergy and Clinical Immunology","id":"ITEM-1","issue":"4","issued":{"date-parts":[["2016"]]},"page":"1081-1088.e4","publisher":"Elsevier Inc.","title":"Treatment effect of sublingual immunotherapy tablets and pharmacotherapies for seasonal and perennial allergic rhinitis: Pooled analyses","type":"article-journal","volume":"138"},"uris":["http://www.mendeley.com/documents/?uuid=0acaef42-f482-4702-a80f-05baff389d4e"]},{"id":"ITEM-2","itemData":{"DOI":"10.1016/j.intimp.2019.105718","ISSN":"18781705","PMID":"31255882","abstract":"Combined allergic rhinitis and asthma syndrome (CARAS) is a concept of “one airway – one disease” or “unified airway disease “. The upper and lower airway inflammation characterizes allergic rhinitis and asthma, respectively and both diseases have shown an intimate connection in their genesis, coexistence and similarities as triggered by the same etiological agents; the same inflammatory cell profile and share therapeutic treatment. This review highlights the concept of CARAS by its phenotype, endotype and biomarker classification. Indeed, rhinitis is divided into four major phenotypes: allergic rhinitis; infectious rhinitis; non-infective/non-allergic rhinitis and mixed rhinitis. On the other hand, asthma has no common consensus yet; however, the most accepted classification is based on the stage of life (early- or late- onset asthma) in which the clinical symptoms are presented. Experimental researches where animals develop a syndrome similar to CARAS have been contributed to better understand the pathogenesis of the syndrome. Therefore, the aim of this review is to clarify current terms related to CARAS as definition, phenotypes, endotypes/biomarkers, physiopathology and treatments.","author":[{"dropping-particle":"","family":"Paiva Ferreira","given":"Laércia K.D.","non-dropping-particle":"","parse-names":false,"suffix":""},{"dropping-particle":"","family":"Paiva Ferreira","given":"Larissa A.M.","non-dropping-particle":"","parse-names":false,"suffix":""},{"dropping-particle":"","family":"Monteiro","given":"Talissa M.","non-dropping-particle":"","parse-names":false,"suffix":""},{"dropping-particle":"","family":"Bezerra","given":"Grasiela Costa","non-dropping-particle":"","parse-names":false,"suffix":""},{"dropping-particle":"","family":"Bernardo","given":"Larissa Rodrigues","non-dropping-particle":"","parse-names":false,"suffix":""},{"dropping-particle":"","family":"Piuvezam","given":"Marcia Regina","non-dropping-particle":"","parse-names":false,"suffix":""}],"container-title":"International Immunopharmacology","id":"ITEM-2","issue":"May","issued":{"date-parts":[["2019"]]},"page":"105718","publisher":"Elsevier","title":"Combined allergic rhinitis and asthma syndrome (CARAS)","type":"article-journal","volume":"74"},"uris":["http://www.mendeley.com/documents/?uuid=941dc0f1-49f6-48f5-a814-e29c99460041"]},{"id":"ITEM-3","itemData":{"author":[{"dropping-particle":"","family":"Velankar","given":"Haritosh K","non-dropping-particle":"","parse-names":false,"suffix":""},{"dropping-particle":"","family":"Dabholkar","given":"Yogesh G","non-dropping-particle":"","parse-names":false,"suffix":""},{"dropping-particle":"","family":"Deshmukh","given":"Prajakta","non-dropping-particle":"","parse-names":false,"suffix":""},{"dropping-particle":"","family":"Bhatt","given":"Bhavika Verma","non-dropping-particle":"","parse-names":false,"suffix":""}],"id":"ITEM-3","issue":"August","issued":{"date-parts":[["2019"]]},"page":"82-88","title":"The Role of Vitamin D Deficiency and Its Supplementation in the Treatment of Allergic Rhinitis","type":"article-journal","volume":"9"},"uris":["http://www.mendeley.com/documents/?uuid=97bb2d33-40b9-4edc-9861-39ba47b0197b"]},{"id":"ITEM-4","itemData":{"author":[{"dropping-particle":"","family":"Насунова","given":"А.Ю.","non-dropping-particle":"","parse-names":false,"suffix":""},{"dropping-particle":"","family":"Дробик","given":"О. С.","non-dropping-particle":"","parse-names":false,"suffix":""}],"container-title":"Фарматека","id":"ITEM-4","issue":"S1","issued":{"date-parts":[["2013"]]},"page":"75-79","title":"Аллергический ринит. Возможности превентивной терапии","type":"article-journal"},"uris":["http://www.mendeley.com/documents/?uuid=f8e8bdf9-5a8f-4b3d-9024-691348dac412"]}],"mendeley":{"formattedCitation":"[10,36–38]","plainTextFormattedCitation":"[10,36–38]","previouslyFormattedCitation":"[10,36–38]"},"properties":{"noteIndex":0},"schema":"https://github.com/citation-style-language/schema/raw/master/csl-citation.json"}</w:instrText>
      </w:r>
      <w:r w:rsidR="008B0249"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[10,36–38]</w:t>
      </w:r>
      <w:r w:rsidR="008B0249" w:rsidRPr="001B27F8">
        <w:rPr>
          <w:rFonts w:ascii="Times New Roman" w:hAnsi="Times New Roman" w:cs="Times New Roman"/>
          <w:sz w:val="28"/>
          <w:szCs w:val="28"/>
        </w:rPr>
        <w:fldChar w:fldCharType="end"/>
      </w:r>
      <w:r w:rsidR="00A63E4D" w:rsidRPr="001B27F8">
        <w:rPr>
          <w:rFonts w:ascii="Times New Roman" w:hAnsi="Times New Roman" w:cs="Times New Roman"/>
          <w:sz w:val="28"/>
          <w:szCs w:val="28"/>
        </w:rPr>
        <w:t>.</w:t>
      </w:r>
      <w:r w:rsidR="00677531" w:rsidRPr="001B27F8">
        <w:rPr>
          <w:rFonts w:ascii="Times New Roman" w:hAnsi="Times New Roman" w:cs="Times New Roman"/>
          <w:sz w:val="28"/>
          <w:szCs w:val="28"/>
        </w:rPr>
        <w:t xml:space="preserve"> Исследования показали, что терапия воспалительного процесса в слизистой оболочке носа </w:t>
      </w:r>
      <w:r w:rsidR="00677531" w:rsidRPr="001B27F8">
        <w:rPr>
          <w:rFonts w:ascii="Times New Roman" w:eastAsia="Times New Roman" w:hAnsi="Times New Roman" w:cs="Times New Roman"/>
          <w:sz w:val="28"/>
          <w:szCs w:val="28"/>
          <w:lang w:eastAsia="ru-RU"/>
        </w:rPr>
        <w:t>оказывала сопутствующее терапевтическое влияние на воспаление в нижних дыхательных путях,</w:t>
      </w:r>
      <w:r w:rsidR="00677531" w:rsidRPr="001B27F8">
        <w:rPr>
          <w:rFonts w:ascii="Times New Roman" w:hAnsi="Times New Roman" w:cs="Times New Roman"/>
          <w:sz w:val="28"/>
          <w:szCs w:val="28"/>
        </w:rPr>
        <w:t xml:space="preserve"> </w:t>
      </w:r>
      <w:r w:rsidR="00677531" w:rsidRPr="001B27F8">
        <w:rPr>
          <w:rFonts w:ascii="Times New Roman" w:eastAsia="Times New Roman" w:hAnsi="Times New Roman" w:cs="Times New Roman"/>
          <w:sz w:val="28"/>
          <w:szCs w:val="28"/>
          <w:lang w:eastAsia="ru-RU"/>
        </w:rPr>
        <w:t>что</w:t>
      </w:r>
      <w:r w:rsidR="00677531" w:rsidRPr="001B27F8">
        <w:rPr>
          <w:rFonts w:ascii="Times New Roman" w:hAnsi="Times New Roman" w:cs="Times New Roman"/>
          <w:sz w:val="28"/>
          <w:szCs w:val="28"/>
        </w:rPr>
        <w:t xml:space="preserve"> приводило к снижению интенсивности симптомов БА </w:t>
      </w:r>
      <w:r w:rsidR="00677531"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{"citationItems":[{"id":"ITEM-1","itemData":{"author":[{"dropping-particle":"","family":"Насунова","given":"А.Ю.","non-dropping-particle":"","parse-names":false,"suffix":""},{"dropping-particle":"","family":"Дробик","given":"О. С.","non-dropping-particle":"","parse-names":false,"suffix":""}],"container-title":"Фарматека","id":"ITEM-1","issue":"S1","issued":{"date-parts":[["2013"]]},"page":"75-79","title":"Аллергический ринит. Возможности превентивной терапии","type":"article-journal"},"uris":["http://www.mendeley.com/documents/?uuid=f8e8bdf9-5a8f-4b3d-9024-691348dac412"]}],"mendeley":{"formattedCitation":"[38]","plainTextFormattedCitation":"[38]","previouslyFormattedCitation":"[38]"},"properties":{"noteIndex":0},"schema":"https://github.com/citation-style-language/schema/raw/master/csl-citation.json"}</w:instrText>
      </w:r>
      <w:r w:rsidR="00677531"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[38]</w:t>
      </w:r>
      <w:r w:rsidR="00677531" w:rsidRPr="001B27F8">
        <w:rPr>
          <w:rFonts w:ascii="Times New Roman" w:hAnsi="Times New Roman" w:cs="Times New Roman"/>
          <w:sz w:val="28"/>
          <w:szCs w:val="28"/>
        </w:rPr>
        <w:fldChar w:fldCharType="end"/>
      </w:r>
      <w:r w:rsidR="00677531" w:rsidRPr="001B27F8">
        <w:rPr>
          <w:rFonts w:ascii="Times New Roman" w:hAnsi="Times New Roman" w:cs="Times New Roman"/>
          <w:sz w:val="28"/>
          <w:szCs w:val="28"/>
        </w:rPr>
        <w:t>.</w:t>
      </w:r>
    </w:p>
    <w:p w14:paraId="6DB9ECC9" w14:textId="55CC330E" w:rsidR="00523992" w:rsidRDefault="001B0583" w:rsidP="001B27F8">
      <w:pPr>
        <w:tabs>
          <w:tab w:val="left" w:pos="851"/>
        </w:tabs>
        <w:spacing w:after="0" w:line="240" w:lineRule="auto"/>
        <w:ind w:firstLine="567"/>
        <w:jc w:val="both"/>
        <w:rPr>
          <w:rStyle w:val="fontstyle01"/>
          <w:color w:val="auto"/>
        </w:rPr>
      </w:pPr>
      <w:r>
        <w:rPr>
          <w:rStyle w:val="fontstyle01"/>
          <w:color w:val="auto"/>
        </w:rPr>
        <w:t>А</w:t>
      </w:r>
      <w:r w:rsidRPr="001B0583">
        <w:rPr>
          <w:rStyle w:val="fontstyle01"/>
          <w:color w:val="auto"/>
        </w:rPr>
        <w:t>нкеты для оценки симптомов при аллергическом риноконъюнктивите</w:t>
      </w:r>
      <w:r>
        <w:rPr>
          <w:rStyle w:val="fontstyle01"/>
          <w:color w:val="auto"/>
        </w:rPr>
        <w:t xml:space="preserve"> н</w:t>
      </w:r>
      <w:r w:rsidR="00923F25">
        <w:rPr>
          <w:rStyle w:val="fontstyle01"/>
          <w:color w:val="auto"/>
        </w:rPr>
        <w:t>ачали активно использоваться в 9</w:t>
      </w:r>
      <w:r>
        <w:rPr>
          <w:rStyle w:val="fontstyle01"/>
          <w:color w:val="auto"/>
        </w:rPr>
        <w:t>0-х годов прошлого столетия</w:t>
      </w:r>
      <w:r w:rsidR="00523992" w:rsidRPr="001B0583">
        <w:rPr>
          <w:rStyle w:val="fontstyle01"/>
          <w:color w:val="auto"/>
        </w:rPr>
        <w:t>.</w:t>
      </w:r>
      <w:r>
        <w:rPr>
          <w:rStyle w:val="fontstyle01"/>
          <w:color w:val="auto"/>
        </w:rPr>
        <w:t xml:space="preserve"> </w:t>
      </w:r>
      <w:r w:rsidR="00EA7E14" w:rsidRPr="001B27F8">
        <w:rPr>
          <w:rStyle w:val="fontstyle01"/>
          <w:color w:val="auto"/>
        </w:rPr>
        <w:t>За последние 20 лет были разработаны различные анкеты для оценки тяжести симптомов и качества жизни при аллергическом рините</w:t>
      </w:r>
      <w:r w:rsidR="00923F25" w:rsidRPr="00923F25">
        <w:rPr>
          <w:rStyle w:val="fontstyle01"/>
          <w:color w:val="auto"/>
        </w:rPr>
        <w:t xml:space="preserve"> </w:t>
      </w:r>
      <w:r w:rsidR="00923F25">
        <w:rPr>
          <w:rStyle w:val="fontstyle01"/>
          <w:color w:val="auto"/>
        </w:rPr>
        <w:fldChar w:fldCharType="begin" w:fldLock="1"/>
      </w:r>
      <w:r w:rsidR="00765C06">
        <w:rPr>
          <w:rStyle w:val="fontstyle01"/>
          <w:color w:val="auto"/>
        </w:rPr>
        <w:instrText>ADDIN CSL_CITATION {"citationItems":[{"id":"ITEM-1","itemData":{"DOI":"10.1111/j.1365-2222.1991.tb00807.x","ISSN":"13652222","PMID":"2021881","abstract":"The objective of this study was to develop and test a health‐related quality of life questionnaire for clinical trials in rhinoconjunctivitis. The Rhinoconjunctivitis Quality of Life Questionnaire (RQLQ) was developed by asking patients to identify areas of their lives affected by rhinoconjunctivitis. The resultant RQLQ was tested for reproducibility, responsiveness and validity in a randomized, double‐blind trial of regular versus ‘as required’ aqueous beclomethasone dipropionate (BDP) nasal spray in ragweed pollen‐induced rhinoconjunctivitis. Eighty‐five patients from previous rhinoconjunctivitis studies participated in the developmental survey. Sixty ragweed‐sensitive patients, from previous trials and media notices, were enrolled in the clinical trial. Aqueous BDP (800 μg) nasal spray was administered regularly or ‘as required’ throughout the ragweed pollen season. The survey revealed that, in addition to local symptoms of rhinoconjunctivitis, patients experienced impairment of quality of life through systemic symptoms, sleep disturbance, practical problems, activity limitations and emotional problems. The RQLQ includes 28 questions related to these dimensions. Repeated administration of the RQLQ demonstrated good reproducibility. During the clinical trial, the RQLQ proved responsive in its ability to distinguish between regular and ‘as required’ medication use. Validity was shown by moderate to strong relations between changes in symptom diary scores and changes in RQLQ scores. In conclusion the RQLQ is likely to prove useful as a measure of health‐related quality of life in clinical trials in both rhinoconjunctivitis and rhinitis. Copyright © 1991, Wiley Blackwell. All rights reserved","author":[{"dropping-particle":"","family":"JUNIPER","given":"ELIZABETH F.","non-dropping-particle":"","parse-names":false,"suffix":""},{"dropping-particle":"","family":"GUYATT","given":"G. H.","non-dropping-particle":"","parse-names":false,"suffix":""}],"container-title":"Clinical &amp; Experimental Allergy","id":"ITEM-1","issue":"1","issued":{"date-parts":[["1991"]]},"page":"77-83","title":"Development and testing of a new measure of health status for clinical trials in rhinoconjunctivitis","type":"article-journal","volume":"21"},"uris":["http://www.mendeley.com/documents/?uuid=572ed0e1-50c8-41f3-bb1d-d00dd72f1012"]},{"id":"ITEM-2","itemData":{"DOI":"10.1016/0091-6749(94)90349-2","ISSN":"00916749","PMID":"8120268","abstract":"Background: The objectives of the study were to evaluate impairment in quality of life in 12- to 17-year-old patients with seasonal allergic rhinoconjunctivitis and to develop and test a questionnaire suitable for evaluating change in quality of life during clinical trials. Methods: Patients were asked to identify physical and emotional impairments associated with allergic rhinoconjunctivitis. The resultant questionnaire was tested for responsiveness and validity in a clinical trial in which fluticasone nasal spray and loratadine were compared for treatment of ragweed pollen-induced rhinoconjunctivitis. Eighty-three patients, 12 to 17 years of age, with grass- or ragweed-induced hayfever participated in the instrument development phase. They were recruited for the study from an allergy clinic and local schools and recreational organizations. Two hundred forty patients with ragweed hayfever participated in the clinical trial and provided quality of life data. Results: The survey showed that in addition to local symptoms, patients experienced impairment of quality of life because of systemic symptoms, activity limitations, and emotional and practical problems. The resultant questionnaire has 25 items in six domains. In the clinical trial responsiveness was demonstrated by the questionnaire's ability to detect change over time and differences between treatments. Construct validity was demonstrated by moderate to strong relationships between changes in diary symptom scores and quality of life. Conclusions: The items identified by 12- to 17-year-old patients were not identical to those previously identified by adults. This suggests that impairment of quality of life may not be the same in the two groups and that it is appropriate to have a questionnaire specifically designed for adolescent rhinoconjunctivitis clinical trials. © 1994.","author":[{"dropping-particle":"","family":"Juniper","given":"Elizabeth F.","non-dropping-particle":"","parse-names":false,"suffix":""},{"dropping-particle":"","family":"Guyatt","given":"Gordon H.","non-dropping-particle":"","parse-names":false,"suffix":""},{"dropping-particle":"","family":"Dolovich","given":"Jerry","non-dropping-particle":"","parse-names":false,"suffix":""}],"container-title":"The Journal of Allergy and Clinical Immunology","id":"ITEM-2","issue":"2","issued":{"date-parts":[["1994"]]},"page":"413-423","title":"Assessment of quality of life in adolescents with allergic rhinoconjunctivitis: Development and testing of a questionnaire for clinical trials","type":"article-journal","volume":"93"},"uris":["http://www.mendeley.com/documents/?uuid=ed77e3c8-503e-419c-9417-a6e2ddb1d11a"]}],"mendeley":{"formattedCitation":"[39,40]","plainTextFormattedCitation":"[39,40]","previouslyFormattedCitation":"[39,40]"},"properties":{"noteIndex":0},"schema":"https://github.com/citation-style-language/schema/raw/master/csl-citation.json"}</w:instrText>
      </w:r>
      <w:r w:rsidR="00923F25">
        <w:rPr>
          <w:rStyle w:val="fontstyle01"/>
          <w:color w:val="auto"/>
        </w:rPr>
        <w:fldChar w:fldCharType="separate"/>
      </w:r>
      <w:r w:rsidR="00877069" w:rsidRPr="00877069">
        <w:rPr>
          <w:rStyle w:val="fontstyle01"/>
          <w:noProof/>
          <w:color w:val="auto"/>
        </w:rPr>
        <w:t>[39,40]</w:t>
      </w:r>
      <w:r w:rsidR="00923F25">
        <w:rPr>
          <w:rStyle w:val="fontstyle01"/>
          <w:color w:val="auto"/>
        </w:rPr>
        <w:fldChar w:fldCharType="end"/>
      </w:r>
      <w:r w:rsidR="00EA7E14" w:rsidRPr="001B27F8">
        <w:rPr>
          <w:rStyle w:val="fontstyle01"/>
          <w:color w:val="auto"/>
        </w:rPr>
        <w:t>.</w:t>
      </w:r>
      <w:r>
        <w:rPr>
          <w:rStyle w:val="fontstyle01"/>
          <w:color w:val="auto"/>
        </w:rPr>
        <w:t xml:space="preserve"> В данных анкетах</w:t>
      </w:r>
      <w:r w:rsidR="00523992" w:rsidRPr="001B27F8">
        <w:rPr>
          <w:rStyle w:val="fontstyle01"/>
          <w:color w:val="auto"/>
        </w:rPr>
        <w:t xml:space="preserve"> предлагалось</w:t>
      </w:r>
      <w:r>
        <w:rPr>
          <w:rStyle w:val="fontstyle01"/>
          <w:color w:val="auto"/>
        </w:rPr>
        <w:t xml:space="preserve"> измерение и фиксация</w:t>
      </w:r>
      <w:r w:rsidR="00523992" w:rsidRPr="001B27F8">
        <w:rPr>
          <w:rStyle w:val="fontstyle01"/>
          <w:color w:val="auto"/>
        </w:rPr>
        <w:t xml:space="preserve"> тяжести и длительности симптомов аллергического риноконъюнктивита. Оценивались такие симптомы, как заложенность носа, ринорея, зуд в носу, чихание, зуд глаз и слезоточивость</w:t>
      </w:r>
      <w:r w:rsidR="008C2177" w:rsidRPr="008C2177">
        <w:rPr>
          <w:rStyle w:val="fontstyle01"/>
          <w:color w:val="auto"/>
        </w:rPr>
        <w:t xml:space="preserve"> </w:t>
      </w:r>
      <w:r w:rsidR="008C2177" w:rsidRPr="0013015E">
        <w:rPr>
          <w:rStyle w:val="fontstyle01"/>
          <w:color w:val="auto"/>
        </w:rPr>
        <w:fldChar w:fldCharType="begin" w:fldLock="1"/>
      </w:r>
      <w:r w:rsidR="00765C06">
        <w:rPr>
          <w:rStyle w:val="fontstyle01"/>
          <w:color w:val="auto"/>
        </w:rPr>
        <w:instrText>ADDIN CSL_CITATION {"citationItems":[{"id":"ITEM-1","itemData":{"DOI":"10.1111/j.1398-9995.2006.01312.x","ISSN":"01054538","PMID":"17298350","abstract":"Specific Immunotherapy for respiratory allergy is used since about one century and there is now solid documentation of its efficacy. Nevertheless, the methods and experimental designs used in clinical trials are quite heterogeneous and there is no unanimously accepted methodological standard. Many studies are planned with study designs that may not confirm the clinical value of SIT as an effective treatment to reduce disease severity. To ensure that patients are treated based on sound scientific evidence and to minimize the risk of misusing limited financial resources for scientific studies, the World Allergy Organization (WAO) convened a group of experts to provide guidelines for the methodology of future immunotherapy studies. This document summarizes the recommendations for study design, patients' selection, appropriate outcomes and statistical treatment to be used in planning and performing clinical trials with specific immunotherapy. © 2007 The Authors.","author":[{"dropping-particle":"","family":"Canonica","given":"G. W.","non-dropping-particle":"","parse-names":false,"suffix":""},{"dropping-particle":"","family":"Baena-Cagnani","given":"C. E.","non-dropping-particle":"","parse-names":false,"suffix":""},{"dropping-particle":"","family":"Bousquet","given":"J.","non-dropping-particle":"","parse-names":false,"suffix":""},{"dropping-particle":"","family":"Bousquet","given":"P. J.","non-dropping-particle":"","parse-names":false,"suffix":""},{"dropping-particle":"","family":"Lockey","given":"R. F.","non-dropping-particle":"","parse-names":false,"suffix":""},{"dropping-particle":"","family":"Malling","given":"H. J.","non-dropping-particle":"","parse-names":false,"suffix":""},{"dropping-particle":"","family":"Passalacqua","given":"G.","non-dropping-particle":"","parse-names":false,"suffix":""},{"dropping-particle":"","family":"Potter","given":"P.","non-dropping-particle":"","parse-names":false,"suffix":""},{"dropping-particle":"","family":"Valovirta","given":"E.","non-dropping-particle":"","parse-names":false,"suffix":""}],"container-title":"Allergy: European Journal of Allergy and Clinical Immunology","id":"ITEM-1","issue":"3","issued":{"date-parts":[["2007"]]},"page":"317-324","title":"Recommendations for standardization of clinical trials with Allergen Specific Immunotherapy for respiratory allergy. A statement of a World Allergy Organization (WAO) taskforce","type":"article-journal","volume":"62"},"uris":["http://www.mendeley.com/documents/?uuid=7d7f59fa-1bce-49f6-bc6b-d3c6271c5b45"]},{"id":"ITEM-2","itemData":{"DOI":"10.1111/all.12383","ISSN":"01054538","PMID":"24761804","abstract":"Background Allergen immunotherapy (AIT) has been thoroughly documented in randomized controlled trials (RCTs). It is the only immune-modifying and causal treatment available for patients suffering from IgE-mediated diseases such as allergic rhinoconjunctivitis, allergic asthma and insect sting allergy. However, there is a high degree of clinical and methodological heterogeneity among the endpoints in clinical studies on AIT, for both subcutaneous and sublingual immunotherapy (SCIT and SLIT). At present, there are no commonly accepted standards for defining the optimal outcome parameters to be used for both primary and secondary endpoints. Methods As elaborated by a Task Force (TF) of the European Academy of Allergy and Clinical Immunology (EAACI) Immunotherapy Interest Group, this Position Paper evaluates the currently used outcome parameters in different RCTs and also aims to provide recommendations for the optimal endpoints in future AIT trials for allergic rhinoconjunctivitis. Results Based on a thorough literature review, the TF members have outlined recommendations for nine domains of clinical outcome measures. As the primary outcome, the TF recommends a homogeneous combined symptom and medication score (CSMS) as a simple and standardized method that balances both symptoms and the need for antiallergic medication in an equally weighted manner. All outcomes, grouped into nine domains, are reviewed. Conclusion A standardized and globally harmonized method for analysing the clinical efficacy of AIT products in RCTs is required. The EAACI TF highlights the CSMS as the primary endpoint for future RCTs in AIT for allergic rhinoconjunctivitis. © 2014 John Wiley &amp; Sons A/S. Published by John Wiley &amp; Sons Ltd.","author":[{"dropping-particle":"","family":"Pfaar","given":"O.","non-dropping-particle":"","parse-names":false,"suffix":""},{"dropping-particle":"","family":"Demoly","given":"P.","non-dropping-particle":"","parse-names":false,"suffix":""},{"dropping-particle":"","family":"Gerth van Wijk","given":"R.","non-dropping-particle":"","parse-names":false,"suffix":""},{"dropping-particle":"","family":"Bonini","given":"S.","non-dropping-particle":"","parse-names":false,"suffix":""},{"dropping-particle":"","family":"Bousquet","given":"J.","non-dropping-particle":"","parse-names":false,"suffix":""},{"dropping-particle":"","family":"Canonica","given":"G. W.","non-dropping-particle":"","parse-names":false,"suffix":""},{"dropping-particle":"","family":"Durham","given":"S. R.","non-dropping-particle":"","parse-names":false,"suffix":""},{"dropping-particle":"","family":"Jacobsen","given":"L.","non-dropping-particle":"","parse-names":false,"suffix":""},{"dropping-particle":"","family":"Malling","given":"H. J.","non-dropping-particle":"","parse-names":false,"suffix":""},{"dropping-particle":"","family":"Mösges","given":"R.","non-dropping-particle":"","parse-names":false,"suffix":""},{"dropping-particle":"","family":"Papadopoulos","given":"N. G.","non-dropping-particle":"","parse-names":false,"suffix":""},{"dropping-particle":"","family":"Rak","given":"S.","non-dropping-particle":"","parse-names":false,"suffix":""},{"dropping-particle":"","family":"Rodriguez del Rio","given":"P.","non-dropping-particle":"","parse-names":false,"suffix":""},{"dropping-particle":"","family":"Valovirta","given":"E.","non-dropping-particle":"","parse-names":false,"suffix":""},{"dropping-particle":"","family":"Wahn","given":"U.","non-dropping-particle":"","parse-names":false,"suffix":""},{"dropping-particle":"","family":"Calderon","given":"M. A.","non-dropping-particle":"","parse-names":false,"suffix":""}],"container-title":"Allergy","id":"ITEM-2","issue":"7","issued":{"date-parts":[["2014","7"]]},"page":"854-867","title":"Recommendations for the standardization of clinical outcomes used in allergen immunotherapy trials for allergic rhinoconjunctivitis: an EAACI Position Paper","type":"article-journal","volume":"69"},"uris":["http://www.mendeley.com/documents/?uuid=541810a5-849f-4435-a25b-f87d4fae320f"]},{"id":"ITEM-3","itemData":{"DOI":"10.1186/1477-7525-12-99","ISSN":"14777525","PMID":"24927639","abstract":"Background: Grass allergen immunotherapy (AIT) reduces symptom severity in seasonal allergic rhinoconjunctivitis (ARC) but its impact on general health-related utility has not been characterised for the purposes of economic evaluation. The aim of this study was to model the preferred measure of utility, EQ-5D index, from symptom severity and estimate incremental quality adjusted life years (QALYs) associated with SQ-standardised grass immunotherapy tablet (GRAZAX®, 75,000 SQ-T/2,800 BAU, ALK, Denmark).Methods: Data were analysed from five consecutive pollen seasons in a randomised placebo controlled trial of GRAZAX®. Binomial and Gaussian mixed effects modelling related weekly EQ-5D index score to daily symptom and medication scores (DSS &amp; DMS respectively). In turn, daily EQ-5D index was estimated from ARC symptoms and medication use.Results: DSS and DMS were the principal predictors of 'perfect' health (EQ-5D = 1.000; binomial) and 'imperfect' health (EQ-5D &lt; 1.000; Gaussian). Each unit increase in DSS and DMS reduced the odds of 'perfect' health (EQ-5D = 1.000) by 27% and 16% respectively, and reduced 'imperfect' health by 0.17 and 0.13, respectively. Gender remained the only other significant main fixed effect (Male odds ratio [OR] = 1.82). Incremental estimated EQ-5D index utility for GRAZAX® was observed from day -30 to day +70 of the pooled pollen season; mean daily utility for GRAZAX® = 0.938 units (95%CI 0.932-0.943) vs. 0.914 (0.907-0.921) for placebo, an incremental difference of 0.0238 (p &lt; 0.001). This translates into an incremental 0.0324 Quality Adjusted Life Years over the five year study period.Conclusions: ARC symptoms and medication use are the main predictors of EQ-5D index. The incremental QALYs observed for GRAZAX® may not fully describe the health benefits of this treatment, suggesting that economic modelling may be conservative. © 2014 Poole et al.; licensee BioMed Central Ltd.","author":[{"dropping-particle":"","family":"Poole","given":"Chris D.","non-dropping-particle":"","parse-names":false,"suffix":""},{"dropping-particle":"","family":"Bannister","given":"Christian A.","non-dropping-particle":"","parse-names":false,"suffix":""},{"dropping-particle":"","family":"Andreasen","given":"Jakob N.","non-dropping-particle":"","parse-names":false,"suffix":""},{"dropping-particle":"","family":"Andersen","given":"Jens S.","non-dropping-particle":"","parse-names":false,"suffix":""},{"dropping-particle":"","family":"Currie","given":"Craig J.","non-dropping-particle":"","parse-names":false,"suffix":""}],"container-title":"Health and Quality of Life Outcomes","id":"ITEM-3","issue":"1","issued":{"date-parts":[["2014"]]},"page":"1-9","title":"Estimation of health-related utility (EQ-5D index) in subjects with seasonal allergic rhinoconjunctivitis to evaluate health gain associated with sublingual grass allergen immunotherapy","type":"article-journal","volume":"12"},"uris":["http://www.mendeley.com/documents/?uuid=8ab0168e-7907-4d3d-b093-925df0cfec3e"]}],"mendeley":{"formattedCitation":"[41–43]","plainTextFormattedCitation":"[41–43]","previouslyFormattedCitation":"[41–43]"},"properties":{"noteIndex":0},"schema":"https://github.com/citation-style-language/schema/raw/master/csl-citation.json"}</w:instrText>
      </w:r>
      <w:r w:rsidR="008C2177" w:rsidRPr="0013015E">
        <w:rPr>
          <w:rStyle w:val="fontstyle01"/>
          <w:color w:val="auto"/>
        </w:rPr>
        <w:fldChar w:fldCharType="separate"/>
      </w:r>
      <w:r w:rsidR="00877069" w:rsidRPr="00877069">
        <w:rPr>
          <w:rStyle w:val="fontstyle01"/>
          <w:noProof/>
          <w:color w:val="auto"/>
        </w:rPr>
        <w:t>[41–43]</w:t>
      </w:r>
      <w:r w:rsidR="008C2177" w:rsidRPr="0013015E">
        <w:rPr>
          <w:rStyle w:val="fontstyle01"/>
          <w:color w:val="auto"/>
        </w:rPr>
        <w:fldChar w:fldCharType="end"/>
      </w:r>
      <w:r w:rsidR="00523992" w:rsidRPr="001B27F8">
        <w:rPr>
          <w:rStyle w:val="fontstyle01"/>
          <w:color w:val="auto"/>
        </w:rPr>
        <w:t>. В результате проводилась еженедельная оценка состояния и эффективности терапии с отметкой побочных эффектов. В последующие десятилетия анкета подвергалась модификациям для адаптации использования различных видов противоаллергической терапии</w:t>
      </w:r>
      <w:r w:rsidR="00523992" w:rsidRPr="0013015E">
        <w:rPr>
          <w:rStyle w:val="fontstyle01"/>
          <w:color w:val="auto"/>
        </w:rPr>
        <w:t xml:space="preserve">. </w:t>
      </w:r>
      <w:r w:rsidR="0020675D">
        <w:rPr>
          <w:rStyle w:val="fontstyle01"/>
          <w:color w:val="auto"/>
        </w:rPr>
        <w:t>Таким образом,</w:t>
      </w:r>
      <w:r w:rsidR="00523992" w:rsidRPr="001B27F8">
        <w:rPr>
          <w:rStyle w:val="fontstyle01"/>
          <w:color w:val="auto"/>
        </w:rPr>
        <w:t xml:space="preserve"> в анкету были включены характеристики физической активности, сна, эмоциональной картины и общих симптомов, составляющие основные аспекты о</w:t>
      </w:r>
      <w:r w:rsidR="008C40F9">
        <w:rPr>
          <w:rStyle w:val="fontstyle01"/>
          <w:color w:val="auto"/>
        </w:rPr>
        <w:t>ценки качества жизни пациентов</w:t>
      </w:r>
      <w:r w:rsidR="00CE479F" w:rsidRPr="00CE479F">
        <w:rPr>
          <w:rStyle w:val="fontstyle01"/>
          <w:color w:val="auto"/>
        </w:rPr>
        <w:t xml:space="preserve"> </w:t>
      </w:r>
      <w:r w:rsidR="00CE479F">
        <w:rPr>
          <w:rStyle w:val="fontstyle01"/>
          <w:color w:val="auto"/>
        </w:rPr>
        <w:fldChar w:fldCharType="begin" w:fldLock="1"/>
      </w:r>
      <w:r w:rsidR="00765C06">
        <w:rPr>
          <w:rStyle w:val="fontstyle01"/>
          <w:color w:val="auto"/>
        </w:rPr>
        <w:instrText>ADDIN CSL_CITATION {"citationItems":[{"id":"ITEM-1","itemData":{"DOI":"10.1034/j.1398-9995.2002.1o3306.x","ISSN":"01054538","PMID":"11906333","abstract":"Background: With interest in health economics growing, it is important to know whether utilities may be used to measure health-related quality of life in patients with rhinoconjunctivitis. The objective was to compare the validity and measurement properties of disease-specific versions of the standard gamble and rating scale with those of the Rhinoconjunctivitis Quality of Life Questionnaire (RQLQ) and the Short-Form 36 (SF-36). Methods: One hundred adults with symptomatic rhinoconjunctivitis participated in a 5 week observational study, completing the standard gamble, rating scale, RQLQ and SF-36 at baseline and after 1 and 5 weeks. Symptom diaries were completed for 1 week before each follow-up visit. Results: Reliability was highest for the RQLQ (intraclass correlation coefficient = 0.97), followed by the rating scale (0.75), the SF-36 physical (0.75), the SF-36 mental (0.74) and the standard gamble (0.12). The responsiveness index was highest for the RQLQ (0.76), followed by the rating scale (0.56) and the SF-36 mental (0.28). Both cross-sectional and longitudinal validity were strongest for the RQLQ and the rating scale. Conclusions: Both the rating scale and the RQLQ have strong evaluative and discriminative properties. The SF-36 has acceptable discriminative properties but its evaluative properties are poor. All measurement properties for the standard gamble are inadequate. Poor correlation between the standard gamble and the rating scale indicates that utilities cannot be derived from rating scale data.","author":[{"dropping-particle":"","family":"Juniper","given":"E. F.","non-dropping-particle":"","parse-names":false,"suffix":""},{"dropping-particle":"","family":"Thompson","given":"A. K.","non-dropping-particle":"","parse-names":false,"suffix":""},{"dropping-particle":"","family":"Roberts","given":"J. N.","non-dropping-particle":"","parse-names":false,"suffix":""}],"container-title":"Allergy: European Journal of Allergy and Clinical Immunology","id":"ITEM-1","issue":"3","issued":{"date-parts":[["2002"]]},"page":"201-206","title":"Can the standard gamble and rating scale be used to measure quality of life in rhinoconjunctivitis? Comparison with the RQLQ and SF-36","type":"article-journal","volume":"57"},"uris":["http://www.mendeley.com/documents/?uuid=f9c29f78-a702-4bb3-8ed4-02cabef088fc"]},{"id":"ITEM-2","itemData":{"DOI":"10.1007/s10943-020-01071-y","ISSN":"15736571","abstract":"At present, no standardized tool to measure therapeutic outcomes of a central European traditional healing system called Ethicotherapy exists. Ethicotherapy focuses on the relationship between physical health and moral health. The aim was to develop and validate the Ethicotherapy quality of life questionnaire (EQLQ) using a sequential exploratory mixed-method study design. An EQLQ with good psychometric properties was developed. An exploratory factor analysis identified eight domains consisting of 30 items. Future research investigating a relationship between EQLQ, health, and physical illness in different populations and cultural settings is recommended.","author":[{"dropping-particle":"","family":"JUNIPER","given":"E. F.","non-dropping-particle":"","parse-names":false,"suffix":""},{"dropping-particle":"","family":"THOMPSON","given":"A. K.","non-dropping-particle":"","parse-names":false,"suffix":""},{"dropping-particle":"","family":"FERRIE","given":"P. J.","non-dropping-particle":"","parse-names":false,"suffix":""},{"dropping-particle":"","family":"ROBERTS","given":"J. N.","non-dropping-particle":"","parse-names":false,"suffix":""}],"container-title":"Clinical and Experimental Allergy","id":"ITEM-2","issued":{"date-parts":[["2000"]]},"page":"132-140","title":"Development and validation of the Mini Rhinoconjunctivitis Quality of Life Questionnaire","type":"article-journal","volume":"30"},"uris":["http://www.mendeley.com/documents/?uuid=4a0fe2be-1323-4ad8-aa03-aa05ac164af7"]}],"mendeley":{"formattedCitation":"[44,45]","plainTextFormattedCitation":"[44,45]","previouslyFormattedCitation":"[44,45]"},"properties":{"noteIndex":0},"schema":"https://github.com/citation-style-language/schema/raw/master/csl-citation.json"}</w:instrText>
      </w:r>
      <w:r w:rsidR="00CE479F">
        <w:rPr>
          <w:rStyle w:val="fontstyle01"/>
          <w:color w:val="auto"/>
        </w:rPr>
        <w:fldChar w:fldCharType="separate"/>
      </w:r>
      <w:r w:rsidR="00877069" w:rsidRPr="00877069">
        <w:rPr>
          <w:rStyle w:val="fontstyle01"/>
          <w:noProof/>
          <w:color w:val="auto"/>
        </w:rPr>
        <w:t>[44,45]</w:t>
      </w:r>
      <w:r w:rsidR="00CE479F">
        <w:rPr>
          <w:rStyle w:val="fontstyle01"/>
          <w:color w:val="auto"/>
        </w:rPr>
        <w:fldChar w:fldCharType="end"/>
      </w:r>
      <w:r w:rsidR="00523992" w:rsidRPr="001B27F8">
        <w:rPr>
          <w:rStyle w:val="fontstyle01"/>
          <w:color w:val="auto"/>
        </w:rPr>
        <w:t>.</w:t>
      </w:r>
    </w:p>
    <w:p w14:paraId="60C8A2E0" w14:textId="52477DFC" w:rsidR="0065477D" w:rsidRPr="001B27F8" w:rsidRDefault="0065477D" w:rsidP="0065477D">
      <w:pPr>
        <w:tabs>
          <w:tab w:val="left" w:pos="851"/>
        </w:tabs>
        <w:spacing w:after="0" w:line="240" w:lineRule="auto"/>
        <w:ind w:firstLine="567"/>
        <w:jc w:val="both"/>
        <w:rPr>
          <w:rStyle w:val="fontstyle01"/>
          <w:color w:val="auto"/>
        </w:rPr>
      </w:pPr>
      <w:r w:rsidRPr="001B27F8">
        <w:rPr>
          <w:rFonts w:ascii="Times New Roman" w:hAnsi="Times New Roman" w:cs="Times New Roman"/>
          <w:sz w:val="28"/>
          <w:szCs w:val="28"/>
        </w:rPr>
        <w:t xml:space="preserve">Симптомы </w:t>
      </w:r>
      <w:r w:rsidR="00330174">
        <w:rPr>
          <w:rFonts w:ascii="Times New Roman" w:hAnsi="Times New Roman" w:cs="Times New Roman"/>
          <w:sz w:val="28"/>
          <w:szCs w:val="28"/>
        </w:rPr>
        <w:t>АР</w:t>
      </w:r>
      <w:r w:rsidRPr="001B27F8">
        <w:rPr>
          <w:rFonts w:ascii="Times New Roman" w:hAnsi="Times New Roman" w:cs="Times New Roman"/>
          <w:sz w:val="28"/>
          <w:szCs w:val="28"/>
        </w:rPr>
        <w:t xml:space="preserve"> ощутимо влияют на качество жизни пациентов, что сказывается на повседневной активности и работоспособности и является одной из самых частых причин обращения к врачу </w:t>
      </w:r>
      <w:r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{"citationItems":[{"id":"ITEM-1","itemData":{"DOI":"10.1586/1744666X.2015.1062365","ISSN":"1744-666X","PMID":"26144241","abstract":"A panel of Italian allergists gathered to discuss the issue concerning the management of polysensitized patients. The main conclusions were as follows: polysensitization is a relevant clinical characteristic as it affects about 70-80% of the global allergic population; the diagnostic pathway needs the use of an adequate and thorough methodology, based on the demonstration of consistency between history and documented sensitization; polysensitization and polyallergy are not synonymous: true allergy should always be demonstrated; polysensitization does not constitute a limitation to allergen immunotherapy prescription, as 1-2 allergen extracts could be effective in polysensitized patients; the allergen immunotherapy product characteristics should include the following: high efficacy and optimal safety profile, standardized production, and documented presence and titration of the major allergen.","author":[{"dropping-particle":"","family":"Ciprandi","given":"Giorgio","non-dropping-particle":"","parse-names":false,"suffix":""},{"dropping-particle":"","family":"Incorvaia","given":"Cristoforo","non-dropping-particle":"","parse-names":false,"suffix":""},{"dropping-particle":"","family":"Frati","given":"Franco","non-dropping-particle":"","parse-names":false,"suffix":""}],"container-title":"Expert Review of Clinical Immunology","id":"ITEM-1","issue":"9","issued":{"date-parts":[["2015","9","2"]]},"page":"973-976","title":"Management of polysensitized patient: from molecular diagnostics to biomolecular immunotherapy","type":"article-journal","volume":"11"},"uris":["http://www.mendeley.com/documents/?uuid=d59b6941-bef4-4224-a378-fd896e152294"]},{"id":"ITEM-2","itemData":{"DOI":"10.3310/eme03100","ISSN":"2050-4365","abstract":"We previously reported that repeated low-dose grass pollen intradermal allergen injection suppresses allergen-induced cutaneous late-phase responses, comparable with conventional high-dose subcutaneous and sublingual immunotherapy. To evaluate the efficacy and mechanism of grass pollen intradermal immunotherapy for treatment of allergic rhinitis. A Phase II, double-blind, randomised controlled parallel-group trial. Single-centre UK study. Adults aged 18-65 years, with grass pollen-induced allergic rhinoconjunctivitis. Seven 2-weekly intradermal injections were given into the forearm, containing either Phleum pratense soluble grass pollen extract (7 ng of the major allergen Phl p 5) or histamine control. The primary outcome was a combined symptom and medication score (CSMS) during the 2013 grass pollen season. Secondary clinical outcomes were overall symptom scores; individual symptoms scores for nose, mouth, eyes and lungs; overall medication scores; CSMSs during the peak season; visual analogue scale (VAS) scores for nose and eye symptoms; Mini Rhinitis Quality of Life Questionnaire scores; health-related quality-of-life scores (European Quality of Life-5 Dimensions, 5-levels); a global evaluation of symptoms, number of symptom-free and medication-free days; number of days when prednisolone was used; and adverse events. Mechanistic studies included measurement of late-phase skin response sizes, allergen-specific antibody titres, analysis of skin biopsies and basophil activation tests. There was no significant difference in CSMSs between treatment arms [difference in median area under curve (AUC) 14, 95% confidence interval (CI) -172.5 to 215.1; p = 0.80]. Paradoxically, among the secondary outcomes, nasal symptoms measured with daily scores were higher in the active arm (difference in median AUC 35, 95% CI 4.0 to 67.5; p = 0.03), with a trend for higher nasal symptoms measured by VASs (difference in median AUC 53, 95% CI -11.6 to 125.2; p = 0.05). No differences were seen in other clinical outcomes in the main intention-to-treat analysis. In mechanistic studies, active treatment increased P. pratense-, Phl p 1- and Phl p 5-specific immunoglobulin E (all p = 0.001) compared with the control. T cells cultured from skin biopsies of active intradermal immunotherapy subjects showed higher T helper type 2 cell (Th2) marker CRTH2 (chemoattractant receptor-homologous molecule expressed on Th2 cells) expression (p &lt; 0.05) and lower T helper type 1 cell marker C…","author":[{"dropping-particle":"","family":"Slovick","given":"Anna","non-dropping-particle":"","parse-names":false,"suffix":""},{"dropping-particle":"","family":"Douiri","given":"Abdel","non-dropping-particle":"","parse-names":false,"suffix":""},{"dropping-particle":"","family":"Muir","given":"Rachel","non-dropping-particle":"","parse-names":false,"suffix":""},{"dropping-particle":"","family":"Guerra","given":"Andrea","non-dropping-particle":"","parse-names":false,"suffix":""},{"dropping-particle":"","family":"Tsioulos","given":"Konstantinos","non-dropping-particle":"","parse-names":false,"suffix":""},{"dropping-particle":"","family":"Haye","given":"Evie","non-dropping-particle":"","parse-names":false,"suffix":""},{"dropping-particle":"","family":"Lam","given":"Emily PS","non-dropping-particle":"","parse-names":false,"suffix":""},{"dropping-particle":"","family":"Kelly","given":"Joanna","non-dropping-particle":"","parse-names":false,"suffix":""},{"dropping-particle":"","family":"Peacock","given":"Janet L","non-dropping-particle":"","parse-names":false,"suffix":""},{"dropping-particle":"","family":"Ying","given":"Sun","non-dropping-particle":"","parse-names":false,"suffix":""},{"dropping-particle":"","family":"Shamji","given":"Mohamed H","non-dropping-particle":"","parse-names":false,"suffix":""},{"dropping-particle":"","family":"Cousins","given":"David J","non-dropping-particle":"","parse-names":false,"suffix":""},{"dropping-particle":"","family":"Durham","given":"Stephen R","non-dropping-particle":"","parse-names":false,"suffix":""},{"dropping-particle":"","family":"Till","given":"Stephen J","non-dropping-particle":"","parse-names":false,"suffix":""}],"container-title":"Efficacy and Mechanism Evaluation","id":"ITEM-2","issue":"10","issued":{"date-parts":[["2016"]]},"page":"1-80","title":"A randomised placebo-controlled trial investigating efficacy and mechanisms of low-dose intradermal allergen immunotherapy in treatment of seasonal allergic rhinitis","type":"article-journal","volume":"3"},"uris":["http://www.mendeley.com/documents/?uuid=4320967b-2d92-48fe-aba1-a6c191c987af"]},{"id":"ITEM-3","itemData":{"DOI":"10.1007/s40266-016-0425-7","ISSN":"11791969","PMID":"27913982","abstract":"Recent studies suggest that allergic rhinitis is highly prevalent in the elderly population, but is underdiagnosed and undertreated. This review article briefly introduces allergic rhinitis in the elderly (epidemiology and pathophysiology) and identifies the main goals of treatment in these patients with respect to age-related physiological factors, comorbid conditions and polypharmacy. The primary focus of the article is a narrative review of the literature concerning the different types of treatment options in elderly patients aged 60+ years (pharmacological therapy and allergen-specific immunotherapy). The main management trend for allergic rhinitis in elderly patients is the same as the trend in young patients. Second-generation antihistamines and nasal glucocorticosteroids are also the first-line therapies in seniors. In a few trials, allergen-specific immunotherapy for grass pollen or house dust mites has been shown to be effective and safe in patients aged 60 years or older with allergic rhinitis. In conclusion, undertreatment of allergic rhinitis in the elderly is a reality. Pharmacological treatment is quite similar in both older and younger patients with allergic rhinitis.","author":[{"dropping-particle":"","family":"Bozek","given":"Andrzej","non-dropping-particle":"","parse-names":false,"suffix":""}],"container-title":"Drugs and Aging","id":"ITEM-3","issue":"1","issued":{"date-parts":[["2017"]]},"page":"21-28","publisher":"Springer International Publishing","title":"Pharmacological Management of Allergic Rhinitis in the Elderly","type":"article-journal","volume":"34"},"uris":["http://www.mendeley.com/documents/?uuid=70400c0f-ac27-4213-b1e3-0825d7825445"]},{"id":"ITEM-4","itemData":{"author":[{"dropping-particle":"","family":"Туровский","given":"А.Б.","non-dropping-particle":"","parse-names":false,"suffix":""}],"container-title":"Медицинский совет","id":"ITEM-4","issued":{"date-parts":[["2016"]]},"page":"44-49","title":"Аллергический ринит: новое решение старой проблемы","type":"article-journal","volume":"6"},"uris":["http://www.mendeley.com/documents/?uuid=ab841d9c-da97-461f-b79f-9b63c97841d1"]}],"mendeley":{"formattedCitation":"[46–49]","plainTextFormattedCitation":"[46–49]","previouslyFormattedCitation":"[46–49]"},"properties":{"noteIndex":0},"schema":"https://github.com/citation-style-language/schema/raw/master/csl-citation.json"}</w:instrText>
      </w:r>
      <w:r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[46–49]</w:t>
      </w:r>
      <w:r w:rsidRPr="001B27F8">
        <w:rPr>
          <w:rFonts w:ascii="Times New Roman" w:hAnsi="Times New Roman" w:cs="Times New Roman"/>
          <w:sz w:val="28"/>
          <w:szCs w:val="28"/>
        </w:rPr>
        <w:fldChar w:fldCharType="end"/>
      </w:r>
      <w:r w:rsidRPr="001B27F8">
        <w:rPr>
          <w:rFonts w:ascii="Times New Roman" w:hAnsi="Times New Roman" w:cs="Times New Roman"/>
          <w:sz w:val="28"/>
          <w:szCs w:val="28"/>
        </w:rPr>
        <w:t xml:space="preserve">. </w:t>
      </w:r>
      <w:r w:rsidRPr="001B27F8">
        <w:rPr>
          <w:rStyle w:val="fontstyle01"/>
          <w:color w:val="auto"/>
        </w:rPr>
        <w:t xml:space="preserve">Около 50–80% пациентов с АР сообщают о нарушении сна на фоне заболевания, что приводит к дневной усталости, снижению бдительности, неспособности сосредоточиться, депрессии, тревожности и раздражительности </w:t>
      </w:r>
      <w:r w:rsidRPr="001B27F8">
        <w:rPr>
          <w:rStyle w:val="fontstyle01"/>
          <w:color w:val="auto"/>
        </w:rPr>
        <w:fldChar w:fldCharType="begin" w:fldLock="1"/>
      </w:r>
      <w:r w:rsidR="00765C06">
        <w:rPr>
          <w:rStyle w:val="fontstyle01"/>
          <w:color w:val="auto"/>
        </w:rPr>
        <w:instrText>ADDIN CSL_CITATION {"citationItems":[{"id":"ITEM-1","itemData":{"DOI":"10.1186/s12948-016-0049-9","ISBN":"1294801600","ISSN":"14767961","abstract":"This meta-analysis compared the health-related quality of life (HRQL) of patients with allergic rhinitis (AR) and/or allergic asthma (AA) caused by perennial house dust mite (HDM) versus AR and/or AA caused by seasonal pollen allergy. Following a systematic search, the identified studies used the disease-specific rhinitis quality of life questionnaire or generic instruments (SF-36 and SF-12). Summary estimates obtained by meta-analysis showed that HRQL in patients with perennial HDM allergy was significantly worse than that of patients with seasonal pollen allergy, when measured by both disease-specific and generic HRQL instruments, and was reflected by an impact on both physical and mental health. A systematic review of cost data on AR and AA in selected European countries demonstrated that the majority of the economic burden was indirectly caused by high levels of absenteeism and presenteeism; there was little or no evidence of increasing or decreasing cost trends. Increased awareness of the detrimental effects of AR and/or AA on patients' HRQL and its considerable cost burden might encourage early diagnosis and treatment, in order to minimize the disease burden and ensure beneficial and cost-effective outcomes.","author":[{"dropping-particle":"","family":"Linneberg","given":"A.","non-dropping-particle":"","parse-names":false,"suffix":""},{"dropping-particle":"","family":"Dam Petersen","given":"K.","non-dropping-particle":"","parse-names":false,"suffix":""},{"dropping-particle":"","family":"Hahn-Pedersen","given":"J.","non-dropping-particle":"","parse-names":false,"suffix":""},{"dropping-particle":"","family":"Hammerby","given":"E.","non-dropping-particle":"","parse-names":false,"suffix":""},{"dropping-particle":"","family":"Serup-Hansen","given":"N.","non-dropping-particle":"","parse-names":false,"suffix":""},{"dropping-particle":"","family":"Boxall","given":"N.","non-dropping-particle":"","parse-names":false,"suffix":""}],"container-title":"Clinical and Molecular Allergy","id":"ITEM-1","issue":"12","issued":{"date-parts":[["2016"]]},"page":"1-14","publisher":"BioMed Central","title":"Burden of allergic respiratory disease: A systematic review","type":"article-journal","volume":"14"},"uris":["http://www.mendeley.com/documents/?uuid=181af402-ed0d-4ac1-a4ef-379b114075df"]},{"id":"ITEM-2","itemData":{"DOI":"10.1016/j.anai.2017.08.012","ISSN":"15344436","PMID":"29103802","author":[{"dropping-particle":"","family":"Dykewicz","given":"Mark S.","non-dropping-particle":"","parse-names":false,"suffix":""},{"dropping-particle":"V.","family":"Wallace","given":"Dana","non-dropping-particle":"","parse-names":false,"suffix":""},{"dropping-particle":"","family":"Baroody","given":"Fuad","non-dropping-particle":"","parse-names":false,"suffix":""},{"dropping-particle":"","family":"Bernstein","given":"Jonathan","non-dropping-particle":"","parse-names":false,"suffix":""},{"dropping-particle":"","family":"Craig","given":"Tim","non-dropping-particle":"","parse-names":false,"suffix":""},{"dropping-particle":"","family":"Finegold","given":"Ira","non-dropping-particle":"","parse-names":false,"suffix":""},{"dropping-particle":"","family":"Huang","given":"Faith","non-dropping-particle":"","parse-names":false,"suffix":""},{"dropping-particle":"","family":"Larenas-Linnemann","given":"Desiree","non-dropping-particle":"","parse-names":false,"suffix":""},{"dropping-particle":"","family":"Meltzer","given":"Eli","non-dropping-particle":"","parse-names":false,"suffix":""},{"dropping-particle":"","family":"Steven","given":"Gary","non-dropping-particle":"","parse-names":false,"suffix":""},{"dropping-particle":"","family":"Bernstein","given":"David I.","non-dropping-particle":"","parse-names":false,"suffix":""},{"dropping-particle":"","family":"Blessing-Moore","given":"Joann","non-dropping-particle":"","parse-names":false,"suffix":""},{"dropping-particle":"","family":"Dinakar","given":"Chitra","non-dropping-particle":"","parse-names":false,"suffix":""},{"dropping-particle":"","family":"Greenhawt","given":"Matthew","non-dropping-particle":"","parse-names":false,"suffix":""},{"dropping-particle":"","family":"Horner","given":"Caroline C.","non-dropping-particle":"","parse-names":false,"suffix":""},{"dropping-particle":"","family":"Khan","given":"David A.","non-dropping-particle":"","parse-names":false,"suffix":""},{"dropping-particle":"","family":"Lang","given":"David","non-dropping-particle":"","parse-names":false,"suffix":""},{"dropping-particle":"","family":"Oppenheimer","given":"John","non-dropping-particle":"","parse-names":false,"suffix":""},{"dropping-particle":"","family":"Portnoy","given":"Jay M.","non-dropping-particle":"","parse-names":false,"suffix":""},{"dropping-particle":"","family":"Randolph","given":"Christopher R.","non-dropping-particle":"","parse-names":false,"suffix":""},{"dropping-particle":"","family":"Rank","given":"Matthew A.","non-dropping-particle":"","parse-names":false,"suffix":""},{"dropping-particle":"","family":"Dykewicz","given":"Mark S.","non-dropping-particle":"","parse-names":false,"suffix":""},{"dropping-particle":"V.","family":"Wallace","given":"Dana","non-dropping-particle":"","parse-names":false,"suffix":""}],"container-title":"Annals of Allergy, Asthma and Immunology","id":"ITEM-2","issue":"6","issued":{"date-parts":[["2017"]]},"page":"489-511.e41","publisher":"American College of Allergy, Asthma &amp; Immunology","title":"Treatment of seasonal allergic rhinitis: An evidence-based focused 2017 guideline update","type":"article-journal","volume":"119"},"uris":["http://www.mendeley.com/documents/?uuid=09fedfd3-bdb3-4f33-b1b2-737b99bdbe07"]},{"id":"ITEM-3","itemData":{"DOI":"10.12688/f1000research.15367.1","ISSN":"10011781","PMID":"26012287","abstract":"Allergic rhinitis (AR) clinically expressed by sneezing, rhinorrhea, nasal itching and congestion is an allergen-driven mucosal inflammatory disease which is modulated by immunoglobulin E. Epidemiological studies have indicated that prevalence of AR continues to increase, and it has been a worldwide health problem that places a significant healthcare burden on individuals and society. Given the evolving understanding of the process by which an allergen is recognized and the roles of mediators which account for AR progress, the pathogenesis of AR has become clearer. Current studies have demonstrated local allergic rhinitis (LAR) that patients with both sug- gestive symptoms of AR and a negative diagnostic test for atopy may have local allergic inflammation is a prevalent entity in patients evaluated with rhinitis, but further research remains needed. Management of AR includes aller- gen avoidance, pharmacological treatment and allergen-specific immunotherapy. Recently montelukast has exhibited previously undocumented anti-inflammatory properties, leukotriene receptor antagonists therefore may serve a more important role in the treatment of AR. Not only has immunotherapy proved its efficacy, but also been able to alter disease course and thereby mitigate progression to asthma. Thus immunotherapy can be initiated while receiving pharmacotherapy, especially in children with AR. As clinical guidelines, the ARIA (Allergic Rhinitis and its Impact on Asthma) provides basic principles of effective treatment of AR. Besides, choosing an appropriate treatment strategy should be based on the severity and chronicity of patient's symptom. The aim of this review was to provide an update mainly on the pathophysiology, epidemiology, and management of AR.","author":[{"dropping-particle":"","family":"Hoyte","given":"Flavia C. L.","non-dropping-particle":"","parse-names":false,"suffix":""},{"dropping-particle":"","family":"Nelson","given":"H.S.","non-dropping-particle":"","parse-names":false,"suffix":""}],"container-title":"F1000Research","id":"ITEM-3","issue":"1333","issued":{"date-parts":[["2018"]]},"page":"1-10","title":"Recent advances in allergic rhinitis [version 1; peer review: 2 approved]","type":"article-journal"},"uris":["http://www.mendeley.com/documents/?uuid=241ee2e9-b0fa-42bf-b8b3-abfcb012a9e9"]}],"mendeley":{"formattedCitation":"[50–52]","plainTextFormattedCitation":"[50–52]","previouslyFormattedCitation":"[50–52]"},"properties":{"noteIndex":0},"schema":"https://github.com/citation-style-language/schema/raw/master/csl-citation.json"}</w:instrText>
      </w:r>
      <w:r w:rsidRPr="001B27F8">
        <w:rPr>
          <w:rStyle w:val="fontstyle01"/>
          <w:color w:val="auto"/>
        </w:rPr>
        <w:fldChar w:fldCharType="separate"/>
      </w:r>
      <w:r w:rsidR="00877069" w:rsidRPr="00877069">
        <w:rPr>
          <w:rStyle w:val="fontstyle01"/>
          <w:noProof/>
          <w:color w:val="auto"/>
        </w:rPr>
        <w:t>[50–52]</w:t>
      </w:r>
      <w:r w:rsidRPr="001B27F8">
        <w:rPr>
          <w:rStyle w:val="fontstyle01"/>
          <w:color w:val="auto"/>
        </w:rPr>
        <w:fldChar w:fldCharType="end"/>
      </w:r>
      <w:r w:rsidRPr="001B27F8">
        <w:rPr>
          <w:rStyle w:val="fontstyle01"/>
          <w:color w:val="auto"/>
        </w:rPr>
        <w:t xml:space="preserve">. Тяжелые проявления риноконъюнктивита увеличивают риск создания аварийных ситуаций на дорогах во время вождения машины </w:t>
      </w:r>
      <w:r w:rsidRPr="001B27F8">
        <w:rPr>
          <w:rStyle w:val="fontstyle01"/>
          <w:color w:val="auto"/>
        </w:rPr>
        <w:fldChar w:fldCharType="begin" w:fldLock="1"/>
      </w:r>
      <w:r w:rsidR="00765C06">
        <w:rPr>
          <w:rStyle w:val="fontstyle01"/>
          <w:color w:val="auto"/>
        </w:rPr>
        <w:instrText>ADDIN CSL_CITATION {"citationItems":[{"id":"ITEM-1","itemData":{"DOI":"10.1016/j.jaci.2017.01.037","ISSN":"10976825","PMID":"28284972","author":[{"dropping-particle":"","family":"Demoly","given":"Pascal","non-dropping-particle":"","parse-names":false,"suffix":""},{"dropping-particle":"","family":"Maigret","given":"Pascal","non-dropping-particle":"","parse-names":false,"suffix":""},{"dropping-particle":"","family":"Elias Billon","given":"Isabelle","non-dropping-particle":"","parse-names":false,"suffix":""},{"dropping-particle":"","family":"Allaert","given":"François André","non-dropping-particle":"","parse-names":false,"suffix":""}],"container-title":"Journal of Allergy and Clinical Immunology","id":"ITEM-1","issue":"2","issued":{"date-parts":[["2017"]]},"page":"614-616","publisher":"Elsevier Inc.","title":"Allergic rhinitis increases the risk of driving accidents","type":"article-journal","volume":"140"},"uris":["http://www.mendeley.com/documents/?uuid=145dc941-9b7c-4447-84fe-ec71c94312f4"]}],"mendeley":{"formattedCitation":"[53]","plainTextFormattedCitation":"[53]","previouslyFormattedCitation":"[53]"},"properties":{"noteIndex":0},"schema":"https://github.com/citation-style-language/schema/raw/master/csl-citation.json"}</w:instrText>
      </w:r>
      <w:r w:rsidRPr="001B27F8">
        <w:rPr>
          <w:rStyle w:val="fontstyle01"/>
          <w:color w:val="auto"/>
        </w:rPr>
        <w:fldChar w:fldCharType="separate"/>
      </w:r>
      <w:r w:rsidR="00877069" w:rsidRPr="00877069">
        <w:rPr>
          <w:rStyle w:val="fontstyle01"/>
          <w:noProof/>
          <w:color w:val="auto"/>
        </w:rPr>
        <w:t>[53]</w:t>
      </w:r>
      <w:r w:rsidRPr="001B27F8">
        <w:rPr>
          <w:rStyle w:val="fontstyle01"/>
          <w:color w:val="auto"/>
        </w:rPr>
        <w:fldChar w:fldCharType="end"/>
      </w:r>
      <w:r w:rsidRPr="001B27F8">
        <w:rPr>
          <w:rStyle w:val="fontstyle01"/>
          <w:color w:val="auto"/>
        </w:rPr>
        <w:t xml:space="preserve">. У данной категории пациентов снижается скорость принятия решения, уменьшается объем кратковременной памяти, наблюдается затруднение при выполнении ежедневных занятий и снижается внимательность </w:t>
      </w:r>
      <w:r w:rsidRPr="001B27F8">
        <w:rPr>
          <w:rStyle w:val="fontstyle01"/>
          <w:color w:val="auto"/>
        </w:rPr>
        <w:fldChar w:fldCharType="begin" w:fldLock="1"/>
      </w:r>
      <w:r w:rsidR="00765C06">
        <w:rPr>
          <w:rStyle w:val="fontstyle01"/>
          <w:color w:val="auto"/>
        </w:rPr>
        <w:instrText>ADDIN CSL_CITATION {"citationItems":[{"id":"ITEM-1","itemData":{"ISBN":"9789896540821","author":[{"dropping-particle":"","family":"Насунова","given":"А.Ю.","non-dropping-particle":"","parse-names":false,"suffix":""}],"container-title":"диссертация к.м.н.","id":"ITEM-1","issued":{"date-parts":[["2020"]]},"page":"129","title":"Эффективность различных методов аллерген-специфической иммунотерапии при бронхиальной астме и аллергическом рините","type":"article-journal"},"uris":["http://www.mendeley.com/documents/?uuid=42666028-c38d-4afe-b56f-bc2276195b12"]},{"id":"ITEM-2","itemData":{"DOI":"10.1016/j.jaci.2015.12.1298","ISSN":"10976825","PMID":"26853126","abstract":"Allergen immunotherapy is effective in patients with allergic rhinitis (AR) and, unlike antiallergic drugs, has been shown to modify the underlying cause of the disease, with proved long-term benefits. Subcutaneous immunotherapy (SCIT) has been the gold standard, whereas sublingual immunotherapy (SLIT) has emerged as an effective and safe alternative. Previous Cochrane systematic reviews and meta-analyses have confirmed that both SLIT and SCIT are effective in patients with seasonal AR, whereas evidence for their efficacy in patients with perennial disease has been less convincing. Recent large, adequately powered trials have demonstrated reductions in both symptoms and use of rescue medication in patients with seasonal and those with perennial AR. Here we appraise evidence for SCIT versus SLIT based on indirect evidence from Cochrane reviews and recent well-powered double-blind, randomized controlled trials versus placebo and the limited direct evidence available from randomized blind head-to-head comparisons. At present, based on an overall balance of efficacy and side effects, the patient is in equipoise. Pending definitive comparative trials, choice might be determined largely by the local availability of SCIT and SLIT products of proved value and personal (patient) preference.","author":[{"dropping-particle":"","family":"Durham","given":"Stephen R.","non-dropping-particle":"","parse-names":false,"suffix":""},{"dropping-particle":"","family":"Penagos","given":"Martin","non-dropping-particle":"","parse-names":false,"suffix":""}],"container-title":"Journal of Allergy and Clinical Immunology","id":"ITEM-2","issue":"2","issued":{"date-parts":[["2016"]]},"page":"339-349.e10","publisher":"Elsevier Ltd","title":"Sublingual or subcutaneous immunotherapy for allergic rhinitis?","type":"article-journal","volume":"137"},"uris":["http://www.mendeley.com/documents/?uuid=63ea546b-faa2-47aa-ac5a-d2fe255b15d3"]},{"id":"ITEM-3","itemData":{"DOI":"10.1016/j.iac.2015.12.002","ISSN":"15578607","PMID":"27083099","abstract":"Allergic rhinitis is a highly prevalent and costly condition. The disease burden suffered by patients includes the morbidity of the nasal symptoms, the impairment of multiple domains of quality of life, and numerous comorbidities. The goal of therapy is long-term good control.","author":[{"dropping-particle":"","family":"Meltzer","given":"Eli O.","non-dropping-particle":"","parse-names":false,"suffix":""}],"container-title":"Immunology and Allergy Clinics of North America","id":"ITEM-3","issue":"2","issued":{"date-parts":[["2016"]]},"page":"235-248","publisher":"Elsevier Inc","title":"Allergic Rhinitis. Burden of Illness, Quality of Life, Comorbidities, and Control","type":"article-journal","volume":"36"},"uris":["http://www.mendeley.com/documents/?uuid=d1700b1a-ebda-4eda-8aa3-711a7a2987ee"]}],"mendeley":{"formattedCitation":"[11,16,54]","plainTextFormattedCitation":"[11,16,54]","previouslyFormattedCitation":"[11,16,54]"},"properties":{"noteIndex":0},"schema":"https://github.com/citation-style-language/schema/raw/master/csl-citation.json"}</w:instrText>
      </w:r>
      <w:r w:rsidRPr="001B27F8">
        <w:rPr>
          <w:rStyle w:val="fontstyle01"/>
          <w:color w:val="auto"/>
        </w:rPr>
        <w:fldChar w:fldCharType="separate"/>
      </w:r>
      <w:r w:rsidR="00877069" w:rsidRPr="00877069">
        <w:rPr>
          <w:rStyle w:val="fontstyle01"/>
          <w:noProof/>
          <w:color w:val="auto"/>
        </w:rPr>
        <w:t>[11,16,54]</w:t>
      </w:r>
      <w:r w:rsidRPr="001B27F8">
        <w:rPr>
          <w:rStyle w:val="fontstyle01"/>
          <w:color w:val="auto"/>
        </w:rPr>
        <w:fldChar w:fldCharType="end"/>
      </w:r>
      <w:r w:rsidRPr="001B27F8">
        <w:rPr>
          <w:rStyle w:val="fontstyle01"/>
          <w:color w:val="auto"/>
        </w:rPr>
        <w:t xml:space="preserve">. </w:t>
      </w:r>
    </w:p>
    <w:p w14:paraId="502C642E" w14:textId="600A0E9A" w:rsidR="009015E9" w:rsidRPr="001B27F8" w:rsidRDefault="00523992" w:rsidP="001B27F8">
      <w:pPr>
        <w:tabs>
          <w:tab w:val="left" w:pos="851"/>
        </w:tabs>
        <w:spacing w:after="0" w:line="240" w:lineRule="auto"/>
        <w:ind w:firstLine="567"/>
        <w:jc w:val="both"/>
        <w:rPr>
          <w:rStyle w:val="fontstyle01"/>
          <w:color w:val="auto"/>
        </w:rPr>
      </w:pPr>
      <w:r w:rsidRPr="001B27F8">
        <w:rPr>
          <w:rStyle w:val="fontstyle01"/>
          <w:color w:val="auto"/>
        </w:rPr>
        <w:t>Регистрация баллов для оценки выраженности симптомов или частоты применения симптоматической терапии при АР доказала свою состоятельность в клинических испытаниях в отношении эффективности и безопасности АСИТ на</w:t>
      </w:r>
      <w:r w:rsidR="00A32CC0">
        <w:rPr>
          <w:rStyle w:val="fontstyle01"/>
          <w:color w:val="auto"/>
        </w:rPr>
        <w:t xml:space="preserve"> протяжении многих десятилетий</w:t>
      </w:r>
      <w:r w:rsidR="001E5639" w:rsidRPr="001E5639">
        <w:rPr>
          <w:rStyle w:val="fontstyle01"/>
          <w:color w:val="auto"/>
        </w:rPr>
        <w:t xml:space="preserve"> </w:t>
      </w:r>
      <w:r w:rsidR="001E5639">
        <w:rPr>
          <w:rStyle w:val="fontstyle01"/>
          <w:color w:val="auto"/>
        </w:rPr>
        <w:fldChar w:fldCharType="begin" w:fldLock="1"/>
      </w:r>
      <w:r w:rsidR="00765C06">
        <w:rPr>
          <w:rStyle w:val="fontstyle01"/>
          <w:color w:val="auto"/>
        </w:rPr>
        <w:instrText>ADDIN CSL_CITATION {"citationItems":[{"id":"ITEM-1","itemData":{"DOI":"10.1186/1477-7525-12-99","ISSN":"14777525","PMID":"24927639","abstract":"Background: Grass allergen immunotherapy (AIT) reduces symptom severity in seasonal allergic rhinoconjunctivitis (ARC) but its impact on general health-related utility has not been characterised for the purposes of economic evaluation. The aim of this study was to model the preferred measure of utility, EQ-5D index, from symptom severity and estimate incremental quality adjusted life years (QALYs) associated with SQ-standardised grass immunotherapy tablet (GRAZAX®, 75,000 SQ-T/2,800 BAU, ALK, Denmark).Methods: Data were analysed from five consecutive pollen seasons in a randomised placebo controlled trial of GRAZAX®. Binomial and Gaussian mixed effects modelling related weekly EQ-5D index score to daily symptom and medication scores (DSS &amp; DMS respectively). In turn, daily EQ-5D index was estimated from ARC symptoms and medication use.Results: DSS and DMS were the principal predictors of 'perfect' health (EQ-5D = 1.000; binomial) and 'imperfect' health (EQ-5D &lt; 1.000; Gaussian). Each unit increase in DSS and DMS reduced the odds of 'perfect' health (EQ-5D = 1.000) by 27% and 16% respectively, and reduced 'imperfect' health by 0.17 and 0.13, respectively. Gender remained the only other significant main fixed effect (Male odds ratio [OR] = 1.82). Incremental estimated EQ-5D index utility for GRAZAX® was observed from day -30 to day +70 of the pooled pollen season; mean daily utility for GRAZAX® = 0.938 units (95%CI 0.932-0.943) vs. 0.914 (0.907-0.921) for placebo, an incremental difference of 0.0238 (p &lt; 0.001). This translates into an incremental 0.0324 Quality Adjusted Life Years over the five year study period.Conclusions: ARC symptoms and medication use are the main predictors of EQ-5D index. The incremental QALYs observed for GRAZAX® may not fully describe the health benefits of this treatment, suggesting that economic modelling may be conservative. © 2014 Poole et al.; licensee BioMed Central Ltd.","author":[{"dropping-particle":"","family":"Poole","given":"Chris D.","non-dropping-particle":"","parse-names":false,"suffix":""},{"dropping-particle":"","family":"Bannister","given":"Christian A.","non-dropping-particle":"","parse-names":false,"suffix":""},{"dropping-particle":"","family":"Andreasen","given":"Jakob N.","non-dropping-particle":"","parse-names":false,"suffix":""},{"dropping-particle":"","family":"Andersen","given":"Jens S.","non-dropping-particle":"","parse-names":false,"suffix":""},{"dropping-particle":"","family":"Currie","given":"Craig J.","non-dropping-particle":"","parse-names":false,"suffix":""}],"container-title":"Health and Quality of Life Outcomes","id":"ITEM-1","issue":"1","issued":{"date-parts":[["2014"]]},"page":"1-9","title":"Estimation of health-related utility (EQ-5D index) in subjects with seasonal allergic rhinoconjunctivitis to evaluate health gain associated with sublingual grass allergen immunotherapy","type":"article-journal","volume":"12"},"uris":["http://www.mendeley.com/documents/?uuid=8ab0168e-7907-4d3d-b093-925df0cfec3e"]},{"id":"ITEM-2","itemData":{"DOI":"10.2500/ajra.2014.28.4112","ISSN":"19458932","PMID":"25335122","abstract":"Background: 300IR 5-grass pollen sublingual immunotherapy tablets have been approved for the treatment of allergic rhinitis (AR) with or without conjunctivitis in adults and children &gt;5 years with grass pollen allergy. This study was designed to review data on nasal symptoms with 300IR 5-grass pollen sublingual tablets in adults and children. Methods: We reviewed data from four double-blind, placebo-controlled, randomized clinical trials. Two groups of patients who received a daily dose of either placebo or 300IR 5-grass pollen sublingual tablets starting 4 months before the expected start of the pollen season and continuing through the season were compared (analysis of covariance) for scores of sneezing, rhinorrhea, nasal pruritus, nasal congestion, total nasal symptom score (TNSS), and adult Rhinoconjunctivitis Quality of Life Questionnaire (RQLQ) scores. Results: Data for 266 children (one pediatric trial) and 1036 adults (three trials) were analyzed. Compared with the placebo groups, mean TNSS in the 300IR groups was lower by 22% in children and 19-36% in adults. Among the four nasal symptoms, the lowest scores relative to placebo were for nasal congestion in children (31%) and adults (43%). Mean adult RQLQ scores were 21-31% lower in the 300IR group than in the placebo group. Conclusion: Allergen immunotherapy with 300IR 5-grass pollen sublingual tablets was consistently associated with AR symptom relief in adults and children and provided a clinically meaningful improvement in quality of life.","author":[{"dropping-particle":"","family":"Serrano","given":"Elie","non-dropping-particle":"","parse-names":false,"suffix":""},{"dropping-particle":"","family":"Wahn","given":"Hans Ulrich","non-dropping-particle":"","parse-names":false,"suffix":""},{"dropping-particle":"","family":"Didier","given":"Alain","non-dropping-particle":"","parse-names":false,"suffix":""},{"dropping-particle":"","family":"Bachert","given":"Claus","non-dropping-particle":"","parse-names":false,"suffix":""}],"container-title":"American Journal of Rhinology and Allergy","id":"ITEM-2","issue":"6","issued":{"date-parts":[["2014"]]},"page":"471-476","title":"300IR 5-Grass pollen sublingual tablet offers relief from nasal symptoms in patients with allergic rhinitis","type":"article-journal","volume":"28"},"uris":["http://www.mendeley.com/documents/?uuid=269a28ef-250b-4c66-851c-2515ea7043a7"]},{"id":"ITEM-3","itemData":{"DOI":"10.1080/13696998.2019.1649268","ISSN":"1941837X","PMID":"31352853","abstract":"Aims: Allergic rhinitis is caused by sensitivity to environmental allergens that can significantly impact quality-of-life. The objective of this analysis was to estimate health state utilities and quality-adjusted life days (QALDs) for a tree allergy immunotherapy trial, TT-04 (EudraCT No.2015-004821-15). Health-state utilities are a measure of patient preference for health states and are necessary to derive QALDs for cost-utility analysis. Preference-based utilities were not collected in the TT-04 trial, so a mapping algorithm was developed based on a similar grass allergy immunotherapy trial, GT-08 (EudraCT No. 2004-000083-27), to estimate utilities. Methods: A two-part model was developed to predict utilities for the GT-08 trial and applied to the TT-04 trial to estimate the difference in mean utility and QALDs between SQ tree sublingual immunotherapy (SLIT)-tablet and placebo. Results: Mean utility difference between SQ tree SLIT-tablet and placebo was 0.030 [95% CI = 0.015–0.046] during the birch pollen season (BPS), 0.019 [95% CI = 0.007–0.030] during the tree pollen season (TPS) and 0.018 [95% CI = 0.007–0.030] during the full trial. The treatment showed a QALD benefit of 1.26 [95% CI = 0.619–1.917] during the BPS, 1.90 [95% CI = 0.692–3.047] during the TPS, and 2.47 [95% CI = 0.930–4.101] during the full trial. Limitations: The generalizability of this algorithm is limited to allergy trials containing the same covariates as those present in the model. The analysis also assumes that grass and tree pollen allergy have the same relationship with EQ5D utilities, which is supported by the fact that both grass and tree pollen induce similar symptoms. Conclusions: Application of the mapping function enabled the calculation of QALDs associated with the treatment, with the caveat that data were extrapolated from grass seasonal allergy to tree seasonal allergy. The results showed a significant QALD benefit of the treatment over placebo in treatment of tree pollen-induced rhinoconjunctivitis.","author":[{"dropping-particle":"","family":"Dick","given":"Katherine","non-dropping-particle":"","parse-names":false,"suffix":""},{"dropping-particle":"","family":"Briggs","given":"Andrew","non-dropping-particle":"","parse-names":false,"suffix":""},{"dropping-particle":"","family":"Ohsfeldt","given":"Robert","non-dropping-particle":"","parse-names":false,"suffix":""},{"dropping-particle":"","family":"Sydendal Grand","given":"Tobias","non-dropping-particle":"","parse-names":false,"suffix":""},{"dropping-particle":"","family":"Buchs","given":"Sarah","non-dropping-particle":"","parse-names":false,"suffix":""}],"container-title":"Journal of Medical Economics","id":"ITEM-3","issue":"1","issued":{"date-parts":[["2020"]]},"page":"64-69","publisher":"Taylor &amp; Francis","title":"A quality-of-life mapping function developed from a grass pollen sublingual immunotherapy trial to a tree pollen sublingual immunotherapy trial","type":"article-journal","volume":"23"},"uris":["http://www.mendeley.com/documents/?uuid=950d5ca3-1efc-42af-9e3b-1131265e7900"]}],"mendeley":{"formattedCitation":"[43,55,56]","plainTextFormattedCitation":"[43,55,56]","previouslyFormattedCitation":"[43,55,56]"},"properties":{"noteIndex":0},"schema":"https://github.com/citation-style-language/schema/raw/master/csl-citation.json"}</w:instrText>
      </w:r>
      <w:r w:rsidR="001E5639">
        <w:rPr>
          <w:rStyle w:val="fontstyle01"/>
          <w:color w:val="auto"/>
        </w:rPr>
        <w:fldChar w:fldCharType="separate"/>
      </w:r>
      <w:r w:rsidR="00877069" w:rsidRPr="00877069">
        <w:rPr>
          <w:rStyle w:val="fontstyle01"/>
          <w:noProof/>
          <w:color w:val="auto"/>
        </w:rPr>
        <w:t>[43,55,56]</w:t>
      </w:r>
      <w:r w:rsidR="001E5639">
        <w:rPr>
          <w:rStyle w:val="fontstyle01"/>
          <w:color w:val="auto"/>
        </w:rPr>
        <w:fldChar w:fldCharType="end"/>
      </w:r>
      <w:r w:rsidRPr="001B27F8">
        <w:rPr>
          <w:rStyle w:val="fontstyle01"/>
          <w:color w:val="auto"/>
        </w:rPr>
        <w:t>.</w:t>
      </w:r>
      <w:r w:rsidR="00EA7E14" w:rsidRPr="00EA7E14">
        <w:rPr>
          <w:rStyle w:val="fontstyle01"/>
          <w:color w:val="auto"/>
        </w:rPr>
        <w:t xml:space="preserve"> </w:t>
      </w:r>
      <w:r w:rsidR="009015E9" w:rsidRPr="001B27F8">
        <w:rPr>
          <w:rStyle w:val="fontstyle01"/>
          <w:color w:val="auto"/>
        </w:rPr>
        <w:t xml:space="preserve">Таким образом </w:t>
      </w:r>
      <w:r w:rsidR="00DB0318" w:rsidRPr="001B27F8">
        <w:rPr>
          <w:rStyle w:val="fontstyle01"/>
          <w:color w:val="auto"/>
        </w:rPr>
        <w:t>социальные, физические,</w:t>
      </w:r>
      <w:r w:rsidR="009015E9" w:rsidRPr="001B27F8">
        <w:rPr>
          <w:rStyle w:val="fontstyle01"/>
          <w:color w:val="auto"/>
        </w:rPr>
        <w:t xml:space="preserve"> профессиональные аспекты жизнедеятельности</w:t>
      </w:r>
      <w:r w:rsidR="00DB0318" w:rsidRPr="001B27F8">
        <w:rPr>
          <w:rStyle w:val="fontstyle01"/>
          <w:color w:val="auto"/>
        </w:rPr>
        <w:t xml:space="preserve"> и качество жизни </w:t>
      </w:r>
      <w:r w:rsidR="00CB58DE">
        <w:rPr>
          <w:rStyle w:val="fontstyle01"/>
          <w:color w:val="auto"/>
        </w:rPr>
        <w:t xml:space="preserve">значительно </w:t>
      </w:r>
      <w:r w:rsidR="00CB58DE" w:rsidRPr="001B27F8">
        <w:rPr>
          <w:rStyle w:val="fontstyle01"/>
          <w:color w:val="auto"/>
        </w:rPr>
        <w:t xml:space="preserve">страдают </w:t>
      </w:r>
      <w:r w:rsidR="00DB0318" w:rsidRPr="001B27F8">
        <w:rPr>
          <w:rStyle w:val="fontstyle01"/>
          <w:color w:val="auto"/>
        </w:rPr>
        <w:t>при сезонных аллергических ринитах</w:t>
      </w:r>
      <w:r w:rsidR="009015E9" w:rsidRPr="001B27F8">
        <w:rPr>
          <w:rStyle w:val="fontstyle01"/>
          <w:color w:val="auto"/>
        </w:rPr>
        <w:t xml:space="preserve">. </w:t>
      </w:r>
    </w:p>
    <w:p w14:paraId="2850BD94" w14:textId="77777777" w:rsidR="00B177E8" w:rsidRPr="001B27F8" w:rsidRDefault="00B177E8" w:rsidP="001B27F8">
      <w:pPr>
        <w:tabs>
          <w:tab w:val="left" w:pos="851"/>
        </w:tabs>
        <w:spacing w:after="0" w:line="240" w:lineRule="auto"/>
        <w:ind w:firstLine="567"/>
        <w:jc w:val="both"/>
        <w:rPr>
          <w:rStyle w:val="fontstyle01"/>
          <w:color w:val="auto"/>
        </w:rPr>
      </w:pPr>
    </w:p>
    <w:p w14:paraId="353BB692" w14:textId="10BABAC9" w:rsidR="002C2AAD" w:rsidRPr="001B27F8" w:rsidRDefault="003130AA" w:rsidP="00102E42">
      <w:pPr>
        <w:pStyle w:val="1"/>
        <w:numPr>
          <w:ilvl w:val="1"/>
          <w:numId w:val="2"/>
        </w:numPr>
        <w:tabs>
          <w:tab w:val="left" w:pos="851"/>
          <w:tab w:val="left" w:pos="1134"/>
        </w:tabs>
        <w:spacing w:before="0" w:line="240" w:lineRule="auto"/>
        <w:ind w:left="0" w:firstLine="567"/>
        <w:jc w:val="both"/>
        <w:rPr>
          <w:rStyle w:val="a4"/>
          <w:rFonts w:ascii="Times New Roman" w:hAnsi="Times New Roman" w:cs="Times New Roman"/>
          <w:bCs w:val="0"/>
          <w:i w:val="0"/>
          <w:iCs w:val="0"/>
          <w:color w:val="auto"/>
          <w:spacing w:val="0"/>
          <w:sz w:val="28"/>
          <w:szCs w:val="28"/>
        </w:rPr>
      </w:pPr>
      <w:bookmarkStart w:id="7" w:name="_Toc137904331"/>
      <w:r>
        <w:rPr>
          <w:rStyle w:val="a4"/>
          <w:rFonts w:ascii="Times New Roman" w:hAnsi="Times New Roman" w:cs="Times New Roman"/>
          <w:bCs w:val="0"/>
          <w:i w:val="0"/>
          <w:iCs w:val="0"/>
          <w:color w:val="auto"/>
          <w:spacing w:val="0"/>
          <w:sz w:val="28"/>
          <w:szCs w:val="28"/>
        </w:rPr>
        <w:t>Современные представления о механизме аллерген-специфической иммунотерапии</w:t>
      </w:r>
      <w:bookmarkEnd w:id="7"/>
    </w:p>
    <w:p w14:paraId="5FDD6C9B" w14:textId="36560D66" w:rsidR="004A3B87" w:rsidRPr="001B27F8" w:rsidRDefault="005D49F9" w:rsidP="001B27F8">
      <w:pPr>
        <w:pStyle w:val="a3"/>
        <w:tabs>
          <w:tab w:val="left" w:pos="851"/>
        </w:tabs>
        <w:spacing w:after="0" w:line="240" w:lineRule="auto"/>
        <w:ind w:left="0" w:firstLine="567"/>
        <w:jc w:val="both"/>
        <w:rPr>
          <w:rStyle w:val="fontstyle01"/>
          <w:color w:val="auto"/>
        </w:rPr>
      </w:pPr>
      <w:r>
        <w:rPr>
          <w:rStyle w:val="fontstyle01"/>
          <w:color w:val="auto"/>
        </w:rPr>
        <w:t>Аллерген-специфическая иммунотерапия (</w:t>
      </w:r>
      <w:r w:rsidR="00172C86" w:rsidRPr="001B27F8">
        <w:rPr>
          <w:rStyle w:val="fontstyle01"/>
          <w:color w:val="auto"/>
        </w:rPr>
        <w:t>АСИТ</w:t>
      </w:r>
      <w:r>
        <w:rPr>
          <w:rStyle w:val="fontstyle01"/>
          <w:color w:val="auto"/>
        </w:rPr>
        <w:t>)</w:t>
      </w:r>
      <w:r w:rsidR="00B877B2" w:rsidRPr="001B27F8">
        <w:rPr>
          <w:rStyle w:val="fontstyle01"/>
          <w:color w:val="auto"/>
        </w:rPr>
        <w:t xml:space="preserve"> является болезнь-модифицирующим лечением</w:t>
      </w:r>
      <w:r w:rsidR="000678C4" w:rsidRPr="001B27F8">
        <w:rPr>
          <w:rStyle w:val="fontstyle01"/>
          <w:color w:val="auto"/>
        </w:rPr>
        <w:t xml:space="preserve"> </w:t>
      </w:r>
      <w:r w:rsidR="000678C4" w:rsidRPr="001B27F8">
        <w:rPr>
          <w:rStyle w:val="fontstyle01"/>
          <w:color w:val="auto"/>
        </w:rPr>
        <w:fldChar w:fldCharType="begin" w:fldLock="1"/>
      </w:r>
      <w:r w:rsidR="00765C06">
        <w:rPr>
          <w:rStyle w:val="fontstyle01"/>
          <w:color w:val="auto"/>
        </w:rPr>
        <w:instrText>ADDIN CSL_CITATION {"citationItems":[{"id":"ITEM-1","itemData":{"DOI":"10.1159/000477442","ISSN":"14230097","PMID":"28654920","abstract":"Background: Allergen molecule-based diagnosis has been suggested to facilitate the identification of disease-causing allergen sources and the prescription of allergen-specific immunotherapy (AIT). The aim of the current study was to compare allergen molecule-based IgE serology with allergen extract-based skin testing for the identification of the disease-causing allergen sources. The study was conducted in an area where patients are exposed to pollen from multiple sources (trees, grasses, and weeds) at the same time to compare the diagnostic efficiency of the 2 forms of diagnosis. Methods: Patients from Astana, Kazakhstan, who suffered from pollen-induced allergy (n = 95) were subjected to skin prick testing (SPT) with a local panel of tree pollen, grass pollen, and weed pollen allergen extracts and IgE antibodies specific for marker allergen molecules (nArt v 1, nArt v 3, rAmb a 1, rPhl p 1, rPhl p 5, rBet v 1) were measured by ImmunoCAP. Direct and indirect costs for diagnosis based on SPT and marker allergen-based IgE serology as well as direct costs for immunotherapy depending on SPT and serological test results were calculated. Results: The costs for SPT-based diagnosis per patient were lower than the costs for allergen molecule-based IgE serology. However, allergen molecule-based serology was more precise in detecting the disease-causing allergen sources. A lower number of immunotherapy treatments (n = 119) was needed according to molecular diagnosis as compared to extract-based diagnosis (n = 275), which considerably reduced the total costs for diagnosis and for a 3-year treatment from EUR 1,112.30 to 521.77 per patient. Conclusions: The results from this real-life study show that SPT is less expensive than allergen molecule-based diagnostic testing, but molecular diagnosis allowed more precise prescription of immunotherapy which substantially reduced treatment costs and combined costs for diagnosis and treatment.","author":[{"dropping-particle":"","family":"Saltabayeva","given":"Ulbosin","non-dropping-particle":"","parse-names":false,"suffix":""},{"dropping-particle":"","family":"Garib","given":"Victoria","non-dropping-particle":"","parse-names":false,"suffix":""},{"dropping-particle":"","family":"Morenko","given":"Marina","non-dropping-particle":"","parse-names":false,"suffix":""},{"dropping-particle":"","family":"Rosenson","given":"Rafail","non-dropping-particle":"","parse-names":false,"suffix":""},{"dropping-particle":"","family":"Ispayeva","given":"Zhanat","non-dropping-particle":"","parse-names":false,"suffix":""},{"dropping-particle":"","family":"Gatauova","given":"Madina","non-dropping-particle":"","parse-names":false,"suffix":""},{"dropping-particle":"","family":"Zulus","given":"Loreta","non-dropping-particle":"","parse-names":false,"suffix":""},{"dropping-particle":"","family":"Karaulov","given":"Alexander","non-dropping-particle":"","parse-names":false,"suffix":""},{"dropping-particle":"","family":"Gastager","given":"Felix","non-dropping-particle":"","parse-names":false,"suffix":""},{"dropping-particle":"","family":"Valenta","given":"Rudolf","non-dropping-particle":"","parse-names":false,"suffix":""}],"container-title":"International Archives of Allergy and Immunology","id":"ITEM-1","issue":"2","issued":{"date-parts":[["2017"]]},"page":"93-98","title":"Greater Real-Life Diagnostic Efficacy of Allergen Molecule-Based Diagnosis for Prescription of Immunotherapy in an Area with Multiple Pollen Exposure","type":"article-journal","volume":"173"},"uris":["http://www.mendeley.com/documents/?uuid=5ae58497-7c0f-4133-85a3-c9f8c32c93f1"]}],"mendeley":{"formattedCitation":"[57]","plainTextFormattedCitation":"[57]","previouslyFormattedCitation":"[57]"},"properties":{"noteIndex":0},"schema":"https://github.com/citation-style-language/schema/raw/master/csl-citation.json"}</w:instrText>
      </w:r>
      <w:r w:rsidR="000678C4" w:rsidRPr="001B27F8">
        <w:rPr>
          <w:rStyle w:val="fontstyle01"/>
          <w:color w:val="auto"/>
        </w:rPr>
        <w:fldChar w:fldCharType="separate"/>
      </w:r>
      <w:r w:rsidR="00877069" w:rsidRPr="00877069">
        <w:rPr>
          <w:rStyle w:val="fontstyle01"/>
          <w:noProof/>
          <w:color w:val="auto"/>
        </w:rPr>
        <w:t>[57]</w:t>
      </w:r>
      <w:r w:rsidR="000678C4" w:rsidRPr="001B27F8">
        <w:rPr>
          <w:rStyle w:val="fontstyle01"/>
          <w:color w:val="auto"/>
        </w:rPr>
        <w:fldChar w:fldCharType="end"/>
      </w:r>
      <w:r w:rsidR="00D328CA" w:rsidRPr="001B27F8">
        <w:rPr>
          <w:rStyle w:val="fontstyle01"/>
          <w:color w:val="auto"/>
        </w:rPr>
        <w:t xml:space="preserve"> с уровнем</w:t>
      </w:r>
      <w:r w:rsidR="00172C86" w:rsidRPr="001B27F8">
        <w:rPr>
          <w:rStyle w:val="fontstyle01"/>
          <w:color w:val="auto"/>
        </w:rPr>
        <w:t xml:space="preserve"> </w:t>
      </w:r>
      <w:r w:rsidR="00D328CA" w:rsidRPr="001B27F8">
        <w:rPr>
          <w:rStyle w:val="fontstyle01"/>
          <w:color w:val="auto"/>
        </w:rPr>
        <w:t>доказательности</w:t>
      </w:r>
      <w:r w:rsidR="0007459B">
        <w:rPr>
          <w:rStyle w:val="fontstyle01"/>
          <w:color w:val="auto"/>
        </w:rPr>
        <w:t xml:space="preserve"> </w:t>
      </w:r>
      <w:r w:rsidR="00D328CA" w:rsidRPr="001B27F8">
        <w:rPr>
          <w:rStyle w:val="fontstyle01"/>
          <w:color w:val="auto"/>
        </w:rPr>
        <w:t xml:space="preserve">Ia </w:t>
      </w:r>
      <w:r w:rsidR="00172C86" w:rsidRPr="001B27F8">
        <w:rPr>
          <w:rStyle w:val="fontstyle01"/>
          <w:color w:val="auto"/>
        </w:rPr>
        <w:t xml:space="preserve">и </w:t>
      </w:r>
      <w:r w:rsidR="00D328CA" w:rsidRPr="001B27F8">
        <w:rPr>
          <w:rStyle w:val="fontstyle01"/>
          <w:color w:val="auto"/>
        </w:rPr>
        <w:t>степенью рекомендаций</w:t>
      </w:r>
      <w:r w:rsidR="00C469B2" w:rsidRPr="001B27F8">
        <w:rPr>
          <w:rStyle w:val="fontstyle01"/>
          <w:color w:val="auto"/>
        </w:rPr>
        <w:t xml:space="preserve"> А</w:t>
      </w:r>
      <w:r w:rsidR="00B877B2" w:rsidRPr="001B27F8">
        <w:rPr>
          <w:rStyle w:val="fontstyle01"/>
          <w:color w:val="auto"/>
        </w:rPr>
        <w:t xml:space="preserve"> </w:t>
      </w:r>
      <w:r w:rsidR="00B877B2" w:rsidRPr="001B27F8">
        <w:rPr>
          <w:rStyle w:val="fontstyle01"/>
          <w:color w:val="auto"/>
        </w:rPr>
        <w:fldChar w:fldCharType="begin" w:fldLock="1"/>
      </w:r>
      <w:r w:rsidR="00765C06">
        <w:rPr>
          <w:rStyle w:val="fontstyle01"/>
          <w:color w:val="auto"/>
        </w:rPr>
        <w:instrText>ADDIN CSL_CITATION {"citationItems":[{"id":"ITEM-1","itemData":{"author":[{"dropping-particle":"","family":"Павлова","given":"К.С.","non-dropping-particle":"","parse-names":false,"suffix":""}],"container-title":"Педиатрия","id":"ITEM-1","issue":"4","issued":{"date-parts":[["2017"]]},"page":"56-58","title":"Новые возможности аллерген-специфической иммунотерапии","type":"article-journal"},"uris":["http://www.mendeley.com/documents/?uuid=bf421c99-5afc-4874-a77d-fd00a437b930"]}],"mendeley":{"formattedCitation":"[58]","plainTextFormattedCitation":"[58]","previouslyFormattedCitation":"[58]"},"properties":{"noteIndex":0},"schema":"https://github.com/citation-style-language/schema/raw/master/csl-citation.json"}</w:instrText>
      </w:r>
      <w:r w:rsidR="00B877B2" w:rsidRPr="001B27F8">
        <w:rPr>
          <w:rStyle w:val="fontstyle01"/>
          <w:color w:val="auto"/>
        </w:rPr>
        <w:fldChar w:fldCharType="separate"/>
      </w:r>
      <w:r w:rsidR="00877069" w:rsidRPr="00877069">
        <w:rPr>
          <w:rStyle w:val="fontstyle01"/>
          <w:noProof/>
          <w:color w:val="auto"/>
        </w:rPr>
        <w:t>[58]</w:t>
      </w:r>
      <w:r w:rsidR="00B877B2" w:rsidRPr="001B27F8">
        <w:rPr>
          <w:rStyle w:val="fontstyle01"/>
          <w:color w:val="auto"/>
        </w:rPr>
        <w:fldChar w:fldCharType="end"/>
      </w:r>
      <w:r w:rsidR="00172C86" w:rsidRPr="001B27F8">
        <w:rPr>
          <w:rStyle w:val="fontstyle01"/>
          <w:color w:val="auto"/>
        </w:rPr>
        <w:t xml:space="preserve">. </w:t>
      </w:r>
      <w:r w:rsidR="00F3189D" w:rsidRPr="001B27F8">
        <w:rPr>
          <w:rStyle w:val="fontstyle01"/>
          <w:color w:val="auto"/>
        </w:rPr>
        <w:t>Клинический эффект</w:t>
      </w:r>
      <w:r w:rsidR="00172C86" w:rsidRPr="001B27F8">
        <w:rPr>
          <w:rStyle w:val="fontstyle01"/>
          <w:color w:val="auto"/>
        </w:rPr>
        <w:t xml:space="preserve"> АСИТ</w:t>
      </w:r>
      <w:r w:rsidR="00D328CA" w:rsidRPr="001B27F8">
        <w:rPr>
          <w:rStyle w:val="fontstyle01"/>
          <w:color w:val="auto"/>
        </w:rPr>
        <w:t xml:space="preserve"> </w:t>
      </w:r>
      <w:r w:rsidR="00F3189D" w:rsidRPr="001B27F8">
        <w:rPr>
          <w:rStyle w:val="fontstyle01"/>
          <w:color w:val="auto"/>
        </w:rPr>
        <w:t>выражается в</w:t>
      </w:r>
      <w:r w:rsidR="00D328CA" w:rsidRPr="001B27F8">
        <w:rPr>
          <w:rStyle w:val="fontstyle01"/>
          <w:color w:val="auto"/>
        </w:rPr>
        <w:t xml:space="preserve"> </w:t>
      </w:r>
      <w:r w:rsidR="00F3189D" w:rsidRPr="001B27F8">
        <w:rPr>
          <w:rStyle w:val="fontstyle01"/>
          <w:color w:val="auto"/>
        </w:rPr>
        <w:t>снижении</w:t>
      </w:r>
      <w:r w:rsidR="00D328CA" w:rsidRPr="001B27F8">
        <w:rPr>
          <w:rStyle w:val="fontstyle01"/>
          <w:color w:val="auto"/>
        </w:rPr>
        <w:t xml:space="preserve"> выраженности симптомов сезонного аллергического ринита, </w:t>
      </w:r>
      <w:r w:rsidR="00F3189D" w:rsidRPr="001B27F8">
        <w:rPr>
          <w:rStyle w:val="fontstyle01"/>
          <w:color w:val="auto"/>
        </w:rPr>
        <w:t>уменьшении потребности пациента в противоаллергических препаратах,</w:t>
      </w:r>
      <w:r w:rsidR="000C793D" w:rsidRPr="001B27F8">
        <w:rPr>
          <w:rStyle w:val="fontstyle01"/>
          <w:color w:val="auto"/>
        </w:rPr>
        <w:t xml:space="preserve"> в предупреждении расширения спектра аллергенов и развития</w:t>
      </w:r>
      <w:r w:rsidR="00D328CA" w:rsidRPr="001B27F8">
        <w:rPr>
          <w:rStyle w:val="fontstyle01"/>
          <w:color w:val="auto"/>
        </w:rPr>
        <w:t xml:space="preserve"> </w:t>
      </w:r>
      <w:r w:rsidR="000C793D" w:rsidRPr="001B27F8">
        <w:rPr>
          <w:rStyle w:val="fontstyle01"/>
          <w:color w:val="auto"/>
        </w:rPr>
        <w:t>бронхиальной астмы</w:t>
      </w:r>
      <w:r w:rsidR="00D328CA" w:rsidRPr="001B27F8">
        <w:rPr>
          <w:rStyle w:val="fontstyle01"/>
          <w:color w:val="auto"/>
        </w:rPr>
        <w:t xml:space="preserve"> у больных с </w:t>
      </w:r>
      <w:r w:rsidR="000C793D" w:rsidRPr="001B27F8">
        <w:rPr>
          <w:rStyle w:val="fontstyle01"/>
          <w:color w:val="auto"/>
        </w:rPr>
        <w:t xml:space="preserve">сезонным аллергическим ринитом, </w:t>
      </w:r>
      <w:r w:rsidR="00F3189D" w:rsidRPr="001B27F8">
        <w:rPr>
          <w:rStyle w:val="fontstyle01"/>
          <w:color w:val="auto"/>
        </w:rPr>
        <w:t>что</w:t>
      </w:r>
      <w:r w:rsidR="000C793D" w:rsidRPr="001B27F8">
        <w:rPr>
          <w:rStyle w:val="fontstyle01"/>
          <w:color w:val="auto"/>
        </w:rPr>
        <w:t>,</w:t>
      </w:r>
      <w:r w:rsidR="00F3189D" w:rsidRPr="001B27F8">
        <w:rPr>
          <w:rStyle w:val="fontstyle01"/>
          <w:color w:val="auto"/>
        </w:rPr>
        <w:t xml:space="preserve"> несомненно</w:t>
      </w:r>
      <w:r w:rsidR="000C793D" w:rsidRPr="001B27F8">
        <w:rPr>
          <w:rStyle w:val="fontstyle01"/>
          <w:color w:val="auto"/>
        </w:rPr>
        <w:t>,</w:t>
      </w:r>
      <w:r w:rsidR="00F3189D" w:rsidRPr="001B27F8">
        <w:rPr>
          <w:rStyle w:val="fontstyle01"/>
          <w:color w:val="auto"/>
        </w:rPr>
        <w:t xml:space="preserve"> ведет</w:t>
      </w:r>
      <w:r w:rsidR="000F5FD1" w:rsidRPr="001B27F8">
        <w:rPr>
          <w:rStyle w:val="fontstyle01"/>
          <w:color w:val="auto"/>
        </w:rPr>
        <w:t xml:space="preserve"> к улучшению качества жизни</w:t>
      </w:r>
      <w:r w:rsidR="00362108" w:rsidRPr="001B27F8">
        <w:rPr>
          <w:rStyle w:val="fontstyle01"/>
          <w:color w:val="auto"/>
        </w:rPr>
        <w:t xml:space="preserve"> пациентов</w:t>
      </w:r>
      <w:r w:rsidR="00F97925" w:rsidRPr="001B27F8">
        <w:rPr>
          <w:rStyle w:val="fontstyle01"/>
          <w:color w:val="auto"/>
        </w:rPr>
        <w:t xml:space="preserve"> </w:t>
      </w:r>
      <w:r w:rsidR="00F97925" w:rsidRPr="001B27F8">
        <w:rPr>
          <w:rStyle w:val="fontstyle01"/>
          <w:color w:val="auto"/>
        </w:rPr>
        <w:fldChar w:fldCharType="begin" w:fldLock="1"/>
      </w:r>
      <w:r w:rsidR="00765C06">
        <w:rPr>
          <w:rStyle w:val="fontstyle01"/>
          <w:color w:val="auto"/>
        </w:rPr>
        <w:instrText>ADDIN CSL_CITATION {"citationItems":[{"id":"ITEM-1","itemData":{"author":[{"dropping-particle":"","family":"Курбачева","given":"О.М.","non-dropping-particle":"","parse-names":false,"suffix":""},{"dropping-particle":"","family":"Павлова","given":"К.С.","non-dropping-particle":"","parse-names":false,"suffix":""},{"dropping-particle":"","family":"Галицкая","given":"М.А.","non-dropping-particle":"","parse-names":false,"suffix":""}],"container-title":"Российский Аллергологический Журнал","id":"ITEM-1","issued":{"date-parts":[["2017"]]},"page":"24-33","title":"Аллерген-специфическая иммунотерапия. Аналитический обзор современных международных и отечественных позиционных документов","type":"article-journal","volume":"1"},"uris":["http://www.mendeley.com/documents/?uuid=c7f16a99-b71a-45e9-86e8-060c9f5dfb50"]},{"id":"ITEM-2","itemData":{"DOI":"10.1159/000477442","ISSN":"14230097","PMID":"28654920","abstract":"Background: Allergen molecule-based diagnosis has been suggested to facilitate the identification of disease-causing allergen sources and the prescription of allergen-specific immunotherapy (AIT). The aim of the current study was to compare allergen molecule-based IgE serology with allergen extract-based skin testing for the identification of the disease-causing allergen sources. The study was conducted in an area where patients are exposed to pollen from multiple sources (trees, grasses, and weeds) at the same time to compare the diagnostic efficiency of the 2 forms of diagnosis. Methods: Patients from Astana, Kazakhstan, who suffered from pollen-induced allergy (n = 95) were subjected to skin prick testing (SPT) with a local panel of tree pollen, grass pollen, and weed pollen allergen extracts and IgE antibodies specific for marker allergen molecules (nArt v 1, nArt v 3, rAmb a 1, rPhl p 1, rPhl p 5, rBet v 1) were measured by ImmunoCAP. Direct and indirect costs for diagnosis based on SPT and marker allergen-based IgE serology as well as direct costs for immunotherapy depending on SPT and serological test results were calculated. Results: The costs for SPT-based diagnosis per patient were lower than the costs for allergen molecule-based IgE serology. However, allergen molecule-based serology was more precise in detecting the disease-causing allergen sources. A lower number of immunotherapy treatments (n = 119) was needed according to molecular diagnosis as compared to extract-based diagnosis (n = 275), which considerably reduced the total costs for diagnosis and for a 3-year treatment from EUR 1,112.30 to 521.77 per patient. Conclusions: The results from this real-life study show that SPT is less expensive than allergen molecule-based diagnostic testing, but molecular diagnosis allowed more precise prescription of immunotherapy which substantially reduced treatment costs and combined costs for diagnosis and treatment.","author":[{"dropping-particle":"","family":"Saltabayeva","given":"Ulbosin","non-dropping-particle":"","parse-names":false,"suffix":""},{"dropping-particle":"","family":"Garib","given":"Victoria","non-dropping-particle":"","parse-names":false,"suffix":""},{"dropping-particle":"","family":"Morenko","given":"Marina","non-dropping-particle":"","parse-names":false,"suffix":""},{"dropping-particle":"","family":"Rosenson","given":"Rafail","non-dropping-particle":"","parse-names":false,"suffix":""},{"dropping-particle":"","family":"Ispayeva","given":"Zhanat","non-dropping-particle":"","parse-names":false,"suffix":""},{"dropping-particle":"","family":"Gatauova","given":"Madina","non-dropping-particle":"","parse-names":false,"suffix":""},{"dropping-particle":"","family":"Zulus","given":"Loreta","non-dropping-particle":"","parse-names":false,"suffix":""},{"dropping-particle":"","family":"Karaulov","given":"Alexander","non-dropping-particle":"","parse-names":false,"suffix":""},{"dropping-particle":"","family":"Gastager","given":"Felix","non-dropping-particle":"","parse-names":false,"suffix":""},{"dropping-particle":"","family":"Valenta","given":"Rudolf","non-dropping-particle":"","parse-names":false,"suffix":""}],"container-title":"International Archives of Allergy and Immunology","id":"ITEM-2","issue":"2","issued":{"date-parts":[["2017"]]},"page":"93-98","title":"Greater Real-Life Diagnostic Efficacy of Allergen Molecule-Based Diagnosis for Prescription of Immunotherapy in an Area with Multiple Pollen Exposure","type":"article-journal","volume":"173"},"uris":["http://www.mendeley.com/documents/?uuid=5ae58497-7c0f-4133-85a3-c9f8c32c93f1"]}],"mendeley":{"formattedCitation":"[57,59]","plainTextFormattedCitation":"[57,59]","previouslyFormattedCitation":"[57,59]"},"properties":{"noteIndex":0},"schema":"https://github.com/citation-style-language/schema/raw/master/csl-citation.json"}</w:instrText>
      </w:r>
      <w:r w:rsidR="00F97925" w:rsidRPr="001B27F8">
        <w:rPr>
          <w:rStyle w:val="fontstyle01"/>
          <w:color w:val="auto"/>
        </w:rPr>
        <w:fldChar w:fldCharType="separate"/>
      </w:r>
      <w:r w:rsidR="00877069" w:rsidRPr="00877069">
        <w:rPr>
          <w:rStyle w:val="fontstyle01"/>
          <w:noProof/>
          <w:color w:val="auto"/>
        </w:rPr>
        <w:t>[57,59]</w:t>
      </w:r>
      <w:r w:rsidR="00F97925" w:rsidRPr="001B27F8">
        <w:rPr>
          <w:rStyle w:val="fontstyle01"/>
          <w:color w:val="auto"/>
        </w:rPr>
        <w:fldChar w:fldCharType="end"/>
      </w:r>
      <w:r w:rsidR="00172C86" w:rsidRPr="001B27F8">
        <w:rPr>
          <w:rStyle w:val="fontstyle01"/>
          <w:color w:val="auto"/>
        </w:rPr>
        <w:t>.</w:t>
      </w:r>
      <w:r w:rsidR="00CC30DE">
        <w:rPr>
          <w:rStyle w:val="fontstyle01"/>
          <w:color w:val="auto"/>
        </w:rPr>
        <w:t xml:space="preserve"> </w:t>
      </w:r>
      <w:r w:rsidR="00DD23A9" w:rsidRPr="001B27F8">
        <w:rPr>
          <w:rStyle w:val="fontstyle01"/>
          <w:color w:val="auto"/>
        </w:rPr>
        <w:t xml:space="preserve">В основе метода лежит систематическое введение в организм пациента </w:t>
      </w:r>
      <w:r w:rsidR="009058F8" w:rsidRPr="001B27F8">
        <w:rPr>
          <w:rStyle w:val="fontstyle01"/>
          <w:color w:val="auto"/>
        </w:rPr>
        <w:t xml:space="preserve">постепенно </w:t>
      </w:r>
      <w:r w:rsidR="00DD23A9" w:rsidRPr="001B27F8">
        <w:rPr>
          <w:rStyle w:val="fontstyle01"/>
          <w:color w:val="auto"/>
        </w:rPr>
        <w:t>возрастающих доз аллергена, ответственного за клинические проявления заболевания. В результате формируется специфическая гипосенсибилизация</w:t>
      </w:r>
      <w:r w:rsidR="00B31BE0" w:rsidRPr="001B27F8">
        <w:rPr>
          <w:rStyle w:val="fontstyle01"/>
          <w:color w:val="auto"/>
        </w:rPr>
        <w:t xml:space="preserve">, </w:t>
      </w:r>
      <w:r w:rsidR="00A25FE2" w:rsidRPr="001B27F8">
        <w:rPr>
          <w:rStyle w:val="fontstyle01"/>
          <w:color w:val="auto"/>
        </w:rPr>
        <w:t>которая</w:t>
      </w:r>
      <w:r w:rsidR="009058F8" w:rsidRPr="001B27F8">
        <w:rPr>
          <w:rStyle w:val="fontstyle01"/>
          <w:color w:val="auto"/>
        </w:rPr>
        <w:t xml:space="preserve"> </w:t>
      </w:r>
      <w:r w:rsidR="00B31BE0" w:rsidRPr="001B27F8">
        <w:rPr>
          <w:rStyle w:val="fontstyle01"/>
          <w:color w:val="auto"/>
        </w:rPr>
        <w:t xml:space="preserve">способствует развитию иммунологической толерантности к причинно-значимому аллергену </w:t>
      </w:r>
      <w:r w:rsidR="00DD23A9" w:rsidRPr="001B27F8">
        <w:rPr>
          <w:rStyle w:val="fontstyle01"/>
          <w:color w:val="auto"/>
        </w:rPr>
        <w:fldChar w:fldCharType="begin" w:fldLock="1"/>
      </w:r>
      <w:r w:rsidR="00765C06">
        <w:rPr>
          <w:rStyle w:val="fontstyle01"/>
          <w:color w:val="auto"/>
        </w:rPr>
        <w:instrText>ADDIN CSL_CITATION {"citationItems":[{"id":"ITEM-1","itemData":{"author":[{"dropping-particle":"","family":"Козулина","given":"И.Е.","non-dropping-particle":"","parse-names":false,"suffix":""}],"container-title":"диссертация к.м.н.","id":"ITEM-1","issued":{"date-parts":[["2017"]]},"number-of-pages":"103","title":"Клиническая эффективность, безопасность и экономическая целесообразность сублингвального и подкожного методов аллерген-специфической иммунотерапии","type":"thesis"},"uris":["http://www.mendeley.com/documents/?uuid=c3725692-ee95-49b6-b8d5-8f0362da8952"]}],"mendeley":{"formattedCitation":"[32]","plainTextFormattedCitation":"[32]","previouslyFormattedCitation":"[32]"},"properties":{"noteIndex":0},"schema":"https://github.com/citation-style-language/schema/raw/master/csl-citation.json"}</w:instrText>
      </w:r>
      <w:r w:rsidR="00DD23A9" w:rsidRPr="001B27F8">
        <w:rPr>
          <w:rStyle w:val="fontstyle01"/>
          <w:color w:val="auto"/>
        </w:rPr>
        <w:fldChar w:fldCharType="separate"/>
      </w:r>
      <w:r w:rsidR="00877069" w:rsidRPr="00877069">
        <w:rPr>
          <w:rStyle w:val="fontstyle01"/>
          <w:noProof/>
          <w:color w:val="auto"/>
        </w:rPr>
        <w:t>[32]</w:t>
      </w:r>
      <w:r w:rsidR="00DD23A9" w:rsidRPr="001B27F8">
        <w:rPr>
          <w:rStyle w:val="fontstyle01"/>
          <w:color w:val="auto"/>
        </w:rPr>
        <w:fldChar w:fldCharType="end"/>
      </w:r>
      <w:r w:rsidR="00B31BE0" w:rsidRPr="001B27F8">
        <w:rPr>
          <w:rStyle w:val="fontstyle01"/>
          <w:color w:val="auto"/>
        </w:rPr>
        <w:t>.</w:t>
      </w:r>
      <w:r w:rsidR="00D328CA" w:rsidRPr="001B27F8">
        <w:rPr>
          <w:rStyle w:val="fontstyle01"/>
          <w:color w:val="auto"/>
        </w:rPr>
        <w:t xml:space="preserve"> </w:t>
      </w:r>
    </w:p>
    <w:p w14:paraId="0E944A15" w14:textId="5B474572" w:rsidR="00064854" w:rsidRPr="00CC30DE" w:rsidRDefault="00A25FE2" w:rsidP="00CC30DE">
      <w:pPr>
        <w:pStyle w:val="a3"/>
        <w:tabs>
          <w:tab w:val="left" w:pos="851"/>
        </w:tabs>
        <w:spacing w:after="0" w:line="240" w:lineRule="auto"/>
        <w:ind w:left="0" w:firstLine="567"/>
        <w:jc w:val="both"/>
        <w:rPr>
          <w:rStyle w:val="a4"/>
          <w:rFonts w:ascii="Times New Roman" w:hAnsi="Times New Roman" w:cs="Times New Roman"/>
          <w:b w:val="0"/>
          <w:bCs w:val="0"/>
          <w:i w:val="0"/>
          <w:iCs w:val="0"/>
          <w:spacing w:val="0"/>
          <w:sz w:val="28"/>
          <w:szCs w:val="28"/>
        </w:rPr>
      </w:pPr>
      <w:r w:rsidRPr="001B27F8">
        <w:rPr>
          <w:rStyle w:val="fontstyle01"/>
          <w:color w:val="auto"/>
        </w:rPr>
        <w:t>На сегодняшний день</w:t>
      </w:r>
      <w:r w:rsidR="00A66FD3" w:rsidRPr="001B27F8">
        <w:rPr>
          <w:rStyle w:val="fontstyle01"/>
          <w:color w:val="auto"/>
        </w:rPr>
        <w:t xml:space="preserve"> во всем мире</w:t>
      </w:r>
      <w:r w:rsidRPr="001B27F8">
        <w:rPr>
          <w:rStyle w:val="fontstyle01"/>
          <w:color w:val="auto"/>
        </w:rPr>
        <w:t xml:space="preserve"> широко применяются подкожный (ПКИТ) и сублингвальный (СЛИТ) методы аллерген-специфической иммунотерапии. </w:t>
      </w:r>
      <w:r w:rsidR="00C16193" w:rsidRPr="001B27F8">
        <w:rPr>
          <w:rStyle w:val="fontstyle01"/>
          <w:color w:val="auto"/>
        </w:rPr>
        <w:t xml:space="preserve">ПКИТ проводится врачом-аллергологом </w:t>
      </w:r>
      <w:r w:rsidR="00902E91" w:rsidRPr="001B27F8">
        <w:rPr>
          <w:rStyle w:val="fontstyle01"/>
          <w:color w:val="auto"/>
        </w:rPr>
        <w:t xml:space="preserve">лишь </w:t>
      </w:r>
      <w:r w:rsidR="00C16193" w:rsidRPr="001B27F8">
        <w:rPr>
          <w:rStyle w:val="fontstyle01"/>
          <w:color w:val="auto"/>
        </w:rPr>
        <w:t>в условиях</w:t>
      </w:r>
      <w:r w:rsidRPr="001B27F8">
        <w:rPr>
          <w:rStyle w:val="fontstyle01"/>
          <w:color w:val="auto"/>
        </w:rPr>
        <w:t xml:space="preserve"> </w:t>
      </w:r>
      <w:r w:rsidR="00C16193" w:rsidRPr="001B27F8">
        <w:rPr>
          <w:rStyle w:val="fontstyle01"/>
          <w:color w:val="auto"/>
        </w:rPr>
        <w:t>специализированного кабинета</w:t>
      </w:r>
      <w:r w:rsidR="00EA257C" w:rsidRPr="001B27F8">
        <w:rPr>
          <w:rStyle w:val="fontstyle01"/>
          <w:color w:val="auto"/>
        </w:rPr>
        <w:t xml:space="preserve"> </w:t>
      </w:r>
      <w:r w:rsidR="00EA257C" w:rsidRPr="001B27F8">
        <w:rPr>
          <w:rStyle w:val="fontstyle01"/>
          <w:color w:val="auto"/>
        </w:rPr>
        <w:fldChar w:fldCharType="begin" w:fldLock="1"/>
      </w:r>
      <w:r w:rsidR="00765C06">
        <w:rPr>
          <w:rStyle w:val="fontstyle01"/>
          <w:color w:val="auto"/>
        </w:rPr>
        <w:instrText>ADDIN CSL_CITATION {"citationItems":[{"id":"ITEM-1","itemData":{"DOI":"10.1111/j.1398-9995.2010.02474.x","ISSN":"01054538","PMID":"21039596","abstract":"This pocket guide is the result of a consensus reached during several GA2LEN and EAACI meetings. The aim of the current pocket guide is to offer a comprehensive set of recommendations on the use of immunotherapy in allergic rhinoconjunctivitis and asthma in daily practice. This pocket guide is meant to give simple answers to the most frequent questions of practitioners in Europe, including practising allergists, general practitioners and any other physicians with special interest in allergen-specific immunotherapy (SIT). It is not a long or detailed scientific review of the topic. However, the recommendations in this pocket guide were compiled following an in-depth review of existing guidelines and publications, including the 1998 EAACI position paper, the 1998 WHO Position Paper on SIT and the 2001 Allergic Rhinitis and its Impact on Asthma (ARIA). It is also based on the ARIA update 2008 (prepared in collaboration with GA2LEN), the Sub-lingual Immunotherapy: WAO Position Paper 2009 (from the World Allergy Organisation) and the Methodology paper of ARIA. The recommendations cover patient selection, allergen extract to be used, route of administration of SIT (in particular, sublingual and subcutaneous immunotherapy), and necessary precautions to be followed in using SIT. © 2010 John Wiley &amp; Sons A/S.","author":[{"dropping-particle":"","family":"Zuberbier","given":"T.","non-dropping-particle":"","parse-names":false,"suffix":""},{"dropping-particle":"","family":"Bachert","given":"C.","non-dropping-particle":"","parse-names":false,"suffix":""},{"dropping-particle":"","family":"Bousquet","given":"P. J.","non-dropping-particle":"","parse-names":false,"suffix":""},{"dropping-particle":"","family":"Passalacqua","given":"G.","non-dropping-particle":"","parse-names":false,"suffix":""},{"dropping-particle":"","family":"Walter Canonica","given":"G.","non-dropping-particle":"","parse-names":false,"suffix":""},{"dropping-particle":"","family":"Merk","given":"H.","non-dropping-particle":"","parse-names":false,"suffix":""},{"dropping-particle":"","family":"Worm","given":"M.","non-dropping-particle":"","parse-names":false,"suffix":""},{"dropping-particle":"","family":"Wahn","given":"U.","non-dropping-particle":"","parse-names":false,"suffix":""},{"dropping-particle":"","family":"Bousquet","given":"J.","non-dropping-particle":"","parse-names":false,"suffix":""}],"container-title":"Allergy: European Journal of Allergy and Clinical Immunology","id":"ITEM-1","issue":"12","issued":{"date-parts":[["2010"]]},"page":"1525-1530","title":"GA2LEN/EAACI pocket guide for allergen-specific immunotherapy for allergic rhinitis and asthma","type":"article-journal","volume":"65"},"uris":["http://www.mendeley.com/documents/?uuid=c74711d7-f409-4bd7-848f-89b0a2d14545"]}],"mendeley":{"formattedCitation":"[60]","plainTextFormattedCitation":"[60]","previouslyFormattedCitation":"[60]"},"properties":{"noteIndex":0},"schema":"https://github.com/citation-style-language/schema/raw/master/csl-citation.json"}</w:instrText>
      </w:r>
      <w:r w:rsidR="00EA257C" w:rsidRPr="001B27F8">
        <w:rPr>
          <w:rStyle w:val="fontstyle01"/>
          <w:color w:val="auto"/>
        </w:rPr>
        <w:fldChar w:fldCharType="separate"/>
      </w:r>
      <w:r w:rsidR="00877069" w:rsidRPr="00877069">
        <w:rPr>
          <w:rStyle w:val="fontstyle01"/>
          <w:noProof/>
          <w:color w:val="auto"/>
        </w:rPr>
        <w:t>[60]</w:t>
      </w:r>
      <w:r w:rsidR="00EA257C" w:rsidRPr="001B27F8">
        <w:rPr>
          <w:rStyle w:val="fontstyle01"/>
          <w:color w:val="auto"/>
        </w:rPr>
        <w:fldChar w:fldCharType="end"/>
      </w:r>
      <w:r w:rsidR="00C16193" w:rsidRPr="001B27F8">
        <w:rPr>
          <w:rStyle w:val="fontstyle01"/>
          <w:color w:val="auto"/>
        </w:rPr>
        <w:t xml:space="preserve">. </w:t>
      </w:r>
      <w:r w:rsidR="00E559F6" w:rsidRPr="001B27F8">
        <w:rPr>
          <w:rStyle w:val="fontstyle01"/>
          <w:color w:val="auto"/>
        </w:rPr>
        <w:t>Пациент должен оставаться в кабинете врача не менее 30 минут после инъе</w:t>
      </w:r>
      <w:r w:rsidR="00FC6D78" w:rsidRPr="001B27F8">
        <w:rPr>
          <w:rStyle w:val="fontstyle01"/>
          <w:color w:val="auto"/>
        </w:rPr>
        <w:t>кции</w:t>
      </w:r>
      <w:r w:rsidR="00E559F6" w:rsidRPr="001B27F8">
        <w:rPr>
          <w:rStyle w:val="fontstyle01"/>
          <w:color w:val="auto"/>
        </w:rPr>
        <w:t xml:space="preserve"> ввиду небольшого риска системных аллергических реакций на </w:t>
      </w:r>
      <w:r w:rsidR="00902E91" w:rsidRPr="001B27F8">
        <w:rPr>
          <w:rStyle w:val="fontstyle01"/>
          <w:color w:val="auto"/>
        </w:rPr>
        <w:t>препарат</w:t>
      </w:r>
      <w:r w:rsidR="00FC6D78" w:rsidRPr="001B27F8">
        <w:rPr>
          <w:rStyle w:val="fontstyle01"/>
          <w:color w:val="auto"/>
        </w:rPr>
        <w:t xml:space="preserve"> </w:t>
      </w:r>
      <w:r w:rsidR="00FC6D78" w:rsidRPr="001B27F8">
        <w:rPr>
          <w:rStyle w:val="fontstyle01"/>
          <w:color w:val="auto"/>
        </w:rPr>
        <w:fldChar w:fldCharType="begin" w:fldLock="1"/>
      </w:r>
      <w:r w:rsidR="00765C06">
        <w:rPr>
          <w:rStyle w:val="fontstyle01"/>
          <w:color w:val="auto"/>
        </w:rPr>
        <w:instrText>ADDIN CSL_CITATION {"citationItems":[{"id":"ITEM-1","itemData":{"DOI":"10.1016/j.anai.2019.12.025","ISSN":"15344436","PMID":"31923544","abstract":"Background: Sublingual immunotherapy (SLIT) is administered via tablets (SLIT-T) or liquid drops (SLIT-D). In North America, currently 4 SLIT-T formulations are approved by the US Food and Drug Administration for allergy immunotherapy, and SLIT-D is an off-label use of subcutaneous immunotherapy (SCIT) extracts. Objective: To compare and contrast aspects of SLIT-T and SLIT-D, including physical characteristics, mechanism of action, dosing, efficacy, safety, adherence, and cost. Data Sources: PubMed literature review (no limits), product prescribing information, and manufacturer websites. Study Selections: Publications related to physical characteristics, mechanism of action, dosing, efficacy, safety, and adherence. Results: Published evidence indicates that tablet and drop formulations differ in regard to physical characteristics, dosing, and strength of evidence for efficacy. Whether there are any differences in absorption and mechanism of action between the 2 formulations is currently unknown. Optimal dosing, efficacy, and safety have been established for SLIT-T. In contrast, in North America there is little support for efficacy of SLIT-D from randomized double-blind, placebo-controlled trials, and dose ranges have not been appropriately evaluated. SLIT-T treats a single allergen, whereas in the United States SLIT-D often contains multiple allergens to treat polysensitization. The safety profiles of SLIT-T and SLIT-D appear similar, and both formulations are considered safer than SCIT. Conclusion: Professional guidelines should make a clear distinction between SLIT-T and SLIT-D in their recommendations to minimize confusion with the umbrella term SLIT.","author":[{"dropping-particle":"","family":"Tankersley","given":"Mike","non-dropping-particle":"","parse-names":false,"suffix":""},{"dropping-particle":"","family":"Han","given":"Joseph K.","non-dropping-particle":"","parse-names":false,"suffix":""},{"dropping-particle":"","family":"Nolte","given":"Hendrik","non-dropping-particle":"","parse-names":false,"suffix":""}],"container-title":"Annals of Allergy, Asthma and Immunology","id":"ITEM-1","issue":"6","issued":{"date-parts":[["2020"]]},"page":"573-582","publisher":"American College of Allergy, Asthma &amp; Immunology","title":"Clinical aspects of sublingual immunotherapy tablets and drops","type":"article-journal","volume":"124"},"uris":["http://www.mendeley.com/documents/?uuid=9a385bfd-6572-4c09-9642-674ddc10eca1"]}],"mendeley":{"formattedCitation":"[61]","plainTextFormattedCitation":"[61]","previouslyFormattedCitation":"[61]"},"properties":{"noteIndex":0},"schema":"https://github.com/citation-style-language/schema/raw/master/csl-citation.json"}</w:instrText>
      </w:r>
      <w:r w:rsidR="00FC6D78" w:rsidRPr="001B27F8">
        <w:rPr>
          <w:rStyle w:val="fontstyle01"/>
          <w:color w:val="auto"/>
        </w:rPr>
        <w:fldChar w:fldCharType="separate"/>
      </w:r>
      <w:r w:rsidR="00877069" w:rsidRPr="00877069">
        <w:rPr>
          <w:rStyle w:val="fontstyle01"/>
          <w:noProof/>
          <w:color w:val="auto"/>
        </w:rPr>
        <w:t>[61]</w:t>
      </w:r>
      <w:r w:rsidR="00FC6D78" w:rsidRPr="001B27F8">
        <w:rPr>
          <w:rStyle w:val="fontstyle01"/>
          <w:color w:val="auto"/>
        </w:rPr>
        <w:fldChar w:fldCharType="end"/>
      </w:r>
      <w:r w:rsidR="00E559F6" w:rsidRPr="001B27F8">
        <w:rPr>
          <w:rStyle w:val="fontstyle01"/>
          <w:color w:val="auto"/>
        </w:rPr>
        <w:t xml:space="preserve">. В последнее время, сублингвальный </w:t>
      </w:r>
      <w:r w:rsidR="00B31BE0" w:rsidRPr="001B27F8">
        <w:rPr>
          <w:rStyle w:val="fontstyle01"/>
          <w:color w:val="auto"/>
        </w:rPr>
        <w:t>метод</w:t>
      </w:r>
      <w:r w:rsidR="00E559F6" w:rsidRPr="001B27F8">
        <w:rPr>
          <w:rStyle w:val="fontstyle01"/>
          <w:color w:val="auto"/>
        </w:rPr>
        <w:t xml:space="preserve"> </w:t>
      </w:r>
      <w:r w:rsidR="00C16193" w:rsidRPr="001B27F8">
        <w:rPr>
          <w:rStyle w:val="fontstyle01"/>
          <w:color w:val="auto"/>
        </w:rPr>
        <w:t>получил наиболее широкое использование за счет доступности применения и наиболее безопасному профилю лечения</w:t>
      </w:r>
      <w:r w:rsidR="00EA67F0" w:rsidRPr="001B27F8">
        <w:rPr>
          <w:rStyle w:val="fontstyle01"/>
          <w:color w:val="auto"/>
        </w:rPr>
        <w:t xml:space="preserve"> </w:t>
      </w:r>
      <w:r w:rsidR="00BD4AA6" w:rsidRPr="001B27F8">
        <w:rPr>
          <w:rStyle w:val="fontstyle01"/>
          <w:color w:val="auto"/>
          <w:lang w:val="en-US"/>
        </w:rPr>
        <w:fldChar w:fldCharType="begin" w:fldLock="1"/>
      </w:r>
      <w:r w:rsidR="00765C06">
        <w:rPr>
          <w:rStyle w:val="fontstyle01"/>
          <w:color w:val="auto"/>
          <w:lang w:val="en-US"/>
        </w:rPr>
        <w:instrText>ADDIN</w:instrText>
      </w:r>
      <w:r w:rsidR="00765C06" w:rsidRPr="00015FE3">
        <w:rPr>
          <w:rStyle w:val="fontstyle01"/>
          <w:color w:val="auto"/>
        </w:rPr>
        <w:instrText xml:space="preserve"> </w:instrText>
      </w:r>
      <w:r w:rsidR="00765C06">
        <w:rPr>
          <w:rStyle w:val="fontstyle01"/>
          <w:color w:val="auto"/>
          <w:lang w:val="en-US"/>
        </w:rPr>
        <w:instrText>CSL</w:instrText>
      </w:r>
      <w:r w:rsidR="00765C06" w:rsidRPr="00015FE3">
        <w:rPr>
          <w:rStyle w:val="fontstyle01"/>
          <w:color w:val="auto"/>
        </w:rPr>
        <w:instrText>_</w:instrText>
      </w:r>
      <w:r w:rsidR="00765C06">
        <w:rPr>
          <w:rStyle w:val="fontstyle01"/>
          <w:color w:val="auto"/>
          <w:lang w:val="en-US"/>
        </w:rPr>
        <w:instrText>CITATION</w:instrText>
      </w:r>
      <w:r w:rsidR="00765C06" w:rsidRPr="00015FE3">
        <w:rPr>
          <w:rStyle w:val="fontstyle01"/>
          <w:color w:val="auto"/>
        </w:rPr>
        <w:instrText xml:space="preserve"> {"</w:instrText>
      </w:r>
      <w:r w:rsidR="00765C06">
        <w:rPr>
          <w:rStyle w:val="fontstyle01"/>
          <w:color w:val="auto"/>
          <w:lang w:val="en-US"/>
        </w:rPr>
        <w:instrText>citationItems</w:instrText>
      </w:r>
      <w:r w:rsidR="00765C06" w:rsidRPr="00015FE3">
        <w:rPr>
          <w:rStyle w:val="fontstyle01"/>
          <w:color w:val="auto"/>
        </w:rPr>
        <w:instrText>":[{"</w:instrText>
      </w:r>
      <w:r w:rsidR="00765C06">
        <w:rPr>
          <w:rStyle w:val="fontstyle01"/>
          <w:color w:val="auto"/>
          <w:lang w:val="en-US"/>
        </w:rPr>
        <w:instrText>id</w:instrText>
      </w:r>
      <w:r w:rsidR="00765C06" w:rsidRPr="00015FE3">
        <w:rPr>
          <w:rStyle w:val="fontstyle01"/>
          <w:color w:val="auto"/>
        </w:rPr>
        <w:instrText>":"</w:instrText>
      </w:r>
      <w:r w:rsidR="00765C06">
        <w:rPr>
          <w:rStyle w:val="fontstyle01"/>
          <w:color w:val="auto"/>
          <w:lang w:val="en-US"/>
        </w:rPr>
        <w:instrText>ITEM</w:instrText>
      </w:r>
      <w:r w:rsidR="00765C06" w:rsidRPr="00015FE3">
        <w:rPr>
          <w:rStyle w:val="fontstyle01"/>
          <w:color w:val="auto"/>
        </w:rPr>
        <w:instrText>-1","</w:instrText>
      </w:r>
      <w:r w:rsidR="00765C06">
        <w:rPr>
          <w:rStyle w:val="fontstyle01"/>
          <w:color w:val="auto"/>
          <w:lang w:val="en-US"/>
        </w:rPr>
        <w:instrText>itemData</w:instrText>
      </w:r>
      <w:r w:rsidR="00765C06" w:rsidRPr="00015FE3">
        <w:rPr>
          <w:rStyle w:val="fontstyle01"/>
          <w:color w:val="auto"/>
        </w:rPr>
        <w:instrText>":{"</w:instrText>
      </w:r>
      <w:r w:rsidR="00765C06">
        <w:rPr>
          <w:rStyle w:val="fontstyle01"/>
          <w:color w:val="auto"/>
          <w:lang w:val="en-US"/>
        </w:rPr>
        <w:instrText>DOI</w:instrText>
      </w:r>
      <w:r w:rsidR="00765C06" w:rsidRPr="00015FE3">
        <w:rPr>
          <w:rStyle w:val="fontstyle01"/>
          <w:color w:val="auto"/>
        </w:rPr>
        <w:instrText>":"10.1016/</w:instrText>
      </w:r>
      <w:r w:rsidR="00765C06">
        <w:rPr>
          <w:rStyle w:val="fontstyle01"/>
          <w:color w:val="auto"/>
          <w:lang w:val="en-US"/>
        </w:rPr>
        <w:instrText>j</w:instrText>
      </w:r>
      <w:r w:rsidR="00765C06" w:rsidRPr="00015FE3">
        <w:rPr>
          <w:rStyle w:val="fontstyle01"/>
          <w:color w:val="auto"/>
        </w:rPr>
        <w:instrText>.</w:instrText>
      </w:r>
      <w:r w:rsidR="00765C06">
        <w:rPr>
          <w:rStyle w:val="fontstyle01"/>
          <w:color w:val="auto"/>
          <w:lang w:val="en-US"/>
        </w:rPr>
        <w:instrText>anorl</w:instrText>
      </w:r>
      <w:r w:rsidR="00765C06" w:rsidRPr="00015FE3">
        <w:rPr>
          <w:rStyle w:val="fontstyle01"/>
          <w:color w:val="auto"/>
        </w:rPr>
        <w:instrText>.2017.06.005","</w:instrText>
      </w:r>
      <w:r w:rsidR="00765C06">
        <w:rPr>
          <w:rStyle w:val="fontstyle01"/>
          <w:color w:val="auto"/>
          <w:lang w:val="en-US"/>
        </w:rPr>
        <w:instrText>ISSN</w:instrText>
      </w:r>
      <w:r w:rsidR="00765C06" w:rsidRPr="00015FE3">
        <w:rPr>
          <w:rStyle w:val="fontstyle01"/>
          <w:color w:val="auto"/>
        </w:rPr>
        <w:instrText>":"18797296","</w:instrText>
      </w:r>
      <w:r w:rsidR="00765C06">
        <w:rPr>
          <w:rStyle w:val="fontstyle01"/>
          <w:color w:val="auto"/>
          <w:lang w:val="en-US"/>
        </w:rPr>
        <w:instrText>PMID</w:instrText>
      </w:r>
      <w:r w:rsidR="00765C06" w:rsidRPr="00015FE3">
        <w:rPr>
          <w:rStyle w:val="fontstyle01"/>
          <w:color w:val="auto"/>
        </w:rPr>
        <w:instrText>":"28684084","</w:instrText>
      </w:r>
      <w:r w:rsidR="00765C06">
        <w:rPr>
          <w:rStyle w:val="fontstyle01"/>
          <w:color w:val="auto"/>
          <w:lang w:val="en-US"/>
        </w:rPr>
        <w:instrText>abstract</w:instrText>
      </w:r>
      <w:r w:rsidR="00765C06" w:rsidRPr="00015FE3">
        <w:rPr>
          <w:rStyle w:val="fontstyle01"/>
          <w:color w:val="auto"/>
        </w:rPr>
        <w:instrText>":"</w:instrText>
      </w:r>
      <w:r w:rsidR="00765C06">
        <w:rPr>
          <w:rStyle w:val="fontstyle01"/>
          <w:color w:val="auto"/>
          <w:lang w:val="en-US"/>
        </w:rPr>
        <w:instrText>Allergic</w:instrText>
      </w:r>
      <w:r w:rsidR="00765C06" w:rsidRPr="00015FE3">
        <w:rPr>
          <w:rStyle w:val="fontstyle01"/>
          <w:color w:val="auto"/>
        </w:rPr>
        <w:instrText xml:space="preserve"> </w:instrText>
      </w:r>
      <w:r w:rsidR="00765C06">
        <w:rPr>
          <w:rStyle w:val="fontstyle01"/>
          <w:color w:val="auto"/>
          <w:lang w:val="en-US"/>
        </w:rPr>
        <w:instrText>rhinitis</w:instrText>
      </w:r>
      <w:r w:rsidR="00765C06" w:rsidRPr="00015FE3">
        <w:rPr>
          <w:rStyle w:val="fontstyle01"/>
          <w:color w:val="auto"/>
        </w:rPr>
        <w:instrText xml:space="preserve"> </w:instrText>
      </w:r>
      <w:r w:rsidR="00765C06">
        <w:rPr>
          <w:rStyle w:val="fontstyle01"/>
          <w:color w:val="auto"/>
          <w:lang w:val="en-US"/>
        </w:rPr>
        <w:instrText>is</w:instrText>
      </w:r>
      <w:r w:rsidR="00765C06" w:rsidRPr="00015FE3">
        <w:rPr>
          <w:rStyle w:val="fontstyle01"/>
          <w:color w:val="auto"/>
        </w:rPr>
        <w:instrText xml:space="preserve"> </w:instrText>
      </w:r>
      <w:r w:rsidR="00765C06">
        <w:rPr>
          <w:rStyle w:val="fontstyle01"/>
          <w:color w:val="auto"/>
          <w:lang w:val="en-US"/>
        </w:rPr>
        <w:instrText>a</w:instrText>
      </w:r>
      <w:r w:rsidR="00765C06" w:rsidRPr="00015FE3">
        <w:rPr>
          <w:rStyle w:val="fontstyle01"/>
          <w:color w:val="auto"/>
        </w:rPr>
        <w:instrText xml:space="preserve"> </w:instrText>
      </w:r>
      <w:r w:rsidR="00765C06">
        <w:rPr>
          <w:rStyle w:val="fontstyle01"/>
          <w:color w:val="auto"/>
          <w:lang w:val="en-US"/>
        </w:rPr>
        <w:instrText>common</w:instrText>
      </w:r>
      <w:r w:rsidR="00765C06" w:rsidRPr="00015FE3">
        <w:rPr>
          <w:rStyle w:val="fontstyle01"/>
          <w:color w:val="auto"/>
        </w:rPr>
        <w:instrText xml:space="preserve"> </w:instrText>
      </w:r>
      <w:r w:rsidR="00765C06">
        <w:rPr>
          <w:rStyle w:val="fontstyle01"/>
          <w:color w:val="auto"/>
          <w:lang w:val="en-US"/>
        </w:rPr>
        <w:instrText>condition</w:instrText>
      </w:r>
      <w:r w:rsidR="00765C06" w:rsidRPr="00015FE3">
        <w:rPr>
          <w:rStyle w:val="fontstyle01"/>
          <w:color w:val="auto"/>
        </w:rPr>
        <w:instrText xml:space="preserve">, </w:instrText>
      </w:r>
      <w:r w:rsidR="00765C06">
        <w:rPr>
          <w:rStyle w:val="fontstyle01"/>
          <w:color w:val="auto"/>
          <w:lang w:val="en-US"/>
        </w:rPr>
        <w:instrText>with</w:instrText>
      </w:r>
      <w:r w:rsidR="00765C06" w:rsidRPr="00015FE3">
        <w:rPr>
          <w:rStyle w:val="fontstyle01"/>
          <w:color w:val="auto"/>
        </w:rPr>
        <w:instrText xml:space="preserve"> </w:instrText>
      </w:r>
      <w:r w:rsidR="00765C06">
        <w:rPr>
          <w:rStyle w:val="fontstyle01"/>
          <w:color w:val="auto"/>
          <w:lang w:val="en-US"/>
        </w:rPr>
        <w:instrText>significant</w:instrText>
      </w:r>
      <w:r w:rsidR="00765C06" w:rsidRPr="00015FE3">
        <w:rPr>
          <w:rStyle w:val="fontstyle01"/>
          <w:color w:val="auto"/>
        </w:rPr>
        <w:instrText xml:space="preserve"> </w:instrText>
      </w:r>
      <w:r w:rsidR="00765C06">
        <w:rPr>
          <w:rStyle w:val="fontstyle01"/>
          <w:color w:val="auto"/>
          <w:lang w:val="en-US"/>
        </w:rPr>
        <w:instrText>impact</w:instrText>
      </w:r>
      <w:r w:rsidR="00765C06" w:rsidRPr="00015FE3">
        <w:rPr>
          <w:rStyle w:val="fontstyle01"/>
          <w:color w:val="auto"/>
        </w:rPr>
        <w:instrText xml:space="preserve"> </w:instrText>
      </w:r>
      <w:r w:rsidR="00765C06">
        <w:rPr>
          <w:rStyle w:val="fontstyle01"/>
          <w:color w:val="auto"/>
          <w:lang w:val="en-US"/>
        </w:rPr>
        <w:instrText>on</w:instrText>
      </w:r>
      <w:r w:rsidR="00765C06" w:rsidRPr="00015FE3">
        <w:rPr>
          <w:rStyle w:val="fontstyle01"/>
          <w:color w:val="auto"/>
        </w:rPr>
        <w:instrText xml:space="preserve"> </w:instrText>
      </w:r>
      <w:r w:rsidR="00765C06">
        <w:rPr>
          <w:rStyle w:val="fontstyle01"/>
          <w:color w:val="auto"/>
          <w:lang w:val="en-US"/>
        </w:rPr>
        <w:instrText>quality</w:instrText>
      </w:r>
      <w:r w:rsidR="00765C06" w:rsidRPr="00015FE3">
        <w:rPr>
          <w:rStyle w:val="fontstyle01"/>
          <w:color w:val="auto"/>
        </w:rPr>
        <w:instrText xml:space="preserve"> </w:instrText>
      </w:r>
      <w:r w:rsidR="00765C06">
        <w:rPr>
          <w:rStyle w:val="fontstyle01"/>
          <w:color w:val="auto"/>
          <w:lang w:val="en-US"/>
        </w:rPr>
        <w:instrText>of</w:instrText>
      </w:r>
      <w:r w:rsidR="00765C06" w:rsidRPr="00015FE3">
        <w:rPr>
          <w:rStyle w:val="fontstyle01"/>
          <w:color w:val="auto"/>
        </w:rPr>
        <w:instrText xml:space="preserve"> </w:instrText>
      </w:r>
      <w:r w:rsidR="00765C06">
        <w:rPr>
          <w:rStyle w:val="fontstyle01"/>
          <w:color w:val="auto"/>
          <w:lang w:val="en-US"/>
        </w:rPr>
        <w:instrText>life</w:instrText>
      </w:r>
      <w:r w:rsidR="00765C06" w:rsidRPr="00015FE3">
        <w:rPr>
          <w:rStyle w:val="fontstyle01"/>
          <w:color w:val="auto"/>
        </w:rPr>
        <w:instrText xml:space="preserve"> </w:instrText>
      </w:r>
      <w:r w:rsidR="00765C06">
        <w:rPr>
          <w:rStyle w:val="fontstyle01"/>
          <w:color w:val="auto"/>
          <w:lang w:val="en-US"/>
        </w:rPr>
        <w:instrText>depending</w:instrText>
      </w:r>
      <w:r w:rsidR="00765C06" w:rsidRPr="00015FE3">
        <w:rPr>
          <w:rStyle w:val="fontstyle01"/>
          <w:color w:val="auto"/>
        </w:rPr>
        <w:instrText xml:space="preserve"> </w:instrText>
      </w:r>
      <w:r w:rsidR="00765C06">
        <w:rPr>
          <w:rStyle w:val="fontstyle01"/>
          <w:color w:val="auto"/>
          <w:lang w:val="en-US"/>
        </w:rPr>
        <w:instrText>on</w:instrText>
      </w:r>
      <w:r w:rsidR="00765C06" w:rsidRPr="00015FE3">
        <w:rPr>
          <w:rStyle w:val="fontstyle01"/>
          <w:color w:val="auto"/>
        </w:rPr>
        <w:instrText xml:space="preserve"> </w:instrText>
      </w:r>
      <w:r w:rsidR="00765C06">
        <w:rPr>
          <w:rStyle w:val="fontstyle01"/>
          <w:color w:val="auto"/>
          <w:lang w:val="en-US"/>
        </w:rPr>
        <w:instrText>severity</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quality</w:instrText>
      </w:r>
      <w:r w:rsidR="00765C06" w:rsidRPr="00015FE3">
        <w:rPr>
          <w:rStyle w:val="fontstyle01"/>
          <w:color w:val="auto"/>
        </w:rPr>
        <w:instrText xml:space="preserve"> </w:instrText>
      </w:r>
      <w:r w:rsidR="00765C06">
        <w:rPr>
          <w:rStyle w:val="fontstyle01"/>
          <w:color w:val="auto"/>
          <w:lang w:val="en-US"/>
        </w:rPr>
        <w:instrText>of</w:instrText>
      </w:r>
      <w:r w:rsidR="00765C06" w:rsidRPr="00015FE3">
        <w:rPr>
          <w:rStyle w:val="fontstyle01"/>
          <w:color w:val="auto"/>
        </w:rPr>
        <w:instrText xml:space="preserve"> </w:instrText>
      </w:r>
      <w:r w:rsidR="00765C06">
        <w:rPr>
          <w:rStyle w:val="fontstyle01"/>
          <w:color w:val="auto"/>
          <w:lang w:val="en-US"/>
        </w:rPr>
        <w:instrText>control</w:instrText>
      </w:r>
      <w:r w:rsidR="00765C06" w:rsidRPr="00015FE3">
        <w:rPr>
          <w:rStyle w:val="fontstyle01"/>
          <w:color w:val="auto"/>
        </w:rPr>
        <w:instrText xml:space="preserve">. </w:instrText>
      </w:r>
      <w:r w:rsidR="00765C06">
        <w:rPr>
          <w:rStyle w:val="fontstyle01"/>
          <w:color w:val="auto"/>
          <w:lang w:val="en-US"/>
        </w:rPr>
        <w:instrText>Allergen</w:instrText>
      </w:r>
      <w:r w:rsidR="00765C06" w:rsidRPr="00015FE3">
        <w:rPr>
          <w:rStyle w:val="fontstyle01"/>
          <w:color w:val="auto"/>
        </w:rPr>
        <w:instrText>-</w:instrText>
      </w:r>
      <w:r w:rsidR="00765C06">
        <w:rPr>
          <w:rStyle w:val="fontstyle01"/>
          <w:color w:val="auto"/>
          <w:lang w:val="en-US"/>
        </w:rPr>
        <w:instrText>specific</w:instrText>
      </w:r>
      <w:r w:rsidR="00765C06" w:rsidRPr="00015FE3">
        <w:rPr>
          <w:rStyle w:val="fontstyle01"/>
          <w:color w:val="auto"/>
        </w:rPr>
        <w:instrText xml:space="preserve"> </w:instrText>
      </w:r>
      <w:r w:rsidR="00765C06">
        <w:rPr>
          <w:rStyle w:val="fontstyle01"/>
          <w:color w:val="auto"/>
          <w:lang w:val="en-US"/>
        </w:rPr>
        <w:instrText>immunotherapy</w:instrText>
      </w:r>
      <w:r w:rsidR="00765C06" w:rsidRPr="00015FE3">
        <w:rPr>
          <w:rStyle w:val="fontstyle01"/>
          <w:color w:val="auto"/>
        </w:rPr>
        <w:instrText xml:space="preserve"> (</w:instrText>
      </w:r>
      <w:r w:rsidR="00765C06">
        <w:rPr>
          <w:rStyle w:val="fontstyle01"/>
          <w:color w:val="auto"/>
          <w:lang w:val="en-US"/>
        </w:rPr>
        <w:instrText>allergen</w:instrText>
      </w:r>
      <w:r w:rsidR="00765C06" w:rsidRPr="00015FE3">
        <w:rPr>
          <w:rStyle w:val="fontstyle01"/>
          <w:color w:val="auto"/>
        </w:rPr>
        <w:instrText>-</w:instrText>
      </w:r>
      <w:r w:rsidR="00765C06">
        <w:rPr>
          <w:rStyle w:val="fontstyle01"/>
          <w:color w:val="auto"/>
          <w:lang w:val="en-US"/>
        </w:rPr>
        <w:instrText>SIT</w:instrText>
      </w:r>
      <w:r w:rsidR="00765C06" w:rsidRPr="00015FE3">
        <w:rPr>
          <w:rStyle w:val="fontstyle01"/>
          <w:color w:val="auto"/>
        </w:rPr>
        <w:instrText xml:space="preserve">) </w:instrText>
      </w:r>
      <w:r w:rsidR="00765C06">
        <w:rPr>
          <w:rStyle w:val="fontstyle01"/>
          <w:color w:val="auto"/>
          <w:lang w:val="en-US"/>
        </w:rPr>
        <w:instrText>is</w:instrText>
      </w:r>
      <w:r w:rsidR="00765C06" w:rsidRPr="00015FE3">
        <w:rPr>
          <w:rStyle w:val="fontstyle01"/>
          <w:color w:val="auto"/>
        </w:rPr>
        <w:instrText xml:space="preserve"> </w:instrText>
      </w:r>
      <w:r w:rsidR="00765C06">
        <w:rPr>
          <w:rStyle w:val="fontstyle01"/>
          <w:color w:val="auto"/>
          <w:lang w:val="en-US"/>
        </w:rPr>
        <w:instrText>the</w:instrText>
      </w:r>
      <w:r w:rsidR="00765C06" w:rsidRPr="00015FE3">
        <w:rPr>
          <w:rStyle w:val="fontstyle01"/>
          <w:color w:val="auto"/>
        </w:rPr>
        <w:instrText xml:space="preserve"> </w:instrText>
      </w:r>
      <w:r w:rsidR="00765C06">
        <w:rPr>
          <w:rStyle w:val="fontstyle01"/>
          <w:color w:val="auto"/>
          <w:lang w:val="en-US"/>
        </w:rPr>
        <w:instrText>only</w:instrText>
      </w:r>
      <w:r w:rsidR="00765C06" w:rsidRPr="00015FE3">
        <w:rPr>
          <w:rStyle w:val="fontstyle01"/>
          <w:color w:val="auto"/>
        </w:rPr>
        <w:instrText xml:space="preserve"> </w:instrText>
      </w:r>
      <w:r w:rsidR="00765C06">
        <w:rPr>
          <w:rStyle w:val="fontstyle01"/>
          <w:color w:val="auto"/>
          <w:lang w:val="en-US"/>
        </w:rPr>
        <w:instrText>known</w:instrText>
      </w:r>
      <w:r w:rsidR="00765C06" w:rsidRPr="00015FE3">
        <w:rPr>
          <w:rStyle w:val="fontstyle01"/>
          <w:color w:val="auto"/>
        </w:rPr>
        <w:instrText xml:space="preserve"> </w:instrText>
      </w:r>
      <w:r w:rsidR="00765C06">
        <w:rPr>
          <w:rStyle w:val="fontstyle01"/>
          <w:color w:val="auto"/>
          <w:lang w:val="en-US"/>
        </w:rPr>
        <w:instrText>treatment</w:instrText>
      </w:r>
      <w:r w:rsidR="00765C06" w:rsidRPr="00015FE3">
        <w:rPr>
          <w:rStyle w:val="fontstyle01"/>
          <w:color w:val="auto"/>
        </w:rPr>
        <w:instrText xml:space="preserve"> </w:instrText>
      </w:r>
      <w:r w:rsidR="00765C06">
        <w:rPr>
          <w:rStyle w:val="fontstyle01"/>
          <w:color w:val="auto"/>
          <w:lang w:val="en-US"/>
        </w:rPr>
        <w:instrText>able</w:instrText>
      </w:r>
      <w:r w:rsidR="00765C06" w:rsidRPr="00015FE3">
        <w:rPr>
          <w:rStyle w:val="fontstyle01"/>
          <w:color w:val="auto"/>
        </w:rPr>
        <w:instrText xml:space="preserve"> </w:instrText>
      </w:r>
      <w:r w:rsidR="00765C06">
        <w:rPr>
          <w:rStyle w:val="fontstyle01"/>
          <w:color w:val="auto"/>
          <w:lang w:val="en-US"/>
        </w:rPr>
        <w:instrText>to</w:instrText>
      </w:r>
      <w:r w:rsidR="00765C06" w:rsidRPr="00015FE3">
        <w:rPr>
          <w:rStyle w:val="fontstyle01"/>
          <w:color w:val="auto"/>
        </w:rPr>
        <w:instrText xml:space="preserve"> </w:instrText>
      </w:r>
      <w:r w:rsidR="00765C06">
        <w:rPr>
          <w:rStyle w:val="fontstyle01"/>
          <w:color w:val="auto"/>
          <w:lang w:val="en-US"/>
        </w:rPr>
        <w:instrText>alter</w:instrText>
      </w:r>
      <w:r w:rsidR="00765C06" w:rsidRPr="00015FE3">
        <w:rPr>
          <w:rStyle w:val="fontstyle01"/>
          <w:color w:val="auto"/>
        </w:rPr>
        <w:instrText xml:space="preserve"> </w:instrText>
      </w:r>
      <w:r w:rsidR="00765C06">
        <w:rPr>
          <w:rStyle w:val="fontstyle01"/>
          <w:color w:val="auto"/>
          <w:lang w:val="en-US"/>
        </w:rPr>
        <w:instrText>the</w:instrText>
      </w:r>
      <w:r w:rsidR="00765C06" w:rsidRPr="00015FE3">
        <w:rPr>
          <w:rStyle w:val="fontstyle01"/>
          <w:color w:val="auto"/>
        </w:rPr>
        <w:instrText xml:space="preserve"> </w:instrText>
      </w:r>
      <w:r w:rsidR="00765C06">
        <w:rPr>
          <w:rStyle w:val="fontstyle01"/>
          <w:color w:val="auto"/>
          <w:lang w:val="en-US"/>
        </w:rPr>
        <w:instrText>natural</w:instrText>
      </w:r>
      <w:r w:rsidR="00765C06" w:rsidRPr="00015FE3">
        <w:rPr>
          <w:rStyle w:val="fontstyle01"/>
          <w:color w:val="auto"/>
        </w:rPr>
        <w:instrText xml:space="preserve"> </w:instrText>
      </w:r>
      <w:r w:rsidR="00765C06">
        <w:rPr>
          <w:rStyle w:val="fontstyle01"/>
          <w:color w:val="auto"/>
          <w:lang w:val="en-US"/>
        </w:rPr>
        <w:instrText>course</w:instrText>
      </w:r>
      <w:r w:rsidR="00765C06" w:rsidRPr="00015FE3">
        <w:rPr>
          <w:rStyle w:val="fontstyle01"/>
          <w:color w:val="auto"/>
        </w:rPr>
        <w:instrText xml:space="preserve"> </w:instrText>
      </w:r>
      <w:r w:rsidR="00765C06">
        <w:rPr>
          <w:rStyle w:val="fontstyle01"/>
          <w:color w:val="auto"/>
          <w:lang w:val="en-US"/>
        </w:rPr>
        <w:instrText>of</w:instrText>
      </w:r>
      <w:r w:rsidR="00765C06" w:rsidRPr="00015FE3">
        <w:rPr>
          <w:rStyle w:val="fontstyle01"/>
          <w:color w:val="auto"/>
        </w:rPr>
        <w:instrText xml:space="preserve"> </w:instrText>
      </w:r>
      <w:r w:rsidR="00765C06">
        <w:rPr>
          <w:rStyle w:val="fontstyle01"/>
          <w:color w:val="auto"/>
          <w:lang w:val="en-US"/>
        </w:rPr>
        <w:instrText>allergic</w:instrText>
      </w:r>
      <w:r w:rsidR="00765C06" w:rsidRPr="00015FE3">
        <w:rPr>
          <w:rStyle w:val="fontstyle01"/>
          <w:color w:val="auto"/>
        </w:rPr>
        <w:instrText xml:space="preserve"> </w:instrText>
      </w:r>
      <w:r w:rsidR="00765C06">
        <w:rPr>
          <w:rStyle w:val="fontstyle01"/>
          <w:color w:val="auto"/>
          <w:lang w:val="en-US"/>
        </w:rPr>
        <w:instrText>rhinitis</w:instrText>
      </w:r>
      <w:r w:rsidR="00765C06" w:rsidRPr="00015FE3">
        <w:rPr>
          <w:rStyle w:val="fontstyle01"/>
          <w:color w:val="auto"/>
        </w:rPr>
        <w:instrText xml:space="preserve">. </w:instrText>
      </w:r>
      <w:r w:rsidR="00765C06">
        <w:rPr>
          <w:rStyle w:val="fontstyle01"/>
          <w:color w:val="auto"/>
          <w:lang w:val="en-US"/>
        </w:rPr>
        <w:instrText>Although</w:instrText>
      </w:r>
      <w:r w:rsidR="00765C06" w:rsidRPr="00015FE3">
        <w:rPr>
          <w:rStyle w:val="fontstyle01"/>
          <w:color w:val="auto"/>
        </w:rPr>
        <w:instrText xml:space="preserve"> </w:instrText>
      </w:r>
      <w:r w:rsidR="00765C06">
        <w:rPr>
          <w:rStyle w:val="fontstyle01"/>
          <w:color w:val="auto"/>
          <w:lang w:val="en-US"/>
        </w:rPr>
        <w:instrText>well</w:instrText>
      </w:r>
      <w:r w:rsidR="00765C06" w:rsidRPr="00015FE3">
        <w:rPr>
          <w:rStyle w:val="fontstyle01"/>
          <w:color w:val="auto"/>
        </w:rPr>
        <w:instrText xml:space="preserve"> </w:instrText>
      </w:r>
      <w:r w:rsidR="00765C06">
        <w:rPr>
          <w:rStyle w:val="fontstyle01"/>
          <w:color w:val="auto"/>
          <w:lang w:val="en-US"/>
        </w:rPr>
        <w:instrText>known</w:instrText>
      </w:r>
      <w:r w:rsidR="00765C06" w:rsidRPr="00015FE3">
        <w:rPr>
          <w:rStyle w:val="fontstyle01"/>
          <w:color w:val="auto"/>
        </w:rPr>
        <w:instrText xml:space="preserve"> </w:instrText>
      </w:r>
      <w:r w:rsidR="00765C06">
        <w:rPr>
          <w:rStyle w:val="fontstyle01"/>
          <w:color w:val="auto"/>
          <w:lang w:val="en-US"/>
        </w:rPr>
        <w:instrText>to</w:instrText>
      </w:r>
      <w:r w:rsidR="00765C06" w:rsidRPr="00015FE3">
        <w:rPr>
          <w:rStyle w:val="fontstyle01"/>
          <w:color w:val="auto"/>
        </w:rPr>
        <w:instrText xml:space="preserve"> </w:instrText>
      </w:r>
      <w:r w:rsidR="00765C06">
        <w:rPr>
          <w:rStyle w:val="fontstyle01"/>
          <w:color w:val="auto"/>
          <w:lang w:val="en-US"/>
        </w:rPr>
        <w:instrText>allergologists</w:instrText>
      </w:r>
      <w:r w:rsidR="00765C06" w:rsidRPr="00015FE3">
        <w:rPr>
          <w:rStyle w:val="fontstyle01"/>
          <w:color w:val="auto"/>
        </w:rPr>
        <w:instrText xml:space="preserve">, </w:instrText>
      </w:r>
      <w:r w:rsidR="00765C06">
        <w:rPr>
          <w:rStyle w:val="fontstyle01"/>
          <w:color w:val="auto"/>
          <w:lang w:val="en-US"/>
        </w:rPr>
        <w:instrText>it</w:instrText>
      </w:r>
      <w:r w:rsidR="00765C06" w:rsidRPr="00015FE3">
        <w:rPr>
          <w:rStyle w:val="fontstyle01"/>
          <w:color w:val="auto"/>
        </w:rPr>
        <w:instrText xml:space="preserve"> </w:instrText>
      </w:r>
      <w:r w:rsidR="00765C06">
        <w:rPr>
          <w:rStyle w:val="fontstyle01"/>
          <w:color w:val="auto"/>
          <w:lang w:val="en-US"/>
        </w:rPr>
        <w:instrText>has</w:instrText>
      </w:r>
      <w:r w:rsidR="00765C06" w:rsidRPr="00015FE3">
        <w:rPr>
          <w:rStyle w:val="fontstyle01"/>
          <w:color w:val="auto"/>
        </w:rPr>
        <w:instrText xml:space="preserve"> </w:instrText>
      </w:r>
      <w:r w:rsidR="00765C06">
        <w:rPr>
          <w:rStyle w:val="fontstyle01"/>
          <w:color w:val="auto"/>
          <w:lang w:val="en-US"/>
        </w:rPr>
        <w:instrText>yet</w:instrText>
      </w:r>
      <w:r w:rsidR="00765C06" w:rsidRPr="00015FE3">
        <w:rPr>
          <w:rStyle w:val="fontstyle01"/>
          <w:color w:val="auto"/>
        </w:rPr>
        <w:instrText xml:space="preserve"> </w:instrText>
      </w:r>
      <w:r w:rsidR="00765C06">
        <w:rPr>
          <w:rStyle w:val="fontstyle01"/>
          <w:color w:val="auto"/>
          <w:lang w:val="en-US"/>
        </w:rPr>
        <w:instrText>to</w:instrText>
      </w:r>
      <w:r w:rsidR="00765C06" w:rsidRPr="00015FE3">
        <w:rPr>
          <w:rStyle w:val="fontstyle01"/>
          <w:color w:val="auto"/>
        </w:rPr>
        <w:instrText xml:space="preserve"> </w:instrText>
      </w:r>
      <w:r w:rsidR="00765C06">
        <w:rPr>
          <w:rStyle w:val="fontstyle01"/>
          <w:color w:val="auto"/>
          <w:lang w:val="en-US"/>
        </w:rPr>
        <w:instrText>be</w:instrText>
      </w:r>
      <w:r w:rsidR="00765C06" w:rsidRPr="00015FE3">
        <w:rPr>
          <w:rStyle w:val="fontstyle01"/>
          <w:color w:val="auto"/>
        </w:rPr>
        <w:instrText xml:space="preserve"> </w:instrText>
      </w:r>
      <w:r w:rsidR="00765C06">
        <w:rPr>
          <w:rStyle w:val="fontstyle01"/>
          <w:color w:val="auto"/>
          <w:lang w:val="en-US"/>
        </w:rPr>
        <w:instrText>fully</w:instrText>
      </w:r>
      <w:r w:rsidR="00765C06" w:rsidRPr="00015FE3">
        <w:rPr>
          <w:rStyle w:val="fontstyle01"/>
          <w:color w:val="auto"/>
        </w:rPr>
        <w:instrText xml:space="preserve"> </w:instrText>
      </w:r>
      <w:r w:rsidR="00765C06">
        <w:rPr>
          <w:rStyle w:val="fontstyle01"/>
          <w:color w:val="auto"/>
          <w:lang w:val="en-US"/>
        </w:rPr>
        <w:instrText>adopted</w:instrText>
      </w:r>
      <w:r w:rsidR="00765C06" w:rsidRPr="00015FE3">
        <w:rPr>
          <w:rStyle w:val="fontstyle01"/>
          <w:color w:val="auto"/>
        </w:rPr>
        <w:instrText xml:space="preserve"> </w:instrText>
      </w:r>
      <w:r w:rsidR="00765C06">
        <w:rPr>
          <w:rStyle w:val="fontstyle01"/>
          <w:color w:val="auto"/>
          <w:lang w:val="en-US"/>
        </w:rPr>
        <w:instrText>by</w:instrText>
      </w:r>
      <w:r w:rsidR="00765C06" w:rsidRPr="00015FE3">
        <w:rPr>
          <w:rStyle w:val="fontstyle01"/>
          <w:color w:val="auto"/>
        </w:rPr>
        <w:instrText xml:space="preserve"> </w:instrText>
      </w:r>
      <w:r w:rsidR="00765C06">
        <w:rPr>
          <w:rStyle w:val="fontstyle01"/>
          <w:color w:val="auto"/>
          <w:lang w:val="en-US"/>
        </w:rPr>
        <w:instrText>the</w:instrText>
      </w:r>
      <w:r w:rsidR="00765C06" w:rsidRPr="00015FE3">
        <w:rPr>
          <w:rStyle w:val="fontstyle01"/>
          <w:color w:val="auto"/>
        </w:rPr>
        <w:instrText xml:space="preserve"> </w:instrText>
      </w:r>
      <w:r w:rsidR="00765C06">
        <w:rPr>
          <w:rStyle w:val="fontstyle01"/>
          <w:color w:val="auto"/>
          <w:lang w:val="en-US"/>
        </w:rPr>
        <w:instrText>ENT</w:instrText>
      </w:r>
      <w:r w:rsidR="00765C06" w:rsidRPr="00015FE3">
        <w:rPr>
          <w:rStyle w:val="fontstyle01"/>
          <w:color w:val="auto"/>
        </w:rPr>
        <w:instrText xml:space="preserve"> </w:instrText>
      </w:r>
      <w:r w:rsidR="00765C06">
        <w:rPr>
          <w:rStyle w:val="fontstyle01"/>
          <w:color w:val="auto"/>
          <w:lang w:val="en-US"/>
        </w:rPr>
        <w:instrText>community</w:instrText>
      </w:r>
      <w:r w:rsidR="00765C06" w:rsidRPr="00015FE3">
        <w:rPr>
          <w:rStyle w:val="fontstyle01"/>
          <w:color w:val="auto"/>
        </w:rPr>
        <w:instrText xml:space="preserve">. </w:instrText>
      </w:r>
      <w:r w:rsidR="00765C06">
        <w:rPr>
          <w:rStyle w:val="fontstyle01"/>
          <w:color w:val="auto"/>
          <w:lang w:val="en-US"/>
        </w:rPr>
        <w:instrText>This</w:instrText>
      </w:r>
      <w:r w:rsidR="00765C06" w:rsidRPr="00015FE3">
        <w:rPr>
          <w:rStyle w:val="fontstyle01"/>
          <w:color w:val="auto"/>
        </w:rPr>
        <w:instrText xml:space="preserve"> </w:instrText>
      </w:r>
      <w:r w:rsidR="00765C06">
        <w:rPr>
          <w:rStyle w:val="fontstyle01"/>
          <w:color w:val="auto"/>
          <w:lang w:val="en-US"/>
        </w:rPr>
        <w:instrText>review</w:instrText>
      </w:r>
      <w:r w:rsidR="00765C06" w:rsidRPr="00015FE3">
        <w:rPr>
          <w:rStyle w:val="fontstyle01"/>
          <w:color w:val="auto"/>
        </w:rPr>
        <w:instrText xml:space="preserve">, </w:instrText>
      </w:r>
      <w:r w:rsidR="00765C06">
        <w:rPr>
          <w:rStyle w:val="fontstyle01"/>
          <w:color w:val="auto"/>
          <w:lang w:val="en-US"/>
        </w:rPr>
        <w:instrText>based</w:instrText>
      </w:r>
      <w:r w:rsidR="00765C06" w:rsidRPr="00015FE3">
        <w:rPr>
          <w:rStyle w:val="fontstyle01"/>
          <w:color w:val="auto"/>
        </w:rPr>
        <w:instrText xml:space="preserve"> </w:instrText>
      </w:r>
      <w:r w:rsidR="00765C06">
        <w:rPr>
          <w:rStyle w:val="fontstyle01"/>
          <w:color w:val="auto"/>
          <w:lang w:val="en-US"/>
        </w:rPr>
        <w:instrText>on</w:instrText>
      </w:r>
      <w:r w:rsidR="00765C06" w:rsidRPr="00015FE3">
        <w:rPr>
          <w:rStyle w:val="fontstyle01"/>
          <w:color w:val="auto"/>
        </w:rPr>
        <w:instrText xml:space="preserve"> </w:instrText>
      </w:r>
      <w:r w:rsidR="00765C06">
        <w:rPr>
          <w:rStyle w:val="fontstyle01"/>
          <w:color w:val="auto"/>
          <w:lang w:val="en-US"/>
        </w:rPr>
        <w:instrText>the</w:instrText>
      </w:r>
      <w:r w:rsidR="00765C06" w:rsidRPr="00015FE3">
        <w:rPr>
          <w:rStyle w:val="fontstyle01"/>
          <w:color w:val="auto"/>
        </w:rPr>
        <w:instrText xml:space="preserve"> </w:instrText>
      </w:r>
      <w:r w:rsidR="00765C06">
        <w:rPr>
          <w:rStyle w:val="fontstyle01"/>
          <w:color w:val="auto"/>
          <w:lang w:val="en-US"/>
        </w:rPr>
        <w:instrText>most</w:instrText>
      </w:r>
      <w:r w:rsidR="00765C06" w:rsidRPr="00015FE3">
        <w:rPr>
          <w:rStyle w:val="fontstyle01"/>
          <w:color w:val="auto"/>
        </w:rPr>
        <w:instrText xml:space="preserve"> </w:instrText>
      </w:r>
      <w:r w:rsidR="00765C06">
        <w:rPr>
          <w:rStyle w:val="fontstyle01"/>
          <w:color w:val="auto"/>
          <w:lang w:val="en-US"/>
        </w:rPr>
        <w:instrText>recent</w:instrText>
      </w:r>
      <w:r w:rsidR="00765C06" w:rsidRPr="00015FE3">
        <w:rPr>
          <w:rStyle w:val="fontstyle01"/>
          <w:color w:val="auto"/>
        </w:rPr>
        <w:instrText xml:space="preserve"> </w:instrText>
      </w:r>
      <w:r w:rsidR="00765C06">
        <w:rPr>
          <w:rStyle w:val="fontstyle01"/>
          <w:color w:val="auto"/>
          <w:lang w:val="en-US"/>
        </w:rPr>
        <w:instrText>meta</w:instrText>
      </w:r>
      <w:r w:rsidR="00765C06" w:rsidRPr="00015FE3">
        <w:rPr>
          <w:rStyle w:val="fontstyle01"/>
          <w:color w:val="auto"/>
        </w:rPr>
        <w:instrText>-</w:instrText>
      </w:r>
      <w:r w:rsidR="00765C06">
        <w:rPr>
          <w:rStyle w:val="fontstyle01"/>
          <w:color w:val="auto"/>
          <w:lang w:val="en-US"/>
        </w:rPr>
        <w:instrText>analyses</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clinical</w:instrText>
      </w:r>
      <w:r w:rsidR="00765C06" w:rsidRPr="00015FE3">
        <w:rPr>
          <w:rStyle w:val="fontstyle01"/>
          <w:color w:val="auto"/>
        </w:rPr>
        <w:instrText xml:space="preserve"> </w:instrText>
      </w:r>
      <w:r w:rsidR="00765C06">
        <w:rPr>
          <w:rStyle w:val="fontstyle01"/>
          <w:color w:val="auto"/>
          <w:lang w:val="en-US"/>
        </w:rPr>
        <w:instrText>studies</w:instrText>
      </w:r>
      <w:r w:rsidR="00765C06" w:rsidRPr="00015FE3">
        <w:rPr>
          <w:rStyle w:val="fontstyle01"/>
          <w:color w:val="auto"/>
        </w:rPr>
        <w:instrText xml:space="preserve">, </w:instrText>
      </w:r>
      <w:r w:rsidR="00765C06">
        <w:rPr>
          <w:rStyle w:val="fontstyle01"/>
          <w:color w:val="auto"/>
          <w:lang w:val="en-US"/>
        </w:rPr>
        <w:instrText>shows</w:instrText>
      </w:r>
      <w:r w:rsidR="00765C06" w:rsidRPr="00015FE3">
        <w:rPr>
          <w:rStyle w:val="fontstyle01"/>
          <w:color w:val="auto"/>
        </w:rPr>
        <w:instrText xml:space="preserve"> </w:instrText>
      </w:r>
      <w:r w:rsidR="00765C06">
        <w:rPr>
          <w:rStyle w:val="fontstyle01"/>
          <w:color w:val="auto"/>
          <w:lang w:val="en-US"/>
        </w:rPr>
        <w:instrText>that</w:instrText>
      </w:r>
      <w:r w:rsidR="00765C06" w:rsidRPr="00015FE3">
        <w:rPr>
          <w:rStyle w:val="fontstyle01"/>
          <w:color w:val="auto"/>
        </w:rPr>
        <w:instrText xml:space="preserve"> </w:instrText>
      </w:r>
      <w:r w:rsidR="00765C06">
        <w:rPr>
          <w:rStyle w:val="fontstyle01"/>
          <w:color w:val="auto"/>
          <w:lang w:val="en-US"/>
        </w:rPr>
        <w:instrText>SIT</w:instrText>
      </w:r>
      <w:r w:rsidR="00765C06" w:rsidRPr="00015FE3">
        <w:rPr>
          <w:rStyle w:val="fontstyle01"/>
          <w:color w:val="auto"/>
        </w:rPr>
        <w:instrText xml:space="preserve"> </w:instrText>
      </w:r>
      <w:r w:rsidR="00765C06">
        <w:rPr>
          <w:rStyle w:val="fontstyle01"/>
          <w:color w:val="auto"/>
          <w:lang w:val="en-US"/>
        </w:rPr>
        <w:instrText>significantly</w:instrText>
      </w:r>
      <w:r w:rsidR="00765C06" w:rsidRPr="00015FE3">
        <w:rPr>
          <w:rStyle w:val="fontstyle01"/>
          <w:color w:val="auto"/>
        </w:rPr>
        <w:instrText xml:space="preserve"> </w:instrText>
      </w:r>
      <w:r w:rsidR="00765C06">
        <w:rPr>
          <w:rStyle w:val="fontstyle01"/>
          <w:color w:val="auto"/>
          <w:lang w:val="en-US"/>
        </w:rPr>
        <w:instrText>reduces</w:instrText>
      </w:r>
      <w:r w:rsidR="00765C06" w:rsidRPr="00015FE3">
        <w:rPr>
          <w:rStyle w:val="fontstyle01"/>
          <w:color w:val="auto"/>
        </w:rPr>
        <w:instrText xml:space="preserve"> </w:instrText>
      </w:r>
      <w:r w:rsidR="00765C06">
        <w:rPr>
          <w:rStyle w:val="fontstyle01"/>
          <w:color w:val="auto"/>
          <w:lang w:val="en-US"/>
        </w:rPr>
        <w:instrText>symptoms</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medication</w:instrText>
      </w:r>
      <w:r w:rsidR="00765C06" w:rsidRPr="00015FE3">
        <w:rPr>
          <w:rStyle w:val="fontstyle01"/>
          <w:color w:val="auto"/>
        </w:rPr>
        <w:instrText xml:space="preserve"> </w:instrText>
      </w:r>
      <w:r w:rsidR="00765C06">
        <w:rPr>
          <w:rStyle w:val="fontstyle01"/>
          <w:color w:val="auto"/>
          <w:lang w:val="en-US"/>
        </w:rPr>
        <w:instrText>requirements</w:instrText>
      </w:r>
      <w:r w:rsidR="00765C06" w:rsidRPr="00015FE3">
        <w:rPr>
          <w:rStyle w:val="fontstyle01"/>
          <w:color w:val="auto"/>
        </w:rPr>
        <w:instrText xml:space="preserve"> (</w:instrText>
      </w:r>
      <w:r w:rsidR="00765C06">
        <w:rPr>
          <w:rStyle w:val="fontstyle01"/>
          <w:color w:val="auto"/>
          <w:lang w:val="en-US"/>
        </w:rPr>
        <w:instrText>nasal</w:instrText>
      </w:r>
      <w:r w:rsidR="00765C06" w:rsidRPr="00015FE3">
        <w:rPr>
          <w:rStyle w:val="fontstyle01"/>
          <w:color w:val="auto"/>
        </w:rPr>
        <w:instrText xml:space="preserve"> </w:instrText>
      </w:r>
      <w:r w:rsidR="00765C06">
        <w:rPr>
          <w:rStyle w:val="fontstyle01"/>
          <w:color w:val="auto"/>
          <w:lang w:val="en-US"/>
        </w:rPr>
        <w:instrText>corticosteroids</w:instrText>
      </w:r>
      <w:r w:rsidR="00765C06" w:rsidRPr="00015FE3">
        <w:rPr>
          <w:rStyle w:val="fontstyle01"/>
          <w:color w:val="auto"/>
        </w:rPr>
        <w:instrText xml:space="preserve">, </w:instrText>
      </w:r>
      <w:r w:rsidR="00765C06">
        <w:rPr>
          <w:rStyle w:val="fontstyle01"/>
          <w:color w:val="auto"/>
          <w:lang w:val="en-US"/>
        </w:rPr>
        <w:instrText>H</w:instrText>
      </w:r>
      <w:r w:rsidR="00765C06" w:rsidRPr="00015FE3">
        <w:rPr>
          <w:rStyle w:val="fontstyle01"/>
          <w:color w:val="auto"/>
        </w:rPr>
        <w:instrText>1-</w:instrText>
      </w:r>
      <w:r w:rsidR="00765C06">
        <w:rPr>
          <w:rStyle w:val="fontstyle01"/>
          <w:color w:val="auto"/>
          <w:lang w:val="en-US"/>
        </w:rPr>
        <w:instrText>antihistamines</w:instrText>
      </w:r>
      <w:r w:rsidR="00765C06" w:rsidRPr="00015FE3">
        <w:rPr>
          <w:rStyle w:val="fontstyle01"/>
          <w:color w:val="auto"/>
        </w:rPr>
        <w:instrText xml:space="preserve">) </w:instrText>
      </w:r>
      <w:r w:rsidR="00765C06">
        <w:rPr>
          <w:rStyle w:val="fontstyle01"/>
          <w:color w:val="auto"/>
          <w:lang w:val="en-US"/>
        </w:rPr>
        <w:instrText>in</w:instrText>
      </w:r>
      <w:r w:rsidR="00765C06" w:rsidRPr="00015FE3">
        <w:rPr>
          <w:rStyle w:val="fontstyle01"/>
          <w:color w:val="auto"/>
        </w:rPr>
        <w:instrText xml:space="preserve"> </w:instrText>
      </w:r>
      <w:r w:rsidR="00765C06">
        <w:rPr>
          <w:rStyle w:val="fontstyle01"/>
          <w:color w:val="auto"/>
          <w:lang w:val="en-US"/>
        </w:rPr>
        <w:instrText>allergic</w:instrText>
      </w:r>
      <w:r w:rsidR="00765C06" w:rsidRPr="00015FE3">
        <w:rPr>
          <w:rStyle w:val="fontstyle01"/>
          <w:color w:val="auto"/>
        </w:rPr>
        <w:instrText xml:space="preserve"> </w:instrText>
      </w:r>
      <w:r w:rsidR="00765C06">
        <w:rPr>
          <w:rStyle w:val="fontstyle01"/>
          <w:color w:val="auto"/>
          <w:lang w:val="en-US"/>
        </w:rPr>
        <w:instrText>rhinitis</w:instrText>
      </w:r>
      <w:r w:rsidR="00765C06" w:rsidRPr="00015FE3">
        <w:rPr>
          <w:rStyle w:val="fontstyle01"/>
          <w:color w:val="auto"/>
        </w:rPr>
        <w:instrText xml:space="preserve">. </w:instrText>
      </w:r>
      <w:r w:rsidR="00765C06">
        <w:rPr>
          <w:rStyle w:val="fontstyle01"/>
          <w:color w:val="auto"/>
          <w:lang w:val="en-US"/>
        </w:rPr>
        <w:instrText>It</w:instrText>
      </w:r>
      <w:r w:rsidR="00765C06" w:rsidRPr="00015FE3">
        <w:rPr>
          <w:rStyle w:val="fontstyle01"/>
          <w:color w:val="auto"/>
        </w:rPr>
        <w:instrText xml:space="preserve"> </w:instrText>
      </w:r>
      <w:r w:rsidR="00765C06">
        <w:rPr>
          <w:rStyle w:val="fontstyle01"/>
          <w:color w:val="auto"/>
          <w:lang w:val="en-US"/>
        </w:rPr>
        <w:instrText>can</w:instrText>
      </w:r>
      <w:r w:rsidR="00765C06" w:rsidRPr="00015FE3">
        <w:rPr>
          <w:rStyle w:val="fontstyle01"/>
          <w:color w:val="auto"/>
        </w:rPr>
        <w:instrText xml:space="preserve"> </w:instrText>
      </w:r>
      <w:r w:rsidR="00765C06">
        <w:rPr>
          <w:rStyle w:val="fontstyle01"/>
          <w:color w:val="auto"/>
          <w:lang w:val="en-US"/>
        </w:rPr>
        <w:instrText>reduce</w:instrText>
      </w:r>
      <w:r w:rsidR="00765C06" w:rsidRPr="00015FE3">
        <w:rPr>
          <w:rStyle w:val="fontstyle01"/>
          <w:color w:val="auto"/>
        </w:rPr>
        <w:instrText xml:space="preserve"> </w:instrText>
      </w:r>
      <w:r w:rsidR="00765C06">
        <w:rPr>
          <w:rStyle w:val="fontstyle01"/>
          <w:color w:val="auto"/>
          <w:lang w:val="en-US"/>
        </w:rPr>
        <w:instrText>the</w:instrText>
      </w:r>
      <w:r w:rsidR="00765C06" w:rsidRPr="00015FE3">
        <w:rPr>
          <w:rStyle w:val="fontstyle01"/>
          <w:color w:val="auto"/>
        </w:rPr>
        <w:instrText xml:space="preserve"> </w:instrText>
      </w:r>
      <w:r w:rsidR="00765C06">
        <w:rPr>
          <w:rStyle w:val="fontstyle01"/>
          <w:color w:val="auto"/>
          <w:lang w:val="en-US"/>
        </w:rPr>
        <w:instrText>risk</w:instrText>
      </w:r>
      <w:r w:rsidR="00765C06" w:rsidRPr="00015FE3">
        <w:rPr>
          <w:rStyle w:val="fontstyle01"/>
          <w:color w:val="auto"/>
        </w:rPr>
        <w:instrText xml:space="preserve"> </w:instrText>
      </w:r>
      <w:r w:rsidR="00765C06">
        <w:rPr>
          <w:rStyle w:val="fontstyle01"/>
          <w:color w:val="auto"/>
          <w:lang w:val="en-US"/>
        </w:rPr>
        <w:instrText>of</w:instrText>
      </w:r>
      <w:r w:rsidR="00765C06" w:rsidRPr="00015FE3">
        <w:rPr>
          <w:rStyle w:val="fontstyle01"/>
          <w:color w:val="auto"/>
        </w:rPr>
        <w:instrText xml:space="preserve"> </w:instrText>
      </w:r>
      <w:r w:rsidR="00765C06">
        <w:rPr>
          <w:rStyle w:val="fontstyle01"/>
          <w:color w:val="auto"/>
          <w:lang w:val="en-US"/>
        </w:rPr>
        <w:instrText>progression</w:instrText>
      </w:r>
      <w:r w:rsidR="00765C06" w:rsidRPr="00015FE3">
        <w:rPr>
          <w:rStyle w:val="fontstyle01"/>
          <w:color w:val="auto"/>
        </w:rPr>
        <w:instrText xml:space="preserve"> </w:instrText>
      </w:r>
      <w:r w:rsidR="00765C06">
        <w:rPr>
          <w:rStyle w:val="fontstyle01"/>
          <w:color w:val="auto"/>
          <w:lang w:val="en-US"/>
        </w:rPr>
        <w:instrText>to</w:instrText>
      </w:r>
      <w:r w:rsidR="00765C06" w:rsidRPr="00015FE3">
        <w:rPr>
          <w:rStyle w:val="fontstyle01"/>
          <w:color w:val="auto"/>
        </w:rPr>
        <w:instrText xml:space="preserve"> </w:instrText>
      </w:r>
      <w:r w:rsidR="00765C06">
        <w:rPr>
          <w:rStyle w:val="fontstyle01"/>
          <w:color w:val="auto"/>
          <w:lang w:val="en-US"/>
        </w:rPr>
        <w:instrText>asthma</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if</w:instrText>
      </w:r>
      <w:r w:rsidR="00765C06" w:rsidRPr="00015FE3">
        <w:rPr>
          <w:rStyle w:val="fontstyle01"/>
          <w:color w:val="auto"/>
        </w:rPr>
        <w:instrText xml:space="preserve"> </w:instrText>
      </w:r>
      <w:r w:rsidR="00765C06">
        <w:rPr>
          <w:rStyle w:val="fontstyle01"/>
          <w:color w:val="auto"/>
          <w:lang w:val="en-US"/>
        </w:rPr>
        <w:instrText>initiated</w:instrText>
      </w:r>
      <w:r w:rsidR="00765C06" w:rsidRPr="00015FE3">
        <w:rPr>
          <w:rStyle w:val="fontstyle01"/>
          <w:color w:val="auto"/>
        </w:rPr>
        <w:instrText xml:space="preserve"> </w:instrText>
      </w:r>
      <w:r w:rsidR="00765C06">
        <w:rPr>
          <w:rStyle w:val="fontstyle01"/>
          <w:color w:val="auto"/>
          <w:lang w:val="en-US"/>
        </w:rPr>
        <w:instrText>early</w:instrText>
      </w:r>
      <w:r w:rsidR="00765C06" w:rsidRPr="00015FE3">
        <w:rPr>
          <w:rStyle w:val="fontstyle01"/>
          <w:color w:val="auto"/>
        </w:rPr>
        <w:instrText xml:space="preserve"> </w:instrText>
      </w:r>
      <w:r w:rsidR="00765C06">
        <w:rPr>
          <w:rStyle w:val="fontstyle01"/>
          <w:color w:val="auto"/>
          <w:lang w:val="en-US"/>
        </w:rPr>
        <w:instrText>enough</w:instrText>
      </w:r>
      <w:r w:rsidR="00765C06" w:rsidRPr="00015FE3">
        <w:rPr>
          <w:rStyle w:val="fontstyle01"/>
          <w:color w:val="auto"/>
        </w:rPr>
        <w:instrText xml:space="preserve">, </w:instrText>
      </w:r>
      <w:r w:rsidR="00765C06">
        <w:rPr>
          <w:rStyle w:val="fontstyle01"/>
          <w:color w:val="auto"/>
          <w:lang w:val="en-US"/>
        </w:rPr>
        <w:instrText>of</w:instrText>
      </w:r>
      <w:r w:rsidR="00765C06" w:rsidRPr="00015FE3">
        <w:rPr>
          <w:rStyle w:val="fontstyle01"/>
          <w:color w:val="auto"/>
        </w:rPr>
        <w:instrText xml:space="preserve"> </w:instrText>
      </w:r>
      <w:r w:rsidR="00765C06">
        <w:rPr>
          <w:rStyle w:val="fontstyle01"/>
          <w:color w:val="auto"/>
          <w:lang w:val="en-US"/>
        </w:rPr>
        <w:instrText>developing</w:instrText>
      </w:r>
      <w:r w:rsidR="00765C06" w:rsidRPr="00015FE3">
        <w:rPr>
          <w:rStyle w:val="fontstyle01"/>
          <w:color w:val="auto"/>
        </w:rPr>
        <w:instrText xml:space="preserve"> </w:instrText>
      </w:r>
      <w:r w:rsidR="00765C06">
        <w:rPr>
          <w:rStyle w:val="fontstyle01"/>
          <w:color w:val="auto"/>
          <w:lang w:val="en-US"/>
        </w:rPr>
        <w:instrText>new</w:instrText>
      </w:r>
      <w:r w:rsidR="00765C06" w:rsidRPr="00015FE3">
        <w:rPr>
          <w:rStyle w:val="fontstyle01"/>
          <w:color w:val="auto"/>
        </w:rPr>
        <w:instrText xml:space="preserve"> </w:instrText>
      </w:r>
      <w:r w:rsidR="00765C06">
        <w:rPr>
          <w:rStyle w:val="fontstyle01"/>
          <w:color w:val="auto"/>
          <w:lang w:val="en-US"/>
        </w:rPr>
        <w:instrText>sensitizations</w:instrText>
      </w:r>
      <w:r w:rsidR="00765C06" w:rsidRPr="00015FE3">
        <w:rPr>
          <w:rStyle w:val="fontstyle01"/>
          <w:color w:val="auto"/>
        </w:rPr>
        <w:instrText xml:space="preserve">. </w:instrText>
      </w:r>
      <w:r w:rsidR="00765C06">
        <w:rPr>
          <w:rStyle w:val="fontstyle01"/>
          <w:color w:val="auto"/>
          <w:lang w:val="en-US"/>
        </w:rPr>
        <w:instrText>Immunobiological</w:instrText>
      </w:r>
      <w:r w:rsidR="00765C06" w:rsidRPr="00015FE3">
        <w:rPr>
          <w:rStyle w:val="fontstyle01"/>
          <w:color w:val="auto"/>
        </w:rPr>
        <w:instrText xml:space="preserve"> </w:instrText>
      </w:r>
      <w:r w:rsidR="00765C06">
        <w:rPr>
          <w:rStyle w:val="fontstyle01"/>
          <w:color w:val="auto"/>
          <w:lang w:val="en-US"/>
        </w:rPr>
        <w:instrText>analysis</w:instrText>
      </w:r>
      <w:r w:rsidR="00765C06" w:rsidRPr="00015FE3">
        <w:rPr>
          <w:rStyle w:val="fontstyle01"/>
          <w:color w:val="auto"/>
        </w:rPr>
        <w:instrText xml:space="preserve"> </w:instrText>
      </w:r>
      <w:r w:rsidR="00765C06">
        <w:rPr>
          <w:rStyle w:val="fontstyle01"/>
          <w:color w:val="auto"/>
          <w:lang w:val="en-US"/>
        </w:rPr>
        <w:instrText>shows</w:instrText>
      </w:r>
      <w:r w:rsidR="00765C06" w:rsidRPr="00015FE3">
        <w:rPr>
          <w:rStyle w:val="fontstyle01"/>
          <w:color w:val="auto"/>
        </w:rPr>
        <w:instrText xml:space="preserve"> </w:instrText>
      </w:r>
      <w:r w:rsidR="00765C06">
        <w:rPr>
          <w:rStyle w:val="fontstyle01"/>
          <w:color w:val="auto"/>
          <w:lang w:val="en-US"/>
        </w:rPr>
        <w:instrText>an</w:instrText>
      </w:r>
      <w:r w:rsidR="00765C06" w:rsidRPr="00015FE3">
        <w:rPr>
          <w:rStyle w:val="fontstyle01"/>
          <w:color w:val="auto"/>
        </w:rPr>
        <w:instrText xml:space="preserve"> </w:instrText>
      </w:r>
      <w:r w:rsidR="00765C06">
        <w:rPr>
          <w:rStyle w:val="fontstyle01"/>
          <w:color w:val="auto"/>
          <w:lang w:val="en-US"/>
        </w:rPr>
        <w:instrText>altered</w:instrText>
      </w:r>
      <w:r w:rsidR="00765C06" w:rsidRPr="00015FE3">
        <w:rPr>
          <w:rStyle w:val="fontstyle01"/>
          <w:color w:val="auto"/>
        </w:rPr>
        <w:instrText xml:space="preserve"> </w:instrText>
      </w:r>
      <w:r w:rsidR="00765C06">
        <w:rPr>
          <w:rStyle w:val="fontstyle01"/>
          <w:color w:val="auto"/>
          <w:lang w:val="en-US"/>
        </w:rPr>
        <w:instrText>inflammatory</w:instrText>
      </w:r>
      <w:r w:rsidR="00765C06" w:rsidRPr="00015FE3">
        <w:rPr>
          <w:rStyle w:val="fontstyle01"/>
          <w:color w:val="auto"/>
        </w:rPr>
        <w:instrText xml:space="preserve"> </w:instrText>
      </w:r>
      <w:r w:rsidR="00765C06">
        <w:rPr>
          <w:rStyle w:val="fontstyle01"/>
          <w:color w:val="auto"/>
          <w:lang w:val="en-US"/>
        </w:rPr>
        <w:instrText>profile</w:instrText>
      </w:r>
      <w:r w:rsidR="00765C06" w:rsidRPr="00015FE3">
        <w:rPr>
          <w:rStyle w:val="fontstyle01"/>
          <w:color w:val="auto"/>
        </w:rPr>
        <w:instrText xml:space="preserve"> </w:instrText>
      </w:r>
      <w:r w:rsidR="00765C06">
        <w:rPr>
          <w:rStyle w:val="fontstyle01"/>
          <w:color w:val="auto"/>
          <w:lang w:val="en-US"/>
        </w:rPr>
        <w:instrText>following</w:instrText>
      </w:r>
      <w:r w:rsidR="00765C06" w:rsidRPr="00015FE3">
        <w:rPr>
          <w:rStyle w:val="fontstyle01"/>
          <w:color w:val="auto"/>
        </w:rPr>
        <w:instrText xml:space="preserve"> </w:instrText>
      </w:r>
      <w:r w:rsidR="00765C06">
        <w:rPr>
          <w:rStyle w:val="fontstyle01"/>
          <w:color w:val="auto"/>
          <w:lang w:val="en-US"/>
        </w:rPr>
        <w:instrText>SIT</w:instrText>
      </w:r>
      <w:r w:rsidR="00765C06" w:rsidRPr="00015FE3">
        <w:rPr>
          <w:rStyle w:val="fontstyle01"/>
          <w:color w:val="auto"/>
        </w:rPr>
        <w:instrText xml:space="preserve">, </w:instrText>
      </w:r>
      <w:r w:rsidR="00765C06">
        <w:rPr>
          <w:rStyle w:val="fontstyle01"/>
          <w:color w:val="auto"/>
          <w:lang w:val="en-US"/>
        </w:rPr>
        <w:instrText>with</w:instrText>
      </w:r>
      <w:r w:rsidR="00765C06" w:rsidRPr="00015FE3">
        <w:rPr>
          <w:rStyle w:val="fontstyle01"/>
          <w:color w:val="auto"/>
        </w:rPr>
        <w:instrText xml:space="preserve"> </w:instrText>
      </w:r>
      <w:r w:rsidR="00765C06">
        <w:rPr>
          <w:rStyle w:val="fontstyle01"/>
          <w:color w:val="auto"/>
          <w:lang w:val="en-US"/>
        </w:rPr>
        <w:instrText>immune</w:instrText>
      </w:r>
      <w:r w:rsidR="00765C06" w:rsidRPr="00015FE3">
        <w:rPr>
          <w:rStyle w:val="fontstyle01"/>
          <w:color w:val="auto"/>
        </w:rPr>
        <w:instrText xml:space="preserve"> </w:instrText>
      </w:r>
      <w:r w:rsidR="00765C06">
        <w:rPr>
          <w:rStyle w:val="fontstyle01"/>
          <w:color w:val="auto"/>
          <w:lang w:val="en-US"/>
        </w:rPr>
        <w:instrText>tolerance</w:instrText>
      </w:r>
      <w:r w:rsidR="00765C06" w:rsidRPr="00015FE3">
        <w:rPr>
          <w:rStyle w:val="fontstyle01"/>
          <w:color w:val="auto"/>
        </w:rPr>
        <w:instrText xml:space="preserve"> </w:instrText>
      </w:r>
      <w:r w:rsidR="00765C06">
        <w:rPr>
          <w:rStyle w:val="fontstyle01"/>
          <w:color w:val="auto"/>
          <w:lang w:val="en-US"/>
        </w:rPr>
        <w:instrText>involving</w:instrText>
      </w:r>
      <w:r w:rsidR="00765C06" w:rsidRPr="00015FE3">
        <w:rPr>
          <w:rStyle w:val="fontstyle01"/>
          <w:color w:val="auto"/>
        </w:rPr>
        <w:instrText xml:space="preserve"> </w:instrText>
      </w:r>
      <w:r w:rsidR="00765C06">
        <w:rPr>
          <w:rStyle w:val="fontstyle01"/>
          <w:color w:val="auto"/>
          <w:lang w:val="en-US"/>
        </w:rPr>
        <w:instrText>T</w:instrText>
      </w:r>
      <w:r w:rsidR="00765C06" w:rsidRPr="00015FE3">
        <w:rPr>
          <w:rStyle w:val="fontstyle01"/>
          <w:color w:val="auto"/>
        </w:rPr>
        <w:instrText>-</w:instrText>
      </w:r>
      <w:r w:rsidR="00765C06">
        <w:rPr>
          <w:rStyle w:val="fontstyle01"/>
          <w:color w:val="auto"/>
          <w:lang w:val="en-US"/>
        </w:rPr>
        <w:instrText>regulatory</w:instrText>
      </w:r>
      <w:r w:rsidR="00765C06" w:rsidRPr="00015FE3">
        <w:rPr>
          <w:rStyle w:val="fontstyle01"/>
          <w:color w:val="auto"/>
        </w:rPr>
        <w:instrText xml:space="preserve"> </w:instrText>
      </w:r>
      <w:r w:rsidR="00765C06">
        <w:rPr>
          <w:rStyle w:val="fontstyle01"/>
          <w:color w:val="auto"/>
          <w:lang w:val="en-US"/>
        </w:rPr>
        <w:instrText>lymphocyte</w:instrText>
      </w:r>
      <w:r w:rsidR="00765C06" w:rsidRPr="00015FE3">
        <w:rPr>
          <w:rStyle w:val="fontstyle01"/>
          <w:color w:val="auto"/>
        </w:rPr>
        <w:instrText xml:space="preserve"> </w:instrText>
      </w:r>
      <w:r w:rsidR="00765C06">
        <w:rPr>
          <w:rStyle w:val="fontstyle01"/>
          <w:color w:val="auto"/>
          <w:lang w:val="en-US"/>
        </w:rPr>
        <w:instrText>induction</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IgG</w:instrText>
      </w:r>
      <w:r w:rsidR="00765C06" w:rsidRPr="00015FE3">
        <w:rPr>
          <w:rStyle w:val="fontstyle01"/>
          <w:color w:val="auto"/>
        </w:rPr>
        <w:instrText xml:space="preserve"> </w:instrText>
      </w:r>
      <w:r w:rsidR="00765C06">
        <w:rPr>
          <w:rStyle w:val="fontstyle01"/>
          <w:color w:val="auto"/>
          <w:lang w:val="en-US"/>
        </w:rPr>
        <w:instrText>production</w:instrText>
      </w:r>
      <w:r w:rsidR="00765C06" w:rsidRPr="00015FE3">
        <w:rPr>
          <w:rStyle w:val="fontstyle01"/>
          <w:color w:val="auto"/>
        </w:rPr>
        <w:instrText xml:space="preserve">. </w:instrText>
      </w:r>
      <w:r w:rsidR="00765C06">
        <w:rPr>
          <w:rStyle w:val="fontstyle01"/>
          <w:color w:val="auto"/>
          <w:lang w:val="en-US"/>
        </w:rPr>
        <w:instrText>Sublingual</w:instrText>
      </w:r>
      <w:r w:rsidR="00765C06" w:rsidRPr="00015FE3">
        <w:rPr>
          <w:rStyle w:val="fontstyle01"/>
          <w:color w:val="auto"/>
        </w:rPr>
        <w:instrText xml:space="preserve"> </w:instrText>
      </w:r>
      <w:r w:rsidR="00765C06">
        <w:rPr>
          <w:rStyle w:val="fontstyle01"/>
          <w:color w:val="auto"/>
          <w:lang w:val="en-US"/>
        </w:rPr>
        <w:instrText>SIT</w:instrText>
      </w:r>
      <w:r w:rsidR="00765C06" w:rsidRPr="00015FE3">
        <w:rPr>
          <w:rStyle w:val="fontstyle01"/>
          <w:color w:val="auto"/>
        </w:rPr>
        <w:instrText xml:space="preserve"> </w:instrText>
      </w:r>
      <w:r w:rsidR="00765C06">
        <w:rPr>
          <w:rStyle w:val="fontstyle01"/>
          <w:color w:val="auto"/>
          <w:lang w:val="en-US"/>
        </w:rPr>
        <w:instrText>with</w:instrText>
      </w:r>
      <w:r w:rsidR="00765C06" w:rsidRPr="00015FE3">
        <w:rPr>
          <w:rStyle w:val="fontstyle01"/>
          <w:color w:val="auto"/>
        </w:rPr>
        <w:instrText xml:space="preserve"> </w:instrText>
      </w:r>
      <w:r w:rsidR="00765C06">
        <w:rPr>
          <w:rStyle w:val="fontstyle01"/>
          <w:color w:val="auto"/>
          <w:lang w:val="en-US"/>
        </w:rPr>
        <w:instrText>drops</w:instrText>
      </w:r>
      <w:r w:rsidR="00765C06" w:rsidRPr="00015FE3">
        <w:rPr>
          <w:rStyle w:val="fontstyle01"/>
          <w:color w:val="auto"/>
        </w:rPr>
        <w:instrText xml:space="preserve"> </w:instrText>
      </w:r>
      <w:r w:rsidR="00765C06">
        <w:rPr>
          <w:rStyle w:val="fontstyle01"/>
          <w:color w:val="auto"/>
          <w:lang w:val="en-US"/>
        </w:rPr>
        <w:instrText>is</w:instrText>
      </w:r>
      <w:r w:rsidR="00765C06" w:rsidRPr="00015FE3">
        <w:rPr>
          <w:rStyle w:val="fontstyle01"/>
          <w:color w:val="auto"/>
        </w:rPr>
        <w:instrText xml:space="preserve"> </w:instrText>
      </w:r>
      <w:r w:rsidR="00765C06">
        <w:rPr>
          <w:rStyle w:val="fontstyle01"/>
          <w:color w:val="auto"/>
          <w:lang w:val="en-US"/>
        </w:rPr>
        <w:instrText>as</w:instrText>
      </w:r>
      <w:r w:rsidR="00765C06" w:rsidRPr="00015FE3">
        <w:rPr>
          <w:rStyle w:val="fontstyle01"/>
          <w:color w:val="auto"/>
        </w:rPr>
        <w:instrText xml:space="preserve"> </w:instrText>
      </w:r>
      <w:r w:rsidR="00765C06">
        <w:rPr>
          <w:rStyle w:val="fontstyle01"/>
          <w:color w:val="auto"/>
          <w:lang w:val="en-US"/>
        </w:rPr>
        <w:instrText>effective</w:instrText>
      </w:r>
      <w:r w:rsidR="00765C06" w:rsidRPr="00015FE3">
        <w:rPr>
          <w:rStyle w:val="fontstyle01"/>
          <w:color w:val="auto"/>
        </w:rPr>
        <w:instrText xml:space="preserve"> </w:instrText>
      </w:r>
      <w:r w:rsidR="00765C06">
        <w:rPr>
          <w:rStyle w:val="fontstyle01"/>
          <w:color w:val="auto"/>
          <w:lang w:val="en-US"/>
        </w:rPr>
        <w:instrText>as</w:instrText>
      </w:r>
      <w:r w:rsidR="00765C06" w:rsidRPr="00015FE3">
        <w:rPr>
          <w:rStyle w:val="fontstyle01"/>
          <w:color w:val="auto"/>
        </w:rPr>
        <w:instrText xml:space="preserve"> </w:instrText>
      </w:r>
      <w:r w:rsidR="00765C06">
        <w:rPr>
          <w:rStyle w:val="fontstyle01"/>
          <w:color w:val="auto"/>
          <w:lang w:val="en-US"/>
        </w:rPr>
        <w:instrText>subcutaneous</w:instrText>
      </w:r>
      <w:r w:rsidR="00765C06" w:rsidRPr="00015FE3">
        <w:rPr>
          <w:rStyle w:val="fontstyle01"/>
          <w:color w:val="auto"/>
        </w:rPr>
        <w:instrText xml:space="preserve"> </w:instrText>
      </w:r>
      <w:r w:rsidR="00765C06">
        <w:rPr>
          <w:rStyle w:val="fontstyle01"/>
          <w:color w:val="auto"/>
          <w:lang w:val="en-US"/>
        </w:rPr>
        <w:instrText>SIT</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is</w:instrText>
      </w:r>
      <w:r w:rsidR="00765C06" w:rsidRPr="00015FE3">
        <w:rPr>
          <w:rStyle w:val="fontstyle01"/>
          <w:color w:val="auto"/>
        </w:rPr>
        <w:instrText xml:space="preserve"> </w:instrText>
      </w:r>
      <w:r w:rsidR="00765C06">
        <w:rPr>
          <w:rStyle w:val="fontstyle01"/>
          <w:color w:val="auto"/>
          <w:lang w:val="en-US"/>
        </w:rPr>
        <w:instrText>simpler</w:instrText>
      </w:r>
      <w:r w:rsidR="00765C06" w:rsidRPr="00015FE3">
        <w:rPr>
          <w:rStyle w:val="fontstyle01"/>
          <w:color w:val="auto"/>
        </w:rPr>
        <w:instrText xml:space="preserve"> </w:instrText>
      </w:r>
      <w:r w:rsidR="00765C06">
        <w:rPr>
          <w:rStyle w:val="fontstyle01"/>
          <w:color w:val="auto"/>
          <w:lang w:val="en-US"/>
        </w:rPr>
        <w:instrText>to</w:instrText>
      </w:r>
      <w:r w:rsidR="00765C06" w:rsidRPr="00015FE3">
        <w:rPr>
          <w:rStyle w:val="fontstyle01"/>
          <w:color w:val="auto"/>
        </w:rPr>
        <w:instrText xml:space="preserve"> </w:instrText>
      </w:r>
      <w:r w:rsidR="00765C06">
        <w:rPr>
          <w:rStyle w:val="fontstyle01"/>
          <w:color w:val="auto"/>
          <w:lang w:val="en-US"/>
        </w:rPr>
        <w:instrText>use</w:instrText>
      </w:r>
      <w:r w:rsidR="00765C06" w:rsidRPr="00015FE3">
        <w:rPr>
          <w:rStyle w:val="fontstyle01"/>
          <w:color w:val="auto"/>
        </w:rPr>
        <w:instrText xml:space="preserve">, </w:instrText>
      </w:r>
      <w:r w:rsidR="00765C06">
        <w:rPr>
          <w:rStyle w:val="fontstyle01"/>
          <w:color w:val="auto"/>
          <w:lang w:val="en-US"/>
        </w:rPr>
        <w:instrText>with</w:instrText>
      </w:r>
      <w:r w:rsidR="00765C06" w:rsidRPr="00015FE3">
        <w:rPr>
          <w:rStyle w:val="fontstyle01"/>
          <w:color w:val="auto"/>
        </w:rPr>
        <w:instrText xml:space="preserve"> </w:instrText>
      </w:r>
      <w:r w:rsidR="00765C06">
        <w:rPr>
          <w:rStyle w:val="fontstyle01"/>
          <w:color w:val="auto"/>
          <w:lang w:val="en-US"/>
        </w:rPr>
        <w:instrText>less</w:instrText>
      </w:r>
      <w:r w:rsidR="00765C06" w:rsidRPr="00015FE3">
        <w:rPr>
          <w:rStyle w:val="fontstyle01"/>
          <w:color w:val="auto"/>
        </w:rPr>
        <w:instrText xml:space="preserve"> </w:instrText>
      </w:r>
      <w:r w:rsidR="00765C06">
        <w:rPr>
          <w:rStyle w:val="fontstyle01"/>
          <w:color w:val="auto"/>
          <w:lang w:val="en-US"/>
        </w:rPr>
        <w:instrText>anaphylactic</w:instrText>
      </w:r>
      <w:r w:rsidR="00765C06" w:rsidRPr="00015FE3">
        <w:rPr>
          <w:rStyle w:val="fontstyle01"/>
          <w:color w:val="auto"/>
        </w:rPr>
        <w:instrText xml:space="preserve"> </w:instrText>
      </w:r>
      <w:r w:rsidR="00765C06">
        <w:rPr>
          <w:rStyle w:val="fontstyle01"/>
          <w:color w:val="auto"/>
          <w:lang w:val="en-US"/>
        </w:rPr>
        <w:instrText>risk</w:instrText>
      </w:r>
      <w:r w:rsidR="00765C06" w:rsidRPr="00015FE3">
        <w:rPr>
          <w:rStyle w:val="fontstyle01"/>
          <w:color w:val="auto"/>
        </w:rPr>
        <w:instrText xml:space="preserve">. </w:instrText>
      </w:r>
      <w:r w:rsidR="00765C06">
        <w:rPr>
          <w:rStyle w:val="fontstyle01"/>
          <w:color w:val="auto"/>
          <w:lang w:val="en-US"/>
        </w:rPr>
        <w:instrText>Standardization</w:instrText>
      </w:r>
      <w:r w:rsidR="00765C06" w:rsidRPr="00015FE3">
        <w:rPr>
          <w:rStyle w:val="fontstyle01"/>
          <w:color w:val="auto"/>
        </w:rPr>
        <w:instrText xml:space="preserve"> </w:instrText>
      </w:r>
      <w:r w:rsidR="00765C06">
        <w:rPr>
          <w:rStyle w:val="fontstyle01"/>
          <w:color w:val="auto"/>
          <w:lang w:val="en-US"/>
        </w:rPr>
        <w:instrText>of</w:instrText>
      </w:r>
      <w:r w:rsidR="00765C06" w:rsidRPr="00015FE3">
        <w:rPr>
          <w:rStyle w:val="fontstyle01"/>
          <w:color w:val="auto"/>
        </w:rPr>
        <w:instrText xml:space="preserve"> </w:instrText>
      </w:r>
      <w:r w:rsidR="00765C06">
        <w:rPr>
          <w:rStyle w:val="fontstyle01"/>
          <w:color w:val="auto"/>
          <w:lang w:val="en-US"/>
        </w:rPr>
        <w:instrText>trial</w:instrText>
      </w:r>
      <w:r w:rsidR="00765C06" w:rsidRPr="00015FE3">
        <w:rPr>
          <w:rStyle w:val="fontstyle01"/>
          <w:color w:val="auto"/>
        </w:rPr>
        <w:instrText xml:space="preserve"> </w:instrText>
      </w:r>
      <w:r w:rsidR="00765C06">
        <w:rPr>
          <w:rStyle w:val="fontstyle01"/>
          <w:color w:val="auto"/>
          <w:lang w:val="en-US"/>
        </w:rPr>
        <w:instrText>protocols</w:instrText>
      </w:r>
      <w:r w:rsidR="00765C06" w:rsidRPr="00015FE3">
        <w:rPr>
          <w:rStyle w:val="fontstyle01"/>
          <w:color w:val="auto"/>
        </w:rPr>
        <w:instrText xml:space="preserve"> </w:instrText>
      </w:r>
      <w:r w:rsidR="00765C06">
        <w:rPr>
          <w:rStyle w:val="fontstyle01"/>
          <w:color w:val="auto"/>
          <w:lang w:val="en-US"/>
        </w:rPr>
        <w:instrText>in</w:instrText>
      </w:r>
      <w:r w:rsidR="00765C06" w:rsidRPr="00015FE3">
        <w:rPr>
          <w:rStyle w:val="fontstyle01"/>
          <w:color w:val="auto"/>
        </w:rPr>
        <w:instrText xml:space="preserve"> </w:instrText>
      </w:r>
      <w:r w:rsidR="00765C06">
        <w:rPr>
          <w:rStyle w:val="fontstyle01"/>
          <w:color w:val="auto"/>
          <w:lang w:val="en-US"/>
        </w:rPr>
        <w:instrText>terms</w:instrText>
      </w:r>
      <w:r w:rsidR="00765C06" w:rsidRPr="00015FE3">
        <w:rPr>
          <w:rStyle w:val="fontstyle01"/>
          <w:color w:val="auto"/>
        </w:rPr>
        <w:instrText xml:space="preserve"> </w:instrText>
      </w:r>
      <w:r w:rsidR="00765C06">
        <w:rPr>
          <w:rStyle w:val="fontstyle01"/>
          <w:color w:val="auto"/>
          <w:lang w:val="en-US"/>
        </w:rPr>
        <w:instrText>of</w:instrText>
      </w:r>
      <w:r w:rsidR="00765C06" w:rsidRPr="00015FE3">
        <w:rPr>
          <w:rStyle w:val="fontstyle01"/>
          <w:color w:val="auto"/>
        </w:rPr>
        <w:instrText xml:space="preserve"> </w:instrText>
      </w:r>
      <w:r w:rsidR="00765C06">
        <w:rPr>
          <w:rStyle w:val="fontstyle01"/>
          <w:color w:val="auto"/>
          <w:lang w:val="en-US"/>
        </w:rPr>
        <w:instrText>treatment</w:instrText>
      </w:r>
      <w:r w:rsidR="00765C06" w:rsidRPr="00015FE3">
        <w:rPr>
          <w:rStyle w:val="fontstyle01"/>
          <w:color w:val="auto"/>
        </w:rPr>
        <w:instrText xml:space="preserve"> </w:instrText>
      </w:r>
      <w:r w:rsidR="00765C06">
        <w:rPr>
          <w:rStyle w:val="fontstyle01"/>
          <w:color w:val="auto"/>
          <w:lang w:val="en-US"/>
        </w:rPr>
        <w:instrText>response</w:instrText>
      </w:r>
      <w:r w:rsidR="00765C06" w:rsidRPr="00015FE3">
        <w:rPr>
          <w:rStyle w:val="fontstyle01"/>
          <w:color w:val="auto"/>
        </w:rPr>
        <w:instrText xml:space="preserve"> </w:instrText>
      </w:r>
      <w:r w:rsidR="00765C06">
        <w:rPr>
          <w:rStyle w:val="fontstyle01"/>
          <w:color w:val="auto"/>
          <w:lang w:val="en-US"/>
        </w:rPr>
        <w:instrText>assessment</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side</w:instrText>
      </w:r>
      <w:r w:rsidR="00765C06" w:rsidRPr="00015FE3">
        <w:rPr>
          <w:rStyle w:val="fontstyle01"/>
          <w:color w:val="auto"/>
        </w:rPr>
        <w:instrText xml:space="preserve"> </w:instrText>
      </w:r>
      <w:r w:rsidR="00765C06">
        <w:rPr>
          <w:rStyle w:val="fontstyle01"/>
          <w:color w:val="auto"/>
          <w:lang w:val="en-US"/>
        </w:rPr>
        <w:instrText>effect</w:instrText>
      </w:r>
      <w:r w:rsidR="00765C06" w:rsidRPr="00015FE3">
        <w:rPr>
          <w:rStyle w:val="fontstyle01"/>
          <w:color w:val="auto"/>
        </w:rPr>
        <w:instrText xml:space="preserve"> </w:instrText>
      </w:r>
      <w:r w:rsidR="00765C06">
        <w:rPr>
          <w:rStyle w:val="fontstyle01"/>
          <w:color w:val="auto"/>
          <w:lang w:val="en-US"/>
        </w:rPr>
        <w:instrText>grading</w:instrText>
      </w:r>
      <w:r w:rsidR="00765C06" w:rsidRPr="00015FE3">
        <w:rPr>
          <w:rStyle w:val="fontstyle01"/>
          <w:color w:val="auto"/>
        </w:rPr>
        <w:instrText xml:space="preserve"> </w:instrText>
      </w:r>
      <w:r w:rsidR="00765C06">
        <w:rPr>
          <w:rStyle w:val="fontstyle01"/>
          <w:color w:val="auto"/>
          <w:lang w:val="en-US"/>
        </w:rPr>
        <w:instrText>is</w:instrText>
      </w:r>
      <w:r w:rsidR="00765C06" w:rsidRPr="00015FE3">
        <w:rPr>
          <w:rStyle w:val="fontstyle01"/>
          <w:color w:val="auto"/>
        </w:rPr>
        <w:instrText xml:space="preserve"> </w:instrText>
      </w:r>
      <w:r w:rsidR="00765C06">
        <w:rPr>
          <w:rStyle w:val="fontstyle01"/>
          <w:color w:val="auto"/>
          <w:lang w:val="en-US"/>
        </w:rPr>
        <w:instrText>recommended</w:instrText>
      </w:r>
      <w:r w:rsidR="00765C06" w:rsidRPr="00015FE3">
        <w:rPr>
          <w:rStyle w:val="fontstyle01"/>
          <w:color w:val="auto"/>
        </w:rPr>
        <w:instrText xml:space="preserve"> </w:instrText>
      </w:r>
      <w:r w:rsidR="00765C06">
        <w:rPr>
          <w:rStyle w:val="fontstyle01"/>
          <w:color w:val="auto"/>
          <w:lang w:val="en-US"/>
        </w:rPr>
        <w:instrText>to</w:instrText>
      </w:r>
      <w:r w:rsidR="00765C06" w:rsidRPr="00015FE3">
        <w:rPr>
          <w:rStyle w:val="fontstyle01"/>
          <w:color w:val="auto"/>
        </w:rPr>
        <w:instrText xml:space="preserve"> </w:instrText>
      </w:r>
      <w:r w:rsidR="00765C06">
        <w:rPr>
          <w:rStyle w:val="fontstyle01"/>
          <w:color w:val="auto"/>
          <w:lang w:val="en-US"/>
        </w:rPr>
        <w:instrText>improve</w:instrText>
      </w:r>
      <w:r w:rsidR="00765C06" w:rsidRPr="00015FE3">
        <w:rPr>
          <w:rStyle w:val="fontstyle01"/>
          <w:color w:val="auto"/>
        </w:rPr>
        <w:instrText xml:space="preserve"> </w:instrText>
      </w:r>
      <w:r w:rsidR="00765C06">
        <w:rPr>
          <w:rStyle w:val="fontstyle01"/>
          <w:color w:val="auto"/>
          <w:lang w:val="en-US"/>
        </w:rPr>
        <w:instrText>comparative</w:instrText>
      </w:r>
      <w:r w:rsidR="00765C06" w:rsidRPr="00015FE3">
        <w:rPr>
          <w:rStyle w:val="fontstyle01"/>
          <w:color w:val="auto"/>
        </w:rPr>
        <w:instrText xml:space="preserve"> </w:instrText>
      </w:r>
      <w:r w:rsidR="00765C06">
        <w:rPr>
          <w:rStyle w:val="fontstyle01"/>
          <w:color w:val="auto"/>
          <w:lang w:val="en-US"/>
        </w:rPr>
        <w:instrText>studies</w:instrText>
      </w:r>
      <w:r w:rsidR="00765C06" w:rsidRPr="00015FE3">
        <w:rPr>
          <w:rStyle w:val="fontstyle01"/>
          <w:color w:val="auto"/>
        </w:rPr>
        <w:instrText xml:space="preserve">. </w:instrText>
      </w:r>
      <w:r w:rsidR="00765C06">
        <w:rPr>
          <w:rStyle w:val="fontstyle01"/>
          <w:color w:val="auto"/>
          <w:lang w:val="en-US"/>
        </w:rPr>
        <w:instrText>Sublingual</w:instrText>
      </w:r>
      <w:r w:rsidR="00765C06" w:rsidRPr="00015FE3">
        <w:rPr>
          <w:rStyle w:val="fontstyle01"/>
          <w:color w:val="auto"/>
        </w:rPr>
        <w:instrText xml:space="preserve"> </w:instrText>
      </w:r>
      <w:r w:rsidR="00765C06">
        <w:rPr>
          <w:rStyle w:val="fontstyle01"/>
          <w:color w:val="auto"/>
          <w:lang w:val="en-US"/>
        </w:rPr>
        <w:instrText>SIT</w:instrText>
      </w:r>
      <w:r w:rsidR="00765C06" w:rsidRPr="00015FE3">
        <w:rPr>
          <w:rStyle w:val="fontstyle01"/>
          <w:color w:val="auto"/>
        </w:rPr>
        <w:instrText xml:space="preserve"> </w:instrText>
      </w:r>
      <w:r w:rsidR="00765C06">
        <w:rPr>
          <w:rStyle w:val="fontstyle01"/>
          <w:color w:val="auto"/>
          <w:lang w:val="en-US"/>
        </w:rPr>
        <w:instrText>with</w:instrText>
      </w:r>
      <w:r w:rsidR="00765C06" w:rsidRPr="00015FE3">
        <w:rPr>
          <w:rStyle w:val="fontstyle01"/>
          <w:color w:val="auto"/>
        </w:rPr>
        <w:instrText xml:space="preserve"> </w:instrText>
      </w:r>
      <w:r w:rsidR="00765C06">
        <w:rPr>
          <w:rStyle w:val="fontstyle01"/>
          <w:color w:val="auto"/>
          <w:lang w:val="en-US"/>
        </w:rPr>
        <w:instrText>tablets</w:instrText>
      </w:r>
      <w:r w:rsidR="00765C06" w:rsidRPr="00015FE3">
        <w:rPr>
          <w:rStyle w:val="fontstyle01"/>
          <w:color w:val="auto"/>
        </w:rPr>
        <w:instrText xml:space="preserve"> </w:instrText>
      </w:r>
      <w:r w:rsidR="00765C06">
        <w:rPr>
          <w:rStyle w:val="fontstyle01"/>
          <w:color w:val="auto"/>
          <w:lang w:val="en-US"/>
        </w:rPr>
        <w:instrText>has</w:instrText>
      </w:r>
      <w:r w:rsidR="00765C06" w:rsidRPr="00015FE3">
        <w:rPr>
          <w:rStyle w:val="fontstyle01"/>
          <w:color w:val="auto"/>
        </w:rPr>
        <w:instrText xml:space="preserve"> </w:instrText>
      </w:r>
      <w:r w:rsidR="00765C06">
        <w:rPr>
          <w:rStyle w:val="fontstyle01"/>
          <w:color w:val="auto"/>
          <w:lang w:val="en-US"/>
        </w:rPr>
        <w:instrText>recently</w:instrText>
      </w:r>
      <w:r w:rsidR="00765C06" w:rsidRPr="00015FE3">
        <w:rPr>
          <w:rStyle w:val="fontstyle01"/>
          <w:color w:val="auto"/>
        </w:rPr>
        <w:instrText xml:space="preserve"> </w:instrText>
      </w:r>
      <w:r w:rsidR="00765C06">
        <w:rPr>
          <w:rStyle w:val="fontstyle01"/>
          <w:color w:val="auto"/>
          <w:lang w:val="en-US"/>
        </w:rPr>
        <w:instrText>been</w:instrText>
      </w:r>
      <w:r w:rsidR="00765C06" w:rsidRPr="00015FE3">
        <w:rPr>
          <w:rStyle w:val="fontstyle01"/>
          <w:color w:val="auto"/>
        </w:rPr>
        <w:instrText xml:space="preserve"> </w:instrText>
      </w:r>
      <w:r w:rsidR="00765C06">
        <w:rPr>
          <w:rStyle w:val="fontstyle01"/>
          <w:color w:val="auto"/>
          <w:lang w:val="en-US"/>
        </w:rPr>
        <w:instrText>introduced</w:instrText>
      </w:r>
      <w:r w:rsidR="00765C06" w:rsidRPr="00015FE3">
        <w:rPr>
          <w:rStyle w:val="fontstyle01"/>
          <w:color w:val="auto"/>
        </w:rPr>
        <w:instrText xml:space="preserve">, </w:instrText>
      </w:r>
      <w:r w:rsidR="00765C06">
        <w:rPr>
          <w:rStyle w:val="fontstyle01"/>
          <w:color w:val="auto"/>
          <w:lang w:val="en-US"/>
        </w:rPr>
        <w:instrText>providing</w:instrText>
      </w:r>
      <w:r w:rsidR="00765C06" w:rsidRPr="00015FE3">
        <w:rPr>
          <w:rStyle w:val="fontstyle01"/>
          <w:color w:val="auto"/>
        </w:rPr>
        <w:instrText xml:space="preserve"> </w:instrText>
      </w:r>
      <w:r w:rsidR="00765C06">
        <w:rPr>
          <w:rStyle w:val="fontstyle01"/>
          <w:color w:val="auto"/>
          <w:lang w:val="en-US"/>
        </w:rPr>
        <w:instrText>a</w:instrText>
      </w:r>
      <w:r w:rsidR="00765C06" w:rsidRPr="00015FE3">
        <w:rPr>
          <w:rStyle w:val="fontstyle01"/>
          <w:color w:val="auto"/>
        </w:rPr>
        <w:instrText xml:space="preserve"> </w:instrText>
      </w:r>
      <w:r w:rsidR="00765C06">
        <w:rPr>
          <w:rStyle w:val="fontstyle01"/>
          <w:color w:val="auto"/>
          <w:lang w:val="en-US"/>
        </w:rPr>
        <w:instrText>good</w:instrText>
      </w:r>
      <w:r w:rsidR="00765C06" w:rsidRPr="00015FE3">
        <w:rPr>
          <w:rStyle w:val="fontstyle01"/>
          <w:color w:val="auto"/>
        </w:rPr>
        <w:instrText xml:space="preserve"> </w:instrText>
      </w:r>
      <w:r w:rsidR="00765C06">
        <w:rPr>
          <w:rStyle w:val="fontstyle01"/>
          <w:color w:val="auto"/>
          <w:lang w:val="en-US"/>
        </w:rPr>
        <w:instrText>opportunity</w:instrText>
      </w:r>
      <w:r w:rsidR="00765C06" w:rsidRPr="00015FE3">
        <w:rPr>
          <w:rStyle w:val="fontstyle01"/>
          <w:color w:val="auto"/>
        </w:rPr>
        <w:instrText xml:space="preserve"> </w:instrText>
      </w:r>
      <w:r w:rsidR="00765C06">
        <w:rPr>
          <w:rStyle w:val="fontstyle01"/>
          <w:color w:val="auto"/>
          <w:lang w:val="en-US"/>
        </w:rPr>
        <w:instrText>for</w:instrText>
      </w:r>
      <w:r w:rsidR="00765C06" w:rsidRPr="00015FE3">
        <w:rPr>
          <w:rStyle w:val="fontstyle01"/>
          <w:color w:val="auto"/>
        </w:rPr>
        <w:instrText xml:space="preserve"> </w:instrText>
      </w:r>
      <w:r w:rsidR="00765C06">
        <w:rPr>
          <w:rStyle w:val="fontstyle01"/>
          <w:color w:val="auto"/>
          <w:lang w:val="en-US"/>
        </w:rPr>
        <w:instrText>ENT</w:instrText>
      </w:r>
      <w:r w:rsidR="00765C06" w:rsidRPr="00015FE3">
        <w:rPr>
          <w:rStyle w:val="fontstyle01"/>
          <w:color w:val="auto"/>
        </w:rPr>
        <w:instrText xml:space="preserve"> </w:instrText>
      </w:r>
      <w:r w:rsidR="00765C06">
        <w:rPr>
          <w:rStyle w:val="fontstyle01"/>
          <w:color w:val="auto"/>
          <w:lang w:val="en-US"/>
        </w:rPr>
        <w:instrText>practitioners to adopt the SIT approach in rhinitis triggered by allergy to pollens and, in the near future, to house dust mites.","author":[{"dropping-particle":"","family":"Mortuaire","given":"G.","non-dropping-particle":"","parse-names":false,"suffix":""},{"dropping-particle":"","family":"Michel</w:instrText>
      </w:r>
      <w:r w:rsidR="00765C06" w:rsidRPr="00015FE3">
        <w:rPr>
          <w:rStyle w:val="fontstyle01"/>
          <w:color w:val="auto"/>
        </w:rPr>
        <w:instrText>","</w:instrText>
      </w:r>
      <w:r w:rsidR="00765C06">
        <w:rPr>
          <w:rStyle w:val="fontstyle01"/>
          <w:color w:val="auto"/>
          <w:lang w:val="en-US"/>
        </w:rPr>
        <w:instrText>given</w:instrText>
      </w:r>
      <w:r w:rsidR="00765C06" w:rsidRPr="00015FE3">
        <w:rPr>
          <w:rStyle w:val="fontstyle01"/>
          <w:color w:val="auto"/>
        </w:rPr>
        <w:instrText>":"</w:instrText>
      </w:r>
      <w:r w:rsidR="00765C06">
        <w:rPr>
          <w:rStyle w:val="fontstyle01"/>
          <w:color w:val="auto"/>
          <w:lang w:val="en-US"/>
        </w:rPr>
        <w:instrText>J</w:instrText>
      </w:r>
      <w:r w:rsidR="00765C06" w:rsidRPr="00015FE3">
        <w:rPr>
          <w:rStyle w:val="fontstyle01"/>
          <w:color w:val="auto"/>
        </w:rPr>
        <w:instrText>.","</w:instrText>
      </w:r>
      <w:r w:rsidR="00765C06">
        <w:rPr>
          <w:rStyle w:val="fontstyle01"/>
          <w:color w:val="auto"/>
          <w:lang w:val="en-US"/>
        </w:rPr>
        <w:instrText>non</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parse</w:instrText>
      </w:r>
      <w:r w:rsidR="00765C06" w:rsidRPr="00015FE3">
        <w:rPr>
          <w:rStyle w:val="fontstyle01"/>
          <w:color w:val="auto"/>
        </w:rPr>
        <w:instrText>-</w:instrText>
      </w:r>
      <w:r w:rsidR="00765C06">
        <w:rPr>
          <w:rStyle w:val="fontstyle01"/>
          <w:color w:val="auto"/>
          <w:lang w:val="en-US"/>
        </w:rPr>
        <w:instrText>names</w:instrText>
      </w:r>
      <w:r w:rsidR="00765C06" w:rsidRPr="00015FE3">
        <w:rPr>
          <w:rStyle w:val="fontstyle01"/>
          <w:color w:val="auto"/>
        </w:rPr>
        <w:instrText>":</w:instrText>
      </w:r>
      <w:r w:rsidR="00765C06">
        <w:rPr>
          <w:rStyle w:val="fontstyle01"/>
          <w:color w:val="auto"/>
          <w:lang w:val="en-US"/>
        </w:rPr>
        <w:instrText>false</w:instrText>
      </w:r>
      <w:r w:rsidR="00765C06" w:rsidRPr="00015FE3">
        <w:rPr>
          <w:rStyle w:val="fontstyle01"/>
          <w:color w:val="auto"/>
        </w:rPr>
        <w:instrText>,"</w:instrText>
      </w:r>
      <w:r w:rsidR="00765C06">
        <w:rPr>
          <w:rStyle w:val="fontstyle01"/>
          <w:color w:val="auto"/>
          <w:lang w:val="en-US"/>
        </w:rPr>
        <w:instrText>suffix</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family</w:instrText>
      </w:r>
      <w:r w:rsidR="00765C06" w:rsidRPr="00015FE3">
        <w:rPr>
          <w:rStyle w:val="fontstyle01"/>
          <w:color w:val="auto"/>
        </w:rPr>
        <w:instrText>":"</w:instrText>
      </w:r>
      <w:r w:rsidR="00765C06">
        <w:rPr>
          <w:rStyle w:val="fontstyle01"/>
          <w:color w:val="auto"/>
          <w:lang w:val="en-US"/>
        </w:rPr>
        <w:instrText>Papon</w:instrText>
      </w:r>
      <w:r w:rsidR="00765C06" w:rsidRPr="00015FE3">
        <w:rPr>
          <w:rStyle w:val="fontstyle01"/>
          <w:color w:val="auto"/>
        </w:rPr>
        <w:instrText>","</w:instrText>
      </w:r>
      <w:r w:rsidR="00765C06">
        <w:rPr>
          <w:rStyle w:val="fontstyle01"/>
          <w:color w:val="auto"/>
          <w:lang w:val="en-US"/>
        </w:rPr>
        <w:instrText>given</w:instrText>
      </w:r>
      <w:r w:rsidR="00765C06" w:rsidRPr="00015FE3">
        <w:rPr>
          <w:rStyle w:val="fontstyle01"/>
          <w:color w:val="auto"/>
        </w:rPr>
        <w:instrText>":"</w:instrText>
      </w:r>
      <w:r w:rsidR="00765C06">
        <w:rPr>
          <w:rStyle w:val="fontstyle01"/>
          <w:color w:val="auto"/>
          <w:lang w:val="en-US"/>
        </w:rPr>
        <w:instrText>J</w:instrText>
      </w:r>
      <w:r w:rsidR="00765C06" w:rsidRPr="00015FE3">
        <w:rPr>
          <w:rStyle w:val="fontstyle01"/>
          <w:color w:val="auto"/>
        </w:rPr>
        <w:instrText xml:space="preserve">. </w:instrText>
      </w:r>
      <w:r w:rsidR="00765C06">
        <w:rPr>
          <w:rStyle w:val="fontstyle01"/>
          <w:color w:val="auto"/>
          <w:lang w:val="en-US"/>
        </w:rPr>
        <w:instrText>F</w:instrText>
      </w:r>
      <w:r w:rsidR="00765C06" w:rsidRPr="00015FE3">
        <w:rPr>
          <w:rStyle w:val="fontstyle01"/>
          <w:color w:val="auto"/>
        </w:rPr>
        <w:instrText>.","</w:instrText>
      </w:r>
      <w:r w:rsidR="00765C06">
        <w:rPr>
          <w:rStyle w:val="fontstyle01"/>
          <w:color w:val="auto"/>
          <w:lang w:val="en-US"/>
        </w:rPr>
        <w:instrText>non</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parse</w:instrText>
      </w:r>
      <w:r w:rsidR="00765C06" w:rsidRPr="00015FE3">
        <w:rPr>
          <w:rStyle w:val="fontstyle01"/>
          <w:color w:val="auto"/>
        </w:rPr>
        <w:instrText>-</w:instrText>
      </w:r>
      <w:r w:rsidR="00765C06">
        <w:rPr>
          <w:rStyle w:val="fontstyle01"/>
          <w:color w:val="auto"/>
          <w:lang w:val="en-US"/>
        </w:rPr>
        <w:instrText>names</w:instrText>
      </w:r>
      <w:r w:rsidR="00765C06" w:rsidRPr="00015FE3">
        <w:rPr>
          <w:rStyle w:val="fontstyle01"/>
          <w:color w:val="auto"/>
        </w:rPr>
        <w:instrText>":</w:instrText>
      </w:r>
      <w:r w:rsidR="00765C06">
        <w:rPr>
          <w:rStyle w:val="fontstyle01"/>
          <w:color w:val="auto"/>
          <w:lang w:val="en-US"/>
        </w:rPr>
        <w:instrText>false</w:instrText>
      </w:r>
      <w:r w:rsidR="00765C06" w:rsidRPr="00015FE3">
        <w:rPr>
          <w:rStyle w:val="fontstyle01"/>
          <w:color w:val="auto"/>
        </w:rPr>
        <w:instrText>,"</w:instrText>
      </w:r>
      <w:r w:rsidR="00765C06">
        <w:rPr>
          <w:rStyle w:val="fontstyle01"/>
          <w:color w:val="auto"/>
          <w:lang w:val="en-US"/>
        </w:rPr>
        <w:instrText>suffix</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family</w:instrText>
      </w:r>
      <w:r w:rsidR="00765C06" w:rsidRPr="00015FE3">
        <w:rPr>
          <w:rStyle w:val="fontstyle01"/>
          <w:color w:val="auto"/>
        </w:rPr>
        <w:instrText>":"</w:instrText>
      </w:r>
      <w:r w:rsidR="00765C06">
        <w:rPr>
          <w:rStyle w:val="fontstyle01"/>
          <w:color w:val="auto"/>
          <w:lang w:val="en-US"/>
        </w:rPr>
        <w:instrText>Malard</w:instrText>
      </w:r>
      <w:r w:rsidR="00765C06" w:rsidRPr="00015FE3">
        <w:rPr>
          <w:rStyle w:val="fontstyle01"/>
          <w:color w:val="auto"/>
        </w:rPr>
        <w:instrText>","</w:instrText>
      </w:r>
      <w:r w:rsidR="00765C06">
        <w:rPr>
          <w:rStyle w:val="fontstyle01"/>
          <w:color w:val="auto"/>
          <w:lang w:val="en-US"/>
        </w:rPr>
        <w:instrText>given</w:instrText>
      </w:r>
      <w:r w:rsidR="00765C06" w:rsidRPr="00015FE3">
        <w:rPr>
          <w:rStyle w:val="fontstyle01"/>
          <w:color w:val="auto"/>
        </w:rPr>
        <w:instrText>":"</w:instrText>
      </w:r>
      <w:r w:rsidR="00765C06">
        <w:rPr>
          <w:rStyle w:val="fontstyle01"/>
          <w:color w:val="auto"/>
          <w:lang w:val="en-US"/>
        </w:rPr>
        <w:instrText>O</w:instrText>
      </w:r>
      <w:r w:rsidR="00765C06" w:rsidRPr="00015FE3">
        <w:rPr>
          <w:rStyle w:val="fontstyle01"/>
          <w:color w:val="auto"/>
        </w:rPr>
        <w:instrText>.","</w:instrText>
      </w:r>
      <w:r w:rsidR="00765C06">
        <w:rPr>
          <w:rStyle w:val="fontstyle01"/>
          <w:color w:val="auto"/>
          <w:lang w:val="en-US"/>
        </w:rPr>
        <w:instrText>non</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parse</w:instrText>
      </w:r>
      <w:r w:rsidR="00765C06" w:rsidRPr="00015FE3">
        <w:rPr>
          <w:rStyle w:val="fontstyle01"/>
          <w:color w:val="auto"/>
        </w:rPr>
        <w:instrText>-</w:instrText>
      </w:r>
      <w:r w:rsidR="00765C06">
        <w:rPr>
          <w:rStyle w:val="fontstyle01"/>
          <w:color w:val="auto"/>
          <w:lang w:val="en-US"/>
        </w:rPr>
        <w:instrText>names</w:instrText>
      </w:r>
      <w:r w:rsidR="00765C06" w:rsidRPr="00015FE3">
        <w:rPr>
          <w:rStyle w:val="fontstyle01"/>
          <w:color w:val="auto"/>
        </w:rPr>
        <w:instrText>":</w:instrText>
      </w:r>
      <w:r w:rsidR="00765C06">
        <w:rPr>
          <w:rStyle w:val="fontstyle01"/>
          <w:color w:val="auto"/>
          <w:lang w:val="en-US"/>
        </w:rPr>
        <w:instrText>false</w:instrText>
      </w:r>
      <w:r w:rsidR="00765C06" w:rsidRPr="00015FE3">
        <w:rPr>
          <w:rStyle w:val="fontstyle01"/>
          <w:color w:val="auto"/>
        </w:rPr>
        <w:instrText>,"</w:instrText>
      </w:r>
      <w:r w:rsidR="00765C06">
        <w:rPr>
          <w:rStyle w:val="fontstyle01"/>
          <w:color w:val="auto"/>
          <w:lang w:val="en-US"/>
        </w:rPr>
        <w:instrText>suffix</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family</w:instrText>
      </w:r>
      <w:r w:rsidR="00765C06" w:rsidRPr="00015FE3">
        <w:rPr>
          <w:rStyle w:val="fontstyle01"/>
          <w:color w:val="auto"/>
        </w:rPr>
        <w:instrText>":"</w:instrText>
      </w:r>
      <w:r w:rsidR="00765C06">
        <w:rPr>
          <w:rStyle w:val="fontstyle01"/>
          <w:color w:val="auto"/>
          <w:lang w:val="en-US"/>
        </w:rPr>
        <w:instrText>Ebbo</w:instrText>
      </w:r>
      <w:r w:rsidR="00765C06" w:rsidRPr="00015FE3">
        <w:rPr>
          <w:rStyle w:val="fontstyle01"/>
          <w:color w:val="auto"/>
        </w:rPr>
        <w:instrText>","</w:instrText>
      </w:r>
      <w:r w:rsidR="00765C06">
        <w:rPr>
          <w:rStyle w:val="fontstyle01"/>
          <w:color w:val="auto"/>
          <w:lang w:val="en-US"/>
        </w:rPr>
        <w:instrText>given</w:instrText>
      </w:r>
      <w:r w:rsidR="00765C06" w:rsidRPr="00015FE3">
        <w:rPr>
          <w:rStyle w:val="fontstyle01"/>
          <w:color w:val="auto"/>
        </w:rPr>
        <w:instrText>":"</w:instrText>
      </w:r>
      <w:r w:rsidR="00765C06">
        <w:rPr>
          <w:rStyle w:val="fontstyle01"/>
          <w:color w:val="auto"/>
          <w:lang w:val="en-US"/>
        </w:rPr>
        <w:instrText>D</w:instrText>
      </w:r>
      <w:r w:rsidR="00765C06" w:rsidRPr="00015FE3">
        <w:rPr>
          <w:rStyle w:val="fontstyle01"/>
          <w:color w:val="auto"/>
        </w:rPr>
        <w:instrText>.","</w:instrText>
      </w:r>
      <w:r w:rsidR="00765C06">
        <w:rPr>
          <w:rStyle w:val="fontstyle01"/>
          <w:color w:val="auto"/>
          <w:lang w:val="en-US"/>
        </w:rPr>
        <w:instrText>non</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parse</w:instrText>
      </w:r>
      <w:r w:rsidR="00765C06" w:rsidRPr="00015FE3">
        <w:rPr>
          <w:rStyle w:val="fontstyle01"/>
          <w:color w:val="auto"/>
        </w:rPr>
        <w:instrText>-</w:instrText>
      </w:r>
      <w:r w:rsidR="00765C06">
        <w:rPr>
          <w:rStyle w:val="fontstyle01"/>
          <w:color w:val="auto"/>
          <w:lang w:val="en-US"/>
        </w:rPr>
        <w:instrText>names</w:instrText>
      </w:r>
      <w:r w:rsidR="00765C06" w:rsidRPr="00015FE3">
        <w:rPr>
          <w:rStyle w:val="fontstyle01"/>
          <w:color w:val="auto"/>
        </w:rPr>
        <w:instrText>":</w:instrText>
      </w:r>
      <w:r w:rsidR="00765C06">
        <w:rPr>
          <w:rStyle w:val="fontstyle01"/>
          <w:color w:val="auto"/>
          <w:lang w:val="en-US"/>
        </w:rPr>
        <w:instrText>false</w:instrText>
      </w:r>
      <w:r w:rsidR="00765C06" w:rsidRPr="00015FE3">
        <w:rPr>
          <w:rStyle w:val="fontstyle01"/>
          <w:color w:val="auto"/>
        </w:rPr>
        <w:instrText>,"</w:instrText>
      </w:r>
      <w:r w:rsidR="00765C06">
        <w:rPr>
          <w:rStyle w:val="fontstyle01"/>
          <w:color w:val="auto"/>
          <w:lang w:val="en-US"/>
        </w:rPr>
        <w:instrText>suffix</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family</w:instrText>
      </w:r>
      <w:r w:rsidR="00765C06" w:rsidRPr="00015FE3">
        <w:rPr>
          <w:rStyle w:val="fontstyle01"/>
          <w:color w:val="auto"/>
        </w:rPr>
        <w:instrText>":"</w:instrText>
      </w:r>
      <w:r w:rsidR="00765C06">
        <w:rPr>
          <w:rStyle w:val="fontstyle01"/>
          <w:color w:val="auto"/>
          <w:lang w:val="en-US"/>
        </w:rPr>
        <w:instrText>Crampette</w:instrText>
      </w:r>
      <w:r w:rsidR="00765C06" w:rsidRPr="00015FE3">
        <w:rPr>
          <w:rStyle w:val="fontstyle01"/>
          <w:color w:val="auto"/>
        </w:rPr>
        <w:instrText>","</w:instrText>
      </w:r>
      <w:r w:rsidR="00765C06">
        <w:rPr>
          <w:rStyle w:val="fontstyle01"/>
          <w:color w:val="auto"/>
          <w:lang w:val="en-US"/>
        </w:rPr>
        <w:instrText>given</w:instrText>
      </w:r>
      <w:r w:rsidR="00765C06" w:rsidRPr="00015FE3">
        <w:rPr>
          <w:rStyle w:val="fontstyle01"/>
          <w:color w:val="auto"/>
        </w:rPr>
        <w:instrText>":"</w:instrText>
      </w:r>
      <w:r w:rsidR="00765C06">
        <w:rPr>
          <w:rStyle w:val="fontstyle01"/>
          <w:color w:val="auto"/>
          <w:lang w:val="en-US"/>
        </w:rPr>
        <w:instrText>L</w:instrText>
      </w:r>
      <w:r w:rsidR="00765C06" w:rsidRPr="00015FE3">
        <w:rPr>
          <w:rStyle w:val="fontstyle01"/>
          <w:color w:val="auto"/>
        </w:rPr>
        <w:instrText>.","</w:instrText>
      </w:r>
      <w:r w:rsidR="00765C06">
        <w:rPr>
          <w:rStyle w:val="fontstyle01"/>
          <w:color w:val="auto"/>
          <w:lang w:val="en-US"/>
        </w:rPr>
        <w:instrText>non</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parse</w:instrText>
      </w:r>
      <w:r w:rsidR="00765C06" w:rsidRPr="00015FE3">
        <w:rPr>
          <w:rStyle w:val="fontstyle01"/>
          <w:color w:val="auto"/>
        </w:rPr>
        <w:instrText>-</w:instrText>
      </w:r>
      <w:r w:rsidR="00765C06">
        <w:rPr>
          <w:rStyle w:val="fontstyle01"/>
          <w:color w:val="auto"/>
          <w:lang w:val="en-US"/>
        </w:rPr>
        <w:instrText>names</w:instrText>
      </w:r>
      <w:r w:rsidR="00765C06" w:rsidRPr="00015FE3">
        <w:rPr>
          <w:rStyle w:val="fontstyle01"/>
          <w:color w:val="auto"/>
        </w:rPr>
        <w:instrText>":</w:instrText>
      </w:r>
      <w:r w:rsidR="00765C06">
        <w:rPr>
          <w:rStyle w:val="fontstyle01"/>
          <w:color w:val="auto"/>
          <w:lang w:val="en-US"/>
        </w:rPr>
        <w:instrText>false</w:instrText>
      </w:r>
      <w:r w:rsidR="00765C06" w:rsidRPr="00015FE3">
        <w:rPr>
          <w:rStyle w:val="fontstyle01"/>
          <w:color w:val="auto"/>
        </w:rPr>
        <w:instrText>,"</w:instrText>
      </w:r>
      <w:r w:rsidR="00765C06">
        <w:rPr>
          <w:rStyle w:val="fontstyle01"/>
          <w:color w:val="auto"/>
          <w:lang w:val="en-US"/>
        </w:rPr>
        <w:instrText>suffix</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family</w:instrText>
      </w:r>
      <w:r w:rsidR="00765C06" w:rsidRPr="00015FE3">
        <w:rPr>
          <w:rStyle w:val="fontstyle01"/>
          <w:color w:val="auto"/>
        </w:rPr>
        <w:instrText>":"</w:instrText>
      </w:r>
      <w:r w:rsidR="00765C06">
        <w:rPr>
          <w:rStyle w:val="fontstyle01"/>
          <w:color w:val="auto"/>
          <w:lang w:val="en-US"/>
        </w:rPr>
        <w:instrText>Jankowski</w:instrText>
      </w:r>
      <w:r w:rsidR="00765C06" w:rsidRPr="00015FE3">
        <w:rPr>
          <w:rStyle w:val="fontstyle01"/>
          <w:color w:val="auto"/>
        </w:rPr>
        <w:instrText>","</w:instrText>
      </w:r>
      <w:r w:rsidR="00765C06">
        <w:rPr>
          <w:rStyle w:val="fontstyle01"/>
          <w:color w:val="auto"/>
          <w:lang w:val="en-US"/>
        </w:rPr>
        <w:instrText>given</w:instrText>
      </w:r>
      <w:r w:rsidR="00765C06" w:rsidRPr="00015FE3">
        <w:rPr>
          <w:rStyle w:val="fontstyle01"/>
          <w:color w:val="auto"/>
        </w:rPr>
        <w:instrText>":"</w:instrText>
      </w:r>
      <w:r w:rsidR="00765C06">
        <w:rPr>
          <w:rStyle w:val="fontstyle01"/>
          <w:color w:val="auto"/>
          <w:lang w:val="en-US"/>
        </w:rPr>
        <w:instrText>R</w:instrText>
      </w:r>
      <w:r w:rsidR="00765C06" w:rsidRPr="00015FE3">
        <w:rPr>
          <w:rStyle w:val="fontstyle01"/>
          <w:color w:val="auto"/>
        </w:rPr>
        <w:instrText>.","</w:instrText>
      </w:r>
      <w:r w:rsidR="00765C06">
        <w:rPr>
          <w:rStyle w:val="fontstyle01"/>
          <w:color w:val="auto"/>
          <w:lang w:val="en-US"/>
        </w:rPr>
        <w:instrText>non</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parse</w:instrText>
      </w:r>
      <w:r w:rsidR="00765C06" w:rsidRPr="00015FE3">
        <w:rPr>
          <w:rStyle w:val="fontstyle01"/>
          <w:color w:val="auto"/>
        </w:rPr>
        <w:instrText>-</w:instrText>
      </w:r>
      <w:r w:rsidR="00765C06">
        <w:rPr>
          <w:rStyle w:val="fontstyle01"/>
          <w:color w:val="auto"/>
          <w:lang w:val="en-US"/>
        </w:rPr>
        <w:instrText>names</w:instrText>
      </w:r>
      <w:r w:rsidR="00765C06" w:rsidRPr="00015FE3">
        <w:rPr>
          <w:rStyle w:val="fontstyle01"/>
          <w:color w:val="auto"/>
        </w:rPr>
        <w:instrText>":</w:instrText>
      </w:r>
      <w:r w:rsidR="00765C06">
        <w:rPr>
          <w:rStyle w:val="fontstyle01"/>
          <w:color w:val="auto"/>
          <w:lang w:val="en-US"/>
        </w:rPr>
        <w:instrText>false</w:instrText>
      </w:r>
      <w:r w:rsidR="00765C06" w:rsidRPr="00015FE3">
        <w:rPr>
          <w:rStyle w:val="fontstyle01"/>
          <w:color w:val="auto"/>
        </w:rPr>
        <w:instrText>,"</w:instrText>
      </w:r>
      <w:r w:rsidR="00765C06">
        <w:rPr>
          <w:rStyle w:val="fontstyle01"/>
          <w:color w:val="auto"/>
          <w:lang w:val="en-US"/>
        </w:rPr>
        <w:instrText>suffix</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family</w:instrText>
      </w:r>
      <w:r w:rsidR="00765C06" w:rsidRPr="00015FE3">
        <w:rPr>
          <w:rStyle w:val="fontstyle01"/>
          <w:color w:val="auto"/>
        </w:rPr>
        <w:instrText>":"</w:instrText>
      </w:r>
      <w:r w:rsidR="00765C06">
        <w:rPr>
          <w:rStyle w:val="fontstyle01"/>
          <w:color w:val="auto"/>
          <w:lang w:val="en-US"/>
        </w:rPr>
        <w:instrText>Coste</w:instrText>
      </w:r>
      <w:r w:rsidR="00765C06" w:rsidRPr="00015FE3">
        <w:rPr>
          <w:rStyle w:val="fontstyle01"/>
          <w:color w:val="auto"/>
        </w:rPr>
        <w:instrText>","</w:instrText>
      </w:r>
      <w:r w:rsidR="00765C06">
        <w:rPr>
          <w:rStyle w:val="fontstyle01"/>
          <w:color w:val="auto"/>
          <w:lang w:val="en-US"/>
        </w:rPr>
        <w:instrText>given</w:instrText>
      </w:r>
      <w:r w:rsidR="00765C06" w:rsidRPr="00015FE3">
        <w:rPr>
          <w:rStyle w:val="fontstyle01"/>
          <w:color w:val="auto"/>
        </w:rPr>
        <w:instrText>":"</w:instrText>
      </w:r>
      <w:r w:rsidR="00765C06">
        <w:rPr>
          <w:rStyle w:val="fontstyle01"/>
          <w:color w:val="auto"/>
          <w:lang w:val="en-US"/>
        </w:rPr>
        <w:instrText>A</w:instrText>
      </w:r>
      <w:r w:rsidR="00765C06" w:rsidRPr="00015FE3">
        <w:rPr>
          <w:rStyle w:val="fontstyle01"/>
          <w:color w:val="auto"/>
        </w:rPr>
        <w:instrText>.","</w:instrText>
      </w:r>
      <w:r w:rsidR="00765C06">
        <w:rPr>
          <w:rStyle w:val="fontstyle01"/>
          <w:color w:val="auto"/>
          <w:lang w:val="en-US"/>
        </w:rPr>
        <w:instrText>non</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parse</w:instrText>
      </w:r>
      <w:r w:rsidR="00765C06" w:rsidRPr="00015FE3">
        <w:rPr>
          <w:rStyle w:val="fontstyle01"/>
          <w:color w:val="auto"/>
        </w:rPr>
        <w:instrText>-</w:instrText>
      </w:r>
      <w:r w:rsidR="00765C06">
        <w:rPr>
          <w:rStyle w:val="fontstyle01"/>
          <w:color w:val="auto"/>
          <w:lang w:val="en-US"/>
        </w:rPr>
        <w:instrText>names</w:instrText>
      </w:r>
      <w:r w:rsidR="00765C06" w:rsidRPr="00015FE3">
        <w:rPr>
          <w:rStyle w:val="fontstyle01"/>
          <w:color w:val="auto"/>
        </w:rPr>
        <w:instrText>":</w:instrText>
      </w:r>
      <w:r w:rsidR="00765C06">
        <w:rPr>
          <w:rStyle w:val="fontstyle01"/>
          <w:color w:val="auto"/>
          <w:lang w:val="en-US"/>
        </w:rPr>
        <w:instrText>false</w:instrText>
      </w:r>
      <w:r w:rsidR="00765C06" w:rsidRPr="00015FE3">
        <w:rPr>
          <w:rStyle w:val="fontstyle01"/>
          <w:color w:val="auto"/>
        </w:rPr>
        <w:instrText>,"</w:instrText>
      </w:r>
      <w:r w:rsidR="00765C06">
        <w:rPr>
          <w:rStyle w:val="fontstyle01"/>
          <w:color w:val="auto"/>
          <w:lang w:val="en-US"/>
        </w:rPr>
        <w:instrText>suffix</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family</w:instrText>
      </w:r>
      <w:r w:rsidR="00765C06" w:rsidRPr="00015FE3">
        <w:rPr>
          <w:rStyle w:val="fontstyle01"/>
          <w:color w:val="auto"/>
        </w:rPr>
        <w:instrText>":"</w:instrText>
      </w:r>
      <w:r w:rsidR="00765C06">
        <w:rPr>
          <w:rStyle w:val="fontstyle01"/>
          <w:color w:val="auto"/>
          <w:lang w:val="en-US"/>
        </w:rPr>
        <w:instrText>Serrano</w:instrText>
      </w:r>
      <w:r w:rsidR="00765C06" w:rsidRPr="00015FE3">
        <w:rPr>
          <w:rStyle w:val="fontstyle01"/>
          <w:color w:val="auto"/>
        </w:rPr>
        <w:instrText>","</w:instrText>
      </w:r>
      <w:r w:rsidR="00765C06">
        <w:rPr>
          <w:rStyle w:val="fontstyle01"/>
          <w:color w:val="auto"/>
          <w:lang w:val="en-US"/>
        </w:rPr>
        <w:instrText>given</w:instrText>
      </w:r>
      <w:r w:rsidR="00765C06" w:rsidRPr="00015FE3">
        <w:rPr>
          <w:rStyle w:val="fontstyle01"/>
          <w:color w:val="auto"/>
        </w:rPr>
        <w:instrText>":"</w:instrText>
      </w:r>
      <w:r w:rsidR="00765C06">
        <w:rPr>
          <w:rStyle w:val="fontstyle01"/>
          <w:color w:val="auto"/>
          <w:lang w:val="en-US"/>
        </w:rPr>
        <w:instrText>E</w:instrText>
      </w:r>
      <w:r w:rsidR="00765C06" w:rsidRPr="00015FE3">
        <w:rPr>
          <w:rStyle w:val="fontstyle01"/>
          <w:color w:val="auto"/>
        </w:rPr>
        <w:instrText>.","</w:instrText>
      </w:r>
      <w:r w:rsidR="00765C06">
        <w:rPr>
          <w:rStyle w:val="fontstyle01"/>
          <w:color w:val="auto"/>
          <w:lang w:val="en-US"/>
        </w:rPr>
        <w:instrText>non</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parse</w:instrText>
      </w:r>
      <w:r w:rsidR="00765C06" w:rsidRPr="00015FE3">
        <w:rPr>
          <w:rStyle w:val="fontstyle01"/>
          <w:color w:val="auto"/>
        </w:rPr>
        <w:instrText>-</w:instrText>
      </w:r>
      <w:r w:rsidR="00765C06">
        <w:rPr>
          <w:rStyle w:val="fontstyle01"/>
          <w:color w:val="auto"/>
          <w:lang w:val="en-US"/>
        </w:rPr>
        <w:instrText>names</w:instrText>
      </w:r>
      <w:r w:rsidR="00765C06" w:rsidRPr="00015FE3">
        <w:rPr>
          <w:rStyle w:val="fontstyle01"/>
          <w:color w:val="auto"/>
        </w:rPr>
        <w:instrText>":</w:instrText>
      </w:r>
      <w:r w:rsidR="00765C06">
        <w:rPr>
          <w:rStyle w:val="fontstyle01"/>
          <w:color w:val="auto"/>
          <w:lang w:val="en-US"/>
        </w:rPr>
        <w:instrText>false</w:instrText>
      </w:r>
      <w:r w:rsidR="00765C06" w:rsidRPr="00015FE3">
        <w:rPr>
          <w:rStyle w:val="fontstyle01"/>
          <w:color w:val="auto"/>
        </w:rPr>
        <w:instrText>,"</w:instrText>
      </w:r>
      <w:r w:rsidR="00765C06">
        <w:rPr>
          <w:rStyle w:val="fontstyle01"/>
          <w:color w:val="auto"/>
          <w:lang w:val="en-US"/>
        </w:rPr>
        <w:instrText>suffix</w:instrText>
      </w:r>
      <w:r w:rsidR="00765C06" w:rsidRPr="00015FE3">
        <w:rPr>
          <w:rStyle w:val="fontstyle01"/>
          <w:color w:val="auto"/>
        </w:rPr>
        <w:instrText>":""}],"</w:instrText>
      </w:r>
      <w:r w:rsidR="00765C06">
        <w:rPr>
          <w:rStyle w:val="fontstyle01"/>
          <w:color w:val="auto"/>
          <w:lang w:val="en-US"/>
        </w:rPr>
        <w:instrText>container</w:instrText>
      </w:r>
      <w:r w:rsidR="00765C06" w:rsidRPr="00015FE3">
        <w:rPr>
          <w:rStyle w:val="fontstyle01"/>
          <w:color w:val="auto"/>
        </w:rPr>
        <w:instrText>-</w:instrText>
      </w:r>
      <w:r w:rsidR="00765C06">
        <w:rPr>
          <w:rStyle w:val="fontstyle01"/>
          <w:color w:val="auto"/>
          <w:lang w:val="en-US"/>
        </w:rPr>
        <w:instrText>title</w:instrText>
      </w:r>
      <w:r w:rsidR="00765C06" w:rsidRPr="00015FE3">
        <w:rPr>
          <w:rStyle w:val="fontstyle01"/>
          <w:color w:val="auto"/>
        </w:rPr>
        <w:instrText>":"</w:instrText>
      </w:r>
      <w:r w:rsidR="00765C06">
        <w:rPr>
          <w:rStyle w:val="fontstyle01"/>
          <w:color w:val="auto"/>
          <w:lang w:val="en-US"/>
        </w:rPr>
        <w:instrText>European</w:instrText>
      </w:r>
      <w:r w:rsidR="00765C06" w:rsidRPr="00015FE3">
        <w:rPr>
          <w:rStyle w:val="fontstyle01"/>
          <w:color w:val="auto"/>
        </w:rPr>
        <w:instrText xml:space="preserve"> </w:instrText>
      </w:r>
      <w:r w:rsidR="00765C06">
        <w:rPr>
          <w:rStyle w:val="fontstyle01"/>
          <w:color w:val="auto"/>
          <w:lang w:val="en-US"/>
        </w:rPr>
        <w:instrText>Annals</w:instrText>
      </w:r>
      <w:r w:rsidR="00765C06" w:rsidRPr="00015FE3">
        <w:rPr>
          <w:rStyle w:val="fontstyle01"/>
          <w:color w:val="auto"/>
        </w:rPr>
        <w:instrText xml:space="preserve"> </w:instrText>
      </w:r>
      <w:r w:rsidR="00765C06">
        <w:rPr>
          <w:rStyle w:val="fontstyle01"/>
          <w:color w:val="auto"/>
          <w:lang w:val="en-US"/>
        </w:rPr>
        <w:instrText>of</w:instrText>
      </w:r>
      <w:r w:rsidR="00765C06" w:rsidRPr="00015FE3">
        <w:rPr>
          <w:rStyle w:val="fontstyle01"/>
          <w:color w:val="auto"/>
        </w:rPr>
        <w:instrText xml:space="preserve"> </w:instrText>
      </w:r>
      <w:r w:rsidR="00765C06">
        <w:rPr>
          <w:rStyle w:val="fontstyle01"/>
          <w:color w:val="auto"/>
          <w:lang w:val="en-US"/>
        </w:rPr>
        <w:instrText>Otorhinolaryngology</w:instrText>
      </w:r>
      <w:r w:rsidR="00765C06" w:rsidRPr="00015FE3">
        <w:rPr>
          <w:rStyle w:val="fontstyle01"/>
          <w:color w:val="auto"/>
        </w:rPr>
        <w:instrText xml:space="preserve">, </w:instrText>
      </w:r>
      <w:r w:rsidR="00765C06">
        <w:rPr>
          <w:rStyle w:val="fontstyle01"/>
          <w:color w:val="auto"/>
          <w:lang w:val="en-US"/>
        </w:rPr>
        <w:instrText>Head</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Neck</w:instrText>
      </w:r>
      <w:r w:rsidR="00765C06" w:rsidRPr="00015FE3">
        <w:rPr>
          <w:rStyle w:val="fontstyle01"/>
          <w:color w:val="auto"/>
        </w:rPr>
        <w:instrText xml:space="preserve"> </w:instrText>
      </w:r>
      <w:r w:rsidR="00765C06">
        <w:rPr>
          <w:rStyle w:val="fontstyle01"/>
          <w:color w:val="auto"/>
          <w:lang w:val="en-US"/>
        </w:rPr>
        <w:instrText>Diseases</w:instrText>
      </w:r>
      <w:r w:rsidR="00765C06" w:rsidRPr="00015FE3">
        <w:rPr>
          <w:rStyle w:val="fontstyle01"/>
          <w:color w:val="auto"/>
        </w:rPr>
        <w:instrText>","</w:instrText>
      </w:r>
      <w:r w:rsidR="00765C06">
        <w:rPr>
          <w:rStyle w:val="fontstyle01"/>
          <w:color w:val="auto"/>
          <w:lang w:val="en-US"/>
        </w:rPr>
        <w:instrText>id</w:instrText>
      </w:r>
      <w:r w:rsidR="00765C06" w:rsidRPr="00015FE3">
        <w:rPr>
          <w:rStyle w:val="fontstyle01"/>
          <w:color w:val="auto"/>
        </w:rPr>
        <w:instrText>":"</w:instrText>
      </w:r>
      <w:r w:rsidR="00765C06">
        <w:rPr>
          <w:rStyle w:val="fontstyle01"/>
          <w:color w:val="auto"/>
          <w:lang w:val="en-US"/>
        </w:rPr>
        <w:instrText>ITEM</w:instrText>
      </w:r>
      <w:r w:rsidR="00765C06" w:rsidRPr="00015FE3">
        <w:rPr>
          <w:rStyle w:val="fontstyle01"/>
          <w:color w:val="auto"/>
        </w:rPr>
        <w:instrText>-1","</w:instrText>
      </w:r>
      <w:r w:rsidR="00765C06">
        <w:rPr>
          <w:rStyle w:val="fontstyle01"/>
          <w:color w:val="auto"/>
          <w:lang w:val="en-US"/>
        </w:rPr>
        <w:instrText>issue</w:instrText>
      </w:r>
      <w:r w:rsidR="00765C06" w:rsidRPr="00015FE3">
        <w:rPr>
          <w:rStyle w:val="fontstyle01"/>
          <w:color w:val="auto"/>
        </w:rPr>
        <w:instrText>":"4","</w:instrText>
      </w:r>
      <w:r w:rsidR="00765C06">
        <w:rPr>
          <w:rStyle w:val="fontstyle01"/>
          <w:color w:val="auto"/>
          <w:lang w:val="en-US"/>
        </w:rPr>
        <w:instrText>issued</w:instrText>
      </w:r>
      <w:r w:rsidR="00765C06" w:rsidRPr="00015FE3">
        <w:rPr>
          <w:rStyle w:val="fontstyle01"/>
          <w:color w:val="auto"/>
        </w:rPr>
        <w:instrText>":{"</w:instrText>
      </w:r>
      <w:r w:rsidR="00765C06">
        <w:rPr>
          <w:rStyle w:val="fontstyle01"/>
          <w:color w:val="auto"/>
          <w:lang w:val="en-US"/>
        </w:rPr>
        <w:instrText>date</w:instrText>
      </w:r>
      <w:r w:rsidR="00765C06" w:rsidRPr="00015FE3">
        <w:rPr>
          <w:rStyle w:val="fontstyle01"/>
          <w:color w:val="auto"/>
        </w:rPr>
        <w:instrText>-</w:instrText>
      </w:r>
      <w:r w:rsidR="00765C06">
        <w:rPr>
          <w:rStyle w:val="fontstyle01"/>
          <w:color w:val="auto"/>
          <w:lang w:val="en-US"/>
        </w:rPr>
        <w:instrText>parts</w:instrText>
      </w:r>
      <w:r w:rsidR="00765C06" w:rsidRPr="00015FE3">
        <w:rPr>
          <w:rStyle w:val="fontstyle01"/>
          <w:color w:val="auto"/>
        </w:rPr>
        <w:instrText>":[["2017"]]},"</w:instrText>
      </w:r>
      <w:r w:rsidR="00765C06">
        <w:rPr>
          <w:rStyle w:val="fontstyle01"/>
          <w:color w:val="auto"/>
          <w:lang w:val="en-US"/>
        </w:rPr>
        <w:instrText>page</w:instrText>
      </w:r>
      <w:r w:rsidR="00765C06" w:rsidRPr="00015FE3">
        <w:rPr>
          <w:rStyle w:val="fontstyle01"/>
          <w:color w:val="auto"/>
        </w:rPr>
        <w:instrText>":"253-258","</w:instrText>
      </w:r>
      <w:r w:rsidR="00765C06">
        <w:rPr>
          <w:rStyle w:val="fontstyle01"/>
          <w:color w:val="auto"/>
          <w:lang w:val="en-US"/>
        </w:rPr>
        <w:instrText>publisher</w:instrText>
      </w:r>
      <w:r w:rsidR="00765C06" w:rsidRPr="00015FE3">
        <w:rPr>
          <w:rStyle w:val="fontstyle01"/>
          <w:color w:val="auto"/>
        </w:rPr>
        <w:instrText>":"</w:instrText>
      </w:r>
      <w:r w:rsidR="00765C06">
        <w:rPr>
          <w:rStyle w:val="fontstyle01"/>
          <w:color w:val="auto"/>
          <w:lang w:val="en-US"/>
        </w:rPr>
        <w:instrText>Elsevier</w:instrText>
      </w:r>
      <w:r w:rsidR="00765C06" w:rsidRPr="00015FE3">
        <w:rPr>
          <w:rStyle w:val="fontstyle01"/>
          <w:color w:val="auto"/>
        </w:rPr>
        <w:instrText xml:space="preserve"> </w:instrText>
      </w:r>
      <w:r w:rsidR="00765C06">
        <w:rPr>
          <w:rStyle w:val="fontstyle01"/>
          <w:color w:val="auto"/>
          <w:lang w:val="en-US"/>
        </w:rPr>
        <w:instrText>Masson</w:instrText>
      </w:r>
      <w:r w:rsidR="00765C06" w:rsidRPr="00015FE3">
        <w:rPr>
          <w:rStyle w:val="fontstyle01"/>
          <w:color w:val="auto"/>
        </w:rPr>
        <w:instrText xml:space="preserve"> </w:instrText>
      </w:r>
      <w:r w:rsidR="00765C06">
        <w:rPr>
          <w:rStyle w:val="fontstyle01"/>
          <w:color w:val="auto"/>
          <w:lang w:val="en-US"/>
        </w:rPr>
        <w:instrText>SAS</w:instrText>
      </w:r>
      <w:r w:rsidR="00765C06" w:rsidRPr="00015FE3">
        <w:rPr>
          <w:rStyle w:val="fontstyle01"/>
          <w:color w:val="auto"/>
        </w:rPr>
        <w:instrText>","</w:instrText>
      </w:r>
      <w:r w:rsidR="00765C06">
        <w:rPr>
          <w:rStyle w:val="fontstyle01"/>
          <w:color w:val="auto"/>
          <w:lang w:val="en-US"/>
        </w:rPr>
        <w:instrText>title</w:instrText>
      </w:r>
      <w:r w:rsidR="00765C06" w:rsidRPr="00015FE3">
        <w:rPr>
          <w:rStyle w:val="fontstyle01"/>
          <w:color w:val="auto"/>
        </w:rPr>
        <w:instrText>":"</w:instrText>
      </w:r>
      <w:r w:rsidR="00765C06">
        <w:rPr>
          <w:rStyle w:val="fontstyle01"/>
          <w:color w:val="auto"/>
          <w:lang w:val="en-US"/>
        </w:rPr>
        <w:instrText>Specific</w:instrText>
      </w:r>
      <w:r w:rsidR="00765C06" w:rsidRPr="00015FE3">
        <w:rPr>
          <w:rStyle w:val="fontstyle01"/>
          <w:color w:val="auto"/>
        </w:rPr>
        <w:instrText xml:space="preserve"> </w:instrText>
      </w:r>
      <w:r w:rsidR="00765C06">
        <w:rPr>
          <w:rStyle w:val="fontstyle01"/>
          <w:color w:val="auto"/>
          <w:lang w:val="en-US"/>
        </w:rPr>
        <w:instrText>immunotherapy</w:instrText>
      </w:r>
      <w:r w:rsidR="00765C06" w:rsidRPr="00015FE3">
        <w:rPr>
          <w:rStyle w:val="fontstyle01"/>
          <w:color w:val="auto"/>
        </w:rPr>
        <w:instrText xml:space="preserve"> </w:instrText>
      </w:r>
      <w:r w:rsidR="00765C06">
        <w:rPr>
          <w:rStyle w:val="fontstyle01"/>
          <w:color w:val="auto"/>
          <w:lang w:val="en-US"/>
        </w:rPr>
        <w:instrText>in</w:instrText>
      </w:r>
      <w:r w:rsidR="00765C06" w:rsidRPr="00015FE3">
        <w:rPr>
          <w:rStyle w:val="fontstyle01"/>
          <w:color w:val="auto"/>
        </w:rPr>
        <w:instrText xml:space="preserve"> </w:instrText>
      </w:r>
      <w:r w:rsidR="00765C06">
        <w:rPr>
          <w:rStyle w:val="fontstyle01"/>
          <w:color w:val="auto"/>
          <w:lang w:val="en-US"/>
        </w:rPr>
        <w:instrText>allergic</w:instrText>
      </w:r>
      <w:r w:rsidR="00765C06" w:rsidRPr="00015FE3">
        <w:rPr>
          <w:rStyle w:val="fontstyle01"/>
          <w:color w:val="auto"/>
        </w:rPr>
        <w:instrText xml:space="preserve"> </w:instrText>
      </w:r>
      <w:r w:rsidR="00765C06">
        <w:rPr>
          <w:rStyle w:val="fontstyle01"/>
          <w:color w:val="auto"/>
          <w:lang w:val="en-US"/>
        </w:rPr>
        <w:instrText>rhinitis</w:instrText>
      </w:r>
      <w:r w:rsidR="00765C06" w:rsidRPr="00015FE3">
        <w:rPr>
          <w:rStyle w:val="fontstyle01"/>
          <w:color w:val="auto"/>
        </w:rPr>
        <w:instrText>","</w:instrText>
      </w:r>
      <w:r w:rsidR="00765C06">
        <w:rPr>
          <w:rStyle w:val="fontstyle01"/>
          <w:color w:val="auto"/>
          <w:lang w:val="en-US"/>
        </w:rPr>
        <w:instrText>type</w:instrText>
      </w:r>
      <w:r w:rsidR="00765C06" w:rsidRPr="00015FE3">
        <w:rPr>
          <w:rStyle w:val="fontstyle01"/>
          <w:color w:val="auto"/>
        </w:rPr>
        <w:instrText>":"</w:instrText>
      </w:r>
      <w:r w:rsidR="00765C06">
        <w:rPr>
          <w:rStyle w:val="fontstyle01"/>
          <w:color w:val="auto"/>
          <w:lang w:val="en-US"/>
        </w:rPr>
        <w:instrText>article</w:instrText>
      </w:r>
      <w:r w:rsidR="00765C06" w:rsidRPr="00015FE3">
        <w:rPr>
          <w:rStyle w:val="fontstyle01"/>
          <w:color w:val="auto"/>
        </w:rPr>
        <w:instrText>-</w:instrText>
      </w:r>
      <w:r w:rsidR="00765C06">
        <w:rPr>
          <w:rStyle w:val="fontstyle01"/>
          <w:color w:val="auto"/>
          <w:lang w:val="en-US"/>
        </w:rPr>
        <w:instrText>journal</w:instrText>
      </w:r>
      <w:r w:rsidR="00765C06" w:rsidRPr="00015FE3">
        <w:rPr>
          <w:rStyle w:val="fontstyle01"/>
          <w:color w:val="auto"/>
        </w:rPr>
        <w:instrText>","</w:instrText>
      </w:r>
      <w:r w:rsidR="00765C06">
        <w:rPr>
          <w:rStyle w:val="fontstyle01"/>
          <w:color w:val="auto"/>
          <w:lang w:val="en-US"/>
        </w:rPr>
        <w:instrText>volume</w:instrText>
      </w:r>
      <w:r w:rsidR="00765C06" w:rsidRPr="00015FE3">
        <w:rPr>
          <w:rStyle w:val="fontstyle01"/>
          <w:color w:val="auto"/>
        </w:rPr>
        <w:instrText>":"134"},"</w:instrText>
      </w:r>
      <w:r w:rsidR="00765C06">
        <w:rPr>
          <w:rStyle w:val="fontstyle01"/>
          <w:color w:val="auto"/>
          <w:lang w:val="en-US"/>
        </w:rPr>
        <w:instrText>uris</w:instrText>
      </w:r>
      <w:r w:rsidR="00765C06" w:rsidRPr="00015FE3">
        <w:rPr>
          <w:rStyle w:val="fontstyle01"/>
          <w:color w:val="auto"/>
        </w:rPr>
        <w:instrText>":["</w:instrText>
      </w:r>
      <w:r w:rsidR="00765C06">
        <w:rPr>
          <w:rStyle w:val="fontstyle01"/>
          <w:color w:val="auto"/>
          <w:lang w:val="en-US"/>
        </w:rPr>
        <w:instrText>http</w:instrText>
      </w:r>
      <w:r w:rsidR="00765C06" w:rsidRPr="00015FE3">
        <w:rPr>
          <w:rStyle w:val="fontstyle01"/>
          <w:color w:val="auto"/>
        </w:rPr>
        <w:instrText>://</w:instrText>
      </w:r>
      <w:r w:rsidR="00765C06">
        <w:rPr>
          <w:rStyle w:val="fontstyle01"/>
          <w:color w:val="auto"/>
          <w:lang w:val="en-US"/>
        </w:rPr>
        <w:instrText>www</w:instrText>
      </w:r>
      <w:r w:rsidR="00765C06" w:rsidRPr="00015FE3">
        <w:rPr>
          <w:rStyle w:val="fontstyle01"/>
          <w:color w:val="auto"/>
        </w:rPr>
        <w:instrText>.</w:instrText>
      </w:r>
      <w:r w:rsidR="00765C06">
        <w:rPr>
          <w:rStyle w:val="fontstyle01"/>
          <w:color w:val="auto"/>
          <w:lang w:val="en-US"/>
        </w:rPr>
        <w:instrText>mendeley</w:instrText>
      </w:r>
      <w:r w:rsidR="00765C06" w:rsidRPr="00015FE3">
        <w:rPr>
          <w:rStyle w:val="fontstyle01"/>
          <w:color w:val="auto"/>
        </w:rPr>
        <w:instrText>.</w:instrText>
      </w:r>
      <w:r w:rsidR="00765C06">
        <w:rPr>
          <w:rStyle w:val="fontstyle01"/>
          <w:color w:val="auto"/>
          <w:lang w:val="en-US"/>
        </w:rPr>
        <w:instrText>com</w:instrText>
      </w:r>
      <w:r w:rsidR="00765C06" w:rsidRPr="00015FE3">
        <w:rPr>
          <w:rStyle w:val="fontstyle01"/>
          <w:color w:val="auto"/>
        </w:rPr>
        <w:instrText>/</w:instrText>
      </w:r>
      <w:r w:rsidR="00765C06">
        <w:rPr>
          <w:rStyle w:val="fontstyle01"/>
          <w:color w:val="auto"/>
          <w:lang w:val="en-US"/>
        </w:rPr>
        <w:instrText>documents</w:instrText>
      </w:r>
      <w:r w:rsidR="00765C06" w:rsidRPr="00015FE3">
        <w:rPr>
          <w:rStyle w:val="fontstyle01"/>
          <w:color w:val="auto"/>
        </w:rPr>
        <w:instrText>/?</w:instrText>
      </w:r>
      <w:r w:rsidR="00765C06">
        <w:rPr>
          <w:rStyle w:val="fontstyle01"/>
          <w:color w:val="auto"/>
          <w:lang w:val="en-US"/>
        </w:rPr>
        <w:instrText>uuid</w:instrText>
      </w:r>
      <w:r w:rsidR="00765C06" w:rsidRPr="00015FE3">
        <w:rPr>
          <w:rStyle w:val="fontstyle01"/>
          <w:color w:val="auto"/>
        </w:rPr>
        <w:instrText>=106</w:instrText>
      </w:r>
      <w:r w:rsidR="00765C06">
        <w:rPr>
          <w:rStyle w:val="fontstyle01"/>
          <w:color w:val="auto"/>
          <w:lang w:val="en-US"/>
        </w:rPr>
        <w:instrText>d</w:instrText>
      </w:r>
      <w:r w:rsidR="00765C06" w:rsidRPr="00015FE3">
        <w:rPr>
          <w:rStyle w:val="fontstyle01"/>
          <w:color w:val="auto"/>
        </w:rPr>
        <w:instrText>9</w:instrText>
      </w:r>
      <w:r w:rsidR="00765C06">
        <w:rPr>
          <w:rStyle w:val="fontstyle01"/>
          <w:color w:val="auto"/>
          <w:lang w:val="en-US"/>
        </w:rPr>
        <w:instrText>be</w:instrText>
      </w:r>
      <w:r w:rsidR="00765C06" w:rsidRPr="00015FE3">
        <w:rPr>
          <w:rStyle w:val="fontstyle01"/>
          <w:color w:val="auto"/>
        </w:rPr>
        <w:instrText>0-8457-4698-9</w:instrText>
      </w:r>
      <w:r w:rsidR="00765C06">
        <w:rPr>
          <w:rStyle w:val="fontstyle01"/>
          <w:color w:val="auto"/>
          <w:lang w:val="en-US"/>
        </w:rPr>
        <w:instrText>b</w:instrText>
      </w:r>
      <w:r w:rsidR="00765C06" w:rsidRPr="00015FE3">
        <w:rPr>
          <w:rStyle w:val="fontstyle01"/>
          <w:color w:val="auto"/>
        </w:rPr>
        <w:instrText>63-85</w:instrText>
      </w:r>
      <w:r w:rsidR="00765C06">
        <w:rPr>
          <w:rStyle w:val="fontstyle01"/>
          <w:color w:val="auto"/>
          <w:lang w:val="en-US"/>
        </w:rPr>
        <w:instrText>c</w:instrText>
      </w:r>
      <w:r w:rsidR="00765C06" w:rsidRPr="00015FE3">
        <w:rPr>
          <w:rStyle w:val="fontstyle01"/>
          <w:color w:val="auto"/>
        </w:rPr>
        <w:instrText>63</w:instrText>
      </w:r>
      <w:r w:rsidR="00765C06">
        <w:rPr>
          <w:rStyle w:val="fontstyle01"/>
          <w:color w:val="auto"/>
          <w:lang w:val="en-US"/>
        </w:rPr>
        <w:instrText>fd</w:instrText>
      </w:r>
      <w:r w:rsidR="00765C06" w:rsidRPr="00015FE3">
        <w:rPr>
          <w:rStyle w:val="fontstyle01"/>
          <w:color w:val="auto"/>
        </w:rPr>
        <w:instrText>72</w:instrText>
      </w:r>
      <w:r w:rsidR="00765C06">
        <w:rPr>
          <w:rStyle w:val="fontstyle01"/>
          <w:color w:val="auto"/>
          <w:lang w:val="en-US"/>
        </w:rPr>
        <w:instrText>c</w:instrText>
      </w:r>
      <w:r w:rsidR="00765C06" w:rsidRPr="00015FE3">
        <w:rPr>
          <w:rStyle w:val="fontstyle01"/>
          <w:color w:val="auto"/>
        </w:rPr>
        <w:instrText>4</w:instrText>
      </w:r>
      <w:r w:rsidR="00765C06">
        <w:rPr>
          <w:rStyle w:val="fontstyle01"/>
          <w:color w:val="auto"/>
          <w:lang w:val="en-US"/>
        </w:rPr>
        <w:instrText>a</w:instrText>
      </w:r>
      <w:r w:rsidR="00765C06" w:rsidRPr="00015FE3">
        <w:rPr>
          <w:rStyle w:val="fontstyle01"/>
          <w:color w:val="auto"/>
        </w:rPr>
        <w:instrText>"]}],"</w:instrText>
      </w:r>
      <w:r w:rsidR="00765C06">
        <w:rPr>
          <w:rStyle w:val="fontstyle01"/>
          <w:color w:val="auto"/>
          <w:lang w:val="en-US"/>
        </w:rPr>
        <w:instrText>mendeley</w:instrText>
      </w:r>
      <w:r w:rsidR="00765C06" w:rsidRPr="00015FE3">
        <w:rPr>
          <w:rStyle w:val="fontstyle01"/>
          <w:color w:val="auto"/>
        </w:rPr>
        <w:instrText>":{"</w:instrText>
      </w:r>
      <w:r w:rsidR="00765C06">
        <w:rPr>
          <w:rStyle w:val="fontstyle01"/>
          <w:color w:val="auto"/>
          <w:lang w:val="en-US"/>
        </w:rPr>
        <w:instrText>formattedCitation</w:instrText>
      </w:r>
      <w:r w:rsidR="00765C06" w:rsidRPr="00015FE3">
        <w:rPr>
          <w:rStyle w:val="fontstyle01"/>
          <w:color w:val="auto"/>
        </w:rPr>
        <w:instrText>":"[62]","</w:instrText>
      </w:r>
      <w:r w:rsidR="00765C06">
        <w:rPr>
          <w:rStyle w:val="fontstyle01"/>
          <w:color w:val="auto"/>
          <w:lang w:val="en-US"/>
        </w:rPr>
        <w:instrText>plainTextFormattedCitation</w:instrText>
      </w:r>
      <w:r w:rsidR="00765C06" w:rsidRPr="00015FE3">
        <w:rPr>
          <w:rStyle w:val="fontstyle01"/>
          <w:color w:val="auto"/>
        </w:rPr>
        <w:instrText>":"[62]","</w:instrText>
      </w:r>
      <w:r w:rsidR="00765C06">
        <w:rPr>
          <w:rStyle w:val="fontstyle01"/>
          <w:color w:val="auto"/>
          <w:lang w:val="en-US"/>
        </w:rPr>
        <w:instrText>previouslyFormattedCitation</w:instrText>
      </w:r>
      <w:r w:rsidR="00765C06" w:rsidRPr="00015FE3">
        <w:rPr>
          <w:rStyle w:val="fontstyle01"/>
          <w:color w:val="auto"/>
        </w:rPr>
        <w:instrText>":"[62]"},"</w:instrText>
      </w:r>
      <w:r w:rsidR="00765C06">
        <w:rPr>
          <w:rStyle w:val="fontstyle01"/>
          <w:color w:val="auto"/>
          <w:lang w:val="en-US"/>
        </w:rPr>
        <w:instrText>properties</w:instrText>
      </w:r>
      <w:r w:rsidR="00765C06" w:rsidRPr="00015FE3">
        <w:rPr>
          <w:rStyle w:val="fontstyle01"/>
          <w:color w:val="auto"/>
        </w:rPr>
        <w:instrText>":{"</w:instrText>
      </w:r>
      <w:r w:rsidR="00765C06">
        <w:rPr>
          <w:rStyle w:val="fontstyle01"/>
          <w:color w:val="auto"/>
          <w:lang w:val="en-US"/>
        </w:rPr>
        <w:instrText>noteIndex</w:instrText>
      </w:r>
      <w:r w:rsidR="00765C06" w:rsidRPr="00015FE3">
        <w:rPr>
          <w:rStyle w:val="fontstyle01"/>
          <w:color w:val="auto"/>
        </w:rPr>
        <w:instrText>":0},"</w:instrText>
      </w:r>
      <w:r w:rsidR="00765C06">
        <w:rPr>
          <w:rStyle w:val="fontstyle01"/>
          <w:color w:val="auto"/>
          <w:lang w:val="en-US"/>
        </w:rPr>
        <w:instrText>schema</w:instrText>
      </w:r>
      <w:r w:rsidR="00765C06" w:rsidRPr="00015FE3">
        <w:rPr>
          <w:rStyle w:val="fontstyle01"/>
          <w:color w:val="auto"/>
        </w:rPr>
        <w:instrText>":"</w:instrText>
      </w:r>
      <w:r w:rsidR="00765C06">
        <w:rPr>
          <w:rStyle w:val="fontstyle01"/>
          <w:color w:val="auto"/>
          <w:lang w:val="en-US"/>
        </w:rPr>
        <w:instrText>https</w:instrText>
      </w:r>
      <w:r w:rsidR="00765C06" w:rsidRPr="00015FE3">
        <w:rPr>
          <w:rStyle w:val="fontstyle01"/>
          <w:color w:val="auto"/>
        </w:rPr>
        <w:instrText>://</w:instrText>
      </w:r>
      <w:r w:rsidR="00765C06">
        <w:rPr>
          <w:rStyle w:val="fontstyle01"/>
          <w:color w:val="auto"/>
          <w:lang w:val="en-US"/>
        </w:rPr>
        <w:instrText>github</w:instrText>
      </w:r>
      <w:r w:rsidR="00765C06" w:rsidRPr="00015FE3">
        <w:rPr>
          <w:rStyle w:val="fontstyle01"/>
          <w:color w:val="auto"/>
        </w:rPr>
        <w:instrText>.</w:instrText>
      </w:r>
      <w:r w:rsidR="00765C06">
        <w:rPr>
          <w:rStyle w:val="fontstyle01"/>
          <w:color w:val="auto"/>
          <w:lang w:val="en-US"/>
        </w:rPr>
        <w:instrText>com</w:instrText>
      </w:r>
      <w:r w:rsidR="00765C06" w:rsidRPr="00015FE3">
        <w:rPr>
          <w:rStyle w:val="fontstyle01"/>
          <w:color w:val="auto"/>
        </w:rPr>
        <w:instrText>/</w:instrText>
      </w:r>
      <w:r w:rsidR="00765C06">
        <w:rPr>
          <w:rStyle w:val="fontstyle01"/>
          <w:color w:val="auto"/>
          <w:lang w:val="en-US"/>
        </w:rPr>
        <w:instrText>citation</w:instrText>
      </w:r>
      <w:r w:rsidR="00765C06" w:rsidRPr="00015FE3">
        <w:rPr>
          <w:rStyle w:val="fontstyle01"/>
          <w:color w:val="auto"/>
        </w:rPr>
        <w:instrText>-</w:instrText>
      </w:r>
      <w:r w:rsidR="00765C06">
        <w:rPr>
          <w:rStyle w:val="fontstyle01"/>
          <w:color w:val="auto"/>
          <w:lang w:val="en-US"/>
        </w:rPr>
        <w:instrText>style</w:instrText>
      </w:r>
      <w:r w:rsidR="00765C06" w:rsidRPr="00015FE3">
        <w:rPr>
          <w:rStyle w:val="fontstyle01"/>
          <w:color w:val="auto"/>
        </w:rPr>
        <w:instrText>-</w:instrText>
      </w:r>
      <w:r w:rsidR="00765C06">
        <w:rPr>
          <w:rStyle w:val="fontstyle01"/>
          <w:color w:val="auto"/>
          <w:lang w:val="en-US"/>
        </w:rPr>
        <w:instrText>language</w:instrText>
      </w:r>
      <w:r w:rsidR="00765C06" w:rsidRPr="00015FE3">
        <w:rPr>
          <w:rStyle w:val="fontstyle01"/>
          <w:color w:val="auto"/>
        </w:rPr>
        <w:instrText>/</w:instrText>
      </w:r>
      <w:r w:rsidR="00765C06">
        <w:rPr>
          <w:rStyle w:val="fontstyle01"/>
          <w:color w:val="auto"/>
          <w:lang w:val="en-US"/>
        </w:rPr>
        <w:instrText>schema</w:instrText>
      </w:r>
      <w:r w:rsidR="00765C06" w:rsidRPr="00015FE3">
        <w:rPr>
          <w:rStyle w:val="fontstyle01"/>
          <w:color w:val="auto"/>
        </w:rPr>
        <w:instrText>/</w:instrText>
      </w:r>
      <w:r w:rsidR="00765C06">
        <w:rPr>
          <w:rStyle w:val="fontstyle01"/>
          <w:color w:val="auto"/>
          <w:lang w:val="en-US"/>
        </w:rPr>
        <w:instrText>raw</w:instrText>
      </w:r>
      <w:r w:rsidR="00765C06" w:rsidRPr="00015FE3">
        <w:rPr>
          <w:rStyle w:val="fontstyle01"/>
          <w:color w:val="auto"/>
        </w:rPr>
        <w:instrText>/</w:instrText>
      </w:r>
      <w:r w:rsidR="00765C06">
        <w:rPr>
          <w:rStyle w:val="fontstyle01"/>
          <w:color w:val="auto"/>
          <w:lang w:val="en-US"/>
        </w:rPr>
        <w:instrText>master</w:instrText>
      </w:r>
      <w:r w:rsidR="00765C06" w:rsidRPr="00015FE3">
        <w:rPr>
          <w:rStyle w:val="fontstyle01"/>
          <w:color w:val="auto"/>
        </w:rPr>
        <w:instrText>/</w:instrText>
      </w:r>
      <w:r w:rsidR="00765C06">
        <w:rPr>
          <w:rStyle w:val="fontstyle01"/>
          <w:color w:val="auto"/>
          <w:lang w:val="en-US"/>
        </w:rPr>
        <w:instrText>csl</w:instrText>
      </w:r>
      <w:r w:rsidR="00765C06" w:rsidRPr="00015FE3">
        <w:rPr>
          <w:rStyle w:val="fontstyle01"/>
          <w:color w:val="auto"/>
        </w:rPr>
        <w:instrText>-</w:instrText>
      </w:r>
      <w:r w:rsidR="00765C06">
        <w:rPr>
          <w:rStyle w:val="fontstyle01"/>
          <w:color w:val="auto"/>
          <w:lang w:val="en-US"/>
        </w:rPr>
        <w:instrText>citation</w:instrText>
      </w:r>
      <w:r w:rsidR="00765C06" w:rsidRPr="00015FE3">
        <w:rPr>
          <w:rStyle w:val="fontstyle01"/>
          <w:color w:val="auto"/>
        </w:rPr>
        <w:instrText>.</w:instrText>
      </w:r>
      <w:r w:rsidR="00765C06">
        <w:rPr>
          <w:rStyle w:val="fontstyle01"/>
          <w:color w:val="auto"/>
          <w:lang w:val="en-US"/>
        </w:rPr>
        <w:instrText>json</w:instrText>
      </w:r>
      <w:r w:rsidR="00765C06" w:rsidRPr="00015FE3">
        <w:rPr>
          <w:rStyle w:val="fontstyle01"/>
          <w:color w:val="auto"/>
        </w:rPr>
        <w:instrText>"}</w:instrText>
      </w:r>
      <w:r w:rsidR="00BD4AA6" w:rsidRPr="001B27F8">
        <w:rPr>
          <w:rStyle w:val="fontstyle01"/>
          <w:color w:val="auto"/>
          <w:lang w:val="en-US"/>
        </w:rPr>
        <w:fldChar w:fldCharType="separate"/>
      </w:r>
      <w:r w:rsidR="00877069" w:rsidRPr="00877069">
        <w:rPr>
          <w:rStyle w:val="fontstyle01"/>
          <w:noProof/>
          <w:color w:val="auto"/>
        </w:rPr>
        <w:t>[62]</w:t>
      </w:r>
      <w:r w:rsidR="00BD4AA6" w:rsidRPr="001B27F8">
        <w:rPr>
          <w:rStyle w:val="fontstyle01"/>
          <w:color w:val="auto"/>
          <w:lang w:val="en-US"/>
        </w:rPr>
        <w:fldChar w:fldCharType="end"/>
      </w:r>
      <w:r w:rsidR="00C16193" w:rsidRPr="001B27F8">
        <w:rPr>
          <w:rStyle w:val="fontstyle01"/>
          <w:color w:val="auto"/>
        </w:rPr>
        <w:t>.</w:t>
      </w:r>
      <w:r w:rsidR="006D1824" w:rsidRPr="001B27F8">
        <w:rPr>
          <w:rStyle w:val="fontstyle01"/>
          <w:color w:val="auto"/>
        </w:rPr>
        <w:t xml:space="preserve"> </w:t>
      </w:r>
      <w:r w:rsidR="00C16193" w:rsidRPr="001B27F8">
        <w:rPr>
          <w:rStyle w:val="fontstyle01"/>
          <w:color w:val="auto"/>
        </w:rPr>
        <w:t>Первый прием препарата осуществляется в присутствии лечащего врача, далее пациент по определенной схеме самостоятельно принимает аллерген с контрольны</w:t>
      </w:r>
      <w:r w:rsidR="00EA67F0" w:rsidRPr="001B27F8">
        <w:rPr>
          <w:rStyle w:val="fontstyle01"/>
          <w:color w:val="auto"/>
        </w:rPr>
        <w:t xml:space="preserve">ми визитами к лечащему врачу </w:t>
      </w:r>
      <w:r w:rsidR="00C16193" w:rsidRPr="001B27F8">
        <w:rPr>
          <w:rStyle w:val="fontstyle01"/>
          <w:color w:val="auto"/>
        </w:rPr>
        <w:fldChar w:fldCharType="begin" w:fldLock="1"/>
      </w:r>
      <w:r w:rsidR="00765C06">
        <w:rPr>
          <w:rStyle w:val="fontstyle01"/>
          <w:color w:val="auto"/>
        </w:rPr>
        <w:instrText>ADDIN CSL_CITATION {"citationItems":[{"id":"ITEM-1","itemData":{"author":[{"dropping-particle":"","family":"Павлова","given":"К.С.","non-dropping-particle":"","parse-names":false,"suffix":""}],"container-title":"Педиатрия","id":"ITEM-1","issue":"4","issued":{"date-parts":[["2017"]]},"page":"56-58","title":"Новые возможности аллерген-специфической иммунотерапии","type":"article-journal"},"uris":["http://www.mendeley.com/documents/?uuid=bf421c99-5afc-4874-a77d-fd00a437b930"]}],"mendeley":{"formattedCitation":"[58]","plainTextFormattedCitation":"[58]","previouslyFormattedCitation":"[58]"},"properties":{"noteIndex":0},"schema":"https://github.com/citation-style-language/schema/raw/master/csl-citation.json"}</w:instrText>
      </w:r>
      <w:r w:rsidR="00C16193" w:rsidRPr="001B27F8">
        <w:rPr>
          <w:rStyle w:val="fontstyle01"/>
          <w:color w:val="auto"/>
        </w:rPr>
        <w:fldChar w:fldCharType="separate"/>
      </w:r>
      <w:r w:rsidR="00877069" w:rsidRPr="00877069">
        <w:rPr>
          <w:rStyle w:val="fontstyle01"/>
          <w:noProof/>
          <w:color w:val="auto"/>
        </w:rPr>
        <w:t>[58]</w:t>
      </w:r>
      <w:r w:rsidR="00C16193" w:rsidRPr="001B27F8">
        <w:rPr>
          <w:rStyle w:val="fontstyle01"/>
          <w:color w:val="auto"/>
        </w:rPr>
        <w:fldChar w:fldCharType="end"/>
      </w:r>
      <w:r w:rsidR="00EA67F0" w:rsidRPr="001B27F8">
        <w:rPr>
          <w:rStyle w:val="fontstyle01"/>
          <w:color w:val="auto"/>
        </w:rPr>
        <w:t xml:space="preserve">. </w:t>
      </w:r>
      <w:r w:rsidR="00172C86" w:rsidRPr="001B27F8">
        <w:rPr>
          <w:rStyle w:val="fontstyle01"/>
          <w:color w:val="auto"/>
        </w:rPr>
        <w:t>Для достижения стабильного результата, согласно международным руководствам и федеральным клиническим рекомендациям, АСИТ проводится на протяжении 3–5 лет, хотя эффект уже заметен после одного года лечения</w:t>
      </w:r>
      <w:r w:rsidR="0080338C">
        <w:rPr>
          <w:rStyle w:val="fontstyle01"/>
          <w:color w:val="auto"/>
        </w:rPr>
        <w:t xml:space="preserve"> </w:t>
      </w:r>
      <w:r w:rsidR="0080338C" w:rsidRPr="001B27F8">
        <w:rPr>
          <w:rStyle w:val="fontstyle01"/>
          <w:color w:val="auto"/>
        </w:rPr>
        <w:fldChar w:fldCharType="begin" w:fldLock="1"/>
      </w:r>
      <w:r w:rsidR="00765C06">
        <w:rPr>
          <w:rStyle w:val="fontstyle01"/>
          <w:color w:val="auto"/>
        </w:rPr>
        <w:instrText>ADDIN CSL_CITATION {"citationItems":[{"id":"ITEM-1","itemData":{"DOI":"10.4193/Rhino12.086","ISSN":"03000729","PMID":"23671890","abstract":"Allergic rhinitis, a risk factor for bronchial asthma, is a global health problem that impairs patients' physical and social activity and consequently their quality of life. Specific Immunotherapy (SIT) involves the administration, subcutaneously or sublingually, of increasing doses of the causative allergen, in order to induce clinical and immunologic tolerance. SIT has been shown to be effective in those with a poor response to conventional drug therapy. Immunotherapy has been shown to have disease-modifying effects and result in long term remission of allergic symptoms and reduces the risk of progression from rhinitis to asthma, as well as the chances of developing new sensitizations to allergens. Injection immunotherapy is a safe treatment for allergic rhinitis with/without mild controlled asthma, provided that it is performed in the context of a harmonious interaction between trained medical personnel and appropriately selected patients. Immunotherapy suppresses early and late responses to allergen exposure by modifying both T-cell and B-cell responses to inhaled allergens. Immune deviation of allergen-specific T cell responses in favour of Th1 and/or the induction of regulatory T cells is crucial in achieving immune tolerance. Increased understanding of the mechanisms of immunotherapy has identified potential biomarkers of the response to treatment and highlighted new therapeutic pathways with potential for even more effective future standardized vaccines.","author":[{"dropping-particle":"","family":"Petalas","given":"K.","non-dropping-particle":"","parse-names":false,"suffix":""},{"dropping-particle":"","family":"Durham","given":"S. R.","non-dropping-particle":"","parse-names":false,"suffix":""}],"container-title":"Rhinology","id":"ITEM-1","issue":"2","issued":{"date-parts":[["2013"]]},"page":"1-12","title":"Allergen immunotherapy for allergic rhinitis","type":"article-journal","volume":"51"},"uris":["http://www.mendeley.com/documents/?uuid=923a2c9b-7326-4f7c-9af3-67f5cfef0606"]},{"id":"ITEM-2","itemData":{"author":[{"dropping-particle":"","family":"Коваленко","given":"Н. В.","non-dropping-particle":"","parse-names":false,"suffix":""},{"dropping-particle":"","family":"Кутузова","given":"Е. А.","non-dropping-particle":"","parse-names":false,"suffix":""},{"dropping-particle":"","family":"Богаченко","given":"С. М.","non-dropping-particle":"","parse-names":false,"suffix":""}],"container-title":"Главный врач юга России","id":"ITEM-2","issue":"62","issued":{"date-parts":[["2018"]]},"page":"22-24","title":"Безопасность и эффективность аллерген-специфической иммунотерапии в лечении поллинозов","type":"article-journal","volume":"3"},"uris":["http://www.mendeley.com/documents/?uuid=28a391b7-0bf2-4104-a19d-daffc51cdafc"]}],"mendeley":{"formattedCitation":"[63,64]","plainTextFormattedCitation":"[63,64]","previouslyFormattedCitation":"[63,64]"},"properties":{"noteIndex":0},"schema":"https://github.com/citation-style-language/schema/raw/master/csl-citation.json"}</w:instrText>
      </w:r>
      <w:r w:rsidR="0080338C" w:rsidRPr="001B27F8">
        <w:rPr>
          <w:rStyle w:val="fontstyle01"/>
          <w:color w:val="auto"/>
        </w:rPr>
        <w:fldChar w:fldCharType="separate"/>
      </w:r>
      <w:r w:rsidR="00877069" w:rsidRPr="00877069">
        <w:rPr>
          <w:rStyle w:val="fontstyle01"/>
          <w:noProof/>
          <w:color w:val="auto"/>
        </w:rPr>
        <w:t>[63,64]</w:t>
      </w:r>
      <w:r w:rsidR="0080338C" w:rsidRPr="001B27F8">
        <w:rPr>
          <w:rStyle w:val="fontstyle01"/>
          <w:color w:val="auto"/>
        </w:rPr>
        <w:fldChar w:fldCharType="end"/>
      </w:r>
      <w:r w:rsidR="00172C86" w:rsidRPr="001B27F8">
        <w:rPr>
          <w:rStyle w:val="fontstyle01"/>
          <w:color w:val="auto"/>
        </w:rPr>
        <w:t xml:space="preserve">. </w:t>
      </w:r>
    </w:p>
    <w:p w14:paraId="6E5ABDFE" w14:textId="69FACEA1" w:rsidR="002878C2" w:rsidRPr="001B27F8" w:rsidRDefault="005A66C7" w:rsidP="001B27F8">
      <w:pPr>
        <w:pStyle w:val="a3"/>
        <w:tabs>
          <w:tab w:val="left" w:pos="851"/>
        </w:tabs>
        <w:spacing w:after="0" w:line="240" w:lineRule="auto"/>
        <w:ind w:left="0" w:firstLine="567"/>
        <w:jc w:val="both"/>
        <w:rPr>
          <w:rStyle w:val="fontstyle01"/>
          <w:color w:val="auto"/>
        </w:rPr>
      </w:pPr>
      <w:r w:rsidRPr="001B27F8">
        <w:rPr>
          <w:rStyle w:val="fontstyle01"/>
          <w:color w:val="auto"/>
        </w:rPr>
        <w:t xml:space="preserve">АСИТ имеет несколько механизмов развития </w:t>
      </w:r>
      <w:r w:rsidR="000969B3" w:rsidRPr="001B27F8">
        <w:rPr>
          <w:rStyle w:val="fontstyle01"/>
          <w:color w:val="auto"/>
        </w:rPr>
        <w:t xml:space="preserve">иммунологической толерантности </w:t>
      </w:r>
      <w:r w:rsidR="000969B3" w:rsidRPr="001B27F8">
        <w:rPr>
          <w:rStyle w:val="fontstyle01"/>
          <w:color w:val="auto"/>
        </w:rPr>
        <w:fldChar w:fldCharType="begin" w:fldLock="1"/>
      </w:r>
      <w:r w:rsidR="00765C06">
        <w:rPr>
          <w:rStyle w:val="fontstyle01"/>
          <w:color w:val="auto"/>
        </w:rPr>
        <w:instrText>ADDIN CSL_CITATION {"citationItems":[{"id":"ITEM-1","itemData":{"DOI":"10.1016/j.jaci.2013.12.1088","ISSN":"10976825","PMID":"24581429","abstract":"Allergen-specific immunotherapy (AIT) has been used for more than 100 years as a desensitizing therapy for IgE-mediated allergic diseases and represents a potentially curative way of treatment. The mechanisms of action of AIT include the induction of very early desensitization of mast cells and basophils; generation of regulatory T and regulatory B (Breg) cell responses; regulation of IgE and IgG4; decreases in numbers and activity of eosinophils and mast cells in mucosal allergic tissues; and decreases in the activity of basophils in circulation. Skewing of allergen-specific effector T and effector B cells to a regulatory phenotype appears as a key event in the course of AIT and normal immune response to allergens. Recently, inducible IL-10-secreting Breg cells were also demonstrated to contribute to allergen tolerance through suppression of effector T cells and selective induction of IgG4 isotype antibodies. Allergen-specific regulatory T and Breg cells orchestrate a general immunoregulatory activity, which can be summarized as suppression of cytokines from inflammatory dendritic cells; suppression of effector T H1, TH2, and TH17 cells; suppression of allergen-specific IgE and induction of IgG4; and suppression of migration of mast cells, basophils, eosinophils, and effector T cells to tissues. A detailed knowledge of the mechanisms of AIT is not only important in designing the prevention and treatment of allergic diseases but might also find applications in the treatment of autoimmune diseases, organ transplantation, chronic infection, and cancer. © 2013 American Academy of Allergy, Asthma and Immunology.","author":[{"dropping-particle":"","family":"Akdis","given":"Mübeccel","non-dropping-particle":"","parse-names":false,"suffix":""},{"dropping-particle":"","family":"Akdis","given":"Cezmi A.","non-dropping-particle":"","parse-names":false,"suffix":""}],"container-title":"Journal of Allergy and Clinical Immunology","id":"ITEM-1","issue":"3","issued":{"date-parts":[["2014"]]},"page":"621-631","title":"Mechanisms of allergen-specific immunotherapy: Multiple suppressor factors at work in immune tolerance to allergens","type":"article-journal","volume":"133"},"uris":["http://www.mendeley.com/documents/?uuid=a2ef0788-bed3-4de4-ab7d-7201696bb2ce"]}],"mendeley":{"formattedCitation":"[65]","plainTextFormattedCitation":"[65]","previouslyFormattedCitation":"[65]"},"properties":{"noteIndex":0},"schema":"https://github.com/citation-style-language/schema/raw/master/csl-citation.json"}</w:instrText>
      </w:r>
      <w:r w:rsidR="000969B3" w:rsidRPr="001B27F8">
        <w:rPr>
          <w:rStyle w:val="fontstyle01"/>
          <w:color w:val="auto"/>
        </w:rPr>
        <w:fldChar w:fldCharType="separate"/>
      </w:r>
      <w:r w:rsidR="00877069" w:rsidRPr="00877069">
        <w:rPr>
          <w:rStyle w:val="fontstyle01"/>
          <w:noProof/>
          <w:color w:val="auto"/>
        </w:rPr>
        <w:t>[65]</w:t>
      </w:r>
      <w:r w:rsidR="000969B3" w:rsidRPr="001B27F8">
        <w:rPr>
          <w:rStyle w:val="fontstyle01"/>
          <w:color w:val="auto"/>
        </w:rPr>
        <w:fldChar w:fldCharType="end"/>
      </w:r>
      <w:r w:rsidRPr="001B27F8">
        <w:rPr>
          <w:rStyle w:val="fontstyle01"/>
          <w:color w:val="auto"/>
        </w:rPr>
        <w:t xml:space="preserve">. </w:t>
      </w:r>
      <w:r w:rsidR="00475B7C" w:rsidRPr="001B27F8">
        <w:rPr>
          <w:rStyle w:val="fontstyle01"/>
          <w:color w:val="auto"/>
        </w:rPr>
        <w:t>Один из механизмов включают в себя индукцию ранней десенсибилизации тучных клеток и базофилов. Второй механизм характеризуется выработкой аллерген-специфических Т-регуляторных (Treg) и B-регуляторных (Breg) клеток с подавлением субпопуляций аллерген</w:t>
      </w:r>
      <w:r w:rsidR="00172F6A" w:rsidRPr="001B27F8">
        <w:rPr>
          <w:rStyle w:val="fontstyle01"/>
          <w:color w:val="auto"/>
        </w:rPr>
        <w:t>-</w:t>
      </w:r>
      <w:r w:rsidR="00475B7C" w:rsidRPr="001B27F8">
        <w:rPr>
          <w:rStyle w:val="fontstyle01"/>
          <w:color w:val="auto"/>
        </w:rPr>
        <w:t>специфических эффекторных Т-клеток</w:t>
      </w:r>
      <w:r w:rsidR="00A168E9" w:rsidRPr="001B27F8">
        <w:rPr>
          <w:rStyle w:val="fontstyle01"/>
          <w:color w:val="auto"/>
        </w:rPr>
        <w:t xml:space="preserve"> </w:t>
      </w:r>
      <w:r w:rsidR="00A168E9" w:rsidRPr="001B27F8">
        <w:rPr>
          <w:rStyle w:val="fontstyle01"/>
          <w:color w:val="auto"/>
        </w:rPr>
        <w:fldChar w:fldCharType="begin" w:fldLock="1"/>
      </w:r>
      <w:r w:rsidR="00765C06">
        <w:rPr>
          <w:rStyle w:val="fontstyle01"/>
          <w:color w:val="auto"/>
        </w:rPr>
        <w:instrText>ADDIN CSL_CITATION {"citationItems":[{"id":"ITEM-1","itemData":{"DOI":"10.1016/j.anai.2018.06.026","ISSN":"15344436","PMID":"29966703","abstract":"Objective: The aim of this review is to provide an overview of the current knowledge on the mechanisms of allergen immunotherapy based on the recent publications and clinical trials. Data sources: PubMed literature review. Study selections: In this review, we focus on diverse mechanisms of AIT and provide an insight into alternative routes of administration. Additionally, we review and discuss the most recent studies investigating potential biomarkers and highlight their role in clinical settings. Results: Successful allergen-specific immunotherapy (AIT) induces the reinstatement of tolerance toward allergens and represents a disease-modifying treatment. In the last decades, substantial progress in understanding the mechanisms of AIT has been achieved. Establishment of long-term clinical tolerance to allergens engages a complex network of interactions, modulating the functions of basophils, mast cells, allergen-specific regulatory T and B cells, and production of specific antibodies. The reduction of symptoms and clinical improvement is achieved by skewing the immune response away from allergic inflammation. Conclusion: Although the complex nature of AIT mechanisms is becoming more clear, the need to discover reliable biomarkers to define patients likely to respond to the treatment is emerging.","author":[{"dropping-particle":"","family":"Głobińska","given":"Anna","non-dropping-particle":"","parse-names":false,"suffix":""},{"dropping-particle":"","family":"Boonpiyathad","given":"Tadech","non-dropping-particle":"","parse-names":false,"suffix":""},{"dropping-particle":"","family":"Satitsuksanoa","given":"Pattraporn","non-dropping-particle":"","parse-names":false,"suffix":""},{"dropping-particle":"","family":"Kleuskens","given":"Mirelle","non-dropping-particle":"","parse-names":false,"suffix":""},{"dropping-particle":"","family":"Veen","given":"Willem","non-dropping-particle":"van de","parse-names":false,"suffix":""},{"dropping-particle":"","family":"Sokolowska","given":"Milena","non-dropping-particle":"","parse-names":false,"suffix":""},{"dropping-particle":"","family":"Akdis","given":"Mübeccel","non-dropping-particle":"","parse-names":false,"suffix":""}],"container-title":"Annals of Allergy, Asthma and Immunology","id":"ITEM-1","issue":"3","issued":{"date-parts":[["2018"]]},"page":"306-312","title":"Mechanisms of allergen-specific immunotherapy: Diverse mechanisms of immune tolerance to allergens","type":"article-journal","volume":"121"},"uris":["http://www.mendeley.com/documents/?uuid=62a5e09b-9b9a-40a3-acd1-f2cff1efa0bb"]}],"mendeley":{"formattedCitation":"[66]","plainTextFormattedCitation":"[66]","previouslyFormattedCitation":"[66]"},"properties":{"noteIndex":0},"schema":"https://github.com/citation-style-language/schema/raw/master/csl-citation.json"}</w:instrText>
      </w:r>
      <w:r w:rsidR="00A168E9" w:rsidRPr="001B27F8">
        <w:rPr>
          <w:rStyle w:val="fontstyle01"/>
          <w:color w:val="auto"/>
        </w:rPr>
        <w:fldChar w:fldCharType="separate"/>
      </w:r>
      <w:r w:rsidR="00877069" w:rsidRPr="00877069">
        <w:rPr>
          <w:rStyle w:val="fontstyle01"/>
          <w:noProof/>
          <w:color w:val="auto"/>
        </w:rPr>
        <w:t>[66]</w:t>
      </w:r>
      <w:r w:rsidR="00A168E9" w:rsidRPr="001B27F8">
        <w:rPr>
          <w:rStyle w:val="fontstyle01"/>
          <w:color w:val="auto"/>
        </w:rPr>
        <w:fldChar w:fldCharType="end"/>
      </w:r>
      <w:r w:rsidR="00475B7C" w:rsidRPr="006D7C8A">
        <w:rPr>
          <w:rStyle w:val="fontstyle01"/>
          <w:color w:val="auto"/>
        </w:rPr>
        <w:t xml:space="preserve">. </w:t>
      </w:r>
      <w:r w:rsidR="00475B7C" w:rsidRPr="001B27F8">
        <w:rPr>
          <w:rStyle w:val="fontstyle01"/>
          <w:color w:val="auto"/>
        </w:rPr>
        <w:t>Третий механизм - регулиров</w:t>
      </w:r>
      <w:r w:rsidR="00F505A8">
        <w:rPr>
          <w:rStyle w:val="fontstyle01"/>
          <w:color w:val="auto"/>
        </w:rPr>
        <w:t xml:space="preserve">ание аллерген - специфических иммуноглобулинов </w:t>
      </w:r>
      <w:r w:rsidR="00475B7C" w:rsidRPr="001B27F8">
        <w:rPr>
          <w:rStyle w:val="fontstyle01"/>
          <w:color w:val="auto"/>
        </w:rPr>
        <w:t>E</w:t>
      </w:r>
      <w:r w:rsidR="005A6DDD">
        <w:rPr>
          <w:rStyle w:val="fontstyle01"/>
          <w:color w:val="auto"/>
        </w:rPr>
        <w:t xml:space="preserve"> (</w:t>
      </w:r>
      <w:r w:rsidR="005A6DDD" w:rsidRPr="001B27F8">
        <w:rPr>
          <w:rFonts w:ascii="Times New Roman" w:hAnsi="Times New Roman" w:cs="Times New Roman"/>
          <w:sz w:val="28"/>
          <w:szCs w:val="28"/>
          <w:lang w:val="en-US"/>
        </w:rPr>
        <w:t>s</w:t>
      </w:r>
      <w:r w:rsidR="005A6DDD" w:rsidRPr="001B27F8">
        <w:rPr>
          <w:rFonts w:ascii="Times New Roman" w:hAnsi="Times New Roman" w:cs="Times New Roman"/>
          <w:sz w:val="28"/>
          <w:szCs w:val="28"/>
        </w:rPr>
        <w:t>Ig</w:t>
      </w:r>
      <w:r w:rsidR="005A6DDD">
        <w:rPr>
          <w:rFonts w:ascii="Times New Roman" w:hAnsi="Times New Roman" w:cs="Times New Roman"/>
          <w:sz w:val="28"/>
          <w:szCs w:val="28"/>
        </w:rPr>
        <w:t>Е</w:t>
      </w:r>
      <w:r w:rsidR="005A6DDD">
        <w:rPr>
          <w:rStyle w:val="fontstyle01"/>
          <w:color w:val="auto"/>
        </w:rPr>
        <w:t>)</w:t>
      </w:r>
      <w:r w:rsidR="00475B7C" w:rsidRPr="001B27F8">
        <w:rPr>
          <w:rStyle w:val="fontstyle01"/>
          <w:color w:val="auto"/>
        </w:rPr>
        <w:t xml:space="preserve">, </w:t>
      </w:r>
      <w:r w:rsidR="008C549A" w:rsidRPr="001B27F8">
        <w:rPr>
          <w:rStyle w:val="fontstyle01"/>
          <w:color w:val="auto"/>
        </w:rPr>
        <w:t xml:space="preserve">аллерген - специфических </w:t>
      </w:r>
      <w:r w:rsidR="00F505A8">
        <w:rPr>
          <w:rStyle w:val="fontstyle01"/>
          <w:color w:val="auto"/>
        </w:rPr>
        <w:t xml:space="preserve">иммуноглобулинов </w:t>
      </w:r>
      <w:r w:rsidR="008C549A" w:rsidRPr="001B27F8">
        <w:rPr>
          <w:rStyle w:val="fontstyle01"/>
          <w:color w:val="auto"/>
        </w:rPr>
        <w:t>G4</w:t>
      </w:r>
      <w:r w:rsidR="008C549A">
        <w:rPr>
          <w:rStyle w:val="fontstyle01"/>
          <w:color w:val="auto"/>
        </w:rPr>
        <w:t xml:space="preserve"> (</w:t>
      </w:r>
      <w:r w:rsidR="008C549A" w:rsidRPr="001B27F8">
        <w:rPr>
          <w:rFonts w:ascii="Times New Roman" w:hAnsi="Times New Roman" w:cs="Times New Roman"/>
          <w:sz w:val="28"/>
          <w:szCs w:val="28"/>
          <w:lang w:val="en-US"/>
        </w:rPr>
        <w:t>s</w:t>
      </w:r>
      <w:r w:rsidR="00475B7C" w:rsidRPr="001B27F8">
        <w:rPr>
          <w:rStyle w:val="fontstyle01"/>
          <w:color w:val="auto"/>
        </w:rPr>
        <w:t>IgG4</w:t>
      </w:r>
      <w:r w:rsidR="008C549A">
        <w:rPr>
          <w:rStyle w:val="fontstyle01"/>
          <w:color w:val="auto"/>
        </w:rPr>
        <w:t>)</w:t>
      </w:r>
      <w:r w:rsidR="00475B7C" w:rsidRPr="001B27F8">
        <w:rPr>
          <w:rStyle w:val="fontstyle01"/>
          <w:color w:val="auto"/>
        </w:rPr>
        <w:t xml:space="preserve"> и </w:t>
      </w:r>
      <w:r w:rsidR="00F505A8">
        <w:rPr>
          <w:rStyle w:val="fontstyle01"/>
          <w:color w:val="auto"/>
        </w:rPr>
        <w:t xml:space="preserve">иммуноглобулинов </w:t>
      </w:r>
      <w:r w:rsidR="00475B7C" w:rsidRPr="001B27F8">
        <w:rPr>
          <w:rStyle w:val="fontstyle01"/>
          <w:color w:val="auto"/>
        </w:rPr>
        <w:t xml:space="preserve">A, в основе </w:t>
      </w:r>
      <w:r w:rsidR="00F505A8">
        <w:rPr>
          <w:rStyle w:val="fontstyle01"/>
          <w:color w:val="auto"/>
        </w:rPr>
        <w:t>чего</w:t>
      </w:r>
      <w:r w:rsidR="00475B7C" w:rsidRPr="001B27F8">
        <w:rPr>
          <w:rStyle w:val="fontstyle01"/>
          <w:color w:val="auto"/>
        </w:rPr>
        <w:t xml:space="preserve"> лежит принцип снижения </w:t>
      </w:r>
      <w:r w:rsidR="00941CDF" w:rsidRPr="001B27F8">
        <w:rPr>
          <w:rFonts w:ascii="Times New Roman" w:hAnsi="Times New Roman" w:cs="Times New Roman"/>
          <w:sz w:val="28"/>
          <w:szCs w:val="28"/>
          <w:lang w:val="en-US"/>
        </w:rPr>
        <w:t>s</w:t>
      </w:r>
      <w:r w:rsidR="00941CDF" w:rsidRPr="001B27F8">
        <w:rPr>
          <w:rFonts w:ascii="Times New Roman" w:hAnsi="Times New Roman" w:cs="Times New Roman"/>
          <w:sz w:val="28"/>
          <w:szCs w:val="28"/>
        </w:rPr>
        <w:t>Ig</w:t>
      </w:r>
      <w:r w:rsidR="00941CDF">
        <w:rPr>
          <w:rFonts w:ascii="Times New Roman" w:hAnsi="Times New Roman" w:cs="Times New Roman"/>
          <w:sz w:val="28"/>
          <w:szCs w:val="28"/>
        </w:rPr>
        <w:t>Е</w:t>
      </w:r>
      <w:r w:rsidR="00941CDF" w:rsidRPr="001B27F8">
        <w:rPr>
          <w:rStyle w:val="fontstyle01"/>
          <w:color w:val="auto"/>
        </w:rPr>
        <w:t xml:space="preserve"> </w:t>
      </w:r>
      <w:r w:rsidR="00172F6A" w:rsidRPr="001B27F8">
        <w:rPr>
          <w:rStyle w:val="fontstyle01"/>
          <w:color w:val="auto"/>
        </w:rPr>
        <w:t>за счет</w:t>
      </w:r>
      <w:r w:rsidR="00475B7C" w:rsidRPr="001B27F8">
        <w:rPr>
          <w:rStyle w:val="fontstyle01"/>
          <w:color w:val="auto"/>
        </w:rPr>
        <w:t xml:space="preserve"> усиленной выработки </w:t>
      </w:r>
      <w:r w:rsidR="00C44C5B" w:rsidRPr="001B27F8">
        <w:rPr>
          <w:rFonts w:ascii="Times New Roman" w:hAnsi="Times New Roman" w:cs="Times New Roman"/>
          <w:sz w:val="28"/>
          <w:szCs w:val="28"/>
          <w:lang w:val="en-US"/>
        </w:rPr>
        <w:t>s</w:t>
      </w:r>
      <w:r w:rsidR="008C549A">
        <w:rPr>
          <w:rFonts w:ascii="Times New Roman" w:hAnsi="Times New Roman" w:cs="Times New Roman"/>
          <w:sz w:val="28"/>
          <w:szCs w:val="28"/>
        </w:rPr>
        <w:t>IgG4</w:t>
      </w:r>
      <w:r w:rsidR="00C44C5B" w:rsidRPr="001B27F8">
        <w:rPr>
          <w:rFonts w:ascii="Times New Roman" w:hAnsi="Times New Roman" w:cs="Times New Roman"/>
          <w:sz w:val="28"/>
          <w:szCs w:val="28"/>
        </w:rPr>
        <w:t xml:space="preserve"> </w:t>
      </w:r>
      <w:r w:rsidR="00475B7C" w:rsidRPr="001B27F8">
        <w:rPr>
          <w:rStyle w:val="fontstyle01"/>
          <w:color w:val="auto"/>
        </w:rPr>
        <w:t>и IgA</w:t>
      </w:r>
      <w:r w:rsidR="00172F6A" w:rsidRPr="001B27F8">
        <w:rPr>
          <w:rStyle w:val="fontstyle01"/>
          <w:color w:val="auto"/>
        </w:rPr>
        <w:t xml:space="preserve"> </w:t>
      </w:r>
      <w:r w:rsidR="00172F6A" w:rsidRPr="001B27F8">
        <w:rPr>
          <w:rStyle w:val="fontstyle01"/>
          <w:color w:val="auto"/>
        </w:rPr>
        <w:fldChar w:fldCharType="begin" w:fldLock="1"/>
      </w:r>
      <w:r w:rsidR="00765C06">
        <w:rPr>
          <w:rStyle w:val="fontstyle01"/>
          <w:color w:val="auto"/>
        </w:rPr>
        <w:instrText>ADDIN CSL_CITATION {"citationItems":[{"id":"ITEM-1","itemData":{"DOI":"10.1111/all.13138","ISSN":"13989995","PMID":"28152201","abstract":"Background: Allergen immunotherapy (AIT) is an effective treatment for allergic rhinoconjunctivitis (AR) with or without asthma. It is important to note that due to the complex interaction between patient, allergy triggers, symptomatology and vaccines used for AIT, some patients do not respond optimally to the treatment. Furthermore, there are no validated or generally accepted candidate biomarkers that are predictive of the clinical response to AIT. Clinical management of patients receiving AIT and efficacy in randomised controlled trials for drug development could be enhanced by predictive biomarkers. Method: The EAACI taskforce reviewed all candidate biomarkers used in clinical trials of AR patients with/without asthma in a literature review. Biomarkers were grouped into seven domains: (i) IgE (total IgE, specific IgE and sIgE/Total IgE ratio), (ii) IgG-subclasses (sIgG1, sIgG4 including SIgE/IgG4 ratio), (iii) Serum inhibitory activity for IgE (IgE-FAB and IgE-BF), (iv) Basophil activation, (v) Cytokines and Chemokines, (vi) Cellular markers (T regulatory cells, B regulatory cells and dendritic cells) and (vii) In vivo biomarkers (including provocation tests?). Results: All biomarkers were reviewed in the light of their potential advantages as well as their respective drawbacks. Unmet needs and specific recommendations on all seven domains were addressed. Conclusions: It is recommended to explore the use of allergen-specific IgG4 as a biomarker for compliance. sIgE/tIgE and IgE-FAB are considered as potential surrogate candidate biomarkers. Cytokine/chemokines and cellular reponses provided insight into the mechanisms of AIT. More studies for confirmation and interpretation of the possible association with the clinical response to AIT are needed.","author":[{"dropping-particle":"","family":"Shamji","given":"M. H.","non-dropping-particle":"","parse-names":false,"suffix":""},{"dropping-particle":"","family":"Kappen","given":"J. H.","non-dropping-particle":"","parse-names":false,"suffix":""},{"dropping-particle":"","family":"Akdis","given":"M.","non-dropping-particle":"","parse-names":false,"suffix":""},{"dropping-particle":"","family":"Jensen-Jarolim","given":"E.","non-dropping-particle":"","parse-names":false,"suffix":""},{"dropping-particle":"","family":"Knol","given":"E. F.","non-dropping-particle":"","parse-names":false,"suffix":""},{"dropping-particle":"","family":"Kleine-Tebbe","given":"J.","non-dropping-particle":"","parse-names":false,"suffix":""},{"dropping-particle":"","family":"Bohle","given":"B.","non-dropping-particle":"","parse-names":false,"suffix":""},{"dropping-particle":"","family":"Chaker","given":"A. M.","non-dropping-particle":"","parse-names":false,"suffix":""},{"dropping-particle":"","family":"Till","given":"S. J.","non-dropping-particle":"","parse-names":false,"suffix":""},{"dropping-particle":"","family":"Valenta","given":"R.","non-dropping-particle":"","parse-names":false,"suffix":""},{"dropping-particle":"","family":"Poulsen","given":"L. K.","non-dropping-particle":"","parse-names":false,"suffix":""},{"dropping-particle":"","family":"Calderon","given":"M. A.","non-dropping-particle":"","parse-names":false,"suffix":""},{"dropping-particle":"","family":"Demoly","given":"P.","non-dropping-particle":"","parse-names":false,"suffix":""},{"dropping-particle":"","family":"Pfaar","given":"O.","non-dropping-particle":"","parse-names":false,"suffix":""},{"dropping-particle":"","family":"Jacobsen","given":"L.","non-dropping-particle":"","parse-names":false,"suffix":""},{"dropping-particle":"","family":"Durham","given":"S. R.","non-dropping-particle":"","parse-names":false,"suffix":""},{"dropping-particle":"","family":"Schmidt-Weber","given":"C. B.","non-dropping-particle":"","parse-names":false,"suffix":""}],"container-title":"Allergy: European Journal of Allergy and Clinical Immunology","id":"ITEM-1","issue":"8","issued":{"date-parts":[["2017"]]},"page":"1156-1173","title":"Biomarkers for monitoring clinical efficacy of allergen immunotherapy for allergic rhinoconjunctivitis and allergic asthma: an EAACI Position Paper","type":"article-journal","volume":"72"},"uris":["http://www.mendeley.com/documents/?uuid=6a45e986-b728-4595-bfab-23ad3ed433d6"]},{"id":"ITEM-2","itemData":{"DOI":"10.1016/j.jaci.2017.09.052","ISSN":"10976825","PMID":"29361332","abstract":"Background: BM32 is a grass pollen allergy vaccine based on recombinant fusion proteins consisting of nonallergenic peptides from the IgE-binding sites of the 4 major grass pollen allergens and the hepatitis B preS protein. Objective: We sought to study the safety and clinical efficacy of immunotherapy (allergen immunotherapy) with BM32 in patients with grass pollen–induced rhinitis and controlled asthma. Methods: A double-blind, placebo-controlled, multicenter allergen immunotherapy field study was conducted for 2 grass pollen seasons. After a baseline season, subjects (n = 181) were randomized and received 3 preseasonal injections of either placebo (n = 58) or a low dose (80 μg, n = 60) or high dose (160 μg, n = 63) of BM32 in year 1, respectively, followed by a booster injection in autumn. In the second year, all actively treated subjects received 3 preseasonal injections of the BM32 low dose, and placebo-treated subjects continued with placebo. Clinical efficacy was assessed by using combined symptom medication scores, visual analog scales, Rhinoconjunctivitis Quality of Life Questionnaires, and asthma symptom scores. Adverse events were graded according to the European Academy of Allergy and Clinical Immunology. Allergen-specific antibodies were determined by using ELISA, ImmunoCAP, and ImmunoCAP ISAC. Results: Although statistical significance regarding the primary end point was not reached, BM32-treated subjects, when compared with placebo-treated subjects, showed an improvement regarding symptom medication, visual analog scale, Rhinoconjunctivitis Quality of Life Questionnaire, and asthma symptom scores in both treatment years. This was accompanied by an induction of allergen-specific IgG without induction of allergen-specific IgE and a reduction in the seasonally induced increase in allergen-specific IgE levels in year 2. In the first year, more grade 2 reactions were observed in the active (n = 6) versus placebo (n = 1) groups, whereas there was almost no difference in the second year. Conclusions: Injections of BM32 induced allergen-specific IgG, improved clinical symptoms of seasonal grass pollen allergy, and were well tolerated.","author":[{"dropping-particle":"","family":"Niederberger","given":"Verena","non-dropping-particle":"","parse-names":false,"suffix":""},{"dropping-particle":"","family":"Neubauer","given":"Angela","non-dropping-particle":"","parse-names":false,"suffix":""},{"dropping-particle":"","family":"Gevaert","given":"Philippe","non-dropping-particle":"","parse-names":false,"suffix":""},{"dropping-particle":"","family":"Zidarn","given":"Mihaela","non-dropping-particle":"","parse-names":false,"suffix":""},{"dropping-particle":"","family":"Worm","given":"Margitta","non-dropping-particle":"","parse-names":false,"suffix":""},{"dropping-particle":"","family":"Aberer","given":"Werner","non-dropping-particle":"","parse-names":false,"suffix":""},{"dropping-particle":"","family":"Malling","given":"Hans Jørgen","non-dropping-particle":"","parse-names":false,"suffix":""},{"dropping-particle":"","family":"Pfaar","given":"Oliver","non-dropping-particle":"","parse-names":false,"suffix":""},{"dropping-particle":"","family":"Klimek","given":"Ludger","non-dropping-particle":"","parse-names":false,"suffix":""},{"dropping-particle":"","family":"Pfützner","given":"Wolfgang","non-dropping-particle":"","parse-names":false,"suffix":""},{"dropping-particle":"","family":"Ring","given":"Johannes","non-dropping-particle":"","parse-names":false,"suffix":""},{"dropping-particle":"","family":"Darsow","given":"Ulf","non-dropping-particle":"","parse-names":false,"suffix":""},{"dropping-particle":"","family":"Novak","given":"Natalija","non-dropping-particle":"","parse-names":false,"suffix":""},{"dropping-particle":"","family":"Gerth van Wijk","given":"Roy","non-dropping-particle":"","parse-names":false,"suffix":""},{"dropping-particle":"","family":"Eckl-Dorna","given":"Julia","non-dropping-particle":"","parse-names":false,"suffix":""},{"dropping-particle":"","family":"Focke-Tejkl","given":"Margarete","non-dropping-particle":"","parse-names":false,"suffix":""},{"dropping-particle":"","family":"Weber","given":"Milena","non-dropping-particle":"","parse-names":false,"suffix":""},{"dropping-particle":"","family":"Müller","given":"Hans Helge","non-dropping-particle":"","parse-names":false,"suffix":""},{"dropping-particle":"","family":"Klinger","given":"Joachim","non-dropping-particle":"","parse-names":false,"suffix":""},{"dropping-particle":"","family":"Stolz","given":"Frank","non-dropping-particle":"","parse-names":false,"suffix":""},{"dropping-particle":"","family":"Breit","given":"Nora","non-dropping-particle":"","parse-names":false,"suffix":""},{"dropping-particle":"","family":"Henning","given":"Rainer","non-dropping-particle":"","parse-names":false,"suffix":""},{"dropping-particle":"","family":"Valenta","given":"Rudolf","non-dropping-particle":"","parse-names":false,"suffix":""}],"container-title":"Journal of Allergy and Clinical Immunology","id":"ITEM-2","issue":"2","issued":{"date-parts":[["2018"]]},"page":"497-509.e9","title":"Safety and efficacy of immunotherapy with the recombinant B-cell epitope–based grass pollen vaccine BM32","type":"article-journal","volume":"142"},"uris":["http://www.mendeley.com/documents/?uuid=71e01c05-3f72-4f6e-9ed4-f209f06329ea"]}],"mendeley":{"formattedCitation":"[67,68]","plainTextFormattedCitation":"[67,68]","previouslyFormattedCitation":"[67,68]"},"properties":{"noteIndex":0},"schema":"https://github.com/citation-style-language/schema/raw/master/csl-citation.json"}</w:instrText>
      </w:r>
      <w:r w:rsidR="00172F6A" w:rsidRPr="001B27F8">
        <w:rPr>
          <w:rStyle w:val="fontstyle01"/>
          <w:color w:val="auto"/>
        </w:rPr>
        <w:fldChar w:fldCharType="separate"/>
      </w:r>
      <w:r w:rsidR="00877069" w:rsidRPr="00877069">
        <w:rPr>
          <w:rStyle w:val="fontstyle01"/>
          <w:noProof/>
          <w:color w:val="auto"/>
        </w:rPr>
        <w:t>[67,68]</w:t>
      </w:r>
      <w:r w:rsidR="00172F6A" w:rsidRPr="001B27F8">
        <w:rPr>
          <w:rStyle w:val="fontstyle01"/>
          <w:color w:val="auto"/>
        </w:rPr>
        <w:fldChar w:fldCharType="end"/>
      </w:r>
      <w:r w:rsidR="00475B7C" w:rsidRPr="006D7C8A">
        <w:rPr>
          <w:rStyle w:val="fontstyle01"/>
          <w:color w:val="auto"/>
        </w:rPr>
        <w:t xml:space="preserve">. </w:t>
      </w:r>
      <w:r w:rsidR="00100A2F" w:rsidRPr="001B27F8">
        <w:rPr>
          <w:rStyle w:val="fontstyle01"/>
          <w:color w:val="auto"/>
        </w:rPr>
        <w:t>И наконец, четвертый механизм реализуется за счет сокращения</w:t>
      </w:r>
      <w:r w:rsidRPr="001B27F8">
        <w:rPr>
          <w:rStyle w:val="fontstyle01"/>
          <w:color w:val="auto"/>
        </w:rPr>
        <w:t xml:space="preserve"> численности и активности эффекторных клеток в слизистой органов-мишеней, в том чис</w:t>
      </w:r>
      <w:r w:rsidR="00C5518A" w:rsidRPr="001B27F8">
        <w:rPr>
          <w:rStyle w:val="fontstyle01"/>
          <w:color w:val="auto"/>
        </w:rPr>
        <w:t>ле тучных клеток, базофилов, эозинофилов</w:t>
      </w:r>
      <w:r w:rsidRPr="001B27F8">
        <w:rPr>
          <w:rStyle w:val="fontstyle01"/>
          <w:color w:val="auto"/>
        </w:rPr>
        <w:t>, а также уменьшение активности базофилов, циркулирующих в периферическом</w:t>
      </w:r>
      <w:r w:rsidR="00A46D1D" w:rsidRPr="001B27F8">
        <w:rPr>
          <w:rStyle w:val="fontstyle01"/>
          <w:color w:val="auto"/>
        </w:rPr>
        <w:t xml:space="preserve"> кровотоке</w:t>
      </w:r>
      <w:r w:rsidR="00C5518A" w:rsidRPr="001B27F8">
        <w:rPr>
          <w:rStyle w:val="fontstyle01"/>
          <w:color w:val="auto"/>
        </w:rPr>
        <w:t xml:space="preserve"> </w:t>
      </w:r>
      <w:r w:rsidR="00C5518A" w:rsidRPr="001B27F8">
        <w:rPr>
          <w:rStyle w:val="fontstyle01"/>
          <w:color w:val="auto"/>
        </w:rPr>
        <w:fldChar w:fldCharType="begin" w:fldLock="1"/>
      </w:r>
      <w:r w:rsidR="00765C06">
        <w:rPr>
          <w:rStyle w:val="fontstyle01"/>
          <w:color w:val="auto"/>
        </w:rPr>
        <w:instrText>ADDIN CSL_CITATION {"citationItems":[{"id":"ITEM-1","itemData":{"DOI":"10.1007/s12016-018-8678-z","ISBN":"1201601886","ISSN":"15590267","PMID":"29455358","abstract":"The incidence of allergic conditions has continued to rise over the past several decades, with a growing body of research dedicated toward the treatment of such conditions. By driving a complex range of changes in the underlying immune response, immunotherapy is the only therapy that modulates the immune system with long-term effects and is presently utilized for the treatment of several atopic conditions. Recent efforts have focused on identifying biomarkers associated with these changes that may be of use in predicting patients with the highest likelihood of positive clinical outcomes during allergen immunotherapy (AIT), providing guidance regarding AIT discontinuation, and predicting symptomatic relapse and the need for booster AIT after therapy. The identification of such biomarkers in food allergy has the additional benefit of replacing oral food challenges, which are presently the gold standard for diagnosing food allergies. While several markers have shown early promise, research has yet to identify a marker that can invariably predict clinical response to AIT. Skin prick testing (SPT) and specific IgE have commonly been used as inclusion criteria for the initiation of AIT and prediction of reactions during subsequent allergen challenge; however, existing data suggests that changes in these markers are not always associated with clinical improvement and can be widely variable, reducing their utility in predicting clinical response. Similar findings have been described for the use of allergen-specific functional IgG4 antibodies, basophil activation and histamine release, and type 2 innate lymphoid cells. There appears to be a promising association between changes in the expression of dendritic cell-associated markers, as well as the use of DNA promoter region methylation patterns in the prediction of allergy status following therapy. The cellular and molecular changes brought about by immunotherapy are still under investigation, but major strides in our understanding are being made.","author":[{"dropping-particle":"","family":"Sindher","given":"Sayantani B.","non-dropping-particle":"","parse-names":false,"suffix":""},{"dropping-particle":"","family":"Long","given":"Andrew","non-dropping-particle":"","parse-names":false,"suffix":""},{"dropping-particle":"","family":"Acharya","given":"Swati","non-dropping-particle":"","parse-names":false,"suffix":""},{"dropping-particle":"","family":"Sampath","given":"Vanitha","non-dropping-particle":"","parse-names":false,"suffix":""},{"dropping-particle":"","family":"Nadeau","given":"Kari C.","non-dropping-particle":"","parse-names":false,"suffix":""}],"container-title":"Clinical Reviews in Allergy and Immunology","id":"ITEM-1","issue":"2","issued":{"date-parts":[["2018"]]},"page":"190-204","publisher":"Clinical Reviews in Allergy &amp; Immunology","title":"The Use of Biomarkers to Predict Aero-Allergen and Food Immunotherapy Responses","type":"article-journal","volume":"55"},"uris":["http://www.mendeley.com/documents/?uuid=43eab3b7-44bb-439a-9c41-5d5428124def"]}],"mendeley":{"formattedCitation":"[69]","plainTextFormattedCitation":"[69]","previouslyFormattedCitation":"[69]"},"properties":{"noteIndex":0},"schema":"https://github.com/citation-style-language/schema/raw/master/csl-citation.json"}</w:instrText>
      </w:r>
      <w:r w:rsidR="00C5518A" w:rsidRPr="001B27F8">
        <w:rPr>
          <w:rStyle w:val="fontstyle01"/>
          <w:color w:val="auto"/>
        </w:rPr>
        <w:fldChar w:fldCharType="separate"/>
      </w:r>
      <w:r w:rsidR="00877069" w:rsidRPr="00877069">
        <w:rPr>
          <w:rStyle w:val="fontstyle01"/>
          <w:noProof/>
          <w:color w:val="auto"/>
        </w:rPr>
        <w:t>[69]</w:t>
      </w:r>
      <w:r w:rsidR="00C5518A" w:rsidRPr="001B27F8">
        <w:rPr>
          <w:rStyle w:val="fontstyle01"/>
          <w:color w:val="auto"/>
        </w:rPr>
        <w:fldChar w:fldCharType="end"/>
      </w:r>
      <w:r w:rsidRPr="001B27F8">
        <w:rPr>
          <w:rStyle w:val="fontstyle01"/>
          <w:color w:val="auto"/>
        </w:rPr>
        <w:t>. Понимание механизмов, лежащих в основе индукции и устойчивость иммунологической толерантности, является ключевым моментом для выявления новых, более эффективных стратегий, адаптированных к индивидуальной схеме терапии, а также с целью определения прогностических биомаркеров клинического ответа</w:t>
      </w:r>
      <w:r w:rsidR="00172F6A" w:rsidRPr="001B27F8">
        <w:rPr>
          <w:rStyle w:val="fontstyle01"/>
          <w:color w:val="auto"/>
        </w:rPr>
        <w:t xml:space="preserve"> </w:t>
      </w:r>
      <w:r w:rsidR="00172F6A" w:rsidRPr="001B27F8">
        <w:rPr>
          <w:rStyle w:val="fontstyle01"/>
          <w:color w:val="auto"/>
        </w:rPr>
        <w:fldChar w:fldCharType="begin" w:fldLock="1"/>
      </w:r>
      <w:r w:rsidR="00765C06">
        <w:rPr>
          <w:rStyle w:val="fontstyle01"/>
          <w:color w:val="auto"/>
        </w:rPr>
        <w:instrText>ADDIN CSL_CITATION {"citationItems":[{"id":"ITEM-1","itemData":{"DOI":"10.1097/ACI.0000000000000216","ISBN":"0000000000000","ISSN":"14736322","PMID":"26509663","abstract":"Purpose of review: The aims of this review are to discuss the impact of chronic high-dose allergen exposure on allergenspecific CD4(+) T-cell subset during allergen-specific immunotherapy (AIT) and discuss recent advances supporting novel mechanisms for desensitization and tolerance induction during AIT. Recent findings: New technologies for direct molecular and cellular analysis have now provided an unprecedented opportunity to compare the functions and phenotypes of allergen-specific T cells at a single cell level, both in the context of disease and clinical intervention. Recent studies have demonstrated that AIT may restore tolerance by transiently inducing interleukin (IL)-10 producing T cells followed by selective deletion of allergen-specific TH2 cell subset. Summary: With antigen-specific TH2 cells at the core of the allergic process in atopic individuals, the duration and dose of antigen exposure can be the driving force behind current AIT protocol. Mechanisms modulating allergen-specific CD4(+) T-cell responses may include autocrine IL-10 production to limit excessive TH2 cell effector responses, T-cell exhaustion, and preferential proallergic TH2 cell deletion allowing concurrent downregulating T-cell responses to emerge. Administration of AIT in the context of immune modulating strategies able to induce counter-regulatory immune response may lead to improved AIT with durable clinical benefit.","author":[{"dropping-particle":"","family":"Wambre","given":"Erik","non-dropping-particle":"","parse-names":false,"suffix":""}],"container-title":"Current Opinion in Allergy and Clinical Immunology","id":"ITEM-1","issue":"6","issued":{"date-parts":[["2015"]]},"page":"581-587","title":"Effect of allergen-specific immunotherapy on CD4+ T cells","type":"article-journal","volume":"15"},"uris":["http://www.mendeley.com/documents/?uuid=ba41d068-1762-4e6c-b705-27ea95bc5d81"]}],"mendeley":{"formattedCitation":"[70]","plainTextFormattedCitation":"[70]","previouslyFormattedCitation":"[70]"},"properties":{"noteIndex":0},"schema":"https://github.com/citation-style-language/schema/raw/master/csl-citation.json"}</w:instrText>
      </w:r>
      <w:r w:rsidR="00172F6A" w:rsidRPr="001B27F8">
        <w:rPr>
          <w:rStyle w:val="fontstyle01"/>
          <w:color w:val="auto"/>
        </w:rPr>
        <w:fldChar w:fldCharType="separate"/>
      </w:r>
      <w:r w:rsidR="00877069" w:rsidRPr="00877069">
        <w:rPr>
          <w:rStyle w:val="fontstyle01"/>
          <w:noProof/>
          <w:color w:val="auto"/>
        </w:rPr>
        <w:t>[70]</w:t>
      </w:r>
      <w:r w:rsidR="00172F6A" w:rsidRPr="001B27F8">
        <w:rPr>
          <w:rStyle w:val="fontstyle01"/>
          <w:color w:val="auto"/>
        </w:rPr>
        <w:fldChar w:fldCharType="end"/>
      </w:r>
      <w:r w:rsidRPr="001B27F8">
        <w:rPr>
          <w:rStyle w:val="fontstyle01"/>
          <w:color w:val="auto"/>
        </w:rPr>
        <w:t>.</w:t>
      </w:r>
    </w:p>
    <w:p w14:paraId="2A37B7D4" w14:textId="0DF3CEA8" w:rsidR="008F4275" w:rsidRPr="001B27F8" w:rsidRDefault="003F65A0" w:rsidP="001B27F8">
      <w:pPr>
        <w:pStyle w:val="a3"/>
        <w:tabs>
          <w:tab w:val="left" w:pos="851"/>
        </w:tabs>
        <w:spacing w:after="0" w:line="240" w:lineRule="auto"/>
        <w:ind w:left="0" w:firstLine="567"/>
        <w:jc w:val="both"/>
        <w:rPr>
          <w:rStyle w:val="fontstyle01"/>
          <w:b/>
          <w:color w:val="auto"/>
        </w:rPr>
      </w:pPr>
      <w:r w:rsidRPr="001B27F8">
        <w:rPr>
          <w:rStyle w:val="fontstyle01"/>
          <w:b/>
          <w:color w:val="auto"/>
        </w:rPr>
        <w:t>Индукция ранней десенситизиции</w:t>
      </w:r>
    </w:p>
    <w:p w14:paraId="13228149" w14:textId="38A9ED62" w:rsidR="005F57F4" w:rsidRPr="001B27F8" w:rsidRDefault="00CF1A04" w:rsidP="001B27F8">
      <w:pPr>
        <w:pStyle w:val="a3"/>
        <w:tabs>
          <w:tab w:val="left" w:pos="851"/>
        </w:tabs>
        <w:spacing w:after="0" w:line="240" w:lineRule="auto"/>
        <w:ind w:left="0" w:firstLine="567"/>
        <w:jc w:val="both"/>
        <w:rPr>
          <w:rStyle w:val="fontstyle01"/>
          <w:color w:val="auto"/>
        </w:rPr>
      </w:pPr>
      <w:r w:rsidRPr="001B27F8">
        <w:rPr>
          <w:rStyle w:val="fontstyle01"/>
          <w:color w:val="auto"/>
        </w:rPr>
        <w:t xml:space="preserve">Подавление ранней фазы аллергической реакции </w:t>
      </w:r>
      <w:r w:rsidR="005A776B" w:rsidRPr="001B27F8">
        <w:rPr>
          <w:rStyle w:val="fontstyle01"/>
          <w:color w:val="auto"/>
        </w:rPr>
        <w:t xml:space="preserve">характеризуется селективным подавлением гистаминовых рецепторов, что </w:t>
      </w:r>
      <w:r w:rsidRPr="001B27F8">
        <w:rPr>
          <w:rStyle w:val="fontstyle01"/>
          <w:color w:val="auto"/>
        </w:rPr>
        <w:t>способствует</w:t>
      </w:r>
      <w:r w:rsidR="005A776B" w:rsidRPr="001B27F8">
        <w:rPr>
          <w:rStyle w:val="fontstyle01"/>
          <w:color w:val="auto"/>
        </w:rPr>
        <w:t xml:space="preserve"> </w:t>
      </w:r>
      <w:r w:rsidR="00817E9A" w:rsidRPr="001B27F8">
        <w:rPr>
          <w:rStyle w:val="fontstyle01"/>
          <w:color w:val="auto"/>
        </w:rPr>
        <w:t xml:space="preserve">очень раннему </w:t>
      </w:r>
      <w:r w:rsidR="005A776B" w:rsidRPr="001B27F8">
        <w:rPr>
          <w:rStyle w:val="fontstyle01"/>
          <w:color w:val="auto"/>
        </w:rPr>
        <w:t>снижению восприимчивости тучных клеток, эозиноф</w:t>
      </w:r>
      <w:r w:rsidRPr="001B27F8">
        <w:rPr>
          <w:rStyle w:val="fontstyle01"/>
          <w:color w:val="auto"/>
        </w:rPr>
        <w:t xml:space="preserve">илов и </w:t>
      </w:r>
      <w:r w:rsidR="00817E9A" w:rsidRPr="001B27F8">
        <w:rPr>
          <w:rStyle w:val="fontstyle01"/>
          <w:color w:val="auto"/>
        </w:rPr>
        <w:t xml:space="preserve">базофилов к дегрануляции, несмотря на наличие повышенных уровней </w:t>
      </w:r>
      <w:r w:rsidR="00941CDF">
        <w:rPr>
          <w:rStyle w:val="fontstyle01"/>
          <w:color w:val="auto"/>
          <w:lang w:val="en-US"/>
        </w:rPr>
        <w:t>s</w:t>
      </w:r>
      <w:r w:rsidR="00817E9A" w:rsidRPr="001B27F8">
        <w:rPr>
          <w:rStyle w:val="fontstyle01"/>
          <w:color w:val="auto"/>
        </w:rPr>
        <w:t xml:space="preserve">IgE. </w:t>
      </w:r>
      <w:r w:rsidR="005F57F4" w:rsidRPr="001B27F8">
        <w:rPr>
          <w:rStyle w:val="fontstyle01"/>
          <w:color w:val="auto"/>
        </w:rPr>
        <w:t xml:space="preserve">Было изучено участие базофилов в ранней фазе индукции толерантности к аллергенам в процессе АСИТ </w:t>
      </w:r>
      <w:r w:rsidR="00C95A28" w:rsidRPr="001B27F8">
        <w:rPr>
          <w:rStyle w:val="fontstyle01"/>
          <w:color w:val="auto"/>
        </w:rPr>
        <w:fldChar w:fldCharType="begin" w:fldLock="1"/>
      </w:r>
      <w:r w:rsidR="00765C06">
        <w:rPr>
          <w:rStyle w:val="fontstyle01"/>
          <w:color w:val="auto"/>
        </w:rPr>
        <w:instrText>ADDIN CSL_CITATION {"citationItems":[{"id":"ITEM-1","itemData":{"DOI":"10.1016/j.jaci.2015.12.1300","ISSN":"10976825","PMID":"26853128","abstract":"This article continues the comprehensive international consensus (ICON) statement on allergen immunotherapy (AIT). The initial article also recently appeared in the Journal. The conclusions below focus on key mechanisms of AIT-triggered tolerance, requirements in allergen standardization, AIT cost-effectiveness, and regulatory guidance. Potential barriers to and facilitators of the use of AIT are described in addition to future directions. International allergy specialists representing the European Academy of Allergy and Clinical Immunology; the American Academy of Allergy, Asthma &amp; Immunology; the American College of Allergy, Asthma and Immunology; and the World Allergy Organization critically reviewed the existing literature and prepared this summary of recommendations for best AIT practice. The authors contributed equally and reached consensus on the statements presented herein.","author":[{"dropping-particle":"","family":"Jutel","given":"Marek","non-dropping-particle":"","parse-names":false,"suffix":""},{"dropping-particle":"","family":"Agache","given":"Ioana","non-dropping-particle":"","parse-names":false,"suffix":""},{"dropping-particle":"","family":"Bonini","given":"Sergio","non-dropping-particle":"","parse-names":false,"suffix":""},{"dropping-particle":"","family":"Burks","given":"A. Wesley","non-dropping-particle":"","parse-names":false,"suffix":""},{"dropping-particle":"","family":"Calderon","given":"Moises","non-dropping-particle":"","parse-names":false,"suffix":""},{"dropping-particle":"","family":"Canonica","given":"Walter","non-dropping-particle":"","parse-names":false,"suffix":""},{"dropping-particle":"","family":"Cox","given":"Linda","non-dropping-particle":"","parse-names":false,"suffix":""},{"dropping-particle":"","family":"Demoly","given":"Pascal","non-dropping-particle":"","parse-names":false,"suffix":""},{"dropping-particle":"","family":"Frew","given":"Antony J.","non-dropping-particle":"","parse-names":false,"suffix":""},{"dropping-particle":"","family":"O'Hehir","given":"Robyn","non-dropping-particle":"","parse-names":false,"suffix":""},{"dropping-particle":"","family":"Kleine-Tebbe","given":"Jörg","non-dropping-particle":"","parse-names":false,"suffix":""},{"dropping-particle":"","family":"Muraro","given":"Antonella","non-dropping-particle":"","parse-names":false,"suffix":""},{"dropping-particle":"","family":"Lack","given":"Gideon","non-dropping-particle":"","parse-names":false,"suffix":""},{"dropping-particle":"","family":"Larenas","given":"Désirée","non-dropping-particle":"","parse-names":false,"suffix":""},{"dropping-particle":"","family":"Levin","given":"Michael","non-dropping-particle":"","parse-names":false,"suffix":""},{"dropping-particle":"","family":"Martin","given":"Bryan L.","non-dropping-particle":"","parse-names":false,"suffix":""},{"dropping-particle":"","family":"Nelson","given":"Harald","non-dropping-particle":"","parse-names":false,"suffix":""},{"dropping-particle":"","family":"Pawankar","given":"Ruby","non-dropping-particle":"","parse-names":false,"suffix":""},{"dropping-particle":"","family":"Pfaar","given":"Oliver","non-dropping-particle":"","parse-names":false,"suffix":""},{"dropping-particle":"","family":"Ree","given":"Ronald","non-dropping-particle":"Van","parse-names":false,"suffix":""},{"dropping-particle":"","family":"Sampson","given":"Hugh","non-dropping-particle":"","parse-names":false,"suffix":""},{"dropping-particle":"","family":"Sublett","given":"James L.","non-dropping-particle":"","parse-names":false,"suffix":""},{"dropping-particle":"","family":"Sugita","given":"Kazunari","non-dropping-particle":"","parse-names":false,"suffix":""},{"dropping-particle":"","family":"Toit","given":"George","non-dropping-particle":"Du","parse-names":false,"suffix":""},{"dropping-particle":"","family":"Werfel","given":"Thomas","non-dropping-particle":"","parse-names":false,"suffix":""},{"dropping-particle":"","family":"Gerth Van Wijk","given":"Roy","non-dropping-particle":"","parse-names":false,"suffix":""},{"dropping-particle":"","family":"Zhang","given":"Luo","non-dropping-particle":"","parse-names":false,"suffix":""},{"dropping-particle":"","family":"Akdis","given":"Mübeccel","non-dropping-particle":"","parse-names":false,"suffix":""},{"dropping-particle":"","family":"Akdis","given":"Cezmi A.","non-dropping-particle":"","parse-names":false,"suffix":""}],"container-title":"Journal of Allergy and Clinical Immunology","id":"ITEM-1","issue":"2","issued":{"date-parts":[["2016"]]},"page":"358-368","title":"International Consensus on Allergen Immunotherapy II: Mechanisms, standardization, and pharmacoeconomics","type":"article-journal","volume":"137"},"uris":["http://www.mendeley.com/documents/?uuid=addaa286-7c6e-44d3-95a1-949bbcdd8dc2"]}],"mendeley":{"formattedCitation":"[5]","plainTextFormattedCitation":"[5]","previouslyFormattedCitation":"[5]"},"properties":{"noteIndex":0},"schema":"https://github.com/citation-style-language/schema/raw/master/csl-citation.json"}</w:instrText>
      </w:r>
      <w:r w:rsidR="00C95A28" w:rsidRPr="001B27F8">
        <w:rPr>
          <w:rStyle w:val="fontstyle01"/>
          <w:color w:val="auto"/>
        </w:rPr>
        <w:fldChar w:fldCharType="separate"/>
      </w:r>
      <w:r w:rsidR="00877069" w:rsidRPr="00877069">
        <w:rPr>
          <w:rStyle w:val="fontstyle01"/>
          <w:noProof/>
          <w:color w:val="auto"/>
        </w:rPr>
        <w:t>[5]</w:t>
      </w:r>
      <w:r w:rsidR="00C95A28" w:rsidRPr="001B27F8">
        <w:rPr>
          <w:rStyle w:val="fontstyle01"/>
          <w:color w:val="auto"/>
        </w:rPr>
        <w:fldChar w:fldCharType="end"/>
      </w:r>
      <w:r w:rsidR="00C95A28" w:rsidRPr="001B27F8">
        <w:rPr>
          <w:rStyle w:val="fontstyle01"/>
          <w:color w:val="auto"/>
        </w:rPr>
        <w:t>.</w:t>
      </w:r>
      <w:r w:rsidR="005F57F4" w:rsidRPr="001B27F8">
        <w:rPr>
          <w:rStyle w:val="fontstyle01"/>
          <w:color w:val="auto"/>
        </w:rPr>
        <w:t xml:space="preserve"> В течение первых 6 часов наблюдалась быстрая регуляция гистаминовых рецепторов, которая подавляла активацию и выс</w:t>
      </w:r>
      <w:r w:rsidR="00C95A28" w:rsidRPr="001B27F8">
        <w:rPr>
          <w:rStyle w:val="fontstyle01"/>
          <w:color w:val="auto"/>
        </w:rPr>
        <w:t>вобождение медиатора базофилов</w:t>
      </w:r>
      <w:r w:rsidR="005F57F4" w:rsidRPr="001B27F8">
        <w:rPr>
          <w:rStyle w:val="fontstyle01"/>
          <w:color w:val="auto"/>
        </w:rPr>
        <w:t>, а также гистмаиновый рецептор обладает сильной иммунорегулирующей активностью в отношении Т-клеток, дендритных клеток (ДК) и базофилов</w:t>
      </w:r>
      <w:r w:rsidR="002A3097">
        <w:rPr>
          <w:rStyle w:val="fontstyle01"/>
          <w:color w:val="auto"/>
        </w:rPr>
        <w:t xml:space="preserve"> </w:t>
      </w:r>
      <w:r w:rsidR="002A3097" w:rsidRPr="001B27F8">
        <w:rPr>
          <w:rStyle w:val="fontstyle01"/>
          <w:color w:val="auto"/>
        </w:rPr>
        <w:fldChar w:fldCharType="begin" w:fldLock="1"/>
      </w:r>
      <w:r w:rsidR="00765C06">
        <w:rPr>
          <w:rStyle w:val="fontstyle01"/>
          <w:color w:val="auto"/>
        </w:rPr>
        <w:instrText>ADDIN CSL_CITATION {"citationItems":[{"id":"ITEM-1","itemData":{"DOI":"10.1016/j.jaci.2012.04.039","ISSN":"10976825","PMID":"22698521","abstract":"Background: Early desensitization of FcεRI-bearing mast cells and basophils has been demonstrated in allergen-specific immunotherapy and drug desensitization. However, its mechanisms have not been elucidated in detail. Histamine is one of the main mediators released on FcεRI triggering of basophils and mast cells, and it exerts its functions through histamine receptors (HRs). Objectives: We sought to investigate HR expression on basophils of patients undergoing venom immunotherapy (VIT) and its effect on allergen, IgE, and FcεRI cross-linking-mediated basophil function and mediator release. Methods: Basophils were purified from the peripheral blood of patients undergoing VIT and control subjects and were studied functionally by using real-time PCR, flow cytometry and ELISA assays. Results: Rapid upregulation of H2R within the first 6 hours of the build-up phase of VIT was observed. H2R strongly suppressed FcεRI-induced activation and mediator release of basophils, including histamine and sulfidoleukotrienes, as well as cytokine production in vitro. Conclusion: Immunosilencing of FcεRI-activated basophils by means of selective suppression mediated by H2R might be highly relevant for the very early induction of allergen tolerance and the so-called desensitization effect of VIT. © 2012 American Academy of Allergy, Asthma &amp; Immunology.","author":[{"dropping-particle":"","family":"Novak","given":"Natalija","non-dropping-particle":"","parse-names":false,"suffix":""},{"dropping-particle":"","family":"Mete","given":"Nihal","non-dropping-particle":"","parse-names":false,"suffix":""},{"dropping-particle":"","family":"Bussmann","given":"Caroline","non-dropping-particle":"","parse-names":false,"suffix":""},{"dropping-particle":"","family":"Maintz","given":"Laura","non-dropping-particle":"","parse-names":false,"suffix":""},{"dropping-particle":"","family":"Bieber","given":"Thomas","non-dropping-particle":"","parse-names":false,"suffix":""},{"dropping-particle":"","family":"Akdis","given":"Mübeccel","non-dropping-particle":"","parse-names":false,"suffix":""},{"dropping-particle":"","family":"Zumkehr","given":"Judith","non-dropping-particle":"","parse-names":false,"suffix":""},{"dropping-particle":"","family":"Jutel","given":"Marek","non-dropping-particle":"","parse-names":false,"suffix":""},{"dropping-particle":"","family":"Akdis","given":"Cezmi","non-dropping-particle":"","parse-names":false,"suffix":""}],"container-title":"Journal of Allergy and Clinical Immunology","id":"ITEM-1","issue":"5","issued":{"date-parts":[["2012"]]},"page":"2-9","title":"Early suppression of basophil activation during allergen-specific immunotherapy by histamine receptor 2","type":"article-journal","volume":"130"},"uris":["http://www.mendeley.com/documents/?uuid=d9d614f9-87ab-4745-8bd6-ee0f1d05f4b2"]}],"mendeley":{"formattedCitation":"[71]","plainTextFormattedCitation":"[71]","previouslyFormattedCitation":"[71]"},"properties":{"noteIndex":0},"schema":"https://github.com/citation-style-language/schema/raw/master/csl-citation.json"}</w:instrText>
      </w:r>
      <w:r w:rsidR="002A3097" w:rsidRPr="001B27F8">
        <w:rPr>
          <w:rStyle w:val="fontstyle01"/>
          <w:color w:val="auto"/>
        </w:rPr>
        <w:fldChar w:fldCharType="separate"/>
      </w:r>
      <w:r w:rsidR="00877069" w:rsidRPr="00877069">
        <w:rPr>
          <w:rStyle w:val="fontstyle01"/>
          <w:noProof/>
          <w:color w:val="auto"/>
        </w:rPr>
        <w:t>[71]</w:t>
      </w:r>
      <w:r w:rsidR="002A3097" w:rsidRPr="001B27F8">
        <w:rPr>
          <w:rStyle w:val="fontstyle01"/>
          <w:color w:val="auto"/>
        </w:rPr>
        <w:fldChar w:fldCharType="end"/>
      </w:r>
      <w:r w:rsidR="00C60F18" w:rsidRPr="001B27F8">
        <w:rPr>
          <w:rStyle w:val="fontstyle01"/>
          <w:color w:val="auto"/>
        </w:rPr>
        <w:t>.</w:t>
      </w:r>
    </w:p>
    <w:p w14:paraId="698005F0" w14:textId="6A985692" w:rsidR="003F65A0" w:rsidRPr="001B27F8" w:rsidRDefault="003F65A0" w:rsidP="001B27F8">
      <w:pPr>
        <w:pStyle w:val="a3"/>
        <w:tabs>
          <w:tab w:val="left" w:pos="851"/>
        </w:tabs>
        <w:spacing w:after="0" w:line="240" w:lineRule="auto"/>
        <w:ind w:left="0" w:firstLine="567"/>
        <w:jc w:val="both"/>
        <w:rPr>
          <w:rStyle w:val="fontstyle01"/>
          <w:b/>
          <w:color w:val="auto"/>
        </w:rPr>
      </w:pPr>
      <w:r w:rsidRPr="001B27F8">
        <w:rPr>
          <w:rStyle w:val="fontstyle01"/>
          <w:b/>
          <w:color w:val="auto"/>
        </w:rPr>
        <w:t>Регуляторные Т- и В-клетки</w:t>
      </w:r>
    </w:p>
    <w:p w14:paraId="3DD86930" w14:textId="66C6BA89" w:rsidR="001F4EA9" w:rsidRPr="001B27F8" w:rsidRDefault="00EC2549" w:rsidP="001B27F8">
      <w:pPr>
        <w:pStyle w:val="a3"/>
        <w:tabs>
          <w:tab w:val="left" w:pos="851"/>
        </w:tabs>
        <w:spacing w:after="0" w:line="240" w:lineRule="auto"/>
        <w:ind w:left="0" w:firstLine="567"/>
        <w:jc w:val="both"/>
        <w:rPr>
          <w:rFonts w:ascii="Times New Roman" w:hAnsi="Times New Roman" w:cs="Times New Roman"/>
          <w:sz w:val="28"/>
          <w:szCs w:val="28"/>
        </w:rPr>
      </w:pPr>
      <w:r w:rsidRPr="001B27F8">
        <w:rPr>
          <w:rFonts w:ascii="Times New Roman" w:hAnsi="Times New Roman" w:cs="Times New Roman"/>
          <w:sz w:val="28"/>
          <w:szCs w:val="28"/>
        </w:rPr>
        <w:t>Регуляторные Т-</w:t>
      </w:r>
      <w:r w:rsidR="008F417D" w:rsidRPr="001B27F8">
        <w:rPr>
          <w:rFonts w:ascii="Times New Roman" w:hAnsi="Times New Roman" w:cs="Times New Roman"/>
          <w:sz w:val="28"/>
          <w:szCs w:val="28"/>
        </w:rPr>
        <w:t xml:space="preserve"> и В-</w:t>
      </w:r>
      <w:r w:rsidRPr="001B27F8">
        <w:rPr>
          <w:rFonts w:ascii="Times New Roman" w:hAnsi="Times New Roman" w:cs="Times New Roman"/>
          <w:sz w:val="28"/>
          <w:szCs w:val="28"/>
        </w:rPr>
        <w:t>клетки (</w:t>
      </w:r>
      <w:r w:rsidRPr="001B27F8">
        <w:rPr>
          <w:rFonts w:ascii="Times New Roman" w:hAnsi="Times New Roman" w:cs="Times New Roman"/>
          <w:sz w:val="28"/>
          <w:szCs w:val="28"/>
          <w:lang w:val="en-US"/>
        </w:rPr>
        <w:t>T</w:t>
      </w:r>
      <w:r w:rsidR="008423B8" w:rsidRPr="001B27F8">
        <w:rPr>
          <w:rFonts w:ascii="Times New Roman" w:hAnsi="Times New Roman" w:cs="Times New Roman"/>
          <w:sz w:val="28"/>
          <w:szCs w:val="28"/>
        </w:rPr>
        <w:t>-</w:t>
      </w:r>
      <w:r w:rsidRPr="001B27F8">
        <w:rPr>
          <w:rFonts w:ascii="Times New Roman" w:hAnsi="Times New Roman" w:cs="Times New Roman"/>
          <w:sz w:val="28"/>
          <w:szCs w:val="28"/>
          <w:lang w:val="en-US"/>
        </w:rPr>
        <w:t>reg</w:t>
      </w:r>
      <w:r w:rsidR="008F417D" w:rsidRPr="001B27F8">
        <w:rPr>
          <w:rFonts w:ascii="Times New Roman" w:hAnsi="Times New Roman" w:cs="Times New Roman"/>
          <w:sz w:val="28"/>
          <w:szCs w:val="28"/>
        </w:rPr>
        <w:t xml:space="preserve"> и B-reg</w:t>
      </w:r>
      <w:r w:rsidRPr="001B27F8">
        <w:rPr>
          <w:rFonts w:ascii="Times New Roman" w:hAnsi="Times New Roman" w:cs="Times New Roman"/>
          <w:sz w:val="28"/>
          <w:szCs w:val="28"/>
        </w:rPr>
        <w:t>)</w:t>
      </w:r>
      <w:r w:rsidR="003F65A0" w:rsidRPr="001B27F8">
        <w:rPr>
          <w:rFonts w:ascii="Times New Roman" w:hAnsi="Times New Roman" w:cs="Times New Roman"/>
          <w:sz w:val="28"/>
          <w:szCs w:val="28"/>
        </w:rPr>
        <w:t xml:space="preserve">, продуцирующие </w:t>
      </w:r>
      <w:r w:rsidR="007D4B3A">
        <w:rPr>
          <w:rFonts w:ascii="Times New Roman" w:hAnsi="Times New Roman" w:cs="Times New Roman"/>
          <w:sz w:val="28"/>
          <w:szCs w:val="28"/>
        </w:rPr>
        <w:t>интерлейкин</w:t>
      </w:r>
      <w:r w:rsidR="00C20FBE">
        <w:rPr>
          <w:rFonts w:ascii="Times New Roman" w:hAnsi="Times New Roman" w:cs="Times New Roman"/>
          <w:sz w:val="28"/>
          <w:szCs w:val="28"/>
        </w:rPr>
        <w:t>- 10</w:t>
      </w:r>
      <w:r w:rsidR="00252ED0">
        <w:rPr>
          <w:rFonts w:ascii="Times New Roman" w:hAnsi="Times New Roman" w:cs="Times New Roman"/>
          <w:sz w:val="28"/>
          <w:szCs w:val="28"/>
        </w:rPr>
        <w:t xml:space="preserve"> (ИЛ) </w:t>
      </w:r>
      <w:r w:rsidRPr="001B27F8">
        <w:rPr>
          <w:rFonts w:ascii="Times New Roman" w:hAnsi="Times New Roman" w:cs="Times New Roman"/>
          <w:sz w:val="28"/>
          <w:szCs w:val="28"/>
        </w:rPr>
        <w:t xml:space="preserve">являются важными </w:t>
      </w:r>
      <w:r w:rsidR="008423B8" w:rsidRPr="001B27F8">
        <w:rPr>
          <w:rFonts w:ascii="Times New Roman" w:hAnsi="Times New Roman" w:cs="Times New Roman"/>
          <w:sz w:val="28"/>
          <w:szCs w:val="28"/>
        </w:rPr>
        <w:t>компонентами создания иммунной толерантности</w:t>
      </w:r>
      <w:r w:rsidR="008F417D" w:rsidRPr="001B27F8">
        <w:rPr>
          <w:rFonts w:ascii="Times New Roman" w:hAnsi="Times New Roman" w:cs="Times New Roman"/>
          <w:sz w:val="28"/>
          <w:szCs w:val="28"/>
        </w:rPr>
        <w:t xml:space="preserve"> </w:t>
      </w:r>
      <w:r w:rsidR="008F417D"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{"citationItems":[{"id":"ITEM-1","itemData":{"ISBN":"9789896540821","author":[{"dropping-particle":"","family":"Насунова","given":"А.Ю.","non-dropping-particle":"","parse-names":false,"suffix":""}],"container-title":"диссертация к.м.н.","id":"ITEM-1","issued":{"date-parts":[["2020"]]},"page":"129","title":"Эффективность различных методов аллерген-специфической иммунотерапии при бронхиальной астме и аллергическом рините","type":"article-journal"},"uris":["http://www.mendeley.com/documents/?uuid=42666028-c38d-4afe-b56f-bc2276195b12"]}],"mendeley":{"formattedCitation":"[11]","plainTextFormattedCitation":"[11]","previouslyFormattedCitation":"[11]"},"properties":{"noteIndex":0},"schema":"https://github.com/citation-style-language/schema/raw/master/csl-citation.json"}</w:instrText>
      </w:r>
      <w:r w:rsidR="008F417D"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[11]</w:t>
      </w:r>
      <w:r w:rsidR="008F417D" w:rsidRPr="001B27F8">
        <w:rPr>
          <w:rFonts w:ascii="Times New Roman" w:hAnsi="Times New Roman" w:cs="Times New Roman"/>
          <w:sz w:val="28"/>
          <w:szCs w:val="28"/>
        </w:rPr>
        <w:fldChar w:fldCharType="end"/>
      </w:r>
      <w:r w:rsidRPr="001B27F8">
        <w:rPr>
          <w:rFonts w:ascii="Times New Roman" w:hAnsi="Times New Roman" w:cs="Times New Roman"/>
          <w:sz w:val="28"/>
          <w:szCs w:val="28"/>
        </w:rPr>
        <w:t>.</w:t>
      </w:r>
      <w:r w:rsidR="00FD0804" w:rsidRPr="001B27F8">
        <w:rPr>
          <w:rFonts w:ascii="Times New Roman" w:hAnsi="Times New Roman" w:cs="Times New Roman"/>
          <w:sz w:val="28"/>
          <w:szCs w:val="28"/>
        </w:rPr>
        <w:t xml:space="preserve"> </w:t>
      </w:r>
      <w:r w:rsidR="001521F8" w:rsidRPr="001B27F8">
        <w:rPr>
          <w:rFonts w:ascii="Times New Roman" w:hAnsi="Times New Roman" w:cs="Times New Roman"/>
          <w:sz w:val="28"/>
          <w:szCs w:val="28"/>
          <w:lang w:val="en-US"/>
        </w:rPr>
        <w:t>T</w:t>
      </w:r>
      <w:r w:rsidR="001521F8" w:rsidRPr="001B27F8">
        <w:rPr>
          <w:rFonts w:ascii="Times New Roman" w:hAnsi="Times New Roman" w:cs="Times New Roman"/>
          <w:sz w:val="28"/>
          <w:szCs w:val="28"/>
        </w:rPr>
        <w:t>-</w:t>
      </w:r>
      <w:r w:rsidR="001521F8" w:rsidRPr="001B27F8">
        <w:rPr>
          <w:rFonts w:ascii="Times New Roman" w:hAnsi="Times New Roman" w:cs="Times New Roman"/>
          <w:sz w:val="28"/>
          <w:szCs w:val="28"/>
          <w:lang w:val="en-US"/>
        </w:rPr>
        <w:t>reg</w:t>
      </w:r>
      <w:r w:rsidR="001521F8" w:rsidRPr="001B27F8">
        <w:rPr>
          <w:rFonts w:ascii="Times New Roman" w:hAnsi="Times New Roman" w:cs="Times New Roman"/>
          <w:sz w:val="28"/>
          <w:szCs w:val="28"/>
        </w:rPr>
        <w:t xml:space="preserve"> и B-reg, индуцируемые во время АСИТ, посредством секреции </w:t>
      </w:r>
      <w:r w:rsidR="00FD0804" w:rsidRPr="001B27F8">
        <w:rPr>
          <w:rFonts w:ascii="Times New Roman" w:hAnsi="Times New Roman" w:cs="Times New Roman"/>
          <w:sz w:val="28"/>
          <w:szCs w:val="28"/>
        </w:rPr>
        <w:t xml:space="preserve">ИЛ-10 </w:t>
      </w:r>
      <w:r w:rsidR="001521F8" w:rsidRPr="001B27F8">
        <w:rPr>
          <w:rFonts w:ascii="Times New Roman" w:hAnsi="Times New Roman" w:cs="Times New Roman"/>
          <w:sz w:val="28"/>
          <w:szCs w:val="28"/>
        </w:rPr>
        <w:t>вызывают ингибирование</w:t>
      </w:r>
      <w:r w:rsidR="00CC30DE">
        <w:rPr>
          <w:rFonts w:ascii="Times New Roman" w:hAnsi="Times New Roman" w:cs="Times New Roman"/>
          <w:sz w:val="28"/>
          <w:szCs w:val="28"/>
        </w:rPr>
        <w:t xml:space="preserve"> </w:t>
      </w:r>
      <w:r w:rsidR="00FD0804" w:rsidRPr="001B27F8">
        <w:rPr>
          <w:rFonts w:ascii="Times New Roman" w:hAnsi="Times New Roman" w:cs="Times New Roman"/>
          <w:sz w:val="28"/>
          <w:szCs w:val="28"/>
        </w:rPr>
        <w:t>аллергических реакций</w:t>
      </w:r>
      <w:r w:rsidR="00C31C9E">
        <w:rPr>
          <w:rFonts w:ascii="Times New Roman" w:hAnsi="Times New Roman" w:cs="Times New Roman"/>
          <w:sz w:val="28"/>
          <w:szCs w:val="28"/>
        </w:rPr>
        <w:t>, осуществляемых посредством Т-хелперов 2 типа</w:t>
      </w:r>
      <w:r w:rsidR="00A300A8">
        <w:rPr>
          <w:rFonts w:ascii="Times New Roman" w:hAnsi="Times New Roman" w:cs="Times New Roman"/>
          <w:sz w:val="28"/>
          <w:szCs w:val="28"/>
        </w:rPr>
        <w:t xml:space="preserve"> (</w:t>
      </w:r>
      <w:r w:rsidR="00A300A8">
        <w:rPr>
          <w:rFonts w:ascii="Times New Roman" w:hAnsi="Times New Roman" w:cs="Times New Roman"/>
          <w:sz w:val="28"/>
          <w:szCs w:val="28"/>
          <w:lang w:val="en-US"/>
        </w:rPr>
        <w:t>Th</w:t>
      </w:r>
      <w:r w:rsidR="00A300A8" w:rsidRPr="00A300A8">
        <w:rPr>
          <w:rFonts w:ascii="Times New Roman" w:hAnsi="Times New Roman" w:cs="Times New Roman"/>
          <w:sz w:val="28"/>
          <w:szCs w:val="28"/>
        </w:rPr>
        <w:t>2)</w:t>
      </w:r>
      <w:r w:rsidR="003A1D6D" w:rsidRPr="001B27F8">
        <w:rPr>
          <w:rFonts w:ascii="Times New Roman" w:hAnsi="Times New Roman" w:cs="Times New Roman"/>
          <w:sz w:val="28"/>
          <w:szCs w:val="28"/>
        </w:rPr>
        <w:t xml:space="preserve"> </w:t>
      </w:r>
      <w:r w:rsidR="003A1D6D"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{"citationItems":[{"id":"ITEM-1","itemData":{"DOI":"10.1177/1753465816669662","ISSN":"17534666","PMID":"27678500","abstract":"Clinical and immunologic tolerance are hallmarks of successful allergen immunotherapy (AIT). Clinical benefits such as reduced symptoms, pharmacotherapy intake and improvement of quality of life persist following cessation of treatment. Successful AIT is associated with suppression of allergic inflammatory cells such as mast cells, eosinophils and basophils in target organs. Furthermore, AIT down-regulates type 2 innate lymphoid cells and allergen-specific type 2 T-helper (Th2) cells. The immunologic tolerant state following AIT is associated with the induction of distinct phenotypes of regulatory T-cells (T-regs) including interleukin (IL)-10-, IL-35- and transforming growth factor (TGF)-β- producing T-regs and FoxP3+ T-regs. B-cell responses, including the induction of IL-10+ regulatory B-cells (B-regs) and the production of IgG4-associated blocking antibodies are also induced following successful AIT. These events are associated with the suppression of antigen-specific Th2 responses and delayed immune deviation in favour of Th1 type responses. Insight into the mechanisms of AIT has allowed identification of novel biomarkers with potential to predict the clinical response to AIT and also novel therapeutic strategies for more effective and safer AIT.","author":[{"dropping-particle":"","family":"Kappen","given":"Jasper H.","non-dropping-particle":"","parse-names":false,"suffix":""},{"dropping-particle":"","family":"Durham","given":"Stephen R.","non-dropping-particle":"","parse-names":false,"suffix":""},{"dropping-particle":"","family":"Veen","given":"Hans In T.","non-dropping-particle":"","parse-names":false,"suffix":""},{"dropping-particle":"","family":"Shamji","given":"Mohamed H.","non-dropping-particle":"","parse-names":false,"suffix":""}],"container-title":"Therapeutic Advances in Respiratory Disease","id":"ITEM-1","issue":"1","issued":{"date-parts":[["2017"]]},"page":"73-86","title":"Applications and mechanisms of immunotherapy in allergic rhinitis and asthma","type":"article-journal","volume":"11"},"uris":["http://www.mendeley.com/documents/?uuid=648b0e23-09bc-47c9-bbb4-5c0b42cce870"]}],"mendeley":{"formattedCitation":"[72]","plainTextFormattedCitation":"[72]","previouslyFormattedCitation":"[72]"},"properties":{"noteIndex":0},"schema":"https://github.com/citation-style-language/schema/raw/master/csl-citation.json"}</w:instrText>
      </w:r>
      <w:r w:rsidR="003A1D6D"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[72]</w:t>
      </w:r>
      <w:r w:rsidR="003A1D6D" w:rsidRPr="001B27F8">
        <w:rPr>
          <w:rFonts w:ascii="Times New Roman" w:hAnsi="Times New Roman" w:cs="Times New Roman"/>
          <w:sz w:val="28"/>
          <w:szCs w:val="28"/>
        </w:rPr>
        <w:fldChar w:fldCharType="end"/>
      </w:r>
      <w:r w:rsidR="00211E03" w:rsidRPr="001B27F8">
        <w:rPr>
          <w:rFonts w:ascii="Times New Roman" w:hAnsi="Times New Roman" w:cs="Times New Roman"/>
          <w:sz w:val="28"/>
          <w:szCs w:val="28"/>
        </w:rPr>
        <w:t>.</w:t>
      </w:r>
      <w:r w:rsidR="005B3276" w:rsidRPr="001B27F8">
        <w:rPr>
          <w:rFonts w:ascii="Times New Roman" w:hAnsi="Times New Roman" w:cs="Times New Roman"/>
          <w:sz w:val="28"/>
          <w:szCs w:val="28"/>
        </w:rPr>
        <w:t xml:space="preserve"> </w:t>
      </w:r>
      <w:r w:rsidR="008B73C7" w:rsidRPr="001B27F8">
        <w:rPr>
          <w:rFonts w:ascii="Times New Roman" w:hAnsi="Times New Roman" w:cs="Times New Roman"/>
          <w:sz w:val="28"/>
          <w:szCs w:val="28"/>
        </w:rPr>
        <w:t>Схема данного процесса приведен</w:t>
      </w:r>
      <w:r w:rsidR="001F4EA9" w:rsidRPr="001B27F8">
        <w:rPr>
          <w:rFonts w:ascii="Times New Roman" w:hAnsi="Times New Roman" w:cs="Times New Roman"/>
          <w:sz w:val="28"/>
          <w:szCs w:val="28"/>
        </w:rPr>
        <w:t>а на рисунке 1</w:t>
      </w:r>
      <w:r w:rsidR="005150E3">
        <w:rPr>
          <w:rFonts w:ascii="Times New Roman" w:hAnsi="Times New Roman" w:cs="Times New Roman"/>
          <w:sz w:val="28"/>
          <w:szCs w:val="28"/>
        </w:rPr>
        <w:t xml:space="preserve"> </w:t>
      </w:r>
      <w:r w:rsidR="005150E3" w:rsidRPr="004252D9">
        <w:rPr>
          <w:rFonts w:ascii="Times New Roman" w:hAnsi="Times New Roman" w:cs="Times New Roman"/>
          <w:sz w:val="24"/>
          <w:szCs w:val="24"/>
        </w:rPr>
        <w:fldChar w:fldCharType="begin" w:fldLock="1"/>
      </w:r>
      <w:r w:rsidR="005150E3" w:rsidRPr="004252D9">
        <w:rPr>
          <w:rFonts w:ascii="Times New Roman" w:hAnsi="Times New Roman" w:cs="Times New Roman"/>
          <w:sz w:val="24"/>
          <w:szCs w:val="24"/>
        </w:rPr>
        <w:instrText>ADDIN CSL_CITATION {"citationItems":[{"id":"ITEM-1","itemData":{"DOI":"10.1016/j.jaci.2013.12.1088","ISSN":"10976825","PMID":"24581429","abstract":"Allergen-specific immunotherapy (AIT) has been used for more than 100 years as a desensitizing therapy for IgE-mediated allergic diseases and represents a potentially curative way of treatment. The mechanisms of action of AIT include the induction of very early desensitization of mast cells and basophils; generation of regulatory T and regulatory B (Breg) cell responses; regulation of IgE and IgG4; decreases in numbers and activity of eosinophils and mast cells in mucosal allergic tissues; and decreases in the activity of basophils in circulation. Skewing of allergen-specific effector T and effector B cells to a regulatory phenotype appears as a key event in the course of AIT and normal immune response to allergens. Recently, inducible IL-10-secreting Breg cells were also demonstrated to contribute to allergen tolerance through suppression of effector T cells and selective induction of IgG4 isotype antibodies. Allergen-specific regulatory T and Breg cells orchestrate a general immunoregulatory activity, which can be summarized as suppression of cytokines from inflammatory dendritic cells; suppression of effector T H1, TH2, and TH17 cells; suppression of allergen-specific IgE and induction of IgG4; and suppression of migration of mast cells, basophils, eosinophils, and effector T cells to tissues. A detailed knowledge of the mechanisms of AIT is not only important in designing the prevention and treatment of allergic diseases but might also find applications in the treatment of autoimmune diseases, organ transplantation, chronic infection, and cancer. © 2013 American Academy of Allergy, Asthma and Immunology.","author":[{"dropping-particle":"","family":"Akdis","given":"Mübeccel","non-dropping-particle":"","parse-names":false,"suffix":""},{"dropping-particle":"","family":"Akdis","given":"Cezmi A.","non-dropping-particle":"","parse-names":false,"suffix":""}],"container-title":"Journal of Allergy and Clinical Immunology","id":"ITEM-1","issue":"3","issued":{"date-parts":[["2014"]]},"page":"621-631","title":"Mechanisms of allergen-specific immunotherapy: Multiple suppressor factors at work in immune tolerance to allergens","type":"article-journal","volume":"133"},"uris":["http://www.mendeley.com/documents/?uuid=a2ef0788-bed3-4de4-ab7d-7201696bb2ce"]}],"mendeley":{"formattedCitation":"[65]","plainTextFormattedCitation":"[65]","previouslyFormattedCitation":"[65]"},"properties":{"noteIndex":0},"schema":"https://github.com/citation-style-language/schema/raw/master/csl-citation.json"}</w:instrText>
      </w:r>
      <w:r w:rsidR="005150E3" w:rsidRPr="004252D9">
        <w:rPr>
          <w:rFonts w:ascii="Times New Roman" w:hAnsi="Times New Roman" w:cs="Times New Roman"/>
          <w:sz w:val="24"/>
          <w:szCs w:val="24"/>
        </w:rPr>
        <w:fldChar w:fldCharType="separate"/>
      </w:r>
      <w:r w:rsidR="005150E3" w:rsidRPr="004252D9">
        <w:rPr>
          <w:rFonts w:ascii="Times New Roman" w:hAnsi="Times New Roman" w:cs="Times New Roman"/>
          <w:noProof/>
          <w:sz w:val="24"/>
          <w:szCs w:val="24"/>
        </w:rPr>
        <w:t>[65]</w:t>
      </w:r>
      <w:r w:rsidR="005150E3" w:rsidRPr="004252D9">
        <w:rPr>
          <w:rFonts w:ascii="Times New Roman" w:hAnsi="Times New Roman" w:cs="Times New Roman"/>
          <w:sz w:val="24"/>
          <w:szCs w:val="24"/>
        </w:rPr>
        <w:fldChar w:fldCharType="end"/>
      </w:r>
      <w:r w:rsidR="001462E9" w:rsidRPr="001B27F8">
        <w:rPr>
          <w:rFonts w:ascii="Times New Roman" w:hAnsi="Times New Roman" w:cs="Times New Roman"/>
          <w:sz w:val="28"/>
          <w:szCs w:val="28"/>
        </w:rPr>
        <w:t>.</w:t>
      </w:r>
    </w:p>
    <w:p w14:paraId="0E142D56" w14:textId="36D5A99B" w:rsidR="001F4EA9" w:rsidRPr="001B27F8" w:rsidRDefault="001F4EA9" w:rsidP="002A42ED">
      <w:pPr>
        <w:pStyle w:val="a3"/>
        <w:tabs>
          <w:tab w:val="left" w:pos="851"/>
        </w:tabs>
        <w:spacing w:after="0" w:line="240" w:lineRule="auto"/>
        <w:ind w:left="0"/>
        <w:jc w:val="center"/>
        <w:rPr>
          <w:rFonts w:ascii="Times New Roman" w:hAnsi="Times New Roman" w:cs="Times New Roman"/>
          <w:sz w:val="28"/>
          <w:szCs w:val="28"/>
        </w:rPr>
      </w:pPr>
      <w:r w:rsidRPr="001B27F8">
        <w:rPr>
          <w:rFonts w:ascii="Times New Roman" w:hAnsi="Times New Roman" w:cs="Times New Roman"/>
          <w:noProof/>
          <w:sz w:val="28"/>
          <w:szCs w:val="28"/>
          <w:lang w:eastAsia="ru-RU"/>
        </w:rPr>
        <w:drawing>
          <wp:inline distT="0" distB="0" distL="0" distR="0" wp14:anchorId="489C96ED" wp14:editId="590BB26B">
            <wp:extent cx="3998470" cy="2987418"/>
            <wp:effectExtent l="0" t="0" r="2540" b="3810"/>
            <wp:docPr id="11" name="Рисунок 11" descr="C:\Users\maris\Desktop\картинк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s\Desktop\картинка 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15137" cy="2999871"/>
                    </a:xfrm>
                    <a:prstGeom prst="rect">
                      <a:avLst/>
                    </a:prstGeom>
                    <a:noFill/>
                    <a:ln>
                      <a:noFill/>
                    </a:ln>
                  </pic:spPr>
                </pic:pic>
              </a:graphicData>
            </a:graphic>
          </wp:inline>
        </w:drawing>
      </w:r>
    </w:p>
    <w:p w14:paraId="2C9AB25C" w14:textId="77777777" w:rsidR="00301B57" w:rsidRPr="004252D9" w:rsidRDefault="00301B57" w:rsidP="00301B57">
      <w:pPr>
        <w:pStyle w:val="a3"/>
        <w:tabs>
          <w:tab w:val="left" w:pos="851"/>
        </w:tabs>
        <w:spacing w:after="0" w:line="240" w:lineRule="auto"/>
        <w:ind w:left="0" w:firstLine="567"/>
        <w:jc w:val="center"/>
        <w:rPr>
          <w:rFonts w:ascii="Times New Roman" w:hAnsi="Times New Roman" w:cs="Times New Roman"/>
          <w:sz w:val="28"/>
          <w:szCs w:val="28"/>
        </w:rPr>
      </w:pPr>
    </w:p>
    <w:p w14:paraId="371C029A" w14:textId="4F01F4A0" w:rsidR="001F4EA9" w:rsidRDefault="001F4EA9" w:rsidP="002A42ED">
      <w:pPr>
        <w:pStyle w:val="a3"/>
        <w:tabs>
          <w:tab w:val="left" w:pos="851"/>
        </w:tabs>
        <w:spacing w:after="0" w:line="240" w:lineRule="auto"/>
        <w:ind w:left="0" w:firstLine="567"/>
        <w:jc w:val="center"/>
        <w:rPr>
          <w:rFonts w:ascii="Times New Roman" w:hAnsi="Times New Roman" w:cs="Times New Roman"/>
          <w:sz w:val="24"/>
          <w:szCs w:val="24"/>
        </w:rPr>
      </w:pPr>
      <w:r w:rsidRPr="001B27F8">
        <w:rPr>
          <w:rFonts w:ascii="Times New Roman" w:hAnsi="Times New Roman" w:cs="Times New Roman"/>
          <w:sz w:val="28"/>
          <w:szCs w:val="28"/>
        </w:rPr>
        <w:t xml:space="preserve">Рисунок 1 </w:t>
      </w:r>
      <w:r w:rsidR="007D2954">
        <w:t>–</w:t>
      </w:r>
      <w:r w:rsidRPr="001B27F8">
        <w:rPr>
          <w:rFonts w:ascii="Times New Roman" w:hAnsi="Times New Roman" w:cs="Times New Roman"/>
          <w:sz w:val="28"/>
          <w:szCs w:val="28"/>
        </w:rPr>
        <w:t xml:space="preserve"> Роль клеток Treg и Breg в подавл</w:t>
      </w:r>
      <w:r w:rsidR="00301B57">
        <w:rPr>
          <w:rFonts w:ascii="Times New Roman" w:hAnsi="Times New Roman" w:cs="Times New Roman"/>
          <w:sz w:val="28"/>
          <w:szCs w:val="28"/>
        </w:rPr>
        <w:t>ении аллергического воспаления</w:t>
      </w:r>
      <w:r w:rsidR="006502EC">
        <w:rPr>
          <w:rFonts w:ascii="Times New Roman" w:hAnsi="Times New Roman" w:cs="Times New Roman"/>
          <w:sz w:val="28"/>
          <w:szCs w:val="28"/>
        </w:rPr>
        <w:t xml:space="preserve"> </w:t>
      </w:r>
    </w:p>
    <w:p w14:paraId="14065D0E" w14:textId="77777777" w:rsidR="00BF08FA" w:rsidRDefault="00BF08FA" w:rsidP="00BF08FA">
      <w:pPr>
        <w:tabs>
          <w:tab w:val="left" w:pos="1454"/>
        </w:tabs>
        <w:spacing w:after="0" w:line="240" w:lineRule="auto"/>
        <w:ind w:firstLine="567"/>
        <w:rPr>
          <w:rFonts w:ascii="Times New Roman" w:hAnsi="Times New Roman" w:cs="Times New Roman"/>
          <w:sz w:val="24"/>
          <w:szCs w:val="24"/>
        </w:rPr>
      </w:pPr>
    </w:p>
    <w:p w14:paraId="5553C111" w14:textId="6F96E559" w:rsidR="00BF08FA" w:rsidRPr="004252D9" w:rsidRDefault="00BF08FA" w:rsidP="001B6030">
      <w:pPr>
        <w:tabs>
          <w:tab w:val="left" w:pos="1454"/>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Примечание - </w:t>
      </w:r>
      <w:r w:rsidRPr="004252D9">
        <w:rPr>
          <w:rFonts w:ascii="Times New Roman" w:hAnsi="Times New Roman" w:cs="Times New Roman"/>
          <w:sz w:val="24"/>
          <w:szCs w:val="24"/>
        </w:rPr>
        <w:t>Красные стрелки указывают на регуляторные и супрессивные эффекты T-reg, которые прямо или косвенно оказывают свои регуляторные функции на В-клетки, индуцируя IgG4 и IgA и подавляя IgE; на эндотелий сосудов, подавляя возвращение клеток Th2 в ткани; на тучные клетки, базофилы и эозинофилы посредством прямого и косвенного подавляющего воздействия; и на прямое и непрямое подавление активации эпителиальных клеток и провоспалительных свойств. Кроме того, клетки Breg также подавляют эффекторные Т-клетки и вносят вклад в синтез IgG4</w:t>
      </w:r>
      <w:r>
        <w:rPr>
          <w:rFonts w:ascii="Times New Roman" w:hAnsi="Times New Roman" w:cs="Times New Roman"/>
          <w:sz w:val="24"/>
          <w:szCs w:val="24"/>
        </w:rPr>
        <w:t>.</w:t>
      </w:r>
    </w:p>
    <w:p w14:paraId="785ED318" w14:textId="77777777" w:rsidR="00BF08FA" w:rsidRPr="006502EC" w:rsidRDefault="00BF08FA" w:rsidP="002A42ED">
      <w:pPr>
        <w:pStyle w:val="a3"/>
        <w:tabs>
          <w:tab w:val="left" w:pos="851"/>
        </w:tabs>
        <w:spacing w:after="0" w:line="240" w:lineRule="auto"/>
        <w:ind w:left="0" w:firstLine="567"/>
        <w:jc w:val="center"/>
        <w:rPr>
          <w:rFonts w:ascii="Times New Roman" w:hAnsi="Times New Roman" w:cs="Times New Roman"/>
          <w:sz w:val="28"/>
          <w:szCs w:val="28"/>
        </w:rPr>
      </w:pPr>
    </w:p>
    <w:p w14:paraId="63095BFB" w14:textId="4E1B8EC0" w:rsidR="00756A4D" w:rsidRPr="001B27F8" w:rsidRDefault="006E1CF9" w:rsidP="001B27F8">
      <w:pPr>
        <w:pStyle w:val="a3"/>
        <w:tabs>
          <w:tab w:val="left" w:pos="851"/>
        </w:tabs>
        <w:spacing w:after="0" w:line="240" w:lineRule="auto"/>
        <w:ind w:left="0" w:firstLine="567"/>
        <w:jc w:val="both"/>
        <w:rPr>
          <w:rFonts w:ascii="Times New Roman" w:hAnsi="Times New Roman" w:cs="Times New Roman"/>
          <w:sz w:val="28"/>
          <w:szCs w:val="28"/>
        </w:rPr>
      </w:pPr>
      <w:r w:rsidRPr="001B27F8">
        <w:rPr>
          <w:rFonts w:ascii="Times New Roman" w:hAnsi="Times New Roman" w:cs="Times New Roman"/>
          <w:sz w:val="28"/>
          <w:szCs w:val="28"/>
          <w:lang w:val="en-US"/>
        </w:rPr>
        <w:t>T</w:t>
      </w:r>
      <w:r w:rsidRPr="001B27F8">
        <w:rPr>
          <w:rFonts w:ascii="Times New Roman" w:hAnsi="Times New Roman" w:cs="Times New Roman"/>
          <w:sz w:val="28"/>
          <w:szCs w:val="28"/>
        </w:rPr>
        <w:t>-</w:t>
      </w:r>
      <w:r w:rsidRPr="001B27F8">
        <w:rPr>
          <w:rFonts w:ascii="Times New Roman" w:hAnsi="Times New Roman" w:cs="Times New Roman"/>
          <w:sz w:val="28"/>
          <w:szCs w:val="28"/>
          <w:lang w:val="en-US"/>
        </w:rPr>
        <w:t>reg</w:t>
      </w:r>
      <w:r w:rsidRPr="001B27F8">
        <w:rPr>
          <w:rFonts w:ascii="Times New Roman" w:hAnsi="Times New Roman" w:cs="Times New Roman"/>
          <w:sz w:val="28"/>
          <w:szCs w:val="28"/>
        </w:rPr>
        <w:t xml:space="preserve"> играют центральную роль в реализации иммунологических эффектов при успешной АСИТ </w:t>
      </w:r>
      <w:r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{"citationItems":[{"id":"ITEM-1","itemData":{"DOI":"10.15789/1563-0625-2015-5-407-422","ISSN":"2313741X","abstract":"Allergen-specific immunotherapy (ASIT) is the most effective method of allergy treatment which consists of exposure to small doses of antigen responsible for development of allergic condition in the particular patient. Therefore, one may achieve desensitization to this antigen. The history of ASIT application lasts for more than 100 years, and, over this time, huge clinical evidence for the usage of the method has been accumulated. Use of ASIT causes reduction of allergy symptoms and treatment needs and, moreover, it has the potential for long-term clinical benefit, by preventing the development of allergy and its symptoms. The treatment affects basic immunological mechanisms responsible for the development of clinical symptoms. ASIT is an anti-inflammatory, pathogenetic and prophylactic treatment of allergic airway disease. The review considers the results of major clinical trials of the ASIT applications for treatment of allergic diseases of the respiratory system (allergic rhinitis and bronchial asthma). Various schemes of ASIT are discussed including its different variants (injectable and sublingual ASIT), the issues of preparation choice for ASIT from those currently available on the pharmaceutical market, patient selection criteria, and the issues of modern molecular allergodiagnostic (allergic sensitization mapping of the patient at molecular level), in order to optimize them. Immunological mechanisms of ASIT are also considered, since appropriate views are rather contraversial. The ASIT effect is mediated through the following basic immunological mechanisms: the suppressed increase of the eosinophil concentrations, reduced duration of the delayed hypersensitivity phase, as well as initiation and maintenance of the Th2-to-Th1-like immune response transition. Regulatory T-cells play a major role in implementation of the immunological mechanism in ASIT, they have a significant impact on the Th2 response suppression. Such suppression may proceed via increased production of specific IgG antibodies, primarily of IgG4 subtype. The shift of balance between IgE and IgG4 towards IgG4 production is now considered a fundamental condition for successful ASIT. It has been proven that the allergen-specific IgG4 antibodies against IgE persist after discontinuation of the treatment and can provide long-term clinical tolerance. Modern prospectives for development of new forms and species of preparations for ASIT are also reviewed. Two groups of drugs for ASIT hav…","author":[{"dropping-particle":"","family":"Федоров","given":"А.С.","non-dropping-particle":"","parse-names":false,"suffix":""},{"dropping-particle":"","family":"Литвинова","given":"Л.С.","non-dropping-particle":"","parse-names":false,"suffix":""},{"dropping-particle":"","family":"Бут-Гусаим","given":"В.И.","non-dropping-particle":"","parse-names":false,"suffix":""},{"dropping-particle":"","family":"Литвиненко","given":"С.Н.","non-dropping-particle":"","parse-names":false,"suffix":""}],"container-title":"Медицинская иммунология","id":"ITEM-1","issue":"5","issued":{"date-parts":[["2015"]]},"page":"407-422","title":"Аллерген-специфическая иммунотерапия: терапевтические вакцины для аллергических заболеваний","type":"article-journal","volume":"17"},"uris":["http://www.mendeley.com/documents/?uuid=eb736c0b-4cd0-4b16-a86e-cde693adac38"]}],"mendeley":{"formattedCitation":"[73]","plainTextFormattedCitation":"[73]","previouslyFormattedCitation":"[73]"},"properties":{"noteIndex":0},"schema":"https://github.com/citation-style-language/schema/raw/master/csl-citation.json"}</w:instrText>
      </w:r>
      <w:r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[73]</w:t>
      </w:r>
      <w:r w:rsidRPr="001B27F8">
        <w:rPr>
          <w:rFonts w:ascii="Times New Roman" w:hAnsi="Times New Roman" w:cs="Times New Roman"/>
          <w:sz w:val="28"/>
          <w:szCs w:val="28"/>
        </w:rPr>
        <w:fldChar w:fldCharType="end"/>
      </w:r>
      <w:r w:rsidRPr="001B27F8">
        <w:rPr>
          <w:rFonts w:ascii="Times New Roman" w:hAnsi="Times New Roman" w:cs="Times New Roman"/>
          <w:sz w:val="28"/>
          <w:szCs w:val="28"/>
        </w:rPr>
        <w:t xml:space="preserve">. </w:t>
      </w:r>
      <w:r w:rsidR="00750FFC" w:rsidRPr="001B27F8">
        <w:rPr>
          <w:rFonts w:ascii="Times New Roman" w:hAnsi="Times New Roman" w:cs="Times New Roman"/>
          <w:sz w:val="28"/>
          <w:szCs w:val="28"/>
        </w:rPr>
        <w:t>Отмечена</w:t>
      </w:r>
      <w:r w:rsidR="00756A4D" w:rsidRPr="001B27F8">
        <w:rPr>
          <w:rFonts w:ascii="Times New Roman" w:hAnsi="Times New Roman" w:cs="Times New Roman"/>
          <w:sz w:val="28"/>
          <w:szCs w:val="28"/>
        </w:rPr>
        <w:t xml:space="preserve"> значительная корреляция между улучшением симптомов и увеличением количества Treg</w:t>
      </w:r>
      <w:r w:rsidR="00750FFC" w:rsidRPr="001B27F8">
        <w:rPr>
          <w:rFonts w:ascii="Times New Roman" w:hAnsi="Times New Roman" w:cs="Times New Roman"/>
          <w:sz w:val="28"/>
          <w:szCs w:val="28"/>
        </w:rPr>
        <w:t xml:space="preserve"> в период проведения АСИТ</w:t>
      </w:r>
      <w:r w:rsidR="00F677FC" w:rsidRPr="001B27F8">
        <w:rPr>
          <w:rFonts w:ascii="Times New Roman" w:hAnsi="Times New Roman" w:cs="Times New Roman"/>
          <w:sz w:val="28"/>
          <w:szCs w:val="28"/>
        </w:rPr>
        <w:t xml:space="preserve"> </w:t>
      </w:r>
      <w:r w:rsidR="00F677FC"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{"citationItems":[{"id":"ITEM-1","itemData":{"DOI":"10.1016/j.coi.2020.02.005","ISSN":"18790372","PMID":"32272340","abstract":"Allergen immunotherapy leads to tolerance through multiple mechanisms that include tolerogenic dendritic cells and T and B regulatory cells. These induced cellular populations produce mediators to skew the immune response to a tolerogenic milieu that, among others, results in IgG4 blocking antibodies formation and lowered FcE receptors. All lead in decreased effector responses from mast cells, eosinophils, and basophils thus limiting the allergic inflammation. Clinically, this results in better allergic rhinitis control and, of importance, asthma prevention. Newer approaches include modified allergens, second generation adjuvants/carriers and routes of administration, all aiming to increased efficacy with parallel no compromise of safety.","author":[{"dropping-particle":"","family":"Mitsias","given":"Dimitrios I.","non-dropping-particle":"","parse-names":false,"suffix":""},{"dropping-particle":"","family":"Xepapadaki","given":"Paraskevi","non-dropping-particle":"","parse-names":false,"suffix":""},{"dropping-particle":"","family":"Makris","given":"Michael","non-dropping-particle":"","parse-names":false,"suffix":""},{"dropping-particle":"","family":"Papadopoulos","given":"Nikolaos G.","non-dropping-particle":"","parse-names":false,"suffix":""}],"container-title":"Current Opinion in Immunology","id":"ITEM-1","issued":{"date-parts":[["2020"]]},"page":"1-8","publisher":"Elsevier Ltd","title":"Immunotherapy in allergic diseases — improved understanding and innovation for enhanced effectiveness","type":"article-journal","volume":"66"},"uris":["http://www.mendeley.com/documents/?uuid=6927f5e1-0030-4cfe-8025-62fb895133a1"]}],"mendeley":{"formattedCitation":"[74]","plainTextFormattedCitation":"[74]","previouslyFormattedCitation":"[74]"},"properties":{"noteIndex":0},"schema":"https://github.com/citation-style-language/schema/raw/master/csl-citation.json"}</w:instrText>
      </w:r>
      <w:r w:rsidR="00F677FC"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[74]</w:t>
      </w:r>
      <w:r w:rsidR="00F677FC" w:rsidRPr="001B27F8">
        <w:rPr>
          <w:rFonts w:ascii="Times New Roman" w:hAnsi="Times New Roman" w:cs="Times New Roman"/>
          <w:sz w:val="28"/>
          <w:szCs w:val="28"/>
        </w:rPr>
        <w:fldChar w:fldCharType="end"/>
      </w:r>
      <w:r w:rsidR="00F677FC" w:rsidRPr="001B27F8">
        <w:rPr>
          <w:rFonts w:ascii="Times New Roman" w:hAnsi="Times New Roman" w:cs="Times New Roman"/>
          <w:sz w:val="28"/>
          <w:szCs w:val="28"/>
        </w:rPr>
        <w:t xml:space="preserve">. </w:t>
      </w:r>
      <w:r w:rsidR="00750FFC" w:rsidRPr="001B27F8">
        <w:rPr>
          <w:rFonts w:ascii="Times New Roman" w:hAnsi="Times New Roman" w:cs="Times New Roman"/>
          <w:sz w:val="28"/>
          <w:szCs w:val="28"/>
        </w:rPr>
        <w:t xml:space="preserve">Функции </w:t>
      </w:r>
      <w:r w:rsidR="00750FFC" w:rsidRPr="001B27F8">
        <w:rPr>
          <w:rFonts w:ascii="Times New Roman" w:hAnsi="Times New Roman" w:cs="Times New Roman"/>
          <w:sz w:val="28"/>
          <w:szCs w:val="28"/>
          <w:lang w:val="en-US"/>
        </w:rPr>
        <w:t>Treg</w:t>
      </w:r>
      <w:r w:rsidR="00750FFC" w:rsidRPr="001B27F8">
        <w:rPr>
          <w:rFonts w:ascii="Times New Roman" w:hAnsi="Times New Roman" w:cs="Times New Roman"/>
          <w:sz w:val="28"/>
          <w:szCs w:val="28"/>
        </w:rPr>
        <w:t xml:space="preserve"> включают иммуносупрессивную способность в отношении </w:t>
      </w:r>
      <w:r w:rsidR="00750FFC" w:rsidRPr="001B27F8">
        <w:rPr>
          <w:rFonts w:ascii="Times New Roman" w:hAnsi="Times New Roman" w:cs="Times New Roman"/>
          <w:sz w:val="28"/>
          <w:szCs w:val="28"/>
          <w:lang w:val="en-US"/>
        </w:rPr>
        <w:t>T</w:t>
      </w:r>
      <w:r w:rsidR="00FE4D1F" w:rsidRPr="001B27F8">
        <w:rPr>
          <w:rFonts w:ascii="Times New Roman" w:hAnsi="Times New Roman" w:cs="Times New Roman"/>
          <w:sz w:val="28"/>
          <w:szCs w:val="28"/>
          <w:lang w:val="en-US"/>
        </w:rPr>
        <w:t>h</w:t>
      </w:r>
      <w:r w:rsidR="00750FFC" w:rsidRPr="001B27F8">
        <w:rPr>
          <w:rFonts w:ascii="Times New Roman" w:hAnsi="Times New Roman" w:cs="Times New Roman"/>
          <w:sz w:val="28"/>
          <w:szCs w:val="28"/>
        </w:rPr>
        <w:t xml:space="preserve">2 в процессе межклеточных взаимодействий </w:t>
      </w:r>
      <w:r w:rsidR="00BF7C41" w:rsidRPr="001B27F8">
        <w:rPr>
          <w:rFonts w:ascii="Times New Roman" w:hAnsi="Times New Roman" w:cs="Times New Roman"/>
          <w:sz w:val="28"/>
          <w:szCs w:val="28"/>
        </w:rPr>
        <w:t>и ингибир</w:t>
      </w:r>
      <w:r w:rsidR="00051240" w:rsidRPr="001B27F8">
        <w:rPr>
          <w:rFonts w:ascii="Times New Roman" w:hAnsi="Times New Roman" w:cs="Times New Roman"/>
          <w:sz w:val="28"/>
          <w:szCs w:val="28"/>
        </w:rPr>
        <w:t>ование продукции</w:t>
      </w:r>
      <w:r w:rsidR="00BF7C41" w:rsidRPr="001B27F8">
        <w:rPr>
          <w:rFonts w:ascii="Times New Roman" w:hAnsi="Times New Roman" w:cs="Times New Roman"/>
          <w:sz w:val="28"/>
          <w:szCs w:val="28"/>
        </w:rPr>
        <w:t xml:space="preserve"> ИЛ-4, ИЛ-5, ИЛ-9 и ИЛ-13 </w:t>
      </w:r>
      <w:r w:rsidR="00BF7C41"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{"citationItems":[{"id":"ITEM-1","itemData":{"DOI":"10.1111/all.14073","ISSN":"13989995","PMID":"31587307","abstract":"Background: While treatment for atopic rhinitis is aimed mostly to relieve symptoms, only allergen-specific immunotherapy (AIT) is targeted to modify the natural history of allergic diseases. This results in sustained clinical tolerance, even when treatment has stopped. The immunomodulatory effects of AIT are attributed mainly to increased regulatory T-cell function and increased allergen-specific IgG4, yet little is known about the effect on the memory B-cell compartment. Objective: We aimed to examine the effects of AIT on the IgE- and IgG subclass-expressing memory B cells. Methods: We recruited 29 patients with atopic seasonal rhinoconjunctivitis and performed a longitudinal analysis of the peripheral immune compartment before, during, and after sublingual immunotherapy (SLIT) for allergy to temperate grass pollen, predominantly to ryegrass pollen (RGP; Lolium perenne). Using flow cytometry on peripheral blood mononuclear cells and serum immunoassays, we analyzed the effects of a 4 months preseasonal treatment regimen comprising two or three courses in consecutive years on circulating IgE+ and IgG+ memory B cells and allergen-specific Ig levels. Results: SLIT increased RGP-specific serum IgG2 and IgG4, as well as the frequencies of IgG2+ and IgG4+ memory B cells, whereas no effect was observed on the IgE+ memory B-cell compartment. Furthermore, SLIT enhanced proportions of regulatory T cells specific to RGP. These changes were associated with clinical improvement. Conclusion: Our data provide evidence for immunological effects of SLIT on B-cell memory. Skewing responses toward IgG2 and IgG4 subclasses might be a mechanism to suppress IgE-mediated allergic responses.","author":[{"dropping-particle":"","family":"Heeringa","given":"Jorn J.","non-dropping-particle":"","parse-names":false,"suffix":""},{"dropping-particle":"","family":"McKenzie","given":"Craig I.","non-dropping-particle":"","parse-names":false,"suffix":""},{"dropping-particle":"","family":"Varese","given":"Nirupama","non-dropping-particle":"","parse-names":false,"suffix":""},{"dropping-particle":"","family":"Hew","given":"Mark","non-dropping-particle":"","parse-names":false,"suffix":""},{"dropping-particle":"","family":"Bakx","given":"Amy T.C.M.","non-dropping-particle":"","parse-names":false,"suffix":""},{"dropping-particle":"","family":"Aui","given":"Pei M.","non-dropping-particle":"","parse-names":false,"suffix":""},{"dropping-particle":"","family":"Rolland","given":"Jennifer M.","non-dropping-particle":"","parse-names":false,"suffix":""},{"dropping-particle":"","family":"O’Hehir","given":"Robyn E.","non-dropping-particle":"","parse-names":false,"suffix":""},{"dropping-particle":"","family":"Zelm","given":"Menno C.","non-dropping-particle":"van","parse-names":false,"suffix":""}],"container-title":"Allergy: European Journal of Allergy and Clinical Immunology","id":"ITEM-1","issue":"5","issued":{"date-parts":[["2020"]]},"page":"1121-1132","title":"Induction of IgG2 and IgG4 B-cell memory following sublingual immunotherapy for ryegrass pollen allergy","type":"article-journal","volume":"75"},"uris":["http://www.mendeley.com/documents/?uuid=0ef896ec-1e8d-490f-b0f8-7a4e98dde063"]}],"mendeley":{"formattedCitation":"[75]","plainTextFormattedCitation":"[75]","previouslyFormattedCitation":"[75]"},"properties":{"noteIndex":0},"schema":"https://github.com/citation-style-language/schema/raw/master/csl-citation.json"}</w:instrText>
      </w:r>
      <w:r w:rsidR="00BF7C41"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[75]</w:t>
      </w:r>
      <w:r w:rsidR="00BF7C41" w:rsidRPr="001B27F8">
        <w:rPr>
          <w:rFonts w:ascii="Times New Roman" w:hAnsi="Times New Roman" w:cs="Times New Roman"/>
          <w:sz w:val="28"/>
          <w:szCs w:val="28"/>
        </w:rPr>
        <w:fldChar w:fldCharType="end"/>
      </w:r>
      <w:r w:rsidR="00BF7C41" w:rsidRPr="001B27F8">
        <w:rPr>
          <w:rFonts w:ascii="Times New Roman" w:hAnsi="Times New Roman" w:cs="Times New Roman"/>
          <w:sz w:val="28"/>
          <w:szCs w:val="28"/>
        </w:rPr>
        <w:t>.</w:t>
      </w:r>
      <w:r w:rsidR="00750FFC" w:rsidRPr="001B27F8">
        <w:rPr>
          <w:rFonts w:ascii="Times New Roman" w:hAnsi="Times New Roman" w:cs="Times New Roman"/>
          <w:sz w:val="28"/>
          <w:szCs w:val="28"/>
        </w:rPr>
        <w:t xml:space="preserve"> </w:t>
      </w:r>
      <w:r w:rsidR="00051240" w:rsidRPr="001B27F8">
        <w:rPr>
          <w:rFonts w:ascii="Times New Roman" w:hAnsi="Times New Roman" w:cs="Times New Roman"/>
          <w:sz w:val="28"/>
          <w:szCs w:val="28"/>
        </w:rPr>
        <w:t xml:space="preserve">К тому же, </w:t>
      </w:r>
      <w:r w:rsidR="00051240" w:rsidRPr="001B27F8">
        <w:rPr>
          <w:rFonts w:ascii="Times New Roman" w:hAnsi="Times New Roman" w:cs="Times New Roman"/>
          <w:sz w:val="28"/>
          <w:szCs w:val="28"/>
          <w:lang w:val="en-US"/>
        </w:rPr>
        <w:t>Treg</w:t>
      </w:r>
      <w:r w:rsidR="00051240" w:rsidRPr="001B27F8">
        <w:rPr>
          <w:rFonts w:ascii="Times New Roman" w:hAnsi="Times New Roman" w:cs="Times New Roman"/>
          <w:sz w:val="28"/>
          <w:szCs w:val="28"/>
        </w:rPr>
        <w:t xml:space="preserve"> секретируют</w:t>
      </w:r>
      <w:r w:rsidR="00750FFC" w:rsidRPr="001B27F8">
        <w:rPr>
          <w:rFonts w:ascii="Times New Roman" w:hAnsi="Times New Roman" w:cs="Times New Roman"/>
          <w:sz w:val="28"/>
          <w:szCs w:val="28"/>
        </w:rPr>
        <w:t xml:space="preserve"> </w:t>
      </w:r>
      <w:r w:rsidR="00051240" w:rsidRPr="001B27F8">
        <w:rPr>
          <w:rFonts w:ascii="Times New Roman" w:hAnsi="Times New Roman" w:cs="Times New Roman"/>
          <w:sz w:val="28"/>
          <w:szCs w:val="28"/>
        </w:rPr>
        <w:t>цитокины</w:t>
      </w:r>
      <w:r w:rsidR="00750FFC" w:rsidRPr="001B27F8">
        <w:rPr>
          <w:rFonts w:ascii="Times New Roman" w:hAnsi="Times New Roman" w:cs="Times New Roman"/>
          <w:sz w:val="28"/>
          <w:szCs w:val="28"/>
        </w:rPr>
        <w:t xml:space="preserve"> </w:t>
      </w:r>
      <w:r w:rsidR="008B3E2D" w:rsidRPr="001B27F8">
        <w:rPr>
          <w:rFonts w:ascii="Times New Roman" w:hAnsi="Times New Roman" w:cs="Times New Roman"/>
          <w:sz w:val="28"/>
          <w:szCs w:val="28"/>
        </w:rPr>
        <w:t>ИЛ</w:t>
      </w:r>
      <w:r w:rsidR="00750FFC" w:rsidRPr="001B27F8">
        <w:rPr>
          <w:rFonts w:ascii="Times New Roman" w:hAnsi="Times New Roman" w:cs="Times New Roman"/>
          <w:sz w:val="28"/>
          <w:szCs w:val="28"/>
        </w:rPr>
        <w:t xml:space="preserve">-10 и </w:t>
      </w:r>
      <w:r w:rsidR="00CE1FDB" w:rsidRPr="001B27F8">
        <w:rPr>
          <w:rFonts w:ascii="Times New Roman" w:hAnsi="Times New Roman" w:cs="Times New Roman"/>
          <w:sz w:val="28"/>
          <w:szCs w:val="28"/>
        </w:rPr>
        <w:t>трансформирующий фактор роста бета (</w:t>
      </w:r>
      <w:r w:rsidR="00750FFC" w:rsidRPr="001B27F8">
        <w:rPr>
          <w:rFonts w:ascii="Times New Roman" w:hAnsi="Times New Roman" w:cs="Times New Roman"/>
          <w:sz w:val="28"/>
          <w:szCs w:val="28"/>
          <w:lang w:val="en-US"/>
        </w:rPr>
        <w:t>TGF</w:t>
      </w:r>
      <w:r w:rsidR="00750FFC" w:rsidRPr="001B27F8">
        <w:rPr>
          <w:rFonts w:ascii="Times New Roman" w:hAnsi="Times New Roman" w:cs="Times New Roman"/>
          <w:sz w:val="28"/>
          <w:szCs w:val="28"/>
        </w:rPr>
        <w:t>-</w:t>
      </w:r>
      <w:r w:rsidR="00750FFC" w:rsidRPr="001B27F8">
        <w:rPr>
          <w:rFonts w:ascii="Times New Roman" w:hAnsi="Times New Roman" w:cs="Times New Roman"/>
          <w:sz w:val="28"/>
          <w:szCs w:val="28"/>
          <w:lang w:val="en-US"/>
        </w:rPr>
        <w:t>β</w:t>
      </w:r>
      <w:r w:rsidR="00CE1FDB" w:rsidRPr="001B27F8">
        <w:rPr>
          <w:rFonts w:ascii="Times New Roman" w:hAnsi="Times New Roman" w:cs="Times New Roman"/>
          <w:sz w:val="28"/>
          <w:szCs w:val="28"/>
        </w:rPr>
        <w:t>)</w:t>
      </w:r>
      <w:r w:rsidR="00750FFC" w:rsidRPr="001B27F8">
        <w:rPr>
          <w:rFonts w:ascii="Times New Roman" w:hAnsi="Times New Roman" w:cs="Times New Roman"/>
          <w:sz w:val="28"/>
          <w:szCs w:val="28"/>
        </w:rPr>
        <w:t>,</w:t>
      </w:r>
      <w:r w:rsidR="00051240" w:rsidRPr="001B27F8">
        <w:rPr>
          <w:rFonts w:ascii="Times New Roman" w:hAnsi="Times New Roman" w:cs="Times New Roman"/>
          <w:sz w:val="28"/>
          <w:szCs w:val="28"/>
        </w:rPr>
        <w:t xml:space="preserve"> которые участвуют</w:t>
      </w:r>
      <w:r w:rsidR="00750FFC" w:rsidRPr="001B27F8">
        <w:rPr>
          <w:rFonts w:ascii="Times New Roman" w:hAnsi="Times New Roman" w:cs="Times New Roman"/>
          <w:sz w:val="28"/>
          <w:szCs w:val="28"/>
        </w:rPr>
        <w:t xml:space="preserve"> в переключении иммунного ответа с </w:t>
      </w:r>
      <w:r w:rsidR="00750FFC" w:rsidRPr="001B27F8">
        <w:rPr>
          <w:rFonts w:ascii="Times New Roman" w:hAnsi="Times New Roman" w:cs="Times New Roman"/>
          <w:sz w:val="28"/>
          <w:szCs w:val="28"/>
          <w:lang w:val="en-US"/>
        </w:rPr>
        <w:t>IgE</w:t>
      </w:r>
      <w:r w:rsidR="00750FFC" w:rsidRPr="001B27F8">
        <w:rPr>
          <w:rFonts w:ascii="Times New Roman" w:hAnsi="Times New Roman" w:cs="Times New Roman"/>
          <w:sz w:val="28"/>
          <w:szCs w:val="28"/>
        </w:rPr>
        <w:t xml:space="preserve"> на </w:t>
      </w:r>
      <w:r w:rsidR="00750FFC" w:rsidRPr="001B27F8">
        <w:rPr>
          <w:rFonts w:ascii="Times New Roman" w:hAnsi="Times New Roman" w:cs="Times New Roman"/>
          <w:sz w:val="28"/>
          <w:szCs w:val="28"/>
          <w:lang w:val="en-US"/>
        </w:rPr>
        <w:t>IgG</w:t>
      </w:r>
      <w:r w:rsidR="00750FFC" w:rsidRPr="001B27F8">
        <w:rPr>
          <w:rFonts w:ascii="Times New Roman" w:hAnsi="Times New Roman" w:cs="Times New Roman"/>
          <w:sz w:val="28"/>
          <w:szCs w:val="28"/>
        </w:rPr>
        <w:t xml:space="preserve">4 и </w:t>
      </w:r>
      <w:r w:rsidR="00750FFC" w:rsidRPr="001B27F8">
        <w:rPr>
          <w:rFonts w:ascii="Times New Roman" w:hAnsi="Times New Roman" w:cs="Times New Roman"/>
          <w:sz w:val="28"/>
          <w:szCs w:val="28"/>
          <w:lang w:val="en-US"/>
        </w:rPr>
        <w:t>IgA</w:t>
      </w:r>
      <w:r w:rsidR="00A97FAD" w:rsidRPr="001B27F8">
        <w:rPr>
          <w:rFonts w:ascii="Times New Roman" w:hAnsi="Times New Roman" w:cs="Times New Roman"/>
          <w:sz w:val="28"/>
          <w:szCs w:val="28"/>
        </w:rPr>
        <w:t xml:space="preserve"> </w:t>
      </w:r>
      <w:r w:rsidR="00A97FAD"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{"citationItems":[{"id":"ITEM-1","itemData":{"DOI":"10.1177/1753465816669662","ISSN":"17534666","PMID":"27678500","abstract":"Clinical and immunologic tolerance are hallmarks of successful allergen immunotherapy (AIT). Clinical benefits such as reduced symptoms, pharmacotherapy intake and improvement of quality of life persist following cessation of treatment. Successful AIT is associated with suppression of allergic inflammatory cells such as mast cells, eosinophils and basophils in target organs. Furthermore, AIT down-regulates type 2 innate lymphoid cells and allergen-specific type 2 T-helper (Th2) cells. The immunologic tolerant state following AIT is associated with the induction of distinct phenotypes of regulatory T-cells (T-regs) including interleukin (IL)-10-, IL-35- and transforming growth factor (TGF)-β- producing T-regs and FoxP3+ T-regs. B-cell responses, including the induction of IL-10+ regulatory B-cells (B-regs) and the production of IgG4-associated blocking antibodies are also induced following successful AIT. These events are associated with the suppression of antigen-specific Th2 responses and delayed immune deviation in favour of Th1 type responses. Insight into the mechanisms of AIT has allowed identification of novel biomarkers with potential to predict the clinical response to AIT and also novel therapeutic strategies for more effective and safer AIT.","author":[{"dropping-particle":"","family":"Kappen","given":"Jasper H.","non-dropping-particle":"","parse-names":false,"suffix":""},{"dropping-particle":"","family":"Durham","given":"Stephen R.","non-dropping-particle":"","parse-names":false,"suffix":""},{"dropping-particle":"","family":"Veen","given":"Hans In T.","non-dropping-particle":"","parse-names":false,"suffix":""},{"dropping-particle":"","family":"Shamji","given":"Mohamed H.","non-dropping-particle":"","parse-names":false,"suffix":""}],"container-title":"Therapeutic Advances in Respiratory Disease","id":"ITEM-1","issue":"1","issued":{"date-parts":[["2017"]]},"page":"73-86","title":"Applications and mechanisms of immunotherapy in allergic rhinitis and asthma","type":"article-journal","volume":"11"},"uris":["http://www.mendeley.com/documents/?uuid=648b0e23-09bc-47c9-bbb4-5c0b42cce870"]},{"id":"ITEM-2","itemData":{"DOI":"10.1016/j.smim.2019.101326","ISSN":"10963618","PMID":"31711770","abstract":"The molecular and cellular mechanisms of allergen tolerance in humans have been intensively studied in the past few decades. The demonstration of epitope-specific T cell tolerance, particularly mediated by the immune suppressor functions of IL-10 led to a major conceptual change in this area more than 20 years ago. Currently, the known essential components of allergen tolerance include the induction of allergen-specific regulatory of T and B cells, the immune suppressive function of secreted factors, such as IL-10, IL-35, IL-1 receptor antagonist and TGF-β, immune suppressive functions of surface molecules such as CTLA-4 and PD-1, the production IgG4 isotype allergen-specific blocking antibodies, and decreased allergic inflammatory responses by mast cells, basophils, and eosinophils in inflamed tissues. In this review, we explain the importance of the role of IL-10 in allergen tolerance.","author":[{"dropping-particle":"","family":"Boonpiyathad","given":"Tadech","non-dropping-particle":"","parse-names":false,"suffix":""},{"dropping-particle":"","family":"Satitsuksanoa","given":"Pattraporn","non-dropping-particle":"","parse-names":false,"suffix":""},{"dropping-particle":"","family":"Akdis","given":"Mübeccel","non-dropping-particle":"","parse-names":false,"suffix":""},{"dropping-particle":"","family":"Akdis","given":"Cezmi A.","non-dropping-particle":"","parse-names":false,"suffix":""}],"container-title":"Seminars in Immunology","id":"ITEM-2","issue":"July","issued":{"date-parts":[["2019"]]},"page":"101326","publisher":"Elsevier","title":"Il-10 producing T and B cells in allergy","type":"article-journal","volume":"44"},"uris":["http://www.mendeley.com/documents/?uuid=02427cfb-f7ab-478a-a0ac-a6e2a3ebf07d"]}],"mendeley":{"formattedCitation":"[72,76]","plainTextFormattedCitation":"[72,76]","previouslyFormattedCitation":"[72,76]"},"properties":{"noteIndex":0},"schema":"https://github.com/citation-style-language/schema/raw/master/csl-citation.json"}</w:instrText>
      </w:r>
      <w:r w:rsidR="00A97FAD"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[72,76]</w:t>
      </w:r>
      <w:r w:rsidR="00A97FAD" w:rsidRPr="001B27F8">
        <w:rPr>
          <w:rFonts w:ascii="Times New Roman" w:hAnsi="Times New Roman" w:cs="Times New Roman"/>
          <w:sz w:val="28"/>
          <w:szCs w:val="28"/>
        </w:rPr>
        <w:fldChar w:fldCharType="end"/>
      </w:r>
      <w:r w:rsidR="00750FFC" w:rsidRPr="006D7C8A">
        <w:rPr>
          <w:rFonts w:ascii="Times New Roman" w:hAnsi="Times New Roman" w:cs="Times New Roman"/>
          <w:sz w:val="28"/>
          <w:szCs w:val="28"/>
        </w:rPr>
        <w:t xml:space="preserve">. </w:t>
      </w:r>
      <w:r w:rsidR="008E21D2" w:rsidRPr="001B27F8">
        <w:rPr>
          <w:rFonts w:ascii="Times New Roman" w:hAnsi="Times New Roman" w:cs="Times New Roman"/>
          <w:sz w:val="28"/>
          <w:szCs w:val="28"/>
        </w:rPr>
        <w:t xml:space="preserve">Процессы, в которых принимают участие </w:t>
      </w:r>
      <w:r w:rsidR="008E21D2" w:rsidRPr="001B27F8">
        <w:rPr>
          <w:rFonts w:ascii="Times New Roman" w:hAnsi="Times New Roman" w:cs="Times New Roman"/>
          <w:sz w:val="28"/>
          <w:szCs w:val="28"/>
          <w:lang w:val="en-US"/>
        </w:rPr>
        <w:t>Treg</w:t>
      </w:r>
      <w:r w:rsidR="008E21D2" w:rsidRPr="001B27F8">
        <w:rPr>
          <w:rFonts w:ascii="Times New Roman" w:hAnsi="Times New Roman" w:cs="Times New Roman"/>
          <w:sz w:val="28"/>
          <w:szCs w:val="28"/>
        </w:rPr>
        <w:t xml:space="preserve"> важны, поскольку</w:t>
      </w:r>
      <w:r w:rsidR="00750FFC" w:rsidRPr="001B27F8">
        <w:rPr>
          <w:rFonts w:ascii="Times New Roman" w:hAnsi="Times New Roman" w:cs="Times New Roman"/>
          <w:sz w:val="28"/>
          <w:szCs w:val="28"/>
        </w:rPr>
        <w:t xml:space="preserve"> </w:t>
      </w:r>
      <w:r w:rsidR="008E21D2" w:rsidRPr="001B27F8">
        <w:rPr>
          <w:rFonts w:ascii="Times New Roman" w:hAnsi="Times New Roman" w:cs="Times New Roman"/>
          <w:sz w:val="28"/>
          <w:szCs w:val="28"/>
        </w:rPr>
        <w:t xml:space="preserve">поддерживают фазу ранней десенситизации и </w:t>
      </w:r>
      <w:r w:rsidR="00750FFC" w:rsidRPr="001B27F8">
        <w:rPr>
          <w:rFonts w:ascii="Times New Roman" w:hAnsi="Times New Roman" w:cs="Times New Roman"/>
          <w:sz w:val="28"/>
          <w:szCs w:val="28"/>
        </w:rPr>
        <w:t>наблюдаются в течение нескольких недель после начала иммунотерапии</w:t>
      </w:r>
      <w:r w:rsidR="00A97FAD" w:rsidRPr="001B27F8">
        <w:rPr>
          <w:rFonts w:ascii="Times New Roman" w:hAnsi="Times New Roman" w:cs="Times New Roman"/>
          <w:sz w:val="28"/>
          <w:szCs w:val="28"/>
        </w:rPr>
        <w:t xml:space="preserve"> </w:t>
      </w:r>
      <w:r w:rsidR="00A97FAD"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{"citationItems":[{"id":"ITEM-1","itemData":{"DOI":"10.4193/Rhino12.086","ISSN":"03000729","PMID":"23671890","abstract":"Allergic rhinitis, a risk factor for bronchial asthma, is a global health problem that impairs patients' physical and social activity and consequently their quality of life. Specific Immunotherapy (SIT) involves the administration, subcutaneously or sublingually, of increasing doses of the causative allergen, in order to induce clinical and immunologic tolerance. SIT has been shown to be effective in those with a poor response to conventional drug therapy. Immunotherapy has been shown to have disease-modifying effects and result in long term remission of allergic symptoms and reduces the risk of progression from rhinitis to asthma, as well as the chances of developing new sensitizations to allergens. Injection immunotherapy is a safe treatment for allergic rhinitis with/without mild controlled asthma, provided that it is performed in the context of a harmonious interaction between trained medical personnel and appropriately selected patients. Immunotherapy suppresses early and late responses to allergen exposure by modifying both T-cell and B-cell responses to inhaled allergens. Immune deviation of allergen-specific T cell responses in favour of Th1 and/or the induction of regulatory T cells is crucial in achieving immune tolerance. Increased understanding of the mechanisms of immunotherapy has identified potential biomarkers of the response to treatment and highlighted new therapeutic pathways with potential for even more effective future standardized vaccines.","author":[{"dropping-particle":"","family":"Petalas","given":"K.","non-dropping-particle":"","parse-names":false,"suffix":""},{"dropping-particle":"","family":"Durham","given":"S. R.","non-dropping-particle":"","parse-names":false,"suffix":""}],"container-title":"Rhinology","id":"ITEM-1","issue":"2","issued":{"date-parts":[["2013"]]},"page":"1-12","title":"Allergen immunotherapy for allergic rhinitis","type":"article-journal","volume":"51"},"uris":["http://www.mendeley.com/documents/?uuid=923a2c9b-7326-4f7c-9af3-67f5cfef0606"]}],"mendeley":{"formattedCitation":"[63]","plainTextFormattedCitation":"[63]","previouslyFormattedCitation":"[63]"},"properties":{"noteIndex":0},"schema":"https://github.com/citation-style-language/schema/raw/master/csl-citation.json"}</w:instrText>
      </w:r>
      <w:r w:rsidR="00A97FAD"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[63]</w:t>
      </w:r>
      <w:r w:rsidR="00A97FAD" w:rsidRPr="001B27F8">
        <w:rPr>
          <w:rFonts w:ascii="Times New Roman" w:hAnsi="Times New Roman" w:cs="Times New Roman"/>
          <w:sz w:val="28"/>
          <w:szCs w:val="28"/>
        </w:rPr>
        <w:fldChar w:fldCharType="end"/>
      </w:r>
      <w:r w:rsidR="00750FFC" w:rsidRPr="001B27F8">
        <w:rPr>
          <w:rFonts w:ascii="Times New Roman" w:hAnsi="Times New Roman" w:cs="Times New Roman"/>
          <w:sz w:val="28"/>
          <w:szCs w:val="28"/>
        </w:rPr>
        <w:t xml:space="preserve">. </w:t>
      </w:r>
    </w:p>
    <w:p w14:paraId="397017C0" w14:textId="4A817B95" w:rsidR="00032C83" w:rsidRPr="001B27F8" w:rsidRDefault="008F417D" w:rsidP="001B27F8">
      <w:pPr>
        <w:pStyle w:val="a3"/>
        <w:tabs>
          <w:tab w:val="left" w:pos="851"/>
        </w:tabs>
        <w:spacing w:after="0" w:line="240" w:lineRule="auto"/>
        <w:ind w:left="0" w:firstLine="567"/>
        <w:jc w:val="both"/>
        <w:rPr>
          <w:rFonts w:ascii="Times New Roman" w:hAnsi="Times New Roman" w:cs="Times New Roman"/>
          <w:sz w:val="28"/>
          <w:szCs w:val="28"/>
        </w:rPr>
      </w:pPr>
      <w:r w:rsidRPr="00285297">
        <w:rPr>
          <w:rFonts w:ascii="Times New Roman" w:hAnsi="Times New Roman" w:cs="Times New Roman"/>
          <w:sz w:val="28"/>
          <w:szCs w:val="28"/>
        </w:rPr>
        <w:t xml:space="preserve">В-reg лимфоциты характеризуются более ранней активацией в процессе аллергической реакции и обеспечивают привлечение Treg в иммунный ответ </w:t>
      </w:r>
      <w:r w:rsidRPr="00285297">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{"citationItems":[{"id":"ITEM-1","itemData":{"DOI":"10.1016/j.smim.2019.101326","ISSN":"10963618","PMID":"31711770","abstract":"The molecular and cellular mechanisms of allergen tolerance in humans have been intensively studied in the past few decades. The demonstration of epitope-specific T cell tolerance, particularly mediated by the immune suppressor functions of IL-10 led to a major conceptual change in this area more than 20 years ago. Currently, the known essential components of allergen tolerance include the induction of allergen-specific regulatory of T and B cells, the immune suppressive function of secreted factors, such as IL-10, IL-35, IL-1 receptor antagonist and TGF-β, immune suppressive functions of surface molecules such as CTLA-4 and PD-1, the production IgG4 isotype allergen-specific blocking antibodies, and decreased allergic inflammatory responses by mast cells, basophils, and eosinophils in inflamed tissues. In this review, we explain the importance of the role of IL-10 in allergen tolerance.","author":[{"dropping-particle":"","family":"Boonpiyathad","given":"Tadech","non-dropping-particle":"","parse-names":false,"suffix":""},{"dropping-particle":"","family":"Satitsuksanoa","given":"Pattraporn","non-dropping-particle":"","parse-names":false,"suffix":""},{"dropping-particle":"","family":"Akdis","given":"Mübeccel","non-dropping-particle":"","parse-names":false,"suffix":""},{"dropping-particle":"","family":"Akdis","given":"Cezmi A.","non-dropping-particle":"","parse-names":false,"suffix":""}],"container-title":"Seminars in Immunology","id":"ITEM-1","issue":"July","issued":{"date-parts":[["2019"]]},"page":"101326","publisher":"Elsevier","title":"Il-10 producing T and B cells in allergy","type":"article-journal","volume":"44"},"uris":["http://www.mendeley.com/documents/?uuid=02427cfb-f7ab-478a-a0ac-a6e2a3ebf07d"]}],"mendeley":{"formattedCitation":"[76]","plainTextFormattedCitation":"[76]","previouslyFormattedCitation":"[76]"},"properties":{"noteIndex":0},"schema":"https://github.com/citation-style-language/schema/raw/master/csl-citation.json"}</w:instrText>
      </w:r>
      <w:r w:rsidRPr="00285297">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[76]</w:t>
      </w:r>
      <w:r w:rsidRPr="00285297">
        <w:rPr>
          <w:rFonts w:ascii="Times New Roman" w:hAnsi="Times New Roman" w:cs="Times New Roman"/>
          <w:sz w:val="28"/>
          <w:szCs w:val="28"/>
        </w:rPr>
        <w:fldChar w:fldCharType="end"/>
      </w:r>
      <w:r w:rsidRPr="00285297">
        <w:rPr>
          <w:rFonts w:ascii="Times New Roman" w:hAnsi="Times New Roman" w:cs="Times New Roman"/>
          <w:sz w:val="28"/>
          <w:szCs w:val="28"/>
        </w:rPr>
        <w:t>.</w:t>
      </w:r>
      <w:r w:rsidR="001521F8" w:rsidRPr="00285297">
        <w:rPr>
          <w:rFonts w:ascii="Times New Roman" w:hAnsi="Times New Roman" w:cs="Times New Roman"/>
          <w:sz w:val="28"/>
          <w:szCs w:val="28"/>
        </w:rPr>
        <w:t xml:space="preserve"> </w:t>
      </w:r>
      <w:r w:rsidR="002362C0" w:rsidRPr="00285297">
        <w:rPr>
          <w:rFonts w:ascii="Times New Roman" w:hAnsi="Times New Roman" w:cs="Times New Roman"/>
          <w:sz w:val="28"/>
          <w:szCs w:val="28"/>
        </w:rPr>
        <w:t xml:space="preserve">Подобно </w:t>
      </w:r>
      <w:r w:rsidR="002362C0" w:rsidRPr="00285297">
        <w:rPr>
          <w:rFonts w:ascii="Times New Roman" w:hAnsi="Times New Roman" w:cs="Times New Roman"/>
          <w:sz w:val="28"/>
          <w:szCs w:val="28"/>
          <w:lang w:val="en-US"/>
        </w:rPr>
        <w:t>Treg</w:t>
      </w:r>
      <w:r w:rsidR="002362C0" w:rsidRPr="00285297">
        <w:rPr>
          <w:rFonts w:ascii="Times New Roman" w:hAnsi="Times New Roman" w:cs="Times New Roman"/>
          <w:sz w:val="28"/>
          <w:szCs w:val="28"/>
        </w:rPr>
        <w:t xml:space="preserve">, они также являются источником </w:t>
      </w:r>
      <w:r w:rsidR="00D23095" w:rsidRPr="00285297">
        <w:rPr>
          <w:rFonts w:ascii="Times New Roman" w:hAnsi="Times New Roman" w:cs="Times New Roman"/>
          <w:sz w:val="28"/>
          <w:szCs w:val="28"/>
        </w:rPr>
        <w:t xml:space="preserve">ИЛ-10 </w:t>
      </w:r>
      <w:r w:rsidR="002362C0" w:rsidRPr="00835AFE">
        <w:rPr>
          <w:rFonts w:ascii="Times New Roman" w:hAnsi="Times New Roman" w:cs="Times New Roman"/>
          <w:sz w:val="28"/>
          <w:szCs w:val="28"/>
        </w:rPr>
        <w:t xml:space="preserve">и </w:t>
      </w:r>
      <w:r w:rsidR="002362C0" w:rsidRPr="00835AFE">
        <w:rPr>
          <w:rFonts w:ascii="Times New Roman" w:hAnsi="Times New Roman" w:cs="Times New Roman"/>
          <w:sz w:val="28"/>
          <w:szCs w:val="28"/>
          <w:lang w:val="en-US"/>
        </w:rPr>
        <w:t>TGF</w:t>
      </w:r>
      <w:r w:rsidR="002362C0" w:rsidRPr="00835AFE">
        <w:rPr>
          <w:rFonts w:ascii="Times New Roman" w:hAnsi="Times New Roman" w:cs="Times New Roman"/>
          <w:sz w:val="28"/>
          <w:szCs w:val="28"/>
        </w:rPr>
        <w:t>-</w:t>
      </w:r>
      <w:r w:rsidR="002362C0" w:rsidRPr="00835AFE">
        <w:rPr>
          <w:rFonts w:ascii="Times New Roman" w:hAnsi="Times New Roman" w:cs="Times New Roman"/>
          <w:sz w:val="28"/>
          <w:szCs w:val="28"/>
          <w:lang w:val="en-US"/>
        </w:rPr>
        <w:t>β</w:t>
      </w:r>
      <w:r w:rsidR="002362C0" w:rsidRPr="00835AFE">
        <w:rPr>
          <w:rFonts w:ascii="Times New Roman" w:hAnsi="Times New Roman" w:cs="Times New Roman"/>
          <w:sz w:val="28"/>
          <w:szCs w:val="28"/>
        </w:rPr>
        <w:t>,</w:t>
      </w:r>
      <w:r w:rsidR="002362C0" w:rsidRPr="001B27F8">
        <w:rPr>
          <w:rFonts w:ascii="Times New Roman" w:hAnsi="Times New Roman" w:cs="Times New Roman"/>
          <w:sz w:val="28"/>
          <w:szCs w:val="28"/>
        </w:rPr>
        <w:t xml:space="preserve"> которые супрессируют </w:t>
      </w:r>
      <w:r w:rsidR="002362C0" w:rsidRPr="00835AFE">
        <w:rPr>
          <w:rFonts w:ascii="Times New Roman" w:hAnsi="Times New Roman" w:cs="Times New Roman"/>
          <w:sz w:val="28"/>
          <w:szCs w:val="28"/>
        </w:rPr>
        <w:t xml:space="preserve">пролиферацию </w:t>
      </w:r>
      <w:r w:rsidR="002362C0" w:rsidRPr="00835AFE">
        <w:rPr>
          <w:rFonts w:ascii="Times New Roman" w:hAnsi="Times New Roman" w:cs="Times New Roman"/>
          <w:sz w:val="28"/>
          <w:szCs w:val="28"/>
          <w:lang w:val="en-US"/>
        </w:rPr>
        <w:t>Th</w:t>
      </w:r>
      <w:r w:rsidR="002362C0" w:rsidRPr="00835AFE">
        <w:rPr>
          <w:rFonts w:ascii="Times New Roman" w:hAnsi="Times New Roman" w:cs="Times New Roman"/>
          <w:sz w:val="28"/>
          <w:szCs w:val="28"/>
        </w:rPr>
        <w:t>2 и осуществляют</w:t>
      </w:r>
      <w:r w:rsidR="002362C0" w:rsidRPr="001B27F8">
        <w:rPr>
          <w:rFonts w:ascii="Times New Roman" w:hAnsi="Times New Roman" w:cs="Times New Roman"/>
          <w:sz w:val="28"/>
          <w:szCs w:val="28"/>
        </w:rPr>
        <w:t xml:space="preserve"> свое влияние путем прямого контакта </w:t>
      </w:r>
      <w:r w:rsidR="002362C0"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{"citationItems":[{"id":"ITEM-1","itemData":{"DOI":"10.1007/s11882-017-0727-9","ISSN":"15346315","PMID":"28822054","abstract":"Allergy immunotherapy (AIT) is the only disease-modifying therapy for the treatment of allergic diseases. Although its efficacy and utility are well-established, the potential for serious adverse events, cumbersome and lengthy treatment protocols, and variability of natural allergen preparations have limited its widespread application. Recent advances in recombinant technology have opened new avenues for the development of AIT vaccines. The purpose of this review is to highlight recent evidence on the use of novel recombinant vaccines and review the mechanisms, efficacy, safety, and limitations of AIT. Emerging evidence suggests that recombinant vaccines may provide a viable treatment alternative that improves on the limitations of natural extract therapy while maintaining efficacy.","author":[{"dropping-particle":"","family":"Patel","given":"Hardik D.","non-dropping-particle":"","parse-names":false,"suffix":""},{"dropping-particle":"","family":"Chambliss","given":"Jeffrey M.","non-dropping-particle":"","parse-names":false,"suffix":""},{"dropping-particle":"","family":"Gupta","given":"Meera R.","non-dropping-particle":"","parse-names":false,"suffix":""}],"container-title":"Current Allergy and Asthma Reports","id":"ITEM-1","issue":"9","issued":{"date-parts":[["2017"]]},"publisher":"Current Allergy and Asthma Reports","title":"Utility and Comparative Efficacy of Recombinant Allergens Versus Allergen Extract","type":"article-journal","volume":"17"},"uris":["http://www.mendeley.com/documents/?uuid=be561fd9-1c5d-4f5d-b2e4-bbb35dc62e28"]}],"mendeley":{"formattedCitation":"[77]","plainTextFormattedCitation":"[77]","previouslyFormattedCitation":"[77]"},"properties":{"noteIndex":0},"schema":"https://github.com/citation-style-language/schema/raw/master/csl-citation.json"}</w:instrText>
      </w:r>
      <w:r w:rsidR="002362C0"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[77]</w:t>
      </w:r>
      <w:r w:rsidR="002362C0" w:rsidRPr="001B27F8">
        <w:rPr>
          <w:rFonts w:ascii="Times New Roman" w:hAnsi="Times New Roman" w:cs="Times New Roman"/>
          <w:sz w:val="28"/>
          <w:szCs w:val="28"/>
        </w:rPr>
        <w:fldChar w:fldCharType="end"/>
      </w:r>
      <w:r w:rsidR="002362C0" w:rsidRPr="001B27F8">
        <w:rPr>
          <w:rFonts w:ascii="Times New Roman" w:hAnsi="Times New Roman" w:cs="Times New Roman"/>
          <w:sz w:val="28"/>
          <w:szCs w:val="28"/>
        </w:rPr>
        <w:t>.</w:t>
      </w:r>
      <w:r w:rsidR="00AA4BA8" w:rsidRPr="001B27F8">
        <w:rPr>
          <w:rFonts w:ascii="Times New Roman" w:hAnsi="Times New Roman" w:cs="Times New Roman"/>
          <w:sz w:val="28"/>
          <w:szCs w:val="28"/>
        </w:rPr>
        <w:t xml:space="preserve"> Это также приводит к увеличению продукции </w:t>
      </w:r>
      <w:r w:rsidR="00835AFE">
        <w:rPr>
          <w:rFonts w:ascii="Times New Roman" w:hAnsi="Times New Roman" w:cs="Times New Roman"/>
          <w:sz w:val="28"/>
          <w:szCs w:val="28"/>
        </w:rPr>
        <w:t xml:space="preserve">иммуноглобулинов </w:t>
      </w:r>
      <w:r w:rsidR="00AA4BA8" w:rsidRPr="00835AFE">
        <w:rPr>
          <w:rFonts w:ascii="Times New Roman" w:hAnsi="Times New Roman" w:cs="Times New Roman"/>
          <w:sz w:val="28"/>
          <w:szCs w:val="28"/>
          <w:lang w:val="en-US"/>
        </w:rPr>
        <w:t>A</w:t>
      </w:r>
      <w:r w:rsidR="009217B7">
        <w:rPr>
          <w:rFonts w:ascii="Times New Roman" w:hAnsi="Times New Roman" w:cs="Times New Roman"/>
          <w:sz w:val="28"/>
          <w:szCs w:val="28"/>
        </w:rPr>
        <w:t>,</w:t>
      </w:r>
      <w:r w:rsidR="00835AFE" w:rsidRPr="00835AFE">
        <w:rPr>
          <w:rFonts w:ascii="Times New Roman" w:hAnsi="Times New Roman" w:cs="Times New Roman"/>
          <w:sz w:val="28"/>
          <w:szCs w:val="28"/>
        </w:rPr>
        <w:t xml:space="preserve"> </w:t>
      </w:r>
      <w:r w:rsidR="00AA4BA8" w:rsidRPr="00835AFE">
        <w:rPr>
          <w:rFonts w:ascii="Times New Roman" w:hAnsi="Times New Roman" w:cs="Times New Roman"/>
          <w:sz w:val="28"/>
          <w:szCs w:val="28"/>
          <w:lang w:val="en-US"/>
        </w:rPr>
        <w:t>G</w:t>
      </w:r>
      <w:r w:rsidR="00AA4BA8" w:rsidRPr="00835AFE">
        <w:rPr>
          <w:rFonts w:ascii="Times New Roman" w:hAnsi="Times New Roman" w:cs="Times New Roman"/>
          <w:sz w:val="28"/>
          <w:szCs w:val="28"/>
        </w:rPr>
        <w:t xml:space="preserve">1 </w:t>
      </w:r>
      <w:r w:rsidR="00AA4BA8" w:rsidRPr="001B27F8">
        <w:rPr>
          <w:rFonts w:ascii="Times New Roman" w:hAnsi="Times New Roman" w:cs="Times New Roman"/>
          <w:sz w:val="28"/>
          <w:szCs w:val="28"/>
        </w:rPr>
        <w:t xml:space="preserve">и особенно </w:t>
      </w:r>
      <w:r w:rsidR="00AA4BA8" w:rsidRPr="00835AFE">
        <w:rPr>
          <w:rFonts w:ascii="Times New Roman" w:hAnsi="Times New Roman" w:cs="Times New Roman"/>
          <w:sz w:val="28"/>
          <w:szCs w:val="28"/>
          <w:lang w:val="en-US"/>
        </w:rPr>
        <w:t>IgG</w:t>
      </w:r>
      <w:r w:rsidR="00AA4BA8" w:rsidRPr="00835AFE">
        <w:rPr>
          <w:rFonts w:ascii="Times New Roman" w:hAnsi="Times New Roman" w:cs="Times New Roman"/>
          <w:sz w:val="28"/>
          <w:szCs w:val="28"/>
        </w:rPr>
        <w:t>4,</w:t>
      </w:r>
      <w:r w:rsidR="00AA4BA8" w:rsidRPr="001B27F8">
        <w:rPr>
          <w:rFonts w:ascii="Times New Roman" w:hAnsi="Times New Roman" w:cs="Times New Roman"/>
          <w:sz w:val="28"/>
          <w:szCs w:val="28"/>
        </w:rPr>
        <w:t xml:space="preserve"> которые возрастаю в 10-100 раз во время АСИТ</w:t>
      </w:r>
      <w:r w:rsidR="00E34E46" w:rsidRPr="001B27F8">
        <w:rPr>
          <w:rFonts w:ascii="Times New Roman" w:hAnsi="Times New Roman" w:cs="Times New Roman"/>
          <w:sz w:val="28"/>
          <w:szCs w:val="28"/>
        </w:rPr>
        <w:t xml:space="preserve"> </w:t>
      </w:r>
      <w:r w:rsidR="00E34E46" w:rsidRPr="001B27F8">
        <w:rPr>
          <w:rFonts w:ascii="Times New Roman" w:hAnsi="Times New Roman" w:cs="Times New Roman"/>
          <w:sz w:val="28"/>
          <w:szCs w:val="28"/>
          <w:lang w:val="en-US"/>
        </w:rPr>
        <w:fldChar w:fldCharType="begin" w:fldLock="1"/>
      </w:r>
      <w:r w:rsidR="00765C06">
        <w:rPr>
          <w:rFonts w:ascii="Times New Roman" w:hAnsi="Times New Roman" w:cs="Times New Roman"/>
          <w:sz w:val="28"/>
          <w:szCs w:val="28"/>
          <w:lang w:val="en-US"/>
        </w:rPr>
        <w:instrText>ADDIN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CSL</w:instrText>
      </w:r>
      <w:r w:rsidR="00765C06" w:rsidRPr="00015FE3">
        <w:rPr>
          <w:rFonts w:ascii="Times New Roman" w:hAnsi="Times New Roman" w:cs="Times New Roman"/>
          <w:sz w:val="28"/>
          <w:szCs w:val="28"/>
        </w:rPr>
        <w:instrText>_</w:instrText>
      </w:r>
      <w:r w:rsidR="00765C06">
        <w:rPr>
          <w:rFonts w:ascii="Times New Roman" w:hAnsi="Times New Roman" w:cs="Times New Roman"/>
          <w:sz w:val="28"/>
          <w:szCs w:val="28"/>
          <w:lang w:val="en-US"/>
        </w:rPr>
        <w:instrText>CITATION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citationItems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id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ITEM</w:instrText>
      </w:r>
      <w:r w:rsidR="00765C06" w:rsidRPr="00015FE3">
        <w:rPr>
          <w:rFonts w:ascii="Times New Roman" w:hAnsi="Times New Roman" w:cs="Times New Roman"/>
          <w:sz w:val="28"/>
          <w:szCs w:val="28"/>
        </w:rPr>
        <w:instrText>-1","</w:instrText>
      </w:r>
      <w:r w:rsidR="00765C06">
        <w:rPr>
          <w:rFonts w:ascii="Times New Roman" w:hAnsi="Times New Roman" w:cs="Times New Roman"/>
          <w:sz w:val="28"/>
          <w:szCs w:val="28"/>
          <w:lang w:val="en-US"/>
        </w:rPr>
        <w:instrText>itemData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DOI</w:instrText>
      </w:r>
      <w:r w:rsidR="00765C06" w:rsidRPr="00015FE3">
        <w:rPr>
          <w:rFonts w:ascii="Times New Roman" w:hAnsi="Times New Roman" w:cs="Times New Roman"/>
          <w:sz w:val="28"/>
          <w:szCs w:val="28"/>
        </w:rPr>
        <w:instrText>":"10.1080/1744666</w:instrText>
      </w:r>
      <w:r w:rsidR="00765C06">
        <w:rPr>
          <w:rFonts w:ascii="Times New Roman" w:hAnsi="Times New Roman" w:cs="Times New Roman"/>
          <w:sz w:val="28"/>
          <w:szCs w:val="28"/>
          <w:lang w:val="en-US"/>
        </w:rPr>
        <w:instrText>X</w:instrText>
      </w:r>
      <w:r w:rsidR="00765C06" w:rsidRPr="00015FE3">
        <w:rPr>
          <w:rFonts w:ascii="Times New Roman" w:hAnsi="Times New Roman" w:cs="Times New Roman"/>
          <w:sz w:val="28"/>
          <w:szCs w:val="28"/>
        </w:rPr>
        <w:instrText>.2017.1292133","</w:instrText>
      </w:r>
      <w:r w:rsidR="00765C06">
        <w:rPr>
          <w:rFonts w:ascii="Times New Roman" w:hAnsi="Times New Roman" w:cs="Times New Roman"/>
          <w:sz w:val="28"/>
          <w:szCs w:val="28"/>
          <w:lang w:val="en-US"/>
        </w:rPr>
        <w:instrText>ISSN</w:instrText>
      </w:r>
      <w:r w:rsidR="00765C06" w:rsidRPr="00015FE3">
        <w:rPr>
          <w:rFonts w:ascii="Times New Roman" w:hAnsi="Times New Roman" w:cs="Times New Roman"/>
          <w:sz w:val="28"/>
          <w:szCs w:val="28"/>
        </w:rPr>
        <w:instrText>":"17448409","</w:instrText>
      </w:r>
      <w:r w:rsidR="00765C06">
        <w:rPr>
          <w:rFonts w:ascii="Times New Roman" w:hAnsi="Times New Roman" w:cs="Times New Roman"/>
          <w:sz w:val="28"/>
          <w:szCs w:val="28"/>
          <w:lang w:val="en-US"/>
        </w:rPr>
        <w:instrText>PMID</w:instrText>
      </w:r>
      <w:r w:rsidR="00765C06" w:rsidRPr="00015FE3">
        <w:rPr>
          <w:rFonts w:ascii="Times New Roman" w:hAnsi="Times New Roman" w:cs="Times New Roman"/>
          <w:sz w:val="28"/>
          <w:szCs w:val="28"/>
        </w:rPr>
        <w:instrText>":"28162007","</w:instrText>
      </w:r>
      <w:r w:rsidR="00765C06">
        <w:rPr>
          <w:rFonts w:ascii="Times New Roman" w:hAnsi="Times New Roman" w:cs="Times New Roman"/>
          <w:sz w:val="28"/>
          <w:szCs w:val="28"/>
          <w:lang w:val="en-US"/>
        </w:rPr>
        <w:instrText>abstract</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Introduction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Allergen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specific</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Immunotherapy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AIT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only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available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treatment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aimed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to</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tackle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underlying</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causes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allergy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active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components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subcutaneous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vaccines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traditionally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consist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natural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or</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modified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allergen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extracts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which</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can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be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combined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with</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adjuvant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platforms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recent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years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new</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targets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have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been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further</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developed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attempt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to</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raise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safety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efficacy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profile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AIT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Areas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covered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this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review</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we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discuss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desirable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attributes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adjuvants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delivery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systems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from</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empiricism</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to</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rational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design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for</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current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future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clinical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applications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AIT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Expert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commentary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introduction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novel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adjuvants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combination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with</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active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targets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has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been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demonstrated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to</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reduce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symptoms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AIT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increase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clinical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efficacy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allergy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treatment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reduce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number</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doses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evolution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vaccine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development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for</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AIT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entering</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phase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scientific</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progress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that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challenges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dogmas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Over</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past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century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traditional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concept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immunotherapy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entailing</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long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course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administration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native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extract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preparations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first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generation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adjuvants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has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seen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evolution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past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decade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from</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proof</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concept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to</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clinical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development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pipelines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encompassing</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advent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second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generation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adjuvants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delivery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systems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forming</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essential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components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modern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AIT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development</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author</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Klimek</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Ludger</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Schmidt</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Weber</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Carsten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B</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Kramer</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Matthias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F</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Skinner</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Murray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Heath</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Matthew</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container</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title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Expert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Review</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Clinical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Immunology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id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ITEM</w:instrText>
      </w:r>
      <w:r w:rsidR="00765C06" w:rsidRPr="00015FE3">
        <w:rPr>
          <w:rFonts w:ascii="Times New Roman" w:hAnsi="Times New Roman" w:cs="Times New Roman"/>
          <w:sz w:val="28"/>
          <w:szCs w:val="28"/>
        </w:rPr>
        <w:instrText>-1","</w:instrText>
      </w:r>
      <w:r w:rsidR="00765C06">
        <w:rPr>
          <w:rFonts w:ascii="Times New Roman" w:hAnsi="Times New Roman" w:cs="Times New Roman"/>
          <w:sz w:val="28"/>
          <w:szCs w:val="28"/>
          <w:lang w:val="en-US"/>
        </w:rPr>
        <w:instrText>issue</w:instrText>
      </w:r>
      <w:r w:rsidR="00765C06" w:rsidRPr="00015FE3">
        <w:rPr>
          <w:rFonts w:ascii="Times New Roman" w:hAnsi="Times New Roman" w:cs="Times New Roman"/>
          <w:sz w:val="28"/>
          <w:szCs w:val="28"/>
        </w:rPr>
        <w:instrText>":"6","</w:instrText>
      </w:r>
      <w:r w:rsidR="00765C06">
        <w:rPr>
          <w:rFonts w:ascii="Times New Roman" w:hAnsi="Times New Roman" w:cs="Times New Roman"/>
          <w:sz w:val="28"/>
          <w:szCs w:val="28"/>
          <w:lang w:val="en-US"/>
        </w:rPr>
        <w:instrText>issued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date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parts</w:instrText>
      </w:r>
      <w:r w:rsidR="00765C06" w:rsidRPr="00015FE3">
        <w:rPr>
          <w:rFonts w:ascii="Times New Roman" w:hAnsi="Times New Roman" w:cs="Times New Roman"/>
          <w:sz w:val="28"/>
          <w:szCs w:val="28"/>
        </w:rPr>
        <w:instrText>":[["2017"]]},"</w:instrText>
      </w:r>
      <w:r w:rsidR="00765C06">
        <w:rPr>
          <w:rFonts w:ascii="Times New Roman" w:hAnsi="Times New Roman" w:cs="Times New Roman"/>
          <w:sz w:val="28"/>
          <w:szCs w:val="28"/>
          <w:lang w:val="en-US"/>
        </w:rPr>
        <w:instrText>page</w:instrText>
      </w:r>
      <w:r w:rsidR="00765C06" w:rsidRPr="00015FE3">
        <w:rPr>
          <w:rFonts w:ascii="Times New Roman" w:hAnsi="Times New Roman" w:cs="Times New Roman"/>
          <w:sz w:val="28"/>
          <w:szCs w:val="28"/>
        </w:rPr>
        <w:instrText>":"599-610","</w:instrText>
      </w:r>
      <w:r w:rsidR="00765C06">
        <w:rPr>
          <w:rFonts w:ascii="Times New Roman" w:hAnsi="Times New Roman" w:cs="Times New Roman"/>
          <w:sz w:val="28"/>
          <w:szCs w:val="28"/>
          <w:lang w:val="en-US"/>
        </w:rPr>
        <w:instrText>publisher</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Taylor</w:instrText>
      </w:r>
      <w:r w:rsidR="00765C06" w:rsidRPr="00015FE3">
        <w:rPr>
          <w:rFonts w:ascii="Times New Roman" w:hAnsi="Times New Roman" w:cs="Times New Roman"/>
          <w:sz w:val="28"/>
          <w:szCs w:val="28"/>
        </w:rPr>
        <w:instrText xml:space="preserve"> &amp; </w:instrText>
      </w:r>
      <w:r w:rsidR="00765C06">
        <w:rPr>
          <w:rFonts w:ascii="Times New Roman" w:hAnsi="Times New Roman" w:cs="Times New Roman"/>
          <w:sz w:val="28"/>
          <w:szCs w:val="28"/>
          <w:lang w:val="en-US"/>
        </w:rPr>
        <w:instrText>Francis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title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Clinical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use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adjuvants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allergen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immunotherapy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type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journal</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volume</w:instrText>
      </w:r>
      <w:r w:rsidR="00765C06" w:rsidRPr="00015FE3">
        <w:rPr>
          <w:rFonts w:ascii="Times New Roman" w:hAnsi="Times New Roman" w:cs="Times New Roman"/>
          <w:sz w:val="28"/>
          <w:szCs w:val="28"/>
        </w:rPr>
        <w:instrText>":"13"},"</w:instrText>
      </w:r>
      <w:r w:rsidR="00765C06">
        <w:rPr>
          <w:rFonts w:ascii="Times New Roman" w:hAnsi="Times New Roman" w:cs="Times New Roman"/>
          <w:sz w:val="28"/>
          <w:szCs w:val="28"/>
          <w:lang w:val="en-US"/>
        </w:rPr>
        <w:instrText>uris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http</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www</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mendeley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com</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documents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uuid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fdeb</w:instrText>
      </w:r>
      <w:r w:rsidR="00765C06" w:rsidRPr="00015FE3">
        <w:rPr>
          <w:rFonts w:ascii="Times New Roman" w:hAnsi="Times New Roman" w:cs="Times New Roman"/>
          <w:sz w:val="28"/>
          <w:szCs w:val="28"/>
        </w:rPr>
        <w:instrText>77</w:instrText>
      </w:r>
      <w:r w:rsidR="00765C06">
        <w:rPr>
          <w:rFonts w:ascii="Times New Roman" w:hAnsi="Times New Roman" w:cs="Times New Roman"/>
          <w:sz w:val="28"/>
          <w:szCs w:val="28"/>
          <w:lang w:val="en-US"/>
        </w:rPr>
        <w:instrText>d</w:instrText>
      </w:r>
      <w:r w:rsidR="00765C06" w:rsidRPr="00015FE3">
        <w:rPr>
          <w:rFonts w:ascii="Times New Roman" w:hAnsi="Times New Roman" w:cs="Times New Roman"/>
          <w:sz w:val="28"/>
          <w:szCs w:val="28"/>
        </w:rPr>
        <w:instrText>9-</w:instrText>
      </w:r>
      <w:r w:rsidR="00765C06">
        <w:rPr>
          <w:rFonts w:ascii="Times New Roman" w:hAnsi="Times New Roman" w:cs="Times New Roman"/>
          <w:sz w:val="28"/>
          <w:szCs w:val="28"/>
          <w:lang w:val="en-US"/>
        </w:rPr>
        <w:instrText>d</w:instrText>
      </w:r>
      <w:r w:rsidR="00765C06" w:rsidRPr="00015FE3">
        <w:rPr>
          <w:rFonts w:ascii="Times New Roman" w:hAnsi="Times New Roman" w:cs="Times New Roman"/>
          <w:sz w:val="28"/>
          <w:szCs w:val="28"/>
        </w:rPr>
        <w:instrText>20</w:instrText>
      </w:r>
      <w:r w:rsidR="00765C06">
        <w:rPr>
          <w:rFonts w:ascii="Times New Roman" w:hAnsi="Times New Roman" w:cs="Times New Roman"/>
          <w:sz w:val="28"/>
          <w:szCs w:val="28"/>
          <w:lang w:val="en-US"/>
        </w:rPr>
        <w:instrText>f</w:instrText>
      </w:r>
      <w:r w:rsidR="00765C06" w:rsidRPr="00015FE3">
        <w:rPr>
          <w:rFonts w:ascii="Times New Roman" w:hAnsi="Times New Roman" w:cs="Times New Roman"/>
          <w:sz w:val="28"/>
          <w:szCs w:val="28"/>
        </w:rPr>
        <w:instrText>-444</w:instrText>
      </w:r>
      <w:r w:rsidR="00765C06">
        <w:rPr>
          <w:rFonts w:ascii="Times New Roman" w:hAnsi="Times New Roman" w:cs="Times New Roman"/>
          <w:sz w:val="28"/>
          <w:szCs w:val="28"/>
          <w:lang w:val="en-US"/>
        </w:rPr>
        <w:instrText>c</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bf</w:instrText>
      </w:r>
      <w:r w:rsidR="00765C06" w:rsidRPr="00015FE3">
        <w:rPr>
          <w:rFonts w:ascii="Times New Roman" w:hAnsi="Times New Roman" w:cs="Times New Roman"/>
          <w:sz w:val="28"/>
          <w:szCs w:val="28"/>
        </w:rPr>
        <w:instrText>30-4</w:instrText>
      </w:r>
      <w:r w:rsidR="00765C06">
        <w:rPr>
          <w:rFonts w:ascii="Times New Roman" w:hAnsi="Times New Roman" w:cs="Times New Roman"/>
          <w:sz w:val="28"/>
          <w:szCs w:val="28"/>
          <w:lang w:val="en-US"/>
        </w:rPr>
        <w:instrText>e</w:instrText>
      </w:r>
      <w:r w:rsidR="00765C06" w:rsidRPr="00015FE3">
        <w:rPr>
          <w:rFonts w:ascii="Times New Roman" w:hAnsi="Times New Roman" w:cs="Times New Roman"/>
          <w:sz w:val="28"/>
          <w:szCs w:val="28"/>
        </w:rPr>
        <w:instrText>5</w:instrText>
      </w:r>
      <w:r w:rsidR="00765C06">
        <w:rPr>
          <w:rFonts w:ascii="Times New Roman" w:hAnsi="Times New Roman" w:cs="Times New Roman"/>
          <w:sz w:val="28"/>
          <w:szCs w:val="28"/>
          <w:lang w:val="en-US"/>
        </w:rPr>
        <w:instrText>df</w:instrText>
      </w:r>
      <w:r w:rsidR="00765C06" w:rsidRPr="00015FE3">
        <w:rPr>
          <w:rFonts w:ascii="Times New Roman" w:hAnsi="Times New Roman" w:cs="Times New Roman"/>
          <w:sz w:val="28"/>
          <w:szCs w:val="28"/>
        </w:rPr>
        <w:instrText>1236</w:instrText>
      </w:r>
      <w:r w:rsidR="00765C06">
        <w:rPr>
          <w:rFonts w:ascii="Times New Roman" w:hAnsi="Times New Roman" w:cs="Times New Roman"/>
          <w:sz w:val="28"/>
          <w:szCs w:val="28"/>
          <w:lang w:val="en-US"/>
        </w:rPr>
        <w:instrText>e</w:instrText>
      </w:r>
      <w:r w:rsidR="00765C06" w:rsidRPr="00015FE3">
        <w:rPr>
          <w:rFonts w:ascii="Times New Roman" w:hAnsi="Times New Roman" w:cs="Times New Roman"/>
          <w:sz w:val="28"/>
          <w:szCs w:val="28"/>
        </w:rPr>
        <w:instrText>28"]}],"</w:instrText>
      </w:r>
      <w:r w:rsidR="00765C06">
        <w:rPr>
          <w:rFonts w:ascii="Times New Roman" w:hAnsi="Times New Roman" w:cs="Times New Roman"/>
          <w:sz w:val="28"/>
          <w:szCs w:val="28"/>
          <w:lang w:val="en-US"/>
        </w:rPr>
        <w:instrText>mendeley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formattedCitation</w:instrText>
      </w:r>
      <w:r w:rsidR="00765C06" w:rsidRPr="00015FE3">
        <w:rPr>
          <w:rFonts w:ascii="Times New Roman" w:hAnsi="Times New Roman" w:cs="Times New Roman"/>
          <w:sz w:val="28"/>
          <w:szCs w:val="28"/>
        </w:rPr>
        <w:instrText>":"[78]","</w:instrText>
      </w:r>
      <w:r w:rsidR="00765C06">
        <w:rPr>
          <w:rFonts w:ascii="Times New Roman" w:hAnsi="Times New Roman" w:cs="Times New Roman"/>
          <w:sz w:val="28"/>
          <w:szCs w:val="28"/>
          <w:lang w:val="en-US"/>
        </w:rPr>
        <w:instrText>plainTextFormattedCitation</w:instrText>
      </w:r>
      <w:r w:rsidR="00765C06" w:rsidRPr="00015FE3">
        <w:rPr>
          <w:rFonts w:ascii="Times New Roman" w:hAnsi="Times New Roman" w:cs="Times New Roman"/>
          <w:sz w:val="28"/>
          <w:szCs w:val="28"/>
        </w:rPr>
        <w:instrText>":"[78]","</w:instrText>
      </w:r>
      <w:r w:rsidR="00765C06">
        <w:rPr>
          <w:rFonts w:ascii="Times New Roman" w:hAnsi="Times New Roman" w:cs="Times New Roman"/>
          <w:sz w:val="28"/>
          <w:szCs w:val="28"/>
          <w:lang w:val="en-US"/>
        </w:rPr>
        <w:instrText>previouslyFormattedCitation</w:instrText>
      </w:r>
      <w:r w:rsidR="00765C06" w:rsidRPr="00015FE3">
        <w:rPr>
          <w:rFonts w:ascii="Times New Roman" w:hAnsi="Times New Roman" w:cs="Times New Roman"/>
          <w:sz w:val="28"/>
          <w:szCs w:val="28"/>
        </w:rPr>
        <w:instrText>":"[78]"},"</w:instrText>
      </w:r>
      <w:r w:rsidR="00765C06">
        <w:rPr>
          <w:rFonts w:ascii="Times New Roman" w:hAnsi="Times New Roman" w:cs="Times New Roman"/>
          <w:sz w:val="28"/>
          <w:szCs w:val="28"/>
          <w:lang w:val="en-US"/>
        </w:rPr>
        <w:instrText>properties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noteIndex</w:instrText>
      </w:r>
      <w:r w:rsidR="00765C06" w:rsidRPr="00015FE3">
        <w:rPr>
          <w:rFonts w:ascii="Times New Roman" w:hAnsi="Times New Roman" w:cs="Times New Roman"/>
          <w:sz w:val="28"/>
          <w:szCs w:val="28"/>
        </w:rPr>
        <w:instrText>":0},"</w:instrText>
      </w:r>
      <w:r w:rsidR="00765C06">
        <w:rPr>
          <w:rFonts w:ascii="Times New Roman" w:hAnsi="Times New Roman" w:cs="Times New Roman"/>
          <w:sz w:val="28"/>
          <w:szCs w:val="28"/>
          <w:lang w:val="en-US"/>
        </w:rPr>
        <w:instrText>schema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https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github</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com</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citation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style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language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schema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raw</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master</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csl</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citation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json</w:instrText>
      </w:r>
      <w:r w:rsidR="00765C06" w:rsidRPr="00015FE3">
        <w:rPr>
          <w:rFonts w:ascii="Times New Roman" w:hAnsi="Times New Roman" w:cs="Times New Roman"/>
          <w:sz w:val="28"/>
          <w:szCs w:val="28"/>
        </w:rPr>
        <w:instrText>"}</w:instrText>
      </w:r>
      <w:r w:rsidR="00E34E46" w:rsidRPr="001B27F8">
        <w:rPr>
          <w:rFonts w:ascii="Times New Roman" w:hAnsi="Times New Roman" w:cs="Times New Roman"/>
          <w:sz w:val="28"/>
          <w:szCs w:val="28"/>
          <w:lang w:val="en-US"/>
        </w:rPr>
        <w:fldChar w:fldCharType="separate"/>
      </w:r>
      <w:r w:rsidR="00877069" w:rsidRPr="00877069">
        <w:rPr>
          <w:rFonts w:ascii="Times New Roman" w:hAnsi="Times New Roman" w:cs="Times New Roman"/>
          <w:noProof/>
          <w:sz w:val="28"/>
          <w:szCs w:val="28"/>
        </w:rPr>
        <w:t>[78]</w:t>
      </w:r>
      <w:r w:rsidR="00E34E46" w:rsidRPr="001B27F8">
        <w:rPr>
          <w:rFonts w:ascii="Times New Roman" w:hAnsi="Times New Roman" w:cs="Times New Roman"/>
          <w:sz w:val="28"/>
          <w:szCs w:val="28"/>
          <w:lang w:val="en-US"/>
        </w:rPr>
        <w:fldChar w:fldCharType="end"/>
      </w:r>
      <w:r w:rsidR="00490494" w:rsidRPr="001B27F8">
        <w:rPr>
          <w:rFonts w:ascii="Times New Roman" w:hAnsi="Times New Roman" w:cs="Times New Roman"/>
          <w:sz w:val="28"/>
          <w:szCs w:val="28"/>
        </w:rPr>
        <w:t>.</w:t>
      </w:r>
      <w:r w:rsidR="000F22E0" w:rsidRPr="001B27F8">
        <w:rPr>
          <w:rFonts w:ascii="Times New Roman" w:hAnsi="Times New Roman" w:cs="Times New Roman"/>
          <w:sz w:val="28"/>
          <w:szCs w:val="28"/>
        </w:rPr>
        <w:t xml:space="preserve"> </w:t>
      </w:r>
      <w:r w:rsidR="001521F8" w:rsidRPr="00285297">
        <w:rPr>
          <w:rFonts w:ascii="Times New Roman" w:hAnsi="Times New Roman" w:cs="Times New Roman"/>
          <w:sz w:val="28"/>
          <w:szCs w:val="28"/>
        </w:rPr>
        <w:t xml:space="preserve">В-reg лимфоциты способствуют поддержанию равновесия, необходимого для развития иммунологической толерантности и контролируют чрезмерные воспалительные реакции через ИЛ-10, который в свою очередь ингибирует провоспалительные цитокины и </w:t>
      </w:r>
      <w:r w:rsidR="00A949C4" w:rsidRPr="00285297">
        <w:rPr>
          <w:rFonts w:ascii="Times New Roman" w:hAnsi="Times New Roman" w:cs="Times New Roman"/>
          <w:sz w:val="28"/>
          <w:szCs w:val="28"/>
        </w:rPr>
        <w:t>поддерживает дифференцировку T-</w:t>
      </w:r>
      <w:r w:rsidR="001521F8" w:rsidRPr="00285297">
        <w:rPr>
          <w:rFonts w:ascii="Times New Roman" w:hAnsi="Times New Roman" w:cs="Times New Roman"/>
          <w:sz w:val="28"/>
          <w:szCs w:val="28"/>
        </w:rPr>
        <w:t xml:space="preserve">reg </w:t>
      </w:r>
      <w:r w:rsidR="001521F8"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{"citationItems":[{"id":"ITEM-1","itemData":{"ISBN":"9789896540821","author":[{"dropping-particle":"","family":"Насунова","given":"А.Ю.","non-dropping-particle":"","parse-names":false,"suffix":""}],"container-title":"диссертация к.м.н.","id":"ITEM-1","issued":{"date-parts":[["2020"]]},"page":"129","title":"Эффективность различных методов аллерген-специфической иммунотерапии при бронхиальной астме и аллергическом рините","type":"article-journal"},"uris":["http://www.mendeley.com/documents/?uuid=42666028-c38d-4afe-b56f-bc2276195b12"]}],"mendeley":{"formattedCitation":"[11]","plainTextFormattedCitation":"[11]","previouslyFormattedCitation":"[11]"},"properties":{"noteIndex":0},"schema":"https://github.com/citation-style-language/schema/raw/master/csl-citation.json"}</w:instrText>
      </w:r>
      <w:r w:rsidR="001521F8"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[11]</w:t>
      </w:r>
      <w:r w:rsidR="001521F8" w:rsidRPr="001B27F8">
        <w:rPr>
          <w:rFonts w:ascii="Times New Roman" w:hAnsi="Times New Roman" w:cs="Times New Roman"/>
          <w:sz w:val="28"/>
          <w:szCs w:val="28"/>
        </w:rPr>
        <w:fldChar w:fldCharType="end"/>
      </w:r>
      <w:r w:rsidR="001521F8" w:rsidRPr="001B27F8">
        <w:rPr>
          <w:rFonts w:ascii="Times New Roman" w:hAnsi="Times New Roman" w:cs="Times New Roman"/>
          <w:sz w:val="28"/>
          <w:szCs w:val="28"/>
        </w:rPr>
        <w:t xml:space="preserve">. </w:t>
      </w:r>
    </w:p>
    <w:p w14:paraId="180A3ADA" w14:textId="213E811D" w:rsidR="008B5C85" w:rsidRPr="001B27F8" w:rsidRDefault="005A776B" w:rsidP="001B27F8">
      <w:pPr>
        <w:pStyle w:val="a3"/>
        <w:tabs>
          <w:tab w:val="left" w:pos="851"/>
        </w:tabs>
        <w:spacing w:after="0" w:line="240" w:lineRule="auto"/>
        <w:ind w:left="0" w:firstLine="567"/>
        <w:jc w:val="both"/>
        <w:rPr>
          <w:rFonts w:ascii="Times New Roman" w:hAnsi="Times New Roman" w:cs="Times New Roman"/>
          <w:b/>
          <w:sz w:val="28"/>
          <w:szCs w:val="28"/>
        </w:rPr>
      </w:pPr>
      <w:r w:rsidRPr="001B27F8">
        <w:rPr>
          <w:rFonts w:ascii="Times New Roman" w:hAnsi="Times New Roman" w:cs="Times New Roman"/>
          <w:b/>
          <w:sz w:val="28"/>
          <w:szCs w:val="28"/>
        </w:rPr>
        <w:t xml:space="preserve">Влияние на </w:t>
      </w:r>
      <w:r w:rsidRPr="00835AFE">
        <w:rPr>
          <w:rFonts w:ascii="Times New Roman" w:hAnsi="Times New Roman" w:cs="Times New Roman"/>
          <w:b/>
          <w:sz w:val="28"/>
          <w:szCs w:val="28"/>
        </w:rPr>
        <w:t>продукцию IgE и IgG4</w:t>
      </w:r>
      <w:r w:rsidR="008B5C85" w:rsidRPr="001B27F8">
        <w:rPr>
          <w:rFonts w:ascii="Times New Roman" w:hAnsi="Times New Roman" w:cs="Times New Roman"/>
          <w:b/>
          <w:sz w:val="28"/>
          <w:szCs w:val="28"/>
        </w:rPr>
        <w:t xml:space="preserve"> </w:t>
      </w:r>
    </w:p>
    <w:p w14:paraId="7AABE7ED" w14:textId="266ED4AD" w:rsidR="00CC5CEB" w:rsidRPr="001B27F8" w:rsidRDefault="00CC5CEB" w:rsidP="001B27F8">
      <w:pPr>
        <w:pStyle w:val="a3"/>
        <w:tabs>
          <w:tab w:val="left" w:pos="851"/>
        </w:tabs>
        <w:spacing w:after="0" w:line="240" w:lineRule="auto"/>
        <w:ind w:left="0" w:firstLine="567"/>
        <w:jc w:val="both"/>
        <w:rPr>
          <w:rFonts w:ascii="Times New Roman" w:hAnsi="Times New Roman" w:cs="Times New Roman"/>
          <w:sz w:val="28"/>
          <w:szCs w:val="28"/>
        </w:rPr>
      </w:pPr>
      <w:r w:rsidRPr="001B27F8">
        <w:rPr>
          <w:rStyle w:val="fontstyle01"/>
          <w:color w:val="auto"/>
        </w:rPr>
        <w:t xml:space="preserve">На сегодняшний день, одним из основных известных механизмов, лежащих в основе развития иммунологической толерантности в результате применения АСИТ, остается переключение иммунного ответа с продукции специфических иммуноглобулинов Е на выработку </w:t>
      </w:r>
      <w:r w:rsidR="00C44C5B" w:rsidRPr="001B27F8">
        <w:rPr>
          <w:rFonts w:ascii="Times New Roman" w:hAnsi="Times New Roman" w:cs="Times New Roman"/>
          <w:sz w:val="28"/>
          <w:szCs w:val="28"/>
          <w:lang w:val="en-US"/>
        </w:rPr>
        <w:t>s</w:t>
      </w:r>
      <w:r w:rsidR="00C44C5B" w:rsidRPr="001B27F8">
        <w:rPr>
          <w:rFonts w:ascii="Times New Roman" w:hAnsi="Times New Roman" w:cs="Times New Roman"/>
          <w:sz w:val="28"/>
          <w:szCs w:val="28"/>
        </w:rPr>
        <w:t xml:space="preserve">IgG4 </w:t>
      </w:r>
      <w:r w:rsidR="00D65142" w:rsidRPr="001B27F8">
        <w:rPr>
          <w:rStyle w:val="fontstyle01"/>
          <w:color w:val="auto"/>
        </w:rPr>
        <w:fldChar w:fldCharType="begin" w:fldLock="1"/>
      </w:r>
      <w:r w:rsidR="00765C06">
        <w:rPr>
          <w:rStyle w:val="fontstyle01"/>
          <w:color w:val="auto"/>
        </w:rPr>
        <w:instrText>ADDIN CSL_CITATION {"citationItems":[{"id":"ITEM-1","itemData":{"DOI":"10.1016/j.jaci.2017.09.052","ISSN":"10976825","PMID":"29361332","abstract":"Background: BM32 is a grass pollen allergy vaccine based on recombinant fusion proteins consisting of nonallergenic peptides from the IgE-binding sites of the 4 major grass pollen allergens and the hepatitis B preS protein. Objective: We sought to study the safety and clinical efficacy of immunotherapy (allergen immunotherapy) with BM32 in patients with grass pollen–induced rhinitis and controlled asthma. Methods: A double-blind, placebo-controlled, multicenter allergen immunotherapy field study was conducted for 2 grass pollen seasons. After a baseline season, subjects (n = 181) were randomized and received 3 preseasonal injections of either placebo (n = 58) or a low dose (80 μg, n = 60) or high dose (160 μg, n = 63) of BM32 in year 1, respectively, followed by a booster injection in autumn. In the second year, all actively treated subjects received 3 preseasonal injections of the BM32 low dose, and placebo-treated subjects continued with placebo. Clinical efficacy was assessed by using combined symptom medication scores, visual analog scales, Rhinoconjunctivitis Quality of Life Questionnaires, and asthma symptom scores. Adverse events were graded according to the European Academy of Allergy and Clinical Immunology. Allergen-specific antibodies were determined by using ELISA, ImmunoCAP, and ImmunoCAP ISAC. Results: Although statistical significance regarding the primary end point was not reached, BM32-treated subjects, when compared with placebo-treated subjects, showed an improvement regarding symptom medication, visual analog scale, Rhinoconjunctivitis Quality of Life Questionnaire, and asthma symptom scores in both treatment years. This was accompanied by an induction of allergen-specific IgG without induction of allergen-specific IgE and a reduction in the seasonally induced increase in allergen-specific IgE levels in year 2. In the first year, more grade 2 reactions were observed in the active (n = 6) versus placebo (n = 1) groups, whereas there was almost no difference in the second year. Conclusions: Injections of BM32 induced allergen-specific IgG, improved clinical symptoms of seasonal grass pollen allergy, and were well tolerated.","author":[{"dropping-particle":"","family":"Niederberger","given":"Verena","non-dropping-particle":"","parse-names":false,"suffix":""},{"dropping-particle":"","family":"Neubauer","given":"Angela","non-dropping-particle":"","parse-names":false,"suffix":""},{"dropping-particle":"","family":"Gevaert","given":"Philippe","non-dropping-particle":"","parse-names":false,"suffix":""},{"dropping-particle":"","family":"Zidarn","given":"Mihaela","non-dropping-particle":"","parse-names":false,"suffix":""},{"dropping-particle":"","family":"Worm","given":"Margitta","non-dropping-particle":"","parse-names":false,"suffix":""},{"dropping-particle":"","family":"Aberer","given":"Werner","non-dropping-particle":"","parse-names":false,"suffix":""},{"dropping-particle":"","family":"Malling","given":"Hans Jørgen","non-dropping-particle":"","parse-names":false,"suffix":""},{"dropping-particle":"","family":"Pfaar","given":"Oliver","non-dropping-particle":"","parse-names":false,"suffix":""},{"dropping-particle":"","family":"Klimek","given":"Ludger","non-dropping-particle":"","parse-names":false,"suffix":""},{"dropping-particle":"","family":"Pfützner","given":"Wolfgang","non-dropping-particle":"","parse-names":false,"suffix":""},{"dropping-particle":"","family":"Ring","given":"Johannes","non-dropping-particle":"","parse-names":false,"suffix":""},{"dropping-particle":"","family":"Darsow","given":"Ulf","non-dropping-particle":"","parse-names":false,"suffix":""},{"dropping-particle":"","family":"Novak","given":"Natalija","non-dropping-particle":"","parse-names":false,"suffix":""},{"dropping-particle":"","family":"Gerth van Wijk","given":"Roy","non-dropping-particle":"","parse-names":false,"suffix":""},{"dropping-particle":"","family":"Eckl-Dorna","given":"Julia","non-dropping-particle":"","parse-names":false,"suffix":""},{"dropping-particle":"","family":"Focke-Tejkl","given":"Margarete","non-dropping-particle":"","parse-names":false,"suffix":""},{"dropping-particle":"","family":"Weber","given":"Milena","non-dropping-particle":"","parse-names":false,"suffix":""},{"dropping-particle":"","family":"Müller","given":"Hans Helge","non-dropping-particle":"","parse-names":false,"suffix":""},{"dropping-particle":"","family":"Klinger","given":"Joachim","non-dropping-particle":"","parse-names":false,"suffix":""},{"dropping-particle":"","family":"Stolz","given":"Frank","non-dropping-particle":"","parse-names":false,"suffix":""},{"dropping-particle":"","family":"Breit","given":"Nora","non-dropping-particle":"","parse-names":false,"suffix":""},{"dropping-particle":"","family":"Henning","given":"Rainer","non-dropping-particle":"","parse-names":false,"suffix":""},{"dropping-particle":"","family":"Valenta","given":"Rudolf","non-dropping-particle":"","parse-names":false,"suffix":""}],"container-title":"Journal of Allergy and Clinical Immunology","id":"ITEM-1","issue":"2","issued":{"date-parts":[["2018"]]},"page":"497-509.e9","title":"Safety and efficacy of immunotherapy with the recombinant B-cell epitope–based grass pollen vaccine BM32","type":"article-journal","volume":"142"},"uris":["http://www.mendeley.com/documents/?uuid=71e01c05-3f72-4f6e-9ed4-f209f06329ea"]}],"mendeley":{"formattedCitation":"[68]","plainTextFormattedCitation":"[68]","previouslyFormattedCitation":"[68]"},"properties":{"noteIndex":0},"schema":"https://github.com/citation-style-language/schema/raw/master/csl-citation.json"}</w:instrText>
      </w:r>
      <w:r w:rsidR="00D65142" w:rsidRPr="001B27F8">
        <w:rPr>
          <w:rStyle w:val="fontstyle01"/>
          <w:color w:val="auto"/>
        </w:rPr>
        <w:fldChar w:fldCharType="separate"/>
      </w:r>
      <w:r w:rsidR="00877069" w:rsidRPr="00877069">
        <w:rPr>
          <w:rStyle w:val="fontstyle01"/>
          <w:noProof/>
          <w:color w:val="auto"/>
        </w:rPr>
        <w:t>[68]</w:t>
      </w:r>
      <w:r w:rsidR="00D65142" w:rsidRPr="001B27F8">
        <w:rPr>
          <w:rStyle w:val="fontstyle01"/>
          <w:color w:val="auto"/>
        </w:rPr>
        <w:fldChar w:fldCharType="end"/>
      </w:r>
      <w:r w:rsidRPr="001B27F8">
        <w:rPr>
          <w:rStyle w:val="fontstyle01"/>
          <w:color w:val="auto"/>
        </w:rPr>
        <w:t xml:space="preserve">. </w:t>
      </w:r>
      <w:r w:rsidRPr="001B27F8">
        <w:rPr>
          <w:rFonts w:ascii="Times New Roman" w:hAnsi="Times New Roman" w:cs="Times New Roman"/>
          <w:sz w:val="28"/>
          <w:szCs w:val="28"/>
        </w:rPr>
        <w:t xml:space="preserve">Данные нескольких исследований подтверждают, что увеличение уровня </w:t>
      </w:r>
      <w:r w:rsidR="00C44C5B" w:rsidRPr="001B27F8">
        <w:rPr>
          <w:rFonts w:ascii="Times New Roman" w:hAnsi="Times New Roman" w:cs="Times New Roman"/>
          <w:sz w:val="28"/>
          <w:szCs w:val="28"/>
          <w:lang w:val="en-US"/>
        </w:rPr>
        <w:t>s</w:t>
      </w:r>
      <w:r w:rsidR="00C44C5B" w:rsidRPr="001B27F8">
        <w:rPr>
          <w:rFonts w:ascii="Times New Roman" w:hAnsi="Times New Roman" w:cs="Times New Roman"/>
          <w:sz w:val="28"/>
          <w:szCs w:val="28"/>
        </w:rPr>
        <w:t xml:space="preserve">IgG4 </w:t>
      </w:r>
      <w:r w:rsidRPr="001B27F8">
        <w:rPr>
          <w:rFonts w:ascii="Times New Roman" w:hAnsi="Times New Roman" w:cs="Times New Roman"/>
          <w:sz w:val="28"/>
          <w:szCs w:val="28"/>
        </w:rPr>
        <w:t>в сыворотке крови на ранних и поздних этапах АСИТ сопров</w:t>
      </w:r>
      <w:r w:rsidR="00D12975" w:rsidRPr="001B27F8">
        <w:rPr>
          <w:rFonts w:ascii="Times New Roman" w:hAnsi="Times New Roman" w:cs="Times New Roman"/>
          <w:sz w:val="28"/>
          <w:szCs w:val="28"/>
        </w:rPr>
        <w:t>ождается клиническим улучшением</w:t>
      </w:r>
      <w:r w:rsidRPr="001B27F8">
        <w:rPr>
          <w:rFonts w:ascii="Times New Roman" w:hAnsi="Times New Roman" w:cs="Times New Roman"/>
          <w:sz w:val="28"/>
          <w:szCs w:val="28"/>
        </w:rPr>
        <w:t xml:space="preserve"> и является основополагающим для развития и сохранения </w:t>
      </w:r>
      <w:r w:rsidRPr="001B27F8">
        <w:rPr>
          <w:rStyle w:val="fontstyle01"/>
          <w:color w:val="auto"/>
        </w:rPr>
        <w:t>долгосрочных эффектов АСИТ</w:t>
      </w:r>
      <w:r w:rsidR="00D57C79" w:rsidRPr="001B27F8">
        <w:rPr>
          <w:rStyle w:val="fontstyle01"/>
          <w:color w:val="auto"/>
        </w:rPr>
        <w:t xml:space="preserve"> </w:t>
      </w:r>
      <w:r w:rsidR="00D57C79" w:rsidRPr="001B27F8">
        <w:rPr>
          <w:rStyle w:val="fontstyle01"/>
          <w:color w:val="auto"/>
        </w:rPr>
        <w:fldChar w:fldCharType="begin" w:fldLock="1"/>
      </w:r>
      <w:r w:rsidR="00765C06">
        <w:rPr>
          <w:rStyle w:val="fontstyle01"/>
          <w:color w:val="auto"/>
        </w:rPr>
        <w:instrText>ADDIN CSL_CITATION {"citationItems":[{"id":"ITEM-1","itemData":{"DOI":"10.1007/s11882-018-0790-x","ISSN":"15346315","PMID":"29886521","abstract":"Purpose of Review: The aim of this article is to discuss how allergen-specific immunotherapy (AIT) can be improved through molecular approaches. We provide a summary of next-generation molecular AIT approaches and of their clinical evaluation. Furthermore, we discuss the potential of next generation molecular AIT forms for the treatment of severe manifestations of allergy and mention possible future molecular strategies for the secondary and primary prevention of allergy. Recent Findings: AIT has important advantages over symptomatic forms of allergy treatment but its further development is limited by the quality of the therapeutic antigen preparations which are derived from natural allergen sources. The field of allergy diagnosis is currently undergoing a dramatic improvement through the use of molecular testing with defined, mainly recombinant allergens which allows high-resolution diagnosis. Several studies demonstrate that molecular testing in early childhood can predict the development of symptomatic allergy later on in life. Summary: Clinical studies indicate that molecular AIT approaches have the potential to improve therapy of allergic diseases and may be used as allergen-specific forms of secondary and eventually primary prevention for allergy.","author":[{"dropping-particle":"","family":"Curin","given":"Mirela","non-dropping-particle":"","parse-names":false,"suffix":""},{"dropping-particle":"","family":"Khaitov","given":"Musa","non-dropping-particle":"","parse-names":false,"suffix":""},{"dropping-particle":"","family":"Karaulov","given":"Alexander","non-dropping-particle":"","parse-names":false,"suffix":""},{"dropping-particle":"","family":"Namazova-Baranova","given":"Leyla","non-dropping-particle":"","parse-names":false,"suffix":""},{"dropping-particle":"","family":"Campana","given":"Raffaela","non-dropping-particle":"","parse-names":false,"suffix":""},{"dropping-particle":"","family":"Garib","given":"Victoria","non-dropping-particle":"","parse-names":false,"suffix":""},{"dropping-particle":"","family":"Valenta","given":"Rudolf","non-dropping-particle":"","parse-names":false,"suffix":""}],"container-title":"Current Allergy and Asthma Reports","id":"ITEM-1","issue":"7","issued":{"date-parts":[["2018"]]},"publisher":"Current Allergy and Asthma Reports","title":"Next-Generation of Allergen-Specific Immunotherapies: Molecular Approaches","type":"article-journal","volume":"18"},"uris":["http://www.mendeley.com/documents/?uuid=f963ec9f-0bff-44ee-8391-183167a16ad7"]}],"mendeley":{"formattedCitation":"[79]","plainTextFormattedCitation":"[79]","previouslyFormattedCitation":"[79]"},"properties":{"noteIndex":0},"schema":"https://github.com/citation-style-language/schema/raw/master/csl-citation.json"}</w:instrText>
      </w:r>
      <w:r w:rsidR="00D57C79" w:rsidRPr="001B27F8">
        <w:rPr>
          <w:rStyle w:val="fontstyle01"/>
          <w:color w:val="auto"/>
        </w:rPr>
        <w:fldChar w:fldCharType="separate"/>
      </w:r>
      <w:r w:rsidR="00877069" w:rsidRPr="00877069">
        <w:rPr>
          <w:rStyle w:val="fontstyle01"/>
          <w:noProof/>
          <w:color w:val="auto"/>
        </w:rPr>
        <w:t>[79]</w:t>
      </w:r>
      <w:r w:rsidR="00D57C79" w:rsidRPr="001B27F8">
        <w:rPr>
          <w:rStyle w:val="fontstyle01"/>
          <w:color w:val="auto"/>
        </w:rPr>
        <w:fldChar w:fldCharType="end"/>
      </w:r>
      <w:r w:rsidRPr="001B27F8">
        <w:rPr>
          <w:rStyle w:val="fontstyle01"/>
          <w:color w:val="auto"/>
        </w:rPr>
        <w:t>.</w:t>
      </w:r>
    </w:p>
    <w:p w14:paraId="2FED5753" w14:textId="04D276BE" w:rsidR="007410DC" w:rsidRPr="001B27F8" w:rsidRDefault="00285297" w:rsidP="001B27F8">
      <w:pPr>
        <w:pStyle w:val="a3"/>
        <w:tabs>
          <w:tab w:val="left" w:pos="851"/>
        </w:tabs>
        <w:spacing w:after="0" w:line="240" w:lineRule="auto"/>
        <w:ind w:left="0" w:firstLine="567"/>
        <w:jc w:val="both"/>
        <w:rPr>
          <w:rStyle w:val="fontstyle01"/>
          <w:color w:val="auto"/>
        </w:rPr>
      </w:pPr>
      <w:r w:rsidRPr="001B27F8">
        <w:rPr>
          <w:rFonts w:ascii="Times New Roman" w:hAnsi="Times New Roman" w:cs="Times New Roman"/>
          <w:sz w:val="28"/>
          <w:szCs w:val="28"/>
          <w:lang w:val="en-US"/>
        </w:rPr>
        <w:t>s</w:t>
      </w:r>
      <w:r w:rsidRPr="001B27F8">
        <w:rPr>
          <w:rFonts w:ascii="Times New Roman" w:hAnsi="Times New Roman" w:cs="Times New Roman"/>
          <w:sz w:val="28"/>
          <w:szCs w:val="28"/>
        </w:rPr>
        <w:t>IgG4</w:t>
      </w:r>
      <w:r w:rsidR="00F76C3B" w:rsidRPr="00F76C3B">
        <w:rPr>
          <w:rFonts w:ascii="Times New Roman" w:hAnsi="Times New Roman" w:cs="Times New Roman"/>
          <w:sz w:val="28"/>
          <w:szCs w:val="28"/>
        </w:rPr>
        <w:t xml:space="preserve"> </w:t>
      </w:r>
      <w:r w:rsidR="007410DC" w:rsidRPr="001B27F8">
        <w:rPr>
          <w:rStyle w:val="fontstyle01"/>
          <w:color w:val="auto"/>
        </w:rPr>
        <w:t xml:space="preserve">предотвращают связывание </w:t>
      </w:r>
      <w:r w:rsidR="003E5DA5" w:rsidRPr="001B27F8">
        <w:rPr>
          <w:rFonts w:ascii="Times New Roman" w:hAnsi="Times New Roman" w:cs="Times New Roman"/>
          <w:sz w:val="28"/>
          <w:szCs w:val="28"/>
        </w:rPr>
        <w:t>Ig</w:t>
      </w:r>
      <w:r w:rsidR="007410DC" w:rsidRPr="001B27F8">
        <w:rPr>
          <w:rStyle w:val="fontstyle01"/>
          <w:color w:val="auto"/>
        </w:rPr>
        <w:t xml:space="preserve">E с тучными клетками и базофилами, что блокирует немедленное аллергическое воспаление </w:t>
      </w:r>
      <w:r w:rsidR="00AE70CE" w:rsidRPr="001B27F8">
        <w:rPr>
          <w:rStyle w:val="fontstyle01"/>
          <w:color w:val="auto"/>
        </w:rPr>
        <w:fldChar w:fldCharType="begin" w:fldLock="1"/>
      </w:r>
      <w:r w:rsidR="00765C06">
        <w:rPr>
          <w:rStyle w:val="fontstyle01"/>
          <w:color w:val="auto"/>
        </w:rPr>
        <w:instrText>ADDIN CSL_CITATION {"citationItems":[{"id":"ITEM-1","itemData":{"DOI":"10.1016/j.jaci.2013.01.049","ISSN":"10976825","abstract":"Allergy immunotherapy (AIT) is an effective treatment for allergic asthma and rhinitis, as well as venom-induced anaphylaxis. In addition to reducing symptoms, AIT can change the course of allergic disease and induce allergen-specific immune tolerance. In current clinical practice immunotherapy is delivered either subcutaneously or sublingually; some allergens, such as grass pollen, can be delivered through either route, whereas others, such as venoms, are only delivered subcutaneously. Both subcutaneous and sublingual immunotherapy appear to have a duration of efficacy of up to 12 years, and both can prevent the development of asthma and new allergen sensitivities. In spite of the advances with AIT, safer and more effective AIT strategies are needed, especially for patients with asthma, atopic dermatitis, or food allergy. Novel approaches to improve AIT include use of adjuvants or recombinant allergens and alternate routes of administration. As part of the PRACTALL initiatives, the European Academy of Allergy and Clinical Immunology and the American Academy of Allergy, Asthma &amp; Immunology nominated an expert team to develop a comprehensive consensus report on the mechanisms of AIT and its use in clinical practice, as well as unmet needs and ongoing developments in AIT. This resulting report is endorsed by both academies. © 2012 American Academy of Allergy, Asthma &amp; Immunology.","author":[{"dropping-particle":"","family":"Burks","given":"A. Wesley","non-dropping-particle":"","parse-names":false,"suffix":""},{"dropping-particle":"","family":"Calderon","given":"Moises A.","non-dropping-particle":"","parse-names":false,"suffix":""},{"dropping-particle":"","family":"Casale","given":"Thomas","non-dropping-particle":"","parse-names":false,"suffix":""},{"dropping-particle":"","family":"Cox","given":"Linda","non-dropping-particle":"","parse-names":false,"suffix":""},{"dropping-particle":"","family":"Demoly","given":"Pascal","non-dropping-particle":"","parse-names":false,"suffix":""},{"dropping-particle":"","family":"Jutel","given":"Marek","non-dropping-particle":"","parse-names":false,"suffix":""},{"dropping-particle":"","family":"Nelson","given":"Harold","non-dropping-particle":"","parse-names":false,"suffix":""},{"dropping-particle":"","family":"Akdis","given":"Cezmi A.","non-dropping-particle":"","parse-names":false,"suffix":""}],"container-title":"Journal of Allergy and Clinical Immunology","id":"ITEM-1","issue":"5","issued":{"date-parts":[["2013"]]},"page":"1288-1296.e3","publisher":"Elsevier Ltd","title":"Update on allergy immunotherapy: American Academy of Allergy, Asthma &amp; Immunology/European Academy of Allergy and Clinical Immunology/PRACTALL consensus report","type":"article-journal","volume":"131"},"uris":["http://www.mendeley.com/documents/?uuid=320d508a-b952-4e7c-944d-d35f7d538fe7"]}],"mendeley":{"formattedCitation":"[80]","plainTextFormattedCitation":"[80]","previouslyFormattedCitation":"[80]"},"properties":{"noteIndex":0},"schema":"https://github.com/citation-style-language/schema/raw/master/csl-citation.json"}</w:instrText>
      </w:r>
      <w:r w:rsidR="00AE70CE" w:rsidRPr="001B27F8">
        <w:rPr>
          <w:rStyle w:val="fontstyle01"/>
          <w:color w:val="auto"/>
        </w:rPr>
        <w:fldChar w:fldCharType="separate"/>
      </w:r>
      <w:r w:rsidR="00877069" w:rsidRPr="00877069">
        <w:rPr>
          <w:rStyle w:val="fontstyle01"/>
          <w:noProof/>
          <w:color w:val="auto"/>
        </w:rPr>
        <w:t>[80]</w:t>
      </w:r>
      <w:r w:rsidR="00AE70CE" w:rsidRPr="001B27F8">
        <w:rPr>
          <w:rStyle w:val="fontstyle01"/>
          <w:color w:val="auto"/>
        </w:rPr>
        <w:fldChar w:fldCharType="end"/>
      </w:r>
      <w:r w:rsidR="007410DC" w:rsidRPr="001B27F8">
        <w:rPr>
          <w:rStyle w:val="fontstyle01"/>
          <w:color w:val="auto"/>
        </w:rPr>
        <w:t xml:space="preserve">. </w:t>
      </w:r>
      <w:r w:rsidR="00C44C5B" w:rsidRPr="001B27F8">
        <w:rPr>
          <w:rFonts w:ascii="Times New Roman" w:hAnsi="Times New Roman" w:cs="Times New Roman"/>
          <w:sz w:val="28"/>
          <w:szCs w:val="28"/>
          <w:lang w:val="en-US"/>
        </w:rPr>
        <w:t>s</w:t>
      </w:r>
      <w:r w:rsidR="00C44C5B" w:rsidRPr="001B27F8">
        <w:rPr>
          <w:rFonts w:ascii="Times New Roman" w:hAnsi="Times New Roman" w:cs="Times New Roman"/>
          <w:sz w:val="28"/>
          <w:szCs w:val="28"/>
        </w:rPr>
        <w:t>IgG4</w:t>
      </w:r>
      <w:r w:rsidR="00AE70CE" w:rsidRPr="001B27F8">
        <w:rPr>
          <w:rStyle w:val="fontstyle01"/>
          <w:color w:val="auto"/>
        </w:rPr>
        <w:t xml:space="preserve"> </w:t>
      </w:r>
      <w:r w:rsidR="007410DC" w:rsidRPr="001B27F8">
        <w:rPr>
          <w:rStyle w:val="fontstyle01"/>
          <w:color w:val="auto"/>
        </w:rPr>
        <w:t xml:space="preserve">мешают IgE-стимулированной презентации аллергена Т-клеткам и, </w:t>
      </w:r>
      <w:r w:rsidR="00F76C3B">
        <w:rPr>
          <w:rStyle w:val="fontstyle01"/>
          <w:color w:val="auto"/>
        </w:rPr>
        <w:t>за счет чего</w:t>
      </w:r>
      <w:r w:rsidR="007410DC" w:rsidRPr="001B27F8">
        <w:rPr>
          <w:rStyle w:val="fontstyle01"/>
          <w:color w:val="auto"/>
        </w:rPr>
        <w:t xml:space="preserve"> уменьшают аллерген-с</w:t>
      </w:r>
      <w:r w:rsidR="00614A11" w:rsidRPr="001B27F8">
        <w:rPr>
          <w:rStyle w:val="fontstyle01"/>
          <w:color w:val="auto"/>
        </w:rPr>
        <w:t>пецифическую активацию Т-</w:t>
      </w:r>
      <w:r w:rsidR="007410DC" w:rsidRPr="001B27F8">
        <w:rPr>
          <w:rStyle w:val="fontstyle01"/>
          <w:color w:val="auto"/>
        </w:rPr>
        <w:t xml:space="preserve">клеток и выработку воспалительных цитокинов </w:t>
      </w:r>
      <w:r w:rsidR="00AE70CE" w:rsidRPr="001B27F8">
        <w:rPr>
          <w:rStyle w:val="fontstyle01"/>
          <w:color w:val="auto"/>
        </w:rPr>
        <w:fldChar w:fldCharType="begin" w:fldLock="1"/>
      </w:r>
      <w:r w:rsidR="00765C06">
        <w:rPr>
          <w:rStyle w:val="fontstyle01"/>
          <w:color w:val="auto"/>
        </w:rPr>
        <w:instrText>ADDIN CSL_CITATION {"citationItems":[{"id":"ITEM-1","itemData":{"DOI":"10.1016/j.ebiom.2016.08.022","ISSN":"23523964","PMID":"27650868","abstract":"Background We have developed a recombinant B cell epitope-based vaccine (BM32) for allergen-specific immunotherapy (AIT) of grass pollen allergy. The vaccine contains recombinant fusion proteins consisting of allergen-derived peptides and the hepatitis B surface protein domain preS as immunological carrier. Methods We conducted a randomized, double-blind, placebo-controlled AIT study to determine safety, clinical efficacy and immunological mechanism of three subcutaneous injections of three BM32 doses adsorbed to aluminum hydroxide versus aluminum hydroxide (placebo) applied monthly to grass pollen allergic patients (n = 70). Primary efficacy endpoint was the difference in total nasal symptom score (TNSS) through grass pollen chamber exposure before treatment and 4 weeks after the last injection. Secondary clinical endpoints were total ocular symptom score (TOSS) and allergen-specific skin response evaluated by titrated skin prick testing (SPT) at the same time points. Treatment-related side effects were evaluated as safety endpoints. Changes in allergen-specific antibody, cellular and cytokine responses were measured in patients before and after treatment. Results Sixty-eight patients completed the trial. TNSS significantly decreased with mean changes of − 1.41 (BM32/20 μg) (P = 0.03) and − 1.34 (BM32/40 μg) (P = 0.003) whereas mean changes in the BM32/10 μg and placebo group were not significant. TOSS and SPT reactions showed a dose-dependent decrease. No systemic immediate type side effects were observed. Only few grade 1 systemic late phase reactions occurred in BM32 treated patients. The number of local injection site reactions was similar in actively and placebo-treated patients. BM32 induced highly significant allergen-specific IgG responses (P &lt; 0.0001) but no allergen-specific IgE. Allergen-induced basophil activation was reduced in BM32 treated patients and addition of therapy-induced IgG significantly suppressed T cell activation (P = 0.0063). Conclusion The B cell epitope-based recombinant grass pollen allergy vaccine BM32 is well tolerated and few doses are sufficient to suppress immediate allergic reactions as well as allergen-specific T cell responses via a selective induction of allergen-specific IgG antibodies. (ClinicalTrials.gov number, NCT01445002.)","author":[{"dropping-particle":"","family":"Zieglmayer","given":"Petra","non-dropping-particle":"","parse-names":false,"suffix":""},{"dropping-particle":"","family":"Focke-Tejkl","given":"Margarete","non-dropping-particle":"","parse-names":false,"suffix":""},{"dropping-particle":"","family":"Schmutz","given":"René","non-dropping-particle":"","parse-names":false,"suffix":""},{"dropping-particle":"","family":"Lemell","given":"Patrick","non-dropping-particle":"","parse-names":false,"suffix":""},{"dropping-particle":"","family":"Zieglmayer","given":"René","non-dropping-particle":"","parse-names":false,"suffix":""},{"dropping-particle":"","family":"Weber","given":"Milena","non-dropping-particle":"","parse-names":false,"suffix":""},{"dropping-particle":"","family":"Kiss","given":"Renata","non-dropping-particle":"","parse-names":false,"suffix":""},{"dropping-particle":"","family":"Blatt","given":"Katharina","non-dropping-particle":"","parse-names":false,"suffix":""},{"dropping-particle":"","family":"Valent","given":"Peter","non-dropping-particle":"","parse-names":false,"suffix":""},{"dropping-particle":"","family":"Stolz","given":"Frank","non-dropping-particle":"","parse-names":false,"suffix":""},{"dropping-particle":"","family":"Huber","given":"Hans","non-dropping-particle":"","parse-names":false,"suffix":""},{"dropping-particle":"","family":"Neubauer","given":"Angela","non-dropping-particle":"","parse-names":false,"suffix":""},{"dropping-particle":"","family":"Knoll","given":"Anette","non-dropping-particle":"","parse-names":false,"suffix":""},{"dropping-particle":"","family":"Horak","given":"Friedrich","non-dropping-particle":"","parse-names":false,"suffix":""},{"dropping-particle":"","family":"Henning","given":"Rainer","non-dropping-particle":"","parse-names":false,"suffix":""},{"dropping-particle":"","family":"Valenta","given":"Rudolf","non-dropping-particle":"","parse-names":false,"suffix":""}],"container-title":"EBioMedicine","id":"ITEM-1","issued":{"date-parts":[["2016"]]},"page":"43-57","publisher":"Forschungsgesellschaft für Arbeitsphysiologie und Arbeitschutz e.V.","title":"Mechanisms, safety and efficacy of a B cell epitope-based vaccine for immunotherapy of grass pollen allergy","type":"article-journal","volume":"11"},"uris":["http://www.mendeley.com/documents/?uuid=1cb5f521-8c42-4db4-9c50-284314f0f8d1"]}],"mendeley":{"formattedCitation":"[81]","plainTextFormattedCitation":"[81]","previouslyFormattedCitation":"[81]"},"properties":{"noteIndex":0},"schema":"https://github.com/citation-style-language/schema/raw/master/csl-citation.json"}</w:instrText>
      </w:r>
      <w:r w:rsidR="00AE70CE" w:rsidRPr="001B27F8">
        <w:rPr>
          <w:rStyle w:val="fontstyle01"/>
          <w:color w:val="auto"/>
        </w:rPr>
        <w:fldChar w:fldCharType="separate"/>
      </w:r>
      <w:r w:rsidR="00877069" w:rsidRPr="00877069">
        <w:rPr>
          <w:rStyle w:val="fontstyle01"/>
          <w:noProof/>
          <w:color w:val="auto"/>
        </w:rPr>
        <w:t>[81]</w:t>
      </w:r>
      <w:r w:rsidR="00AE70CE" w:rsidRPr="001B27F8">
        <w:rPr>
          <w:rStyle w:val="fontstyle01"/>
          <w:color w:val="auto"/>
        </w:rPr>
        <w:fldChar w:fldCharType="end"/>
      </w:r>
      <w:r w:rsidR="007410DC" w:rsidRPr="001B27F8">
        <w:rPr>
          <w:rStyle w:val="fontstyle01"/>
          <w:color w:val="auto"/>
        </w:rPr>
        <w:t xml:space="preserve">. Таким образом, </w:t>
      </w:r>
      <w:r w:rsidR="00C44C5B" w:rsidRPr="001B27F8">
        <w:rPr>
          <w:rFonts w:ascii="Times New Roman" w:hAnsi="Times New Roman" w:cs="Times New Roman"/>
          <w:sz w:val="28"/>
          <w:szCs w:val="28"/>
          <w:lang w:val="en-US"/>
        </w:rPr>
        <w:t>s</w:t>
      </w:r>
      <w:r w:rsidR="00C44C5B" w:rsidRPr="001B27F8">
        <w:rPr>
          <w:rFonts w:ascii="Times New Roman" w:hAnsi="Times New Roman" w:cs="Times New Roman"/>
          <w:sz w:val="28"/>
          <w:szCs w:val="28"/>
        </w:rPr>
        <w:t xml:space="preserve">IgG4 </w:t>
      </w:r>
      <w:r w:rsidR="007410DC" w:rsidRPr="001B27F8">
        <w:rPr>
          <w:rStyle w:val="fontstyle01"/>
          <w:color w:val="auto"/>
        </w:rPr>
        <w:t>уменьшает опосредованное Т-клетками аллергическое воспаление и, наиболее вероятно, также активацию эозинофилов</w:t>
      </w:r>
      <w:r w:rsidR="00AE70CE" w:rsidRPr="001B27F8">
        <w:rPr>
          <w:rStyle w:val="fontstyle01"/>
          <w:color w:val="auto"/>
        </w:rPr>
        <w:t xml:space="preserve"> </w:t>
      </w:r>
      <w:r w:rsidR="00AE70CE" w:rsidRPr="001B27F8">
        <w:rPr>
          <w:rStyle w:val="fontstyle01"/>
          <w:color w:val="auto"/>
        </w:rPr>
        <w:fldChar w:fldCharType="begin" w:fldLock="1"/>
      </w:r>
      <w:r w:rsidR="00765C06">
        <w:rPr>
          <w:rStyle w:val="fontstyle01"/>
          <w:color w:val="auto"/>
        </w:rPr>
        <w:instrText>ADDIN CSL_CITATION {"citationItems":[{"id":"ITEM-1","itemData":{"DOI":"10.34689/SH.2020.22.2.004","ISBN":"0000000314008","author":[{"dropping-particle":"","family":"Измайлович","given":"М.Р.","non-dropping-particle":"","parse-names":false,"suffix":""},{"dropping-particle":"","family":"Газалиева","given":"М.А.","non-dropping-particle":"","parse-names":false,"suffix":""},{"dropping-particle":"","family":"Глушкова","given":"Н.Е.","non-dropping-particle":"","parse-names":false,"suffix":""},{"dropping-particle":"","family":"Дедова","given":"О.Ю.","non-dropping-particle":"","parse-names":false,"suffix":""},{"dropping-particle":"","family":"Мендибай","given":"С.Т.","non-dropping-particle":"","parse-names":false,"suffix":""},{"dropping-particle":"","family":"Скворцова","given":"А.В.","non-dropping-particle":"","parse-names":false,"suffix":""}],"container-title":"Наука и Здравоохранение","id":"ITEM-1","issue":"2","issued":{"date-parts":[["2020"]]},"page":"38-48","title":"Иммунологические аспекты эффективности аллерген- специфической иммунотерапии. Обзор литературы.","type":"article-journal","volume":"22"},"uris":["http://www.mendeley.com/documents/?uuid=c3bbf822-416f-4513-b28d-0e8490817195"]}],"mendeley":{"formattedCitation":"[19]","plainTextFormattedCitation":"[19]","previouslyFormattedCitation":"[19]"},"properties":{"noteIndex":0},"schema":"https://github.com/citation-style-language/schema/raw/master/csl-citation.json"}</w:instrText>
      </w:r>
      <w:r w:rsidR="00AE70CE" w:rsidRPr="001B27F8">
        <w:rPr>
          <w:rStyle w:val="fontstyle01"/>
          <w:color w:val="auto"/>
        </w:rPr>
        <w:fldChar w:fldCharType="separate"/>
      </w:r>
      <w:r w:rsidR="00877069" w:rsidRPr="00877069">
        <w:rPr>
          <w:rStyle w:val="fontstyle01"/>
          <w:noProof/>
          <w:color w:val="auto"/>
        </w:rPr>
        <w:t>[19]</w:t>
      </w:r>
      <w:r w:rsidR="00AE70CE" w:rsidRPr="001B27F8">
        <w:rPr>
          <w:rStyle w:val="fontstyle01"/>
          <w:color w:val="auto"/>
        </w:rPr>
        <w:fldChar w:fldCharType="end"/>
      </w:r>
      <w:r w:rsidR="007410DC" w:rsidRPr="001B27F8">
        <w:rPr>
          <w:rStyle w:val="fontstyle01"/>
          <w:color w:val="auto"/>
        </w:rPr>
        <w:t xml:space="preserve">. </w:t>
      </w:r>
    </w:p>
    <w:p w14:paraId="3F3BD81B" w14:textId="1D4E1EAF" w:rsidR="0023790E" w:rsidRPr="001B27F8" w:rsidRDefault="0023790E" w:rsidP="001B27F8">
      <w:pPr>
        <w:pStyle w:val="a3"/>
        <w:tabs>
          <w:tab w:val="left" w:pos="851"/>
        </w:tabs>
        <w:spacing w:after="0" w:line="240" w:lineRule="auto"/>
        <w:ind w:left="0" w:firstLine="567"/>
        <w:jc w:val="both"/>
        <w:rPr>
          <w:rFonts w:ascii="Times New Roman" w:hAnsi="Times New Roman" w:cs="Times New Roman"/>
          <w:b/>
          <w:sz w:val="28"/>
          <w:szCs w:val="28"/>
        </w:rPr>
      </w:pPr>
      <w:r w:rsidRPr="001B27F8">
        <w:rPr>
          <w:rFonts w:ascii="Times New Roman" w:hAnsi="Times New Roman" w:cs="Times New Roman"/>
          <w:b/>
          <w:sz w:val="28"/>
          <w:szCs w:val="28"/>
        </w:rPr>
        <w:t>Поздняя десенситизация</w:t>
      </w:r>
    </w:p>
    <w:p w14:paraId="75DE4C30" w14:textId="06D30682" w:rsidR="00C2350A" w:rsidRPr="001B27F8" w:rsidRDefault="00133157" w:rsidP="001B27F8">
      <w:pPr>
        <w:pStyle w:val="a3"/>
        <w:tabs>
          <w:tab w:val="left" w:pos="851"/>
        </w:tabs>
        <w:spacing w:after="0" w:line="240" w:lineRule="auto"/>
        <w:ind w:left="0" w:firstLine="567"/>
        <w:jc w:val="both"/>
        <w:rPr>
          <w:rStyle w:val="fontstyle01"/>
          <w:color w:val="auto"/>
        </w:rPr>
      </w:pPr>
      <w:r w:rsidRPr="001B27F8">
        <w:rPr>
          <w:rFonts w:ascii="Times New Roman" w:hAnsi="Times New Roman" w:cs="Times New Roman"/>
          <w:sz w:val="28"/>
          <w:szCs w:val="28"/>
        </w:rPr>
        <w:t xml:space="preserve">Поздняя десенситизация развивается в течение </w:t>
      </w:r>
      <w:r w:rsidR="00C2350A" w:rsidRPr="001B27F8">
        <w:rPr>
          <w:rFonts w:ascii="Times New Roman" w:hAnsi="Times New Roman" w:cs="Times New Roman"/>
          <w:sz w:val="28"/>
          <w:szCs w:val="28"/>
        </w:rPr>
        <w:t>несколько месяцев</w:t>
      </w:r>
      <w:r w:rsidRPr="001B27F8">
        <w:rPr>
          <w:rFonts w:ascii="Times New Roman" w:hAnsi="Times New Roman" w:cs="Times New Roman"/>
          <w:sz w:val="28"/>
          <w:szCs w:val="28"/>
        </w:rPr>
        <w:t xml:space="preserve"> от начала терапии</w:t>
      </w:r>
      <w:r w:rsidR="00BA1AE7" w:rsidRPr="001B27F8">
        <w:rPr>
          <w:rFonts w:ascii="Times New Roman" w:hAnsi="Times New Roman" w:cs="Times New Roman"/>
          <w:sz w:val="28"/>
          <w:szCs w:val="28"/>
        </w:rPr>
        <w:t xml:space="preserve"> </w:t>
      </w:r>
      <w:r w:rsidR="00547D9B"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{"citationItems":[{"id":"ITEM-1","itemData":{"ISSN":"1992-6499","author":[{"dropping-particle":"","family":"Белан","given":"Э.Б.","non-dropping-particle":"","parse-names":false,"suffix":""}],"container-title":"Астраханский Медицинский Журнал","id":"ITEM-1","issue":"1","issued":{"date-parts":[["2018"]]},"page":"6-14","title":"Аллерген-специфическая иммунотерапия как метод лечения аллергических заболеваний","type":"article-journal","volume":"13"},"uris":["http://www.mendeley.com/documents/?uuid=59b36fdc-75be-44a1-a0a2-53eeacd9fff7"]}],"mendeley":{"formattedCitation":"[82]","plainTextFormattedCitation":"[82]","previouslyFormattedCitation":"[82]"},"properties":{"noteIndex":0},"schema":"https://github.com/citation-style-language/schema/raw/master/csl-citation.json"}</w:instrText>
      </w:r>
      <w:r w:rsidR="00547D9B"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[82]</w:t>
      </w:r>
      <w:r w:rsidR="00547D9B" w:rsidRPr="001B27F8">
        <w:rPr>
          <w:rFonts w:ascii="Times New Roman" w:hAnsi="Times New Roman" w:cs="Times New Roman"/>
          <w:sz w:val="28"/>
          <w:szCs w:val="28"/>
        </w:rPr>
        <w:fldChar w:fldCharType="end"/>
      </w:r>
      <w:r w:rsidRPr="001B27F8">
        <w:rPr>
          <w:rFonts w:ascii="Times New Roman" w:hAnsi="Times New Roman" w:cs="Times New Roman"/>
          <w:sz w:val="28"/>
          <w:szCs w:val="28"/>
        </w:rPr>
        <w:t>. Лечебный эффект АСИТ определяют снижение тканевого</w:t>
      </w:r>
      <w:r w:rsidR="00C2350A" w:rsidRPr="001B27F8">
        <w:rPr>
          <w:rFonts w:ascii="Times New Roman" w:hAnsi="Times New Roman" w:cs="Times New Roman"/>
          <w:sz w:val="28"/>
          <w:szCs w:val="28"/>
        </w:rPr>
        <w:t xml:space="preserve"> количества тучных клеток и эозинофилов</w:t>
      </w:r>
      <w:r w:rsidRPr="001B27F8">
        <w:rPr>
          <w:rFonts w:ascii="Times New Roman" w:hAnsi="Times New Roman" w:cs="Times New Roman"/>
          <w:sz w:val="28"/>
          <w:szCs w:val="28"/>
        </w:rPr>
        <w:t>, а также повышение порога активации эозинофилов и Т-клеток</w:t>
      </w:r>
      <w:r w:rsidR="00614A11" w:rsidRPr="001B27F8">
        <w:rPr>
          <w:rFonts w:ascii="Times New Roman" w:hAnsi="Times New Roman" w:cs="Times New Roman"/>
          <w:sz w:val="28"/>
          <w:szCs w:val="28"/>
        </w:rPr>
        <w:t xml:space="preserve"> </w:t>
      </w:r>
      <w:r w:rsidR="001C19E9"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{"citationItems":[{"id":"ITEM-1","itemData":{"author":[{"dropping-particle":"","family":"Коваленко","given":"Н. В.","non-dropping-particle":"","parse-names":false,"suffix":""},{"dropping-particle":"","family":"Кутузова","given":"Е. А.","non-dropping-particle":"","parse-names":false,"suffix":""},{"dropping-particle":"","family":"Богаченко","given":"С. М.","non-dropping-particle":"","parse-names":false,"suffix":""}],"container-title":"Главный врач юга России","id":"ITEM-1","issue":"62","issued":{"date-parts":[["2018"]]},"page":"22-24","title":"Безопасность и эффективность аллерген-специфической иммунотерапии в лечении поллинозов","type":"article-journal","volume":"3"},"uris":["http://www.mendeley.com/documents/?uuid=28a391b7-0bf2-4104-a19d-daffc51cdafc"]}],"mendeley":{"formattedCitation":"[64]","plainTextFormattedCitation":"[64]","previouslyFormattedCitation":"[64]"},"properties":{"noteIndex":0},"schema":"https://github.com/citation-style-language/schema/raw/master/csl-citation.json"}</w:instrText>
      </w:r>
      <w:r w:rsidR="001C19E9"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[64]</w:t>
      </w:r>
      <w:r w:rsidR="001C19E9" w:rsidRPr="001B27F8">
        <w:rPr>
          <w:rFonts w:ascii="Times New Roman" w:hAnsi="Times New Roman" w:cs="Times New Roman"/>
          <w:sz w:val="28"/>
          <w:szCs w:val="28"/>
        </w:rPr>
        <w:fldChar w:fldCharType="end"/>
      </w:r>
      <w:r w:rsidRPr="001B27F8">
        <w:rPr>
          <w:rFonts w:ascii="Times New Roman" w:hAnsi="Times New Roman" w:cs="Times New Roman"/>
          <w:sz w:val="28"/>
          <w:szCs w:val="28"/>
        </w:rPr>
        <w:t>. В последствии развивается снижение назальной, бронхиальной и кожной реактивности в ответ на провокацию аллергеном, что и определяет лечебный эффект АСИТ</w:t>
      </w:r>
      <w:r w:rsidR="001C0B89" w:rsidRPr="001B27F8">
        <w:rPr>
          <w:rFonts w:ascii="Times New Roman" w:hAnsi="Times New Roman" w:cs="Times New Roman"/>
          <w:sz w:val="28"/>
          <w:szCs w:val="28"/>
        </w:rPr>
        <w:t xml:space="preserve"> </w:t>
      </w:r>
      <w:r w:rsidR="0082658E"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{"citationItems":[{"id":"ITEM-1","itemData":{"DOI":"10.15789/1563-0625-2015-5-407-422","ISSN":"2313741X","abstract":"Allergen-specific immunotherapy (ASIT) is the most effective method of allergy treatment which consists of exposure to small doses of antigen responsible for development of allergic condition in the particular patient. Therefore, one may achieve desensitization to this antigen. The history of ASIT application lasts for more than 100 years, and, over this time, huge clinical evidence for the usage of the method has been accumulated. Use of ASIT causes reduction of allergy symptoms and treatment needs and, moreover, it has the potential for long-term clinical benefit, by preventing the development of allergy and its symptoms. The treatment affects basic immunological mechanisms responsible for the development of clinical symptoms. ASIT is an anti-inflammatory, pathogenetic and prophylactic treatment of allergic airway disease. The review considers the results of major clinical trials of the ASIT applications for treatment of allergic diseases of the respiratory system (allergic rhinitis and bronchial asthma). Various schemes of ASIT are discussed including its different variants (injectable and sublingual ASIT), the issues of preparation choice for ASIT from those currently available on the pharmaceutical market, patient selection criteria, and the issues of modern molecular allergodiagnostic (allergic sensitization mapping of the patient at molecular level), in order to optimize them. Immunological mechanisms of ASIT are also considered, since appropriate views are rather contraversial. The ASIT effect is mediated through the following basic immunological mechanisms: the suppressed increase of the eosinophil concentrations, reduced duration of the delayed hypersensitivity phase, as well as initiation and maintenance of the Th2-to-Th1-like immune response transition. Regulatory T-cells play a major role in implementation of the immunological mechanism in ASIT, they have a significant impact on the Th2 response suppression. Such suppression may proceed via increased production of specific IgG antibodies, primarily of IgG4 subtype. The shift of balance between IgE and IgG4 towards IgG4 production is now considered a fundamental condition for successful ASIT. It has been proven that the allergen-specific IgG4 antibodies against IgE persist after discontinuation of the treatment and can provide long-term clinical tolerance. Modern prospectives for development of new forms and species of preparations for ASIT are also reviewed. Two groups of drugs for ASIT hav…","author":[{"dropping-particle":"","family":"Федоров","given":"А.С.","non-dropping-particle":"","parse-names":false,"suffix":""},{"dropping-particle":"","family":"Литвинова","given":"Л.С.","non-dropping-particle":"","parse-names":false,"suffix":""},{"dropping-particle":"","family":"Бут-Гусаим","given":"В.И.","non-dropping-particle":"","parse-names":false,"suffix":""},{"dropping-particle":"","family":"Литвиненко","given":"С.Н.","non-dropping-particle":"","parse-names":false,"suffix":""}],"container-title":"Медицинская иммунология","id":"ITEM-1","issue":"5","issued":{"date-parts":[["2015"]]},"page":"407-422","title":"Аллерген-специфическая иммунотерапия: терапевтические вакцины для аллергических заболеваний","type":"article-journal","volume":"17"},"uris":["http://www.mendeley.com/documents/?uuid=eb736c0b-4cd0-4b16-a86e-cde693adac38"]}],"mendeley":{"formattedCitation":"[73]","plainTextFormattedCitation":"[73]","previouslyFormattedCitation":"[73]"},"properties":{"noteIndex":0},"schema":"https://github.com/citation-style-language/schema/raw/master/csl-citation.json"}</w:instrText>
      </w:r>
      <w:r w:rsidR="0082658E"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[73]</w:t>
      </w:r>
      <w:r w:rsidR="0082658E" w:rsidRPr="001B27F8">
        <w:rPr>
          <w:rFonts w:ascii="Times New Roman" w:hAnsi="Times New Roman" w:cs="Times New Roman"/>
          <w:sz w:val="28"/>
          <w:szCs w:val="28"/>
        </w:rPr>
        <w:fldChar w:fldCharType="end"/>
      </w:r>
      <w:r w:rsidRPr="001B27F8">
        <w:rPr>
          <w:rFonts w:ascii="Times New Roman" w:hAnsi="Times New Roman" w:cs="Times New Roman"/>
          <w:sz w:val="28"/>
          <w:szCs w:val="28"/>
        </w:rPr>
        <w:t xml:space="preserve">. </w:t>
      </w:r>
      <w:r w:rsidR="000A7D25" w:rsidRPr="001B27F8">
        <w:rPr>
          <w:rFonts w:ascii="Times New Roman" w:hAnsi="Times New Roman" w:cs="Times New Roman"/>
          <w:sz w:val="28"/>
          <w:szCs w:val="28"/>
        </w:rPr>
        <w:t>Успешно проведенная АСИТ повышает порог концентрации аллергенов, необходимой для индукции немедленных реакций или развития поздней фазы аллергического воспаления в органе–мишени</w:t>
      </w:r>
      <w:r w:rsidR="00CF1A04" w:rsidRPr="001B27F8">
        <w:rPr>
          <w:rFonts w:ascii="Times New Roman" w:hAnsi="Times New Roman" w:cs="Times New Roman"/>
          <w:sz w:val="28"/>
          <w:szCs w:val="28"/>
        </w:rPr>
        <w:t xml:space="preserve">, </w:t>
      </w:r>
      <w:r w:rsidR="00CF1A04" w:rsidRPr="001B27F8">
        <w:rPr>
          <w:rStyle w:val="fontstyle01"/>
          <w:color w:val="auto"/>
        </w:rPr>
        <w:t>подавляет аллерген-специфическую и неспецифическую тканевую гиперчувствительность</w:t>
      </w:r>
      <w:r w:rsidR="00C615ED">
        <w:rPr>
          <w:rStyle w:val="fontstyle01"/>
          <w:color w:val="auto"/>
        </w:rPr>
        <w:t xml:space="preserve"> </w:t>
      </w:r>
      <w:r w:rsidR="00C615ED"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{"citationItems":[{"id":"ITEM-1","itemData":{"DOI":"10.1016/j.jaci.2013.12.1088","ISSN":"10976825","PMID":"24581429","abstract":"Allergen-specific immunotherapy (AIT) has been used for more than 100 years as a desensitizing therapy for IgE-mediated allergic diseases and represents a potentially curative way of treatment. The mechanisms of action of AIT include the induction of very early desensitization of mast cells and basophils; generation of regulatory T and regulatory B (Breg) cell responses; regulation of IgE and IgG4; decreases in numbers and activity of eosinophils and mast cells in mucosal allergic tissues; and decreases in the activity of basophils in circulation. Skewing of allergen-specific effector T and effector B cells to a regulatory phenotype appears as a key event in the course of AIT and normal immune response to allergens. Recently, inducible IL-10-secreting Breg cells were also demonstrated to contribute to allergen tolerance through suppression of effector T cells and selective induction of IgG4 isotype antibodies. Allergen-specific regulatory T and Breg cells orchestrate a general immunoregulatory activity, which can be summarized as suppression of cytokines from inflammatory dendritic cells; suppression of effector T H1, TH2, and TH17 cells; suppression of allergen-specific IgE and induction of IgG4; and suppression of migration of mast cells, basophils, eosinophils, and effector T cells to tissues. A detailed knowledge of the mechanisms of AIT is not only important in designing the prevention and treatment of allergic diseases but might also find applications in the treatment of autoimmune diseases, organ transplantation, chronic infection, and cancer. © 2013 American Academy of Allergy, Asthma and Immunology.","author":[{"dropping-particle":"","family":"Akdis","given":"Mübeccel","non-dropping-particle":"","parse-names":false,"suffix":""},{"dropping-particle":"","family":"Akdis","given":"Cezmi A.","non-dropping-particle":"","parse-names":false,"suffix":""}],"container-title":"Journal of Allergy and Clinical Immunology","id":"ITEM-1","issue":"3","issued":{"date-parts":[["2014"]]},"page":"621-631","title":"Mechanisms of allergen-specific immunotherapy: Multiple suppressor factors at work in immune tolerance to allergens","type":"article-journal","volume":"133"},"uris":["http://www.mendeley.com/documents/?uuid=a2ef0788-bed3-4de4-ab7d-7201696bb2ce"]}],"mendeley":{"formattedCitation":"[65]","plainTextFormattedCitation":"[65]","previouslyFormattedCitation":"[65]"},"properties":{"noteIndex":0},"schema":"https://github.com/citation-style-language/schema/raw/master/csl-citation.json"}</w:instrText>
      </w:r>
      <w:r w:rsidR="00C615ED"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[65]</w:t>
      </w:r>
      <w:r w:rsidR="00C615ED" w:rsidRPr="001B27F8">
        <w:rPr>
          <w:rFonts w:ascii="Times New Roman" w:hAnsi="Times New Roman" w:cs="Times New Roman"/>
          <w:sz w:val="28"/>
          <w:szCs w:val="28"/>
        </w:rPr>
        <w:fldChar w:fldCharType="end"/>
      </w:r>
      <w:r w:rsidR="00CF1A04" w:rsidRPr="001B27F8">
        <w:rPr>
          <w:rStyle w:val="fontstyle01"/>
          <w:color w:val="auto"/>
        </w:rPr>
        <w:t>.</w:t>
      </w:r>
    </w:p>
    <w:p w14:paraId="39DBC54B" w14:textId="07FC7789" w:rsidR="00D02028" w:rsidRPr="001B27F8" w:rsidRDefault="00D02028" w:rsidP="001B27F8">
      <w:pPr>
        <w:pStyle w:val="a3"/>
        <w:tabs>
          <w:tab w:val="left" w:pos="851"/>
        </w:tabs>
        <w:spacing w:after="0" w:line="240" w:lineRule="auto"/>
        <w:ind w:left="0" w:firstLine="567"/>
        <w:jc w:val="both"/>
        <w:rPr>
          <w:rStyle w:val="fontstyle01"/>
          <w:b/>
          <w:color w:val="auto"/>
        </w:rPr>
      </w:pPr>
      <w:r w:rsidRPr="001B27F8">
        <w:rPr>
          <w:rStyle w:val="fontstyle01"/>
          <w:b/>
          <w:color w:val="auto"/>
        </w:rPr>
        <w:t>Медиаторы толерантности</w:t>
      </w:r>
    </w:p>
    <w:p w14:paraId="6164D79F" w14:textId="5E51E97B" w:rsidR="003D78AC" w:rsidRPr="001B27F8" w:rsidRDefault="00D02028" w:rsidP="001B27F8">
      <w:pPr>
        <w:pStyle w:val="a3"/>
        <w:tabs>
          <w:tab w:val="left" w:pos="851"/>
        </w:tabs>
        <w:spacing w:after="0" w:line="240" w:lineRule="auto"/>
        <w:ind w:left="0" w:firstLine="567"/>
        <w:jc w:val="both"/>
        <w:rPr>
          <w:rStyle w:val="fontstyle01"/>
          <w:color w:val="auto"/>
        </w:rPr>
      </w:pPr>
      <w:r w:rsidRPr="001B27F8">
        <w:rPr>
          <w:rFonts w:ascii="Times New Roman" w:hAnsi="Times New Roman" w:cs="Times New Roman"/>
          <w:sz w:val="28"/>
          <w:szCs w:val="28"/>
        </w:rPr>
        <w:t xml:space="preserve">Основными </w:t>
      </w:r>
      <w:r w:rsidR="00A3401B" w:rsidRPr="001B27F8">
        <w:rPr>
          <w:rFonts w:ascii="Times New Roman" w:hAnsi="Times New Roman" w:cs="Times New Roman"/>
          <w:sz w:val="28"/>
          <w:szCs w:val="28"/>
        </w:rPr>
        <w:t>медиаторами</w:t>
      </w:r>
      <w:r w:rsidRPr="001B27F8">
        <w:rPr>
          <w:rFonts w:ascii="Times New Roman" w:hAnsi="Times New Roman" w:cs="Times New Roman"/>
          <w:sz w:val="28"/>
          <w:szCs w:val="28"/>
        </w:rPr>
        <w:t xml:space="preserve"> иммунологической толерантности являются ИЛ-10 и TGF</w:t>
      </w:r>
      <w:r w:rsidR="00CA1B49">
        <w:rPr>
          <w:rFonts w:ascii="Times New Roman" w:hAnsi="Times New Roman" w:cs="Times New Roman"/>
          <w:sz w:val="28"/>
          <w:szCs w:val="28"/>
        </w:rPr>
        <w:t>-</w:t>
      </w:r>
      <w:r w:rsidRPr="001B27F8">
        <w:rPr>
          <w:rFonts w:ascii="Times New Roman" w:hAnsi="Times New Roman" w:cs="Times New Roman"/>
          <w:sz w:val="28"/>
          <w:szCs w:val="28"/>
        </w:rPr>
        <w:t>β.</w:t>
      </w:r>
      <w:r w:rsidR="003D78AC" w:rsidRPr="001B27F8">
        <w:rPr>
          <w:rFonts w:ascii="Times New Roman" w:hAnsi="Times New Roman" w:cs="Times New Roman"/>
          <w:sz w:val="28"/>
          <w:szCs w:val="28"/>
        </w:rPr>
        <w:t xml:space="preserve"> </w:t>
      </w:r>
      <w:r w:rsidRPr="001B27F8">
        <w:rPr>
          <w:rFonts w:ascii="Times New Roman" w:hAnsi="Times New Roman" w:cs="Times New Roman"/>
          <w:sz w:val="28"/>
          <w:szCs w:val="28"/>
        </w:rPr>
        <w:t>ИЛ-10 продуцируется практически</w:t>
      </w:r>
      <w:r w:rsidR="003D78AC" w:rsidRPr="001B27F8">
        <w:rPr>
          <w:rFonts w:ascii="Times New Roman" w:hAnsi="Times New Roman" w:cs="Times New Roman"/>
          <w:sz w:val="28"/>
          <w:szCs w:val="28"/>
        </w:rPr>
        <w:t xml:space="preserve"> </w:t>
      </w:r>
      <w:r w:rsidRPr="001B27F8">
        <w:rPr>
          <w:rFonts w:ascii="Times New Roman" w:hAnsi="Times New Roman" w:cs="Times New Roman"/>
          <w:sz w:val="28"/>
          <w:szCs w:val="28"/>
        </w:rPr>
        <w:t>всеми лейкоцитами: T</w:t>
      </w:r>
      <w:r w:rsidR="00CA1B49">
        <w:rPr>
          <w:rFonts w:ascii="Times New Roman" w:hAnsi="Times New Roman" w:cs="Times New Roman"/>
          <w:sz w:val="28"/>
          <w:szCs w:val="28"/>
        </w:rPr>
        <w:t>-</w:t>
      </w:r>
      <w:r w:rsidRPr="001B27F8">
        <w:rPr>
          <w:rFonts w:ascii="Times New Roman" w:hAnsi="Times New Roman" w:cs="Times New Roman"/>
          <w:sz w:val="28"/>
          <w:szCs w:val="28"/>
        </w:rPr>
        <w:t xml:space="preserve">reg, </w:t>
      </w:r>
      <w:r w:rsidR="005B4698" w:rsidRPr="001B27F8">
        <w:rPr>
          <w:rFonts w:ascii="Times New Roman" w:hAnsi="Times New Roman" w:cs="Times New Roman"/>
          <w:sz w:val="28"/>
          <w:szCs w:val="28"/>
        </w:rPr>
        <w:t>B</w:t>
      </w:r>
      <w:r w:rsidR="00CA1B49">
        <w:rPr>
          <w:rFonts w:ascii="Times New Roman" w:hAnsi="Times New Roman" w:cs="Times New Roman"/>
          <w:sz w:val="28"/>
          <w:szCs w:val="28"/>
        </w:rPr>
        <w:t>-</w:t>
      </w:r>
      <w:r w:rsidR="005B4698" w:rsidRPr="001B27F8">
        <w:rPr>
          <w:rFonts w:ascii="Times New Roman" w:hAnsi="Times New Roman" w:cs="Times New Roman"/>
          <w:sz w:val="28"/>
          <w:szCs w:val="28"/>
        </w:rPr>
        <w:t xml:space="preserve">reg, моноцитами, в небольшом количестве макрофагами, натуральными киллерами и дендритными клетками </w:t>
      </w:r>
      <w:r w:rsidR="005B4698"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{"citationItems":[{"id":"ITEM-1","itemData":{"DOI":"10.1016/j.jaci.2016.06.033","ISSN":"10976825","PMID":"27577879","abstract":"There have been extensive developments on cellular and molecular mechanisms of immune regulation in allergy, asthma, autoimmune diseases, tumor development, organ transplantation, and chronic infections during the last few years. Better understanding the functions, reciprocal regulation, and counterbalance of subsets of immune and inflammatory cells that interact through interleukins, interferons, TNF-α, and TGF-β offer opportunities for immune interventions and novel treatment modalities in the era of development of biological immune response modifiers particularly targeting these molecules or their receptors. More than 60 cytokines have been designated as interleukins since the initial discoveries of monocyte and lymphocyte interleukins (called IL-1 and IL-2, respectively). Studies of transgenic or gene-deficient mice with altered expression of these cytokines or their receptors and analyses of mutations and polymorphisms in human genes that encode these products have provided essential information about their functions. Here we review recent developments on IL-1 to IL-38, TNF-α, TGF-β, and interferons. We highlight recent advances during the last few years in this area and extensively discuss their cellular sources, targets, receptors, signaling pathways, and roles in immune regulation in patients with allergy and asthma and other inflammatory diseases.","author":[{"dropping-particle":"","family":"Akdis","given":"Mübeccel","non-dropping-particle":"","parse-names":false,"suffix":""},{"dropping-particle":"","family":"Aab","given":"Alar","non-dropping-particle":"","parse-names":false,"suffix":""},{"dropping-particle":"","family":"Altunbulakli","given":"Can","non-dropping-particle":"","parse-names":false,"suffix":""},{"dropping-particle":"","family":"Azkur","given":"Kursat","non-dropping-particle":"","parse-names":false,"suffix":""},{"dropping-particle":"","family":"Costa","given":"Rita A.","non-dropping-particle":"","parse-names":false,"suffix":""},{"dropping-particle":"","family":"Crameri","given":"Reto","non-dropping-particle":"","parse-names":false,"suffix":""},{"dropping-particle":"","family":"Duan","given":"Su","non-dropping-particle":"","parse-names":false,"suffix":""},{"dropping-particle":"","family":"Eiwegger","given":"Thomas","non-dropping-particle":"","parse-names":false,"suffix":""},{"dropping-particle":"","family":"Eljaszewicz","given":"Andrzej","non-dropping-particle":"","parse-names":false,"suffix":""},{"dropping-particle":"","family":"Ferstl","given":"Ruth","non-dropping-particle":"","parse-names":false,"suffix":""},{"dropping-particle":"","family":"Frei","given":"Remo","non-dropping-particle":"","parse-names":false,"suffix":""},{"dropping-particle":"","family":"Garbani","given":"Mattia","non-dropping-particle":"","parse-names":false,"suffix":""},{"dropping-particle":"","family":"Globinska","given":"Anna","non-dropping-particle":"","parse-names":false,"suffix":""},{"dropping-particle":"","family":"Hess","given":"Lena","non-dropping-particle":"","parse-names":false,"suffix":""},{"dropping-particle":"","family":"Huitema","given":"Carly","non-dropping-particle":"","parse-names":false,"suffix":""},{"dropping-particle":"","family":"Kubo","given":"Terufumi","non-dropping-particle":"","parse-names":false,"suffix":""},{"dropping-particle":"","family":"Komlosi","given":"Zsolt","non-dropping-particle":"","parse-names":false,"suffix":""},{"dropping-particle":"","family":"Konieczna","given":"Patricia","non-dropping-particle":"","parse-names":false,"suffix":""},{"dropping-particle":"","family":"Kovacs","given":"Nora","non-dropping-particle":"","parse-names":false,"suffix":""},{"dropping-particle":"","family":"Kucuksezer","given":"Umut C.","non-dropping-particle":"","parse-names":false,"suffix":""},{"dropping-particle":"","family":"Meyer","given":"Norbert","non-dropping-particle":"","parse-names":false,"suffix":""},{"dropping-particle":"","family":"Morita","given":"Hideaki","non-dropping-particle":"","parse-names":false,"suffix":""},{"dropping-particle":"","family":"Olzhausen","given":"Judith","non-dropping-particle":"","parse-names":false,"suffix":""},{"dropping-particle":"","family":"O'Mahony","given":"Liam","non-dropping-particle":"","parse-names":false,"suffix":""},{"dropping-particle":"","family":"Pezer","given":"Marija","non-dropping-particle":"","parse-names":false,"suffix":""},{"dropping-particle":"","family":"Prati","given":"Moira","non-dropping-particle":"","parse-names":false,"suffix":""},{"dropping-particle":"","family":"Rebane","given":"Ana","non-dropping-particle":"","parse-names":false,"suffix":""},{"dropping-particle":"","family":"Rhyner","given":"Claudio","non-dropping-particle":"","parse-names":false,"suffix":""},{"dropping-particle":"","family":"Rinaldi","given":"Arturo","non-dropping-particle":"","parse-names":false,"suffix":""},{"dropping-particle":"","family":"Sokolowska","given":"Milena","non-dropping-particle":"","parse-names":false,"suffix":""},{"dropping-particle":"","family":"Stanic","given":"Barbara","non-dropping-particle":"","parse-names":false,"suffix":""},{"dropping-particle":"","family":"Sugita","given":"Kazunari","non-dropping-particle":"","parse-names":false,"suffix":""},{"dropping-particle":"","family":"Treis","given":"Angela","non-dropping-particle":"","parse-names":false,"suffix":""},{"dropping-particle":"","family":"Veen","given":"Willem","non-dropping-particle":"van de","parse-names":false,"suffix":""},{"dropping-particle":"","family":"Wanke","given":"Kerstin","non-dropping-particle":"","parse-names":false,"suffix":""},{"dropping-particle":"","family":"Wawrzyniak","given":"Marcin","non-dropping-particle":"","parse-names":false,"suffix":""},{"dropping-particle":"","family":"Wawrzyniak","given":"Paulina","non-dropping-particle":"","parse-names":false,"suffix":""},{"dropping-particle":"","family":"Wirz","given":"Oliver F.","non-dropping-particle":"","parse-names":false,"suffix":""},{"dropping-particle":"","family":"Zakzuk","given":"Josefina Sierra","non-dropping-particle":"","parse-names":false,"suffix":""},{"dropping-particle":"","family":"Akdis","given":"Cezmi A.","non-dropping-particle":"","parse-names":false,"suffix":""}],"container-title":"Journal of Allergy and Clinical Immunology","id":"ITEM-1","issue":"4","issued":{"date-parts":[["2016"]]},"page":"984-1010","publisher":"Elsevier Inc.","title":"Interleukins (from IL-1 to IL-38), interferons, transforming growth factor β, and TNF-α: Receptors, functions, and roles in diseases","type":"article-journal","volume":"138"},"uris":["http://www.mendeley.com/documents/?uuid=29779197-bb5e-47a4-be74-28e82d40d886"]}],"mendeley":{"formattedCitation":"[83]","plainTextFormattedCitation":"[83]","previouslyFormattedCitation":"[83]"},"properties":{"noteIndex":0},"schema":"https://github.com/citation-style-language/schema/raw/master/csl-citation.json"}</w:instrText>
      </w:r>
      <w:r w:rsidR="005B4698"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[83]</w:t>
      </w:r>
      <w:r w:rsidR="005B4698" w:rsidRPr="001B27F8">
        <w:rPr>
          <w:rFonts w:ascii="Times New Roman" w:hAnsi="Times New Roman" w:cs="Times New Roman"/>
          <w:sz w:val="28"/>
          <w:szCs w:val="28"/>
        </w:rPr>
        <w:fldChar w:fldCharType="end"/>
      </w:r>
      <w:r w:rsidRPr="001B27F8">
        <w:rPr>
          <w:rFonts w:ascii="Times New Roman" w:hAnsi="Times New Roman" w:cs="Times New Roman"/>
          <w:sz w:val="28"/>
          <w:szCs w:val="28"/>
        </w:rPr>
        <w:t>.</w:t>
      </w:r>
      <w:r w:rsidR="005B4698" w:rsidRPr="001B27F8">
        <w:rPr>
          <w:rStyle w:val="fontstyle01"/>
          <w:color w:val="auto"/>
        </w:rPr>
        <w:t xml:space="preserve"> Индукция иммунологической толерантности к аллергену при АСИТ</w:t>
      </w:r>
      <w:r w:rsidR="00470CAB" w:rsidRPr="001B27F8">
        <w:rPr>
          <w:rStyle w:val="fontstyle01"/>
          <w:color w:val="auto"/>
        </w:rPr>
        <w:t xml:space="preserve"> связана с нескольки</w:t>
      </w:r>
      <w:r w:rsidR="005B4698" w:rsidRPr="001B27F8">
        <w:rPr>
          <w:rStyle w:val="fontstyle01"/>
          <w:color w:val="auto"/>
        </w:rPr>
        <w:t xml:space="preserve">ми механизмами: </w:t>
      </w:r>
      <w:r w:rsidR="00470CAB" w:rsidRPr="001B27F8">
        <w:rPr>
          <w:rFonts w:ascii="Times New Roman" w:hAnsi="Times New Roman" w:cs="Times New Roman"/>
          <w:sz w:val="28"/>
          <w:szCs w:val="28"/>
        </w:rPr>
        <w:t>подавление активности</w:t>
      </w:r>
      <w:r w:rsidRPr="001B27F8">
        <w:rPr>
          <w:rFonts w:ascii="Times New Roman" w:hAnsi="Times New Roman" w:cs="Times New Roman"/>
          <w:sz w:val="28"/>
          <w:szCs w:val="28"/>
        </w:rPr>
        <w:t xml:space="preserve"> Th2</w:t>
      </w:r>
      <w:r w:rsidR="00470CAB" w:rsidRPr="001B27F8">
        <w:rPr>
          <w:rFonts w:ascii="Times New Roman" w:hAnsi="Times New Roman" w:cs="Times New Roman"/>
          <w:sz w:val="28"/>
          <w:szCs w:val="28"/>
        </w:rPr>
        <w:t>,</w:t>
      </w:r>
      <w:r w:rsidRPr="001B27F8">
        <w:rPr>
          <w:rFonts w:ascii="Times New Roman" w:hAnsi="Times New Roman" w:cs="Times New Roman"/>
          <w:sz w:val="28"/>
          <w:szCs w:val="28"/>
        </w:rPr>
        <w:t xml:space="preserve"> </w:t>
      </w:r>
      <w:r w:rsidR="003D78AC" w:rsidRPr="001B27F8">
        <w:rPr>
          <w:rFonts w:ascii="Times New Roman" w:hAnsi="Times New Roman" w:cs="Times New Roman"/>
          <w:sz w:val="28"/>
          <w:szCs w:val="28"/>
        </w:rPr>
        <w:t xml:space="preserve">блокируя продукцию </w:t>
      </w:r>
      <w:r w:rsidRPr="001B27F8">
        <w:rPr>
          <w:rFonts w:ascii="Times New Roman" w:hAnsi="Times New Roman" w:cs="Times New Roman"/>
          <w:sz w:val="28"/>
          <w:szCs w:val="28"/>
        </w:rPr>
        <w:t>ИЛ-4 и</w:t>
      </w:r>
      <w:r w:rsidR="003D78AC" w:rsidRPr="001B27F8">
        <w:rPr>
          <w:rFonts w:ascii="Times New Roman" w:hAnsi="Times New Roman" w:cs="Times New Roman"/>
          <w:sz w:val="28"/>
          <w:szCs w:val="28"/>
        </w:rPr>
        <w:t xml:space="preserve"> </w:t>
      </w:r>
      <w:r w:rsidRPr="001B27F8">
        <w:rPr>
          <w:rFonts w:ascii="Times New Roman" w:hAnsi="Times New Roman" w:cs="Times New Roman"/>
          <w:sz w:val="28"/>
          <w:szCs w:val="28"/>
        </w:rPr>
        <w:t>ИЛ-5</w:t>
      </w:r>
      <w:r w:rsidR="00470CAB" w:rsidRPr="001B27F8">
        <w:rPr>
          <w:rFonts w:ascii="Times New Roman" w:hAnsi="Times New Roman" w:cs="Times New Roman"/>
          <w:sz w:val="28"/>
          <w:szCs w:val="28"/>
        </w:rPr>
        <w:t>; инициация дифференцировки</w:t>
      </w:r>
      <w:r w:rsidRPr="001B27F8">
        <w:rPr>
          <w:rFonts w:ascii="Times New Roman" w:hAnsi="Times New Roman" w:cs="Times New Roman"/>
          <w:sz w:val="28"/>
          <w:szCs w:val="28"/>
        </w:rPr>
        <w:t xml:space="preserve"> Тreg</w:t>
      </w:r>
      <w:r w:rsidR="003D78AC" w:rsidRPr="001B27F8">
        <w:rPr>
          <w:rFonts w:ascii="Times New Roman" w:hAnsi="Times New Roman" w:cs="Times New Roman"/>
          <w:sz w:val="28"/>
          <w:szCs w:val="28"/>
        </w:rPr>
        <w:t xml:space="preserve"> </w:t>
      </w:r>
      <w:r w:rsidR="00470CAB" w:rsidRPr="001B27F8">
        <w:rPr>
          <w:rFonts w:ascii="Times New Roman" w:hAnsi="Times New Roman" w:cs="Times New Roman"/>
          <w:sz w:val="28"/>
          <w:szCs w:val="28"/>
        </w:rPr>
        <w:t>клеток; п</w:t>
      </w:r>
      <w:r w:rsidRPr="001B27F8">
        <w:rPr>
          <w:rFonts w:ascii="Times New Roman" w:hAnsi="Times New Roman" w:cs="Times New Roman"/>
          <w:sz w:val="28"/>
          <w:szCs w:val="28"/>
        </w:rPr>
        <w:t>ереключение синтеза IgE плазматическими клетками на</w:t>
      </w:r>
      <w:r w:rsidR="003D78AC" w:rsidRPr="001B27F8">
        <w:rPr>
          <w:rFonts w:ascii="Times New Roman" w:hAnsi="Times New Roman" w:cs="Times New Roman"/>
          <w:sz w:val="28"/>
          <w:szCs w:val="28"/>
        </w:rPr>
        <w:t xml:space="preserve"> </w:t>
      </w:r>
      <w:r w:rsidRPr="001B27F8">
        <w:rPr>
          <w:rFonts w:ascii="Times New Roman" w:hAnsi="Times New Roman" w:cs="Times New Roman"/>
          <w:sz w:val="28"/>
          <w:szCs w:val="28"/>
        </w:rPr>
        <w:t>IgG4</w:t>
      </w:r>
      <w:r w:rsidR="00470CAB" w:rsidRPr="001B27F8">
        <w:rPr>
          <w:rFonts w:ascii="Times New Roman" w:hAnsi="Times New Roman" w:cs="Times New Roman"/>
          <w:sz w:val="28"/>
          <w:szCs w:val="28"/>
        </w:rPr>
        <w:t xml:space="preserve"> с</w:t>
      </w:r>
      <w:r w:rsidRPr="001B27F8">
        <w:rPr>
          <w:rFonts w:ascii="Times New Roman" w:hAnsi="Times New Roman" w:cs="Times New Roman"/>
          <w:sz w:val="28"/>
          <w:szCs w:val="28"/>
        </w:rPr>
        <w:t xml:space="preserve"> </w:t>
      </w:r>
      <w:r w:rsidR="00470CAB" w:rsidRPr="001B27F8">
        <w:rPr>
          <w:rStyle w:val="fontstyle01"/>
          <w:color w:val="auto"/>
        </w:rPr>
        <w:t xml:space="preserve">ингибированием продукции </w:t>
      </w:r>
      <w:r w:rsidR="004A5DFC" w:rsidRPr="001B27F8">
        <w:rPr>
          <w:rFonts w:ascii="Times New Roman" w:hAnsi="Times New Roman" w:cs="Times New Roman"/>
          <w:sz w:val="28"/>
          <w:szCs w:val="28"/>
          <w:lang w:val="en-US"/>
        </w:rPr>
        <w:t>s</w:t>
      </w:r>
      <w:r w:rsidR="00470CAB" w:rsidRPr="001B27F8">
        <w:rPr>
          <w:rStyle w:val="fontstyle01"/>
          <w:color w:val="auto"/>
        </w:rPr>
        <w:t xml:space="preserve">IgE и подавлением экспрессии рецептора к IgE на тучных клетках. Было отмечено, что уровень </w:t>
      </w:r>
      <w:r w:rsidR="00470CAB" w:rsidRPr="001B27F8">
        <w:rPr>
          <w:rStyle w:val="fontstyle01"/>
          <w:color w:val="auto"/>
          <w:lang w:val="en-US"/>
        </w:rPr>
        <w:t>IgG</w:t>
      </w:r>
      <w:r w:rsidR="00470CAB" w:rsidRPr="001B27F8">
        <w:rPr>
          <w:rStyle w:val="fontstyle01"/>
          <w:color w:val="auto"/>
        </w:rPr>
        <w:t>4 антител зависел именно</w:t>
      </w:r>
      <w:r w:rsidRPr="001B27F8">
        <w:rPr>
          <w:rStyle w:val="fontstyle01"/>
          <w:color w:val="auto"/>
        </w:rPr>
        <w:t xml:space="preserve"> от</w:t>
      </w:r>
      <w:r w:rsidR="003D78AC" w:rsidRPr="001B27F8">
        <w:rPr>
          <w:rStyle w:val="fontstyle01"/>
          <w:color w:val="auto"/>
        </w:rPr>
        <w:t xml:space="preserve"> </w:t>
      </w:r>
      <w:r w:rsidRPr="001B27F8">
        <w:rPr>
          <w:rStyle w:val="fontstyle01"/>
          <w:color w:val="auto"/>
        </w:rPr>
        <w:t xml:space="preserve">содержания в крови ИЛ-10. </w:t>
      </w:r>
      <w:r w:rsidR="00305721" w:rsidRPr="001B27F8">
        <w:rPr>
          <w:rStyle w:val="fontstyle01"/>
          <w:color w:val="auto"/>
        </w:rPr>
        <w:fldChar w:fldCharType="begin" w:fldLock="1"/>
      </w:r>
      <w:r w:rsidR="00765C06">
        <w:rPr>
          <w:rStyle w:val="fontstyle01"/>
          <w:color w:val="auto"/>
          <w:lang w:val="en-US"/>
        </w:rPr>
        <w:instrText>ADDIN</w:instrText>
      </w:r>
      <w:r w:rsidR="00765C06" w:rsidRPr="00015FE3">
        <w:rPr>
          <w:rStyle w:val="fontstyle01"/>
          <w:color w:val="auto"/>
        </w:rPr>
        <w:instrText xml:space="preserve"> </w:instrText>
      </w:r>
      <w:r w:rsidR="00765C06">
        <w:rPr>
          <w:rStyle w:val="fontstyle01"/>
          <w:color w:val="auto"/>
          <w:lang w:val="en-US"/>
        </w:rPr>
        <w:instrText>CSL</w:instrText>
      </w:r>
      <w:r w:rsidR="00765C06" w:rsidRPr="00015FE3">
        <w:rPr>
          <w:rStyle w:val="fontstyle01"/>
          <w:color w:val="auto"/>
        </w:rPr>
        <w:instrText>_</w:instrText>
      </w:r>
      <w:r w:rsidR="00765C06">
        <w:rPr>
          <w:rStyle w:val="fontstyle01"/>
          <w:color w:val="auto"/>
          <w:lang w:val="en-US"/>
        </w:rPr>
        <w:instrText>CITATION</w:instrText>
      </w:r>
      <w:r w:rsidR="00765C06" w:rsidRPr="00015FE3">
        <w:rPr>
          <w:rStyle w:val="fontstyle01"/>
          <w:color w:val="auto"/>
        </w:rPr>
        <w:instrText xml:space="preserve"> {"</w:instrText>
      </w:r>
      <w:r w:rsidR="00765C06">
        <w:rPr>
          <w:rStyle w:val="fontstyle01"/>
          <w:color w:val="auto"/>
          <w:lang w:val="en-US"/>
        </w:rPr>
        <w:instrText>citationItems</w:instrText>
      </w:r>
      <w:r w:rsidR="00765C06" w:rsidRPr="00015FE3">
        <w:rPr>
          <w:rStyle w:val="fontstyle01"/>
          <w:color w:val="auto"/>
        </w:rPr>
        <w:instrText>":[{"</w:instrText>
      </w:r>
      <w:r w:rsidR="00765C06">
        <w:rPr>
          <w:rStyle w:val="fontstyle01"/>
          <w:color w:val="auto"/>
          <w:lang w:val="en-US"/>
        </w:rPr>
        <w:instrText>id</w:instrText>
      </w:r>
      <w:r w:rsidR="00765C06" w:rsidRPr="00015FE3">
        <w:rPr>
          <w:rStyle w:val="fontstyle01"/>
          <w:color w:val="auto"/>
        </w:rPr>
        <w:instrText>":"</w:instrText>
      </w:r>
      <w:r w:rsidR="00765C06">
        <w:rPr>
          <w:rStyle w:val="fontstyle01"/>
          <w:color w:val="auto"/>
          <w:lang w:val="en-US"/>
        </w:rPr>
        <w:instrText>ITEM</w:instrText>
      </w:r>
      <w:r w:rsidR="00765C06" w:rsidRPr="00015FE3">
        <w:rPr>
          <w:rStyle w:val="fontstyle01"/>
          <w:color w:val="auto"/>
        </w:rPr>
        <w:instrText>-1","</w:instrText>
      </w:r>
      <w:r w:rsidR="00765C06">
        <w:rPr>
          <w:rStyle w:val="fontstyle01"/>
          <w:color w:val="auto"/>
          <w:lang w:val="en-US"/>
        </w:rPr>
        <w:instrText>itemData</w:instrText>
      </w:r>
      <w:r w:rsidR="00765C06" w:rsidRPr="00015FE3">
        <w:rPr>
          <w:rStyle w:val="fontstyle01"/>
          <w:color w:val="auto"/>
        </w:rPr>
        <w:instrText>":{"</w:instrText>
      </w:r>
      <w:r w:rsidR="00765C06">
        <w:rPr>
          <w:rStyle w:val="fontstyle01"/>
          <w:color w:val="auto"/>
          <w:lang w:val="en-US"/>
        </w:rPr>
        <w:instrText>DOI</w:instrText>
      </w:r>
      <w:r w:rsidR="00765C06" w:rsidRPr="00015FE3">
        <w:rPr>
          <w:rStyle w:val="fontstyle01"/>
          <w:color w:val="auto"/>
        </w:rPr>
        <w:instrText>":"10.18821/0206-4952-2016-37-1-51","</w:instrText>
      </w:r>
      <w:r w:rsidR="00765C06">
        <w:rPr>
          <w:rStyle w:val="fontstyle01"/>
          <w:color w:val="auto"/>
          <w:lang w:val="en-US"/>
        </w:rPr>
        <w:instrText>ISBN</w:instrText>
      </w:r>
      <w:r w:rsidR="00765C06" w:rsidRPr="00015FE3">
        <w:rPr>
          <w:rStyle w:val="fontstyle01"/>
          <w:color w:val="auto"/>
        </w:rPr>
        <w:instrText>":"0206495220163","</w:instrText>
      </w:r>
      <w:r w:rsidR="00765C06">
        <w:rPr>
          <w:rStyle w:val="fontstyle01"/>
          <w:color w:val="auto"/>
          <w:lang w:val="en-US"/>
        </w:rPr>
        <w:instrText>author</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family</w:instrText>
      </w:r>
      <w:r w:rsidR="00765C06" w:rsidRPr="00015FE3">
        <w:rPr>
          <w:rStyle w:val="fontstyle01"/>
          <w:color w:val="auto"/>
        </w:rPr>
        <w:instrText>":"Солдатов","</w:instrText>
      </w:r>
      <w:r w:rsidR="00765C06">
        <w:rPr>
          <w:rStyle w:val="fontstyle01"/>
          <w:color w:val="auto"/>
          <w:lang w:val="en-US"/>
        </w:rPr>
        <w:instrText>given</w:instrText>
      </w:r>
      <w:r w:rsidR="00765C06" w:rsidRPr="00015FE3">
        <w:rPr>
          <w:rStyle w:val="fontstyle01"/>
          <w:color w:val="auto"/>
        </w:rPr>
        <w:instrText>":"А.А.","</w:instrText>
      </w:r>
      <w:r w:rsidR="00765C06">
        <w:rPr>
          <w:rStyle w:val="fontstyle01"/>
          <w:color w:val="auto"/>
          <w:lang w:val="en-US"/>
        </w:rPr>
        <w:instrText>non</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parse</w:instrText>
      </w:r>
      <w:r w:rsidR="00765C06" w:rsidRPr="00015FE3">
        <w:rPr>
          <w:rStyle w:val="fontstyle01"/>
          <w:color w:val="auto"/>
        </w:rPr>
        <w:instrText>-</w:instrText>
      </w:r>
      <w:r w:rsidR="00765C06">
        <w:rPr>
          <w:rStyle w:val="fontstyle01"/>
          <w:color w:val="auto"/>
          <w:lang w:val="en-US"/>
        </w:rPr>
        <w:instrText>names</w:instrText>
      </w:r>
      <w:r w:rsidR="00765C06" w:rsidRPr="00015FE3">
        <w:rPr>
          <w:rStyle w:val="fontstyle01"/>
          <w:color w:val="auto"/>
        </w:rPr>
        <w:instrText>":</w:instrText>
      </w:r>
      <w:r w:rsidR="00765C06">
        <w:rPr>
          <w:rStyle w:val="fontstyle01"/>
          <w:color w:val="auto"/>
          <w:lang w:val="en-US"/>
        </w:rPr>
        <w:instrText>false</w:instrText>
      </w:r>
      <w:r w:rsidR="00765C06" w:rsidRPr="00015FE3">
        <w:rPr>
          <w:rStyle w:val="fontstyle01"/>
          <w:color w:val="auto"/>
        </w:rPr>
        <w:instrText>,"</w:instrText>
      </w:r>
      <w:r w:rsidR="00765C06">
        <w:rPr>
          <w:rStyle w:val="fontstyle01"/>
          <w:color w:val="auto"/>
          <w:lang w:val="en-US"/>
        </w:rPr>
        <w:instrText>suffix</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family</w:instrText>
      </w:r>
      <w:r w:rsidR="00765C06" w:rsidRPr="00015FE3">
        <w:rPr>
          <w:rStyle w:val="fontstyle01"/>
          <w:color w:val="auto"/>
        </w:rPr>
        <w:instrText>":"Авдеева","</w:instrText>
      </w:r>
      <w:r w:rsidR="00765C06">
        <w:rPr>
          <w:rStyle w:val="fontstyle01"/>
          <w:color w:val="auto"/>
          <w:lang w:val="en-US"/>
        </w:rPr>
        <w:instrText>given</w:instrText>
      </w:r>
      <w:r w:rsidR="00765C06" w:rsidRPr="00015FE3">
        <w:rPr>
          <w:rStyle w:val="fontstyle01"/>
          <w:color w:val="auto"/>
        </w:rPr>
        <w:instrText>":"Ж.И.","</w:instrText>
      </w:r>
      <w:r w:rsidR="00765C06">
        <w:rPr>
          <w:rStyle w:val="fontstyle01"/>
          <w:color w:val="auto"/>
          <w:lang w:val="en-US"/>
        </w:rPr>
        <w:instrText>non</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parse</w:instrText>
      </w:r>
      <w:r w:rsidR="00765C06" w:rsidRPr="00015FE3">
        <w:rPr>
          <w:rStyle w:val="fontstyle01"/>
          <w:color w:val="auto"/>
        </w:rPr>
        <w:instrText>-</w:instrText>
      </w:r>
      <w:r w:rsidR="00765C06">
        <w:rPr>
          <w:rStyle w:val="fontstyle01"/>
          <w:color w:val="auto"/>
          <w:lang w:val="en-US"/>
        </w:rPr>
        <w:instrText>names</w:instrText>
      </w:r>
      <w:r w:rsidR="00765C06" w:rsidRPr="00015FE3">
        <w:rPr>
          <w:rStyle w:val="fontstyle01"/>
          <w:color w:val="auto"/>
        </w:rPr>
        <w:instrText>":</w:instrText>
      </w:r>
      <w:r w:rsidR="00765C06">
        <w:rPr>
          <w:rStyle w:val="fontstyle01"/>
          <w:color w:val="auto"/>
          <w:lang w:val="en-US"/>
        </w:rPr>
        <w:instrText>false</w:instrText>
      </w:r>
      <w:r w:rsidR="00765C06" w:rsidRPr="00015FE3">
        <w:rPr>
          <w:rStyle w:val="fontstyle01"/>
          <w:color w:val="auto"/>
        </w:rPr>
        <w:instrText>,"</w:instrText>
      </w:r>
      <w:r w:rsidR="00765C06">
        <w:rPr>
          <w:rStyle w:val="fontstyle01"/>
          <w:color w:val="auto"/>
          <w:lang w:val="en-US"/>
        </w:rPr>
        <w:instrText>suffix</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family</w:instrText>
      </w:r>
      <w:r w:rsidR="00765C06" w:rsidRPr="00015FE3">
        <w:rPr>
          <w:rStyle w:val="fontstyle01"/>
          <w:color w:val="auto"/>
        </w:rPr>
        <w:instrText>":"Медуницын","</w:instrText>
      </w:r>
      <w:r w:rsidR="00765C06">
        <w:rPr>
          <w:rStyle w:val="fontstyle01"/>
          <w:color w:val="auto"/>
          <w:lang w:val="en-US"/>
        </w:rPr>
        <w:instrText>given</w:instrText>
      </w:r>
      <w:r w:rsidR="00765C06" w:rsidRPr="00015FE3">
        <w:rPr>
          <w:rStyle w:val="fontstyle01"/>
          <w:color w:val="auto"/>
        </w:rPr>
        <w:instrText>":"Н.В.","</w:instrText>
      </w:r>
      <w:r w:rsidR="00765C06">
        <w:rPr>
          <w:rStyle w:val="fontstyle01"/>
          <w:color w:val="auto"/>
          <w:lang w:val="en-US"/>
        </w:rPr>
        <w:instrText>non</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parse</w:instrText>
      </w:r>
      <w:r w:rsidR="00765C06" w:rsidRPr="00015FE3">
        <w:rPr>
          <w:rStyle w:val="fontstyle01"/>
          <w:color w:val="auto"/>
        </w:rPr>
        <w:instrText>-</w:instrText>
      </w:r>
      <w:r w:rsidR="00765C06">
        <w:rPr>
          <w:rStyle w:val="fontstyle01"/>
          <w:color w:val="auto"/>
          <w:lang w:val="en-US"/>
        </w:rPr>
        <w:instrText>names</w:instrText>
      </w:r>
      <w:r w:rsidR="00765C06" w:rsidRPr="00015FE3">
        <w:rPr>
          <w:rStyle w:val="fontstyle01"/>
          <w:color w:val="auto"/>
        </w:rPr>
        <w:instrText>":</w:instrText>
      </w:r>
      <w:r w:rsidR="00765C06">
        <w:rPr>
          <w:rStyle w:val="fontstyle01"/>
          <w:color w:val="auto"/>
          <w:lang w:val="en-US"/>
        </w:rPr>
        <w:instrText>false</w:instrText>
      </w:r>
      <w:r w:rsidR="00765C06" w:rsidRPr="00015FE3">
        <w:rPr>
          <w:rStyle w:val="fontstyle01"/>
          <w:color w:val="auto"/>
        </w:rPr>
        <w:instrText>,"</w:instrText>
      </w:r>
      <w:r w:rsidR="00765C06">
        <w:rPr>
          <w:rStyle w:val="fontstyle01"/>
          <w:color w:val="auto"/>
          <w:lang w:val="en-US"/>
        </w:rPr>
        <w:instrText>suffix</w:instrText>
      </w:r>
      <w:r w:rsidR="00765C06" w:rsidRPr="00015FE3">
        <w:rPr>
          <w:rStyle w:val="fontstyle01"/>
          <w:color w:val="auto"/>
        </w:rPr>
        <w:instrText>":""}],"</w:instrText>
      </w:r>
      <w:r w:rsidR="00765C06">
        <w:rPr>
          <w:rStyle w:val="fontstyle01"/>
          <w:color w:val="auto"/>
          <w:lang w:val="en-US"/>
        </w:rPr>
        <w:instrText>container</w:instrText>
      </w:r>
      <w:r w:rsidR="00765C06" w:rsidRPr="00015FE3">
        <w:rPr>
          <w:rStyle w:val="fontstyle01"/>
          <w:color w:val="auto"/>
        </w:rPr>
        <w:instrText>-</w:instrText>
      </w:r>
      <w:r w:rsidR="00765C06">
        <w:rPr>
          <w:rStyle w:val="fontstyle01"/>
          <w:color w:val="auto"/>
          <w:lang w:val="en-US"/>
        </w:rPr>
        <w:instrText>title</w:instrText>
      </w:r>
      <w:r w:rsidR="00765C06" w:rsidRPr="00015FE3">
        <w:rPr>
          <w:rStyle w:val="fontstyle01"/>
          <w:color w:val="auto"/>
        </w:rPr>
        <w:instrText>":"Иммунология","</w:instrText>
      </w:r>
      <w:r w:rsidR="00765C06">
        <w:rPr>
          <w:rStyle w:val="fontstyle01"/>
          <w:color w:val="auto"/>
          <w:lang w:val="en-US"/>
        </w:rPr>
        <w:instrText>id</w:instrText>
      </w:r>
      <w:r w:rsidR="00765C06" w:rsidRPr="00015FE3">
        <w:rPr>
          <w:rStyle w:val="fontstyle01"/>
          <w:color w:val="auto"/>
        </w:rPr>
        <w:instrText>":"</w:instrText>
      </w:r>
      <w:r w:rsidR="00765C06">
        <w:rPr>
          <w:rStyle w:val="fontstyle01"/>
          <w:color w:val="auto"/>
          <w:lang w:val="en-US"/>
        </w:rPr>
        <w:instrText>ITEM</w:instrText>
      </w:r>
      <w:r w:rsidR="00765C06" w:rsidRPr="00015FE3">
        <w:rPr>
          <w:rStyle w:val="fontstyle01"/>
          <w:color w:val="auto"/>
        </w:rPr>
        <w:instrText>-1","</w:instrText>
      </w:r>
      <w:r w:rsidR="00765C06">
        <w:rPr>
          <w:rStyle w:val="fontstyle01"/>
          <w:color w:val="auto"/>
          <w:lang w:val="en-US"/>
        </w:rPr>
        <w:instrText>issue</w:instrText>
      </w:r>
      <w:r w:rsidR="00765C06" w:rsidRPr="00015FE3">
        <w:rPr>
          <w:rStyle w:val="fontstyle01"/>
          <w:color w:val="auto"/>
        </w:rPr>
        <w:instrText>":"1","</w:instrText>
      </w:r>
      <w:r w:rsidR="00765C06">
        <w:rPr>
          <w:rStyle w:val="fontstyle01"/>
          <w:color w:val="auto"/>
          <w:lang w:val="en-US"/>
        </w:rPr>
        <w:instrText>issued</w:instrText>
      </w:r>
      <w:r w:rsidR="00765C06" w:rsidRPr="00015FE3">
        <w:rPr>
          <w:rStyle w:val="fontstyle01"/>
          <w:color w:val="auto"/>
        </w:rPr>
        <w:instrText>":{"</w:instrText>
      </w:r>
      <w:r w:rsidR="00765C06">
        <w:rPr>
          <w:rStyle w:val="fontstyle01"/>
          <w:color w:val="auto"/>
          <w:lang w:val="en-US"/>
        </w:rPr>
        <w:instrText>date</w:instrText>
      </w:r>
      <w:r w:rsidR="00765C06" w:rsidRPr="00015FE3">
        <w:rPr>
          <w:rStyle w:val="fontstyle01"/>
          <w:color w:val="auto"/>
        </w:rPr>
        <w:instrText>-</w:instrText>
      </w:r>
      <w:r w:rsidR="00765C06">
        <w:rPr>
          <w:rStyle w:val="fontstyle01"/>
          <w:color w:val="auto"/>
          <w:lang w:val="en-US"/>
        </w:rPr>
        <w:instrText>parts</w:instrText>
      </w:r>
      <w:r w:rsidR="00765C06" w:rsidRPr="00015FE3">
        <w:rPr>
          <w:rStyle w:val="fontstyle01"/>
          <w:color w:val="auto"/>
        </w:rPr>
        <w:instrText>":[["2016"]]},"</w:instrText>
      </w:r>
      <w:r w:rsidR="00765C06">
        <w:rPr>
          <w:rStyle w:val="fontstyle01"/>
          <w:color w:val="auto"/>
          <w:lang w:val="en-US"/>
        </w:rPr>
        <w:instrText>page</w:instrText>
      </w:r>
      <w:r w:rsidR="00765C06" w:rsidRPr="00015FE3">
        <w:rPr>
          <w:rStyle w:val="fontstyle01"/>
          <w:color w:val="auto"/>
        </w:rPr>
        <w:instrText>":"51-60","</w:instrText>
      </w:r>
      <w:r w:rsidR="00765C06">
        <w:rPr>
          <w:rStyle w:val="fontstyle01"/>
          <w:color w:val="auto"/>
          <w:lang w:val="en-US"/>
        </w:rPr>
        <w:instrText>title</w:instrText>
      </w:r>
      <w:r w:rsidR="00765C06" w:rsidRPr="00015FE3">
        <w:rPr>
          <w:rStyle w:val="fontstyle01"/>
          <w:color w:val="auto"/>
        </w:rPr>
        <w:instrText>":"Механизмы аллергической реакции немедленного типа, препараты и методы специфической иммунотерапии","</w:instrText>
      </w:r>
      <w:r w:rsidR="00765C06">
        <w:rPr>
          <w:rStyle w:val="fontstyle01"/>
          <w:color w:val="auto"/>
          <w:lang w:val="en-US"/>
        </w:rPr>
        <w:instrText>type</w:instrText>
      </w:r>
      <w:r w:rsidR="00765C06" w:rsidRPr="00015FE3">
        <w:rPr>
          <w:rStyle w:val="fontstyle01"/>
          <w:color w:val="auto"/>
        </w:rPr>
        <w:instrText>":"</w:instrText>
      </w:r>
      <w:r w:rsidR="00765C06">
        <w:rPr>
          <w:rStyle w:val="fontstyle01"/>
          <w:color w:val="auto"/>
          <w:lang w:val="en-US"/>
        </w:rPr>
        <w:instrText>article</w:instrText>
      </w:r>
      <w:r w:rsidR="00765C06" w:rsidRPr="00015FE3">
        <w:rPr>
          <w:rStyle w:val="fontstyle01"/>
          <w:color w:val="auto"/>
        </w:rPr>
        <w:instrText>-</w:instrText>
      </w:r>
      <w:r w:rsidR="00765C06">
        <w:rPr>
          <w:rStyle w:val="fontstyle01"/>
          <w:color w:val="auto"/>
          <w:lang w:val="en-US"/>
        </w:rPr>
        <w:instrText>journal</w:instrText>
      </w:r>
      <w:r w:rsidR="00765C06" w:rsidRPr="00015FE3">
        <w:rPr>
          <w:rStyle w:val="fontstyle01"/>
          <w:color w:val="auto"/>
        </w:rPr>
        <w:instrText>","</w:instrText>
      </w:r>
      <w:r w:rsidR="00765C06">
        <w:rPr>
          <w:rStyle w:val="fontstyle01"/>
          <w:color w:val="auto"/>
          <w:lang w:val="en-US"/>
        </w:rPr>
        <w:instrText>volume</w:instrText>
      </w:r>
      <w:r w:rsidR="00765C06" w:rsidRPr="00015FE3">
        <w:rPr>
          <w:rStyle w:val="fontstyle01"/>
          <w:color w:val="auto"/>
        </w:rPr>
        <w:instrText>":"37"},"</w:instrText>
      </w:r>
      <w:r w:rsidR="00765C06">
        <w:rPr>
          <w:rStyle w:val="fontstyle01"/>
          <w:color w:val="auto"/>
          <w:lang w:val="en-US"/>
        </w:rPr>
        <w:instrText>uris</w:instrText>
      </w:r>
      <w:r w:rsidR="00765C06" w:rsidRPr="00015FE3">
        <w:rPr>
          <w:rStyle w:val="fontstyle01"/>
          <w:color w:val="auto"/>
        </w:rPr>
        <w:instrText>":["</w:instrText>
      </w:r>
      <w:r w:rsidR="00765C06">
        <w:rPr>
          <w:rStyle w:val="fontstyle01"/>
          <w:color w:val="auto"/>
          <w:lang w:val="en-US"/>
        </w:rPr>
        <w:instrText>http</w:instrText>
      </w:r>
      <w:r w:rsidR="00765C06" w:rsidRPr="00015FE3">
        <w:rPr>
          <w:rStyle w:val="fontstyle01"/>
          <w:color w:val="auto"/>
        </w:rPr>
        <w:instrText>://</w:instrText>
      </w:r>
      <w:r w:rsidR="00765C06">
        <w:rPr>
          <w:rStyle w:val="fontstyle01"/>
          <w:color w:val="auto"/>
          <w:lang w:val="en-US"/>
        </w:rPr>
        <w:instrText>www</w:instrText>
      </w:r>
      <w:r w:rsidR="00765C06" w:rsidRPr="00015FE3">
        <w:rPr>
          <w:rStyle w:val="fontstyle01"/>
          <w:color w:val="auto"/>
        </w:rPr>
        <w:instrText>.</w:instrText>
      </w:r>
      <w:r w:rsidR="00765C06">
        <w:rPr>
          <w:rStyle w:val="fontstyle01"/>
          <w:color w:val="auto"/>
          <w:lang w:val="en-US"/>
        </w:rPr>
        <w:instrText>mendeley</w:instrText>
      </w:r>
      <w:r w:rsidR="00765C06" w:rsidRPr="00015FE3">
        <w:rPr>
          <w:rStyle w:val="fontstyle01"/>
          <w:color w:val="auto"/>
        </w:rPr>
        <w:instrText>.</w:instrText>
      </w:r>
      <w:r w:rsidR="00765C06">
        <w:rPr>
          <w:rStyle w:val="fontstyle01"/>
          <w:color w:val="auto"/>
          <w:lang w:val="en-US"/>
        </w:rPr>
        <w:instrText>com</w:instrText>
      </w:r>
      <w:r w:rsidR="00765C06" w:rsidRPr="00015FE3">
        <w:rPr>
          <w:rStyle w:val="fontstyle01"/>
          <w:color w:val="auto"/>
        </w:rPr>
        <w:instrText>/</w:instrText>
      </w:r>
      <w:r w:rsidR="00765C06">
        <w:rPr>
          <w:rStyle w:val="fontstyle01"/>
          <w:color w:val="auto"/>
          <w:lang w:val="en-US"/>
        </w:rPr>
        <w:instrText>documents</w:instrText>
      </w:r>
      <w:r w:rsidR="00765C06" w:rsidRPr="00015FE3">
        <w:rPr>
          <w:rStyle w:val="fontstyle01"/>
          <w:color w:val="auto"/>
        </w:rPr>
        <w:instrText>/?</w:instrText>
      </w:r>
      <w:r w:rsidR="00765C06">
        <w:rPr>
          <w:rStyle w:val="fontstyle01"/>
          <w:color w:val="auto"/>
          <w:lang w:val="en-US"/>
        </w:rPr>
        <w:instrText>uuid</w:instrText>
      </w:r>
      <w:r w:rsidR="00765C06" w:rsidRPr="00015FE3">
        <w:rPr>
          <w:rStyle w:val="fontstyle01"/>
          <w:color w:val="auto"/>
        </w:rPr>
        <w:instrText>=</w:instrText>
      </w:r>
      <w:r w:rsidR="00765C06">
        <w:rPr>
          <w:rStyle w:val="fontstyle01"/>
          <w:color w:val="auto"/>
          <w:lang w:val="en-US"/>
        </w:rPr>
        <w:instrText>bc</w:instrText>
      </w:r>
      <w:r w:rsidR="00765C06" w:rsidRPr="00015FE3">
        <w:rPr>
          <w:rStyle w:val="fontstyle01"/>
          <w:color w:val="auto"/>
        </w:rPr>
        <w:instrText>62709</w:instrText>
      </w:r>
      <w:r w:rsidR="00765C06">
        <w:rPr>
          <w:rStyle w:val="fontstyle01"/>
          <w:color w:val="auto"/>
          <w:lang w:val="en-US"/>
        </w:rPr>
        <w:instrText>d</w:instrText>
      </w:r>
      <w:r w:rsidR="00765C06" w:rsidRPr="00015FE3">
        <w:rPr>
          <w:rStyle w:val="fontstyle01"/>
          <w:color w:val="auto"/>
        </w:rPr>
        <w:instrText>-7579-4</w:instrText>
      </w:r>
      <w:r w:rsidR="00765C06">
        <w:rPr>
          <w:rStyle w:val="fontstyle01"/>
          <w:color w:val="auto"/>
          <w:lang w:val="en-US"/>
        </w:rPr>
        <w:instrText>d</w:instrText>
      </w:r>
      <w:r w:rsidR="00765C06" w:rsidRPr="00015FE3">
        <w:rPr>
          <w:rStyle w:val="fontstyle01"/>
          <w:color w:val="auto"/>
        </w:rPr>
        <w:instrText>4</w:instrText>
      </w:r>
      <w:r w:rsidR="00765C06">
        <w:rPr>
          <w:rStyle w:val="fontstyle01"/>
          <w:color w:val="auto"/>
          <w:lang w:val="en-US"/>
        </w:rPr>
        <w:instrText>f</w:instrText>
      </w:r>
      <w:r w:rsidR="00765C06" w:rsidRPr="00015FE3">
        <w:rPr>
          <w:rStyle w:val="fontstyle01"/>
          <w:color w:val="auto"/>
        </w:rPr>
        <w:instrText>-9250-17445</w:instrText>
      </w:r>
      <w:r w:rsidR="00765C06">
        <w:rPr>
          <w:rStyle w:val="fontstyle01"/>
          <w:color w:val="auto"/>
          <w:lang w:val="en-US"/>
        </w:rPr>
        <w:instrText>dbe</w:instrText>
      </w:r>
      <w:r w:rsidR="00765C06" w:rsidRPr="00015FE3">
        <w:rPr>
          <w:rStyle w:val="fontstyle01"/>
          <w:color w:val="auto"/>
        </w:rPr>
        <w:instrText>9361"]}],"</w:instrText>
      </w:r>
      <w:r w:rsidR="00765C06">
        <w:rPr>
          <w:rStyle w:val="fontstyle01"/>
          <w:color w:val="auto"/>
          <w:lang w:val="en-US"/>
        </w:rPr>
        <w:instrText>mendeley</w:instrText>
      </w:r>
      <w:r w:rsidR="00765C06" w:rsidRPr="00015FE3">
        <w:rPr>
          <w:rStyle w:val="fontstyle01"/>
          <w:color w:val="auto"/>
        </w:rPr>
        <w:instrText>":{"</w:instrText>
      </w:r>
      <w:r w:rsidR="00765C06">
        <w:rPr>
          <w:rStyle w:val="fontstyle01"/>
          <w:color w:val="auto"/>
          <w:lang w:val="en-US"/>
        </w:rPr>
        <w:instrText>formattedCitation</w:instrText>
      </w:r>
      <w:r w:rsidR="00765C06" w:rsidRPr="00015FE3">
        <w:rPr>
          <w:rStyle w:val="fontstyle01"/>
          <w:color w:val="auto"/>
        </w:rPr>
        <w:instrText>":"[84]","</w:instrText>
      </w:r>
      <w:r w:rsidR="00765C06">
        <w:rPr>
          <w:rStyle w:val="fontstyle01"/>
          <w:color w:val="auto"/>
          <w:lang w:val="en-US"/>
        </w:rPr>
        <w:instrText>plainTextFormattedCitation</w:instrText>
      </w:r>
      <w:r w:rsidR="00765C06" w:rsidRPr="00015FE3">
        <w:rPr>
          <w:rStyle w:val="fontstyle01"/>
          <w:color w:val="auto"/>
        </w:rPr>
        <w:instrText>":"[84]","</w:instrText>
      </w:r>
      <w:r w:rsidR="00765C06">
        <w:rPr>
          <w:rStyle w:val="fontstyle01"/>
          <w:color w:val="auto"/>
          <w:lang w:val="en-US"/>
        </w:rPr>
        <w:instrText>previouslyFormattedCitation</w:instrText>
      </w:r>
      <w:r w:rsidR="00765C06" w:rsidRPr="00015FE3">
        <w:rPr>
          <w:rStyle w:val="fontstyle01"/>
          <w:color w:val="auto"/>
        </w:rPr>
        <w:instrText>":"[84]"},"</w:instrText>
      </w:r>
      <w:r w:rsidR="00765C06">
        <w:rPr>
          <w:rStyle w:val="fontstyle01"/>
          <w:color w:val="auto"/>
          <w:lang w:val="en-US"/>
        </w:rPr>
        <w:instrText>properties</w:instrText>
      </w:r>
      <w:r w:rsidR="00765C06" w:rsidRPr="00015FE3">
        <w:rPr>
          <w:rStyle w:val="fontstyle01"/>
          <w:color w:val="auto"/>
        </w:rPr>
        <w:instrText>":{"</w:instrText>
      </w:r>
      <w:r w:rsidR="00765C06">
        <w:rPr>
          <w:rStyle w:val="fontstyle01"/>
          <w:color w:val="auto"/>
          <w:lang w:val="en-US"/>
        </w:rPr>
        <w:instrText>noteIndex</w:instrText>
      </w:r>
      <w:r w:rsidR="00765C06" w:rsidRPr="00015FE3">
        <w:rPr>
          <w:rStyle w:val="fontstyle01"/>
          <w:color w:val="auto"/>
        </w:rPr>
        <w:instrText>":0},"</w:instrText>
      </w:r>
      <w:r w:rsidR="00765C06">
        <w:rPr>
          <w:rStyle w:val="fontstyle01"/>
          <w:color w:val="auto"/>
          <w:lang w:val="en-US"/>
        </w:rPr>
        <w:instrText>schema</w:instrText>
      </w:r>
      <w:r w:rsidR="00765C06" w:rsidRPr="00015FE3">
        <w:rPr>
          <w:rStyle w:val="fontstyle01"/>
          <w:color w:val="auto"/>
        </w:rPr>
        <w:instrText>":"</w:instrText>
      </w:r>
      <w:r w:rsidR="00765C06">
        <w:rPr>
          <w:rStyle w:val="fontstyle01"/>
          <w:color w:val="auto"/>
          <w:lang w:val="en-US"/>
        </w:rPr>
        <w:instrText>https</w:instrText>
      </w:r>
      <w:r w:rsidR="00765C06" w:rsidRPr="00015FE3">
        <w:rPr>
          <w:rStyle w:val="fontstyle01"/>
          <w:color w:val="auto"/>
        </w:rPr>
        <w:instrText>://</w:instrText>
      </w:r>
      <w:r w:rsidR="00765C06">
        <w:rPr>
          <w:rStyle w:val="fontstyle01"/>
          <w:color w:val="auto"/>
          <w:lang w:val="en-US"/>
        </w:rPr>
        <w:instrText>github</w:instrText>
      </w:r>
      <w:r w:rsidR="00765C06" w:rsidRPr="00015FE3">
        <w:rPr>
          <w:rStyle w:val="fontstyle01"/>
          <w:color w:val="auto"/>
        </w:rPr>
        <w:instrText>.</w:instrText>
      </w:r>
      <w:r w:rsidR="00765C06">
        <w:rPr>
          <w:rStyle w:val="fontstyle01"/>
          <w:color w:val="auto"/>
          <w:lang w:val="en-US"/>
        </w:rPr>
        <w:instrText>com</w:instrText>
      </w:r>
      <w:r w:rsidR="00765C06" w:rsidRPr="00015FE3">
        <w:rPr>
          <w:rStyle w:val="fontstyle01"/>
          <w:color w:val="auto"/>
        </w:rPr>
        <w:instrText>/</w:instrText>
      </w:r>
      <w:r w:rsidR="00765C06">
        <w:rPr>
          <w:rStyle w:val="fontstyle01"/>
          <w:color w:val="auto"/>
          <w:lang w:val="en-US"/>
        </w:rPr>
        <w:instrText>citation</w:instrText>
      </w:r>
      <w:r w:rsidR="00765C06" w:rsidRPr="00015FE3">
        <w:rPr>
          <w:rStyle w:val="fontstyle01"/>
          <w:color w:val="auto"/>
        </w:rPr>
        <w:instrText>-</w:instrText>
      </w:r>
      <w:r w:rsidR="00765C06">
        <w:rPr>
          <w:rStyle w:val="fontstyle01"/>
          <w:color w:val="auto"/>
          <w:lang w:val="en-US"/>
        </w:rPr>
        <w:instrText>style</w:instrText>
      </w:r>
      <w:r w:rsidR="00765C06" w:rsidRPr="00015FE3">
        <w:rPr>
          <w:rStyle w:val="fontstyle01"/>
          <w:color w:val="auto"/>
        </w:rPr>
        <w:instrText>-</w:instrText>
      </w:r>
      <w:r w:rsidR="00765C06">
        <w:rPr>
          <w:rStyle w:val="fontstyle01"/>
          <w:color w:val="auto"/>
          <w:lang w:val="en-US"/>
        </w:rPr>
        <w:instrText>language</w:instrText>
      </w:r>
      <w:r w:rsidR="00765C06" w:rsidRPr="00015FE3">
        <w:rPr>
          <w:rStyle w:val="fontstyle01"/>
          <w:color w:val="auto"/>
        </w:rPr>
        <w:instrText>/</w:instrText>
      </w:r>
      <w:r w:rsidR="00765C06">
        <w:rPr>
          <w:rStyle w:val="fontstyle01"/>
          <w:color w:val="auto"/>
          <w:lang w:val="en-US"/>
        </w:rPr>
        <w:instrText>schema</w:instrText>
      </w:r>
      <w:r w:rsidR="00765C06" w:rsidRPr="00015FE3">
        <w:rPr>
          <w:rStyle w:val="fontstyle01"/>
          <w:color w:val="auto"/>
        </w:rPr>
        <w:instrText>/</w:instrText>
      </w:r>
      <w:r w:rsidR="00765C06">
        <w:rPr>
          <w:rStyle w:val="fontstyle01"/>
          <w:color w:val="auto"/>
          <w:lang w:val="en-US"/>
        </w:rPr>
        <w:instrText>raw</w:instrText>
      </w:r>
      <w:r w:rsidR="00765C06" w:rsidRPr="00015FE3">
        <w:rPr>
          <w:rStyle w:val="fontstyle01"/>
          <w:color w:val="auto"/>
        </w:rPr>
        <w:instrText>/</w:instrText>
      </w:r>
      <w:r w:rsidR="00765C06">
        <w:rPr>
          <w:rStyle w:val="fontstyle01"/>
          <w:color w:val="auto"/>
          <w:lang w:val="en-US"/>
        </w:rPr>
        <w:instrText>master</w:instrText>
      </w:r>
      <w:r w:rsidR="00765C06" w:rsidRPr="00015FE3">
        <w:rPr>
          <w:rStyle w:val="fontstyle01"/>
          <w:color w:val="auto"/>
        </w:rPr>
        <w:instrText>/</w:instrText>
      </w:r>
      <w:r w:rsidR="00765C06">
        <w:rPr>
          <w:rStyle w:val="fontstyle01"/>
          <w:color w:val="auto"/>
          <w:lang w:val="en-US"/>
        </w:rPr>
        <w:instrText>csl</w:instrText>
      </w:r>
      <w:r w:rsidR="00765C06" w:rsidRPr="00015FE3">
        <w:rPr>
          <w:rStyle w:val="fontstyle01"/>
          <w:color w:val="auto"/>
        </w:rPr>
        <w:instrText>-</w:instrText>
      </w:r>
      <w:r w:rsidR="00765C06">
        <w:rPr>
          <w:rStyle w:val="fontstyle01"/>
          <w:color w:val="auto"/>
          <w:lang w:val="en-US"/>
        </w:rPr>
        <w:instrText>citation</w:instrText>
      </w:r>
      <w:r w:rsidR="00765C06" w:rsidRPr="00015FE3">
        <w:rPr>
          <w:rStyle w:val="fontstyle01"/>
          <w:color w:val="auto"/>
        </w:rPr>
        <w:instrText>.</w:instrText>
      </w:r>
      <w:r w:rsidR="00765C06">
        <w:rPr>
          <w:rStyle w:val="fontstyle01"/>
          <w:color w:val="auto"/>
          <w:lang w:val="en-US"/>
        </w:rPr>
        <w:instrText>json</w:instrText>
      </w:r>
      <w:r w:rsidR="00765C06" w:rsidRPr="00015FE3">
        <w:rPr>
          <w:rStyle w:val="fontstyle01"/>
          <w:color w:val="auto"/>
        </w:rPr>
        <w:instrText>"}</w:instrText>
      </w:r>
      <w:r w:rsidR="00305721" w:rsidRPr="001B27F8">
        <w:rPr>
          <w:rStyle w:val="fontstyle01"/>
          <w:color w:val="auto"/>
        </w:rPr>
        <w:fldChar w:fldCharType="separate"/>
      </w:r>
      <w:r w:rsidR="00877069" w:rsidRPr="00877069">
        <w:rPr>
          <w:rStyle w:val="fontstyle01"/>
          <w:noProof/>
          <w:color w:val="auto"/>
        </w:rPr>
        <w:t>[84]</w:t>
      </w:r>
      <w:r w:rsidR="00305721" w:rsidRPr="001B27F8">
        <w:rPr>
          <w:rStyle w:val="fontstyle01"/>
          <w:color w:val="auto"/>
        </w:rPr>
        <w:fldChar w:fldCharType="end"/>
      </w:r>
      <w:r w:rsidR="00470CAB" w:rsidRPr="001B27F8">
        <w:rPr>
          <w:rStyle w:val="fontstyle01"/>
          <w:color w:val="auto"/>
        </w:rPr>
        <w:t>.</w:t>
      </w:r>
    </w:p>
    <w:p w14:paraId="4B985783" w14:textId="264060B4" w:rsidR="00A0201F" w:rsidRPr="001B27F8" w:rsidRDefault="00032C83" w:rsidP="001B27F8">
      <w:pPr>
        <w:pStyle w:val="a3"/>
        <w:tabs>
          <w:tab w:val="left" w:pos="851"/>
        </w:tabs>
        <w:spacing w:after="0" w:line="240" w:lineRule="auto"/>
        <w:ind w:left="0" w:firstLine="567"/>
        <w:jc w:val="both"/>
        <w:rPr>
          <w:rStyle w:val="fontstyle01"/>
          <w:color w:val="auto"/>
        </w:rPr>
      </w:pPr>
      <w:r w:rsidRPr="001B27F8">
        <w:rPr>
          <w:rStyle w:val="fontstyle21"/>
          <w:rFonts w:ascii="Times New Roman" w:hAnsi="Times New Roman" w:cs="Times New Roman"/>
          <w:color w:val="auto"/>
          <w:sz w:val="28"/>
          <w:szCs w:val="28"/>
        </w:rPr>
        <w:t xml:space="preserve">Следует отметить важную роль </w:t>
      </w:r>
      <w:r w:rsidRPr="001B27F8">
        <w:rPr>
          <w:rStyle w:val="fontstyle21"/>
          <w:rFonts w:ascii="Times New Roman" w:hAnsi="Times New Roman" w:cs="Times New Roman"/>
          <w:color w:val="auto"/>
          <w:sz w:val="28"/>
          <w:szCs w:val="28"/>
          <w:lang w:val="en-US"/>
        </w:rPr>
        <w:t>TGF</w:t>
      </w:r>
      <w:r w:rsidRPr="001B27F8">
        <w:rPr>
          <w:rStyle w:val="fontstyle21"/>
          <w:rFonts w:ascii="Times New Roman" w:hAnsi="Times New Roman" w:cs="Times New Roman"/>
          <w:color w:val="auto"/>
          <w:sz w:val="28"/>
          <w:szCs w:val="28"/>
        </w:rPr>
        <w:t>-β, синтезируемого Т</w:t>
      </w:r>
      <w:r w:rsidR="00CA1B49">
        <w:rPr>
          <w:rStyle w:val="fontstyle21"/>
          <w:rFonts w:ascii="Times New Roman" w:hAnsi="Times New Roman" w:cs="Times New Roman"/>
          <w:color w:val="auto"/>
          <w:sz w:val="28"/>
          <w:szCs w:val="28"/>
        </w:rPr>
        <w:t>-</w:t>
      </w:r>
      <w:r w:rsidRPr="001B27F8">
        <w:rPr>
          <w:rStyle w:val="fontstyle21"/>
          <w:rFonts w:ascii="Times New Roman" w:hAnsi="Times New Roman" w:cs="Times New Roman"/>
          <w:color w:val="auto"/>
          <w:sz w:val="28"/>
          <w:szCs w:val="28"/>
          <w:lang w:val="en-US"/>
        </w:rPr>
        <w:t>reg</w:t>
      </w:r>
      <w:r w:rsidRPr="001B27F8">
        <w:rPr>
          <w:rStyle w:val="fontstyle21"/>
          <w:rFonts w:ascii="Times New Roman" w:hAnsi="Times New Roman" w:cs="Times New Roman"/>
          <w:color w:val="auto"/>
          <w:sz w:val="28"/>
          <w:szCs w:val="28"/>
        </w:rPr>
        <w:t>, в формировании иммунологической толерантности в процессе проведения аллерген-специфической иммунотерапии</w:t>
      </w:r>
      <w:r w:rsidR="00BC0F51" w:rsidRPr="001B27F8">
        <w:rPr>
          <w:rStyle w:val="fontstyle21"/>
          <w:rFonts w:ascii="Times New Roman" w:hAnsi="Times New Roman" w:cs="Times New Roman"/>
          <w:color w:val="auto"/>
          <w:sz w:val="28"/>
          <w:szCs w:val="28"/>
        </w:rPr>
        <w:t xml:space="preserve"> </w:t>
      </w:r>
      <w:r w:rsidR="00BC0F51" w:rsidRPr="001B27F8">
        <w:rPr>
          <w:rStyle w:val="fontstyle21"/>
          <w:rFonts w:ascii="Times New Roman" w:hAnsi="Times New Roman" w:cs="Times New Roman"/>
          <w:color w:val="auto"/>
          <w:sz w:val="28"/>
          <w:szCs w:val="28"/>
        </w:rPr>
        <w:fldChar w:fldCharType="begin" w:fldLock="1"/>
      </w:r>
      <w:r w:rsidR="00765C06">
        <w:rPr>
          <w:rStyle w:val="fontstyle21"/>
          <w:rFonts w:ascii="Times New Roman" w:hAnsi="Times New Roman" w:cs="Times New Roman"/>
          <w:color w:val="auto"/>
          <w:sz w:val="28"/>
          <w:szCs w:val="28"/>
        </w:rPr>
        <w:instrText>ADDIN CSL_CITATION {"citationItems":[{"id":"ITEM-1","itemData":{"DOI":"10.1186/2045-7022-2-2","ISSN":"20457022","PMID":"22409879","abstract":"Allergen-specific immunotherapy (allergen-SIT) is a potentially curative treatment approach in allergic diseases. It has been used for almost 100 years as a desensitizing therapy. The induction of peripheral T cell tolerance and promotion of the formation of regulatory T-cells are key mechanisms in allergen-SIT. Both FOXP3+CD4+CD25+ regulatory T (Treg) cells and inducible IL-10- and TGF -β producing type 1 Treg (Tr1) cells may prevent the development of allergic diseases and play a role in successful allergen-SIT and healthy immune response via several mechanisms. The mechanisms of suppression of different pro-inflammatory cells, such as eosinophils, mast cells and basophils and the development of allergen tolerance also directly or indirectly involves Treg cells. Furthermore, the formation of non-inflammatory antibodies particularly IgG4 is induced by IL-10. Knowledge of these molecular basis is crucial in the understanding the regulation of immune responses and their possible therapeutic targets in allergic diseases. © 2012 Fujita et al; licensee BioMed Central Ltd.","author":[{"dropping-particle":"","family":"Fujita","given":"Hiroyuki","non-dropping-particle":"","parse-names":false,"suffix":""},{"dropping-particle":"","family":"Soyka","given":"Michael B.","non-dropping-particle":"","parse-names":false,"suffix":""},{"dropping-particle":"","family":"Akdis","given":"Mübeccel","non-dropping-particle":"","parse-names":false,"suffix":""},{"dropping-particle":"","family":"Akdis","given":"Cezmi A.","non-dropping-particle":"","parse-names":false,"suffix":""}],"container-title":"Clinical and Translational Allergy","id":"ITEM-1","issue":"1","issued":{"date-parts":[["2012"]]},"page":"2","publisher":"BioMed Central Ltd","title":"Mechanisms of allergen-specific immunotherapy","type":"article-journal","volume":"2"},"uris":["http://www.mendeley.com/documents/?uuid=0884e77c-9d0c-450d-be12-9759629bb7d9"]}],"mendeley":{"formattedCitation":"[85]","plainTextFormattedCitation":"[85]","previouslyFormattedCitation":"[85]"},"properties":{"noteIndex":0},"schema":"https://github.com/citation-style-language/schema/raw/master/csl-citation.json"}</w:instrText>
      </w:r>
      <w:r w:rsidR="00BC0F51" w:rsidRPr="001B27F8">
        <w:rPr>
          <w:rStyle w:val="fontstyle21"/>
          <w:rFonts w:ascii="Times New Roman" w:hAnsi="Times New Roman" w:cs="Times New Roman"/>
          <w:color w:val="auto"/>
          <w:sz w:val="28"/>
          <w:szCs w:val="28"/>
        </w:rPr>
        <w:fldChar w:fldCharType="separate"/>
      </w:r>
      <w:r w:rsidR="00877069" w:rsidRPr="00877069">
        <w:rPr>
          <w:rStyle w:val="fontstyle21"/>
          <w:rFonts w:ascii="Times New Roman" w:hAnsi="Times New Roman" w:cs="Times New Roman"/>
          <w:noProof/>
          <w:color w:val="auto"/>
          <w:sz w:val="28"/>
          <w:szCs w:val="28"/>
        </w:rPr>
        <w:t>[85]</w:t>
      </w:r>
      <w:r w:rsidR="00BC0F51" w:rsidRPr="001B27F8">
        <w:rPr>
          <w:rStyle w:val="fontstyle21"/>
          <w:rFonts w:ascii="Times New Roman" w:hAnsi="Times New Roman" w:cs="Times New Roman"/>
          <w:color w:val="auto"/>
          <w:sz w:val="28"/>
          <w:szCs w:val="28"/>
        </w:rPr>
        <w:fldChar w:fldCharType="end"/>
      </w:r>
      <w:r w:rsidR="00870B5B" w:rsidRPr="001B27F8">
        <w:rPr>
          <w:rStyle w:val="fontstyle21"/>
          <w:rFonts w:ascii="Times New Roman" w:hAnsi="Times New Roman" w:cs="Times New Roman"/>
          <w:color w:val="auto"/>
          <w:sz w:val="28"/>
          <w:szCs w:val="28"/>
        </w:rPr>
        <w:t xml:space="preserve">. </w:t>
      </w:r>
      <w:r w:rsidR="00870B5B" w:rsidRPr="001B27F8">
        <w:rPr>
          <w:rStyle w:val="fontstyle21"/>
          <w:rFonts w:ascii="Times New Roman" w:hAnsi="Times New Roman" w:cs="Times New Roman"/>
          <w:color w:val="auto"/>
          <w:sz w:val="28"/>
          <w:szCs w:val="28"/>
          <w:lang w:val="en-US"/>
        </w:rPr>
        <w:t>TGF</w:t>
      </w:r>
      <w:r w:rsidR="00870B5B" w:rsidRPr="001B27F8">
        <w:rPr>
          <w:rStyle w:val="fontstyle21"/>
          <w:rFonts w:ascii="Times New Roman" w:hAnsi="Times New Roman" w:cs="Times New Roman"/>
          <w:color w:val="auto"/>
          <w:sz w:val="28"/>
          <w:szCs w:val="28"/>
        </w:rPr>
        <w:t xml:space="preserve">-β продуцируется эозинофилами, </w:t>
      </w:r>
      <w:r w:rsidR="00870B5B" w:rsidRPr="001B27F8">
        <w:rPr>
          <w:rFonts w:ascii="Times New Roman" w:hAnsi="Times New Roman" w:cs="Times New Roman"/>
          <w:sz w:val="28"/>
          <w:szCs w:val="28"/>
        </w:rPr>
        <w:t>T</w:t>
      </w:r>
      <w:r w:rsidR="00CA1B49">
        <w:rPr>
          <w:rFonts w:ascii="Times New Roman" w:hAnsi="Times New Roman" w:cs="Times New Roman"/>
          <w:sz w:val="28"/>
          <w:szCs w:val="28"/>
        </w:rPr>
        <w:t>-</w:t>
      </w:r>
      <w:r w:rsidR="00870B5B" w:rsidRPr="001B27F8">
        <w:rPr>
          <w:rFonts w:ascii="Times New Roman" w:hAnsi="Times New Roman" w:cs="Times New Roman"/>
          <w:sz w:val="28"/>
          <w:szCs w:val="28"/>
        </w:rPr>
        <w:t>reg, B</w:t>
      </w:r>
      <w:r w:rsidR="00CA1B49">
        <w:rPr>
          <w:rFonts w:ascii="Times New Roman" w:hAnsi="Times New Roman" w:cs="Times New Roman"/>
          <w:sz w:val="28"/>
          <w:szCs w:val="28"/>
        </w:rPr>
        <w:t>-</w:t>
      </w:r>
      <w:r w:rsidR="00870B5B" w:rsidRPr="001B27F8">
        <w:rPr>
          <w:rFonts w:ascii="Times New Roman" w:hAnsi="Times New Roman" w:cs="Times New Roman"/>
          <w:sz w:val="28"/>
          <w:szCs w:val="28"/>
        </w:rPr>
        <w:t>reg</w:t>
      </w:r>
      <w:r w:rsidR="00870B5B" w:rsidRPr="001B27F8">
        <w:rPr>
          <w:rStyle w:val="fontstyle21"/>
          <w:rFonts w:ascii="Times New Roman" w:hAnsi="Times New Roman" w:cs="Times New Roman"/>
          <w:color w:val="auto"/>
          <w:sz w:val="28"/>
          <w:szCs w:val="28"/>
        </w:rPr>
        <w:t>, эпителиальными клетками, фибробластами и макрофагами</w:t>
      </w:r>
      <w:r w:rsidR="00361DCD" w:rsidRPr="001B27F8">
        <w:rPr>
          <w:rStyle w:val="fontstyle21"/>
          <w:rFonts w:ascii="Times New Roman" w:hAnsi="Times New Roman" w:cs="Times New Roman"/>
          <w:color w:val="auto"/>
          <w:sz w:val="28"/>
          <w:szCs w:val="28"/>
        </w:rPr>
        <w:t xml:space="preserve"> </w:t>
      </w:r>
      <w:r w:rsidR="00361DCD" w:rsidRPr="001B27F8">
        <w:rPr>
          <w:rStyle w:val="fontstyle21"/>
          <w:rFonts w:ascii="Times New Roman" w:hAnsi="Times New Roman" w:cs="Times New Roman"/>
          <w:color w:val="auto"/>
          <w:sz w:val="28"/>
          <w:szCs w:val="28"/>
        </w:rPr>
        <w:fldChar w:fldCharType="begin" w:fldLock="1"/>
      </w:r>
      <w:r w:rsidR="00765C06">
        <w:rPr>
          <w:rStyle w:val="fontstyle21"/>
          <w:rFonts w:ascii="Times New Roman" w:hAnsi="Times New Roman" w:cs="Times New Roman"/>
          <w:color w:val="auto"/>
          <w:sz w:val="28"/>
          <w:szCs w:val="28"/>
        </w:rPr>
        <w:instrText>ADDIN CSL_CITATION {"citationItems":[{"id":"ITEM-1","itemData":{"DOI":"10.1016/j.jaci.2016.06.033","ISSN":"10976825","PMID":"27577879","abstract":"There have been extensive developments on cellular and molecular mechanisms of immune regulation in allergy, asthma, autoimmune diseases, tumor development, organ transplantation, and chronic infections during the last few years. Better understanding the functions, reciprocal regulation, and counterbalance of subsets of immune and inflammatory cells that interact through interleukins, interferons, TNF-α, and TGF-β offer opportunities for immune interventions and novel treatment modalities in the era of development of biological immune response modifiers particularly targeting these molecules or their receptors. More than 60 cytokines have been designated as interleukins since the initial discoveries of monocyte and lymphocyte interleukins (called IL-1 and IL-2, respectively). Studies of transgenic or gene-deficient mice with altered expression of these cytokines or their receptors and analyses of mutations and polymorphisms in human genes that encode these products have provided essential information about their functions. Here we review recent developments on IL-1 to IL-38, TNF-α, TGF-β, and interferons. We highlight recent advances during the last few years in this area and extensively discuss their cellular sources, targets, receptors, signaling pathways, and roles in immune regulation in patients with allergy and asthma and other inflammatory diseases.","author":[{"dropping-particle":"","family":"Akdis","given":"Mübeccel","non-dropping-particle":"","parse-names":false,"suffix":""},{"dropping-particle":"","family":"Aab","given":"Alar","non-dropping-particle":"","parse-names":false,"suffix":""},{"dropping-particle":"","family":"Altunbulakli","given":"Can","non-dropping-particle":"","parse-names":false,"suffix":""},{"dropping-particle":"","family":"Azkur","given":"Kursat","non-dropping-particle":"","parse-names":false,"suffix":""},{"dropping-particle":"","family":"Costa","given":"Rita A.","non-dropping-particle":"","parse-names":false,"suffix":""},{"dropping-particle":"","family":"Crameri","given":"Reto","non-dropping-particle":"","parse-names":false,"suffix":""},{"dropping-particle":"","family":"Duan","given":"Su","non-dropping-particle":"","parse-names":false,"suffix":""},{"dropping-particle":"","family":"Eiwegger","given":"Thomas","non-dropping-particle":"","parse-names":false,"suffix":""},{"dropping-particle":"","family":"Eljaszewicz","given":"Andrzej","non-dropping-particle":"","parse-names":false,"suffix":""},{"dropping-particle":"","family":"Ferstl","given":"Ruth","non-dropping-particle":"","parse-names":false,"suffix":""},{"dropping-particle":"","family":"Frei","given":"Remo","non-dropping-particle":"","parse-names":false,"suffix":""},{"dropping-particle":"","family":"Garbani","given":"Mattia","non-dropping-particle":"","parse-names":false,"suffix":""},{"dropping-particle":"","family":"Globinska","given":"Anna","non-dropping-particle":"","parse-names":false,"suffix":""},{"dropping-particle":"","family":"Hess","given":"Lena","non-dropping-particle":"","parse-names":false,"suffix":""},{"dropping-particle":"","family":"Huitema","given":"Carly","non-dropping-particle":"","parse-names":false,"suffix":""},{"dropping-particle":"","family":"Kubo","given":"Terufumi","non-dropping-particle":"","parse-names":false,"suffix":""},{"dropping-particle":"","family":"Komlosi","given":"Zsolt","non-dropping-particle":"","parse-names":false,"suffix":""},{"dropping-particle":"","family":"Konieczna","given":"Patricia","non-dropping-particle":"","parse-names":false,"suffix":""},{"dropping-particle":"","family":"Kovacs","given":"Nora","non-dropping-particle":"","parse-names":false,"suffix":""},{"dropping-particle":"","family":"Kucuksezer","given":"Umut C.","non-dropping-particle":"","parse-names":false,"suffix":""},{"dropping-particle":"","family":"Meyer","given":"Norbert","non-dropping-particle":"","parse-names":false,"suffix":""},{"dropping-particle":"","family":"Morita","given":"Hideaki","non-dropping-particle":"","parse-names":false,"suffix":""},{"dropping-particle":"","family":"Olzhausen","given":"Judith","non-dropping-particle":"","parse-names":false,"suffix":""},{"dropping-particle":"","family":"O'Mahony","given":"Liam","non-dropping-particle":"","parse-names":false,"suffix":""},{"dropping-particle":"","family":"Pezer","given":"Marija","non-dropping-particle":"","parse-names":false,"suffix":""},{"dropping-particle":"","family":"Prati","given":"Moira","non-dropping-particle":"","parse-names":false,"suffix":""},{"dropping-particle":"","family":"Rebane","given":"Ana","non-dropping-particle":"","parse-names":false,"suffix":""},{"dropping-particle":"","family":"Rhyner","given":"Claudio","non-dropping-particle":"","parse-names":false,"suffix":""},{"dropping-particle":"","family":"Rinaldi","given":"Arturo","non-dropping-particle":"","parse-names":false,"suffix":""},{"dropping-particle":"","family":"Sokolowska","given":"Milena","non-dropping-particle":"","parse-names":false,"suffix":""},{"dropping-particle":"","family":"Stanic","given":"Barbara","non-dropping-particle":"","parse-names":false,"suffix":""},{"dropping-particle":"","family":"Sugita","given":"Kazunari","non-dropping-particle":"","parse-names":false,"suffix":""},{"dropping-particle":"","family":"Treis","given":"Angela","non-dropping-particle":"","parse-names":false,"suffix":""},{"dropping-particle":"","family":"Veen","given":"Willem","non-dropping-particle":"van de","parse-names":false,"suffix":""},{"dropping-particle":"","family":"Wanke","given":"Kerstin","non-dropping-particle":"","parse-names":false,"suffix":""},{"dropping-particle":"","family":"Wawrzyniak","given":"Marcin","non-dropping-particle":"","parse-names":false,"suffix":""},{"dropping-particle":"","family":"Wawrzyniak","given":"Paulina","non-dropping-particle":"","parse-names":false,"suffix":""},{"dropping-particle":"","family":"Wirz","given":"Oliver F.","non-dropping-particle":"","parse-names":false,"suffix":""},{"dropping-particle":"","family":"Zakzuk","given":"Josefina Sierra","non-dropping-particle":"","parse-names":false,"suffix":""},{"dropping-particle":"","family":"Akdis","given":"Cezmi A.","non-dropping-particle":"","parse-names":false,"suffix":""}],"container-title":"Journal of Allergy and Clinical Immunology","id":"ITEM-1","issue":"4","issued":{"date-parts":[["2016"]]},"page":"984-1010","publisher":"Elsevier Inc.","title":"Interleukins (from IL-1 to IL-38), interferons, transforming growth factor β, and TNF-α: Receptors, functions, and roles in diseases","type":"article-journal","volume":"138"},"uris":["http://www.mendeley.com/documents/?uuid=29779197-bb5e-47a4-be74-28e82d40d886"]}],"mendeley":{"formattedCitation":"[83]","plainTextFormattedCitation":"[83]","previouslyFormattedCitation":"[83]"},"properties":{"noteIndex":0},"schema":"https://github.com/citation-style-language/schema/raw/master/csl-citation.json"}</w:instrText>
      </w:r>
      <w:r w:rsidR="00361DCD" w:rsidRPr="001B27F8">
        <w:rPr>
          <w:rStyle w:val="fontstyle21"/>
          <w:rFonts w:ascii="Times New Roman" w:hAnsi="Times New Roman" w:cs="Times New Roman"/>
          <w:color w:val="auto"/>
          <w:sz w:val="28"/>
          <w:szCs w:val="28"/>
        </w:rPr>
        <w:fldChar w:fldCharType="separate"/>
      </w:r>
      <w:r w:rsidR="00877069" w:rsidRPr="00877069">
        <w:rPr>
          <w:rStyle w:val="fontstyle21"/>
          <w:rFonts w:ascii="Times New Roman" w:hAnsi="Times New Roman" w:cs="Times New Roman"/>
          <w:noProof/>
          <w:color w:val="auto"/>
          <w:sz w:val="28"/>
          <w:szCs w:val="28"/>
        </w:rPr>
        <w:t>[83]</w:t>
      </w:r>
      <w:r w:rsidR="00361DCD" w:rsidRPr="001B27F8">
        <w:rPr>
          <w:rStyle w:val="fontstyle21"/>
          <w:rFonts w:ascii="Times New Roman" w:hAnsi="Times New Roman" w:cs="Times New Roman"/>
          <w:color w:val="auto"/>
          <w:sz w:val="28"/>
          <w:szCs w:val="28"/>
        </w:rPr>
        <w:fldChar w:fldCharType="end"/>
      </w:r>
      <w:r w:rsidR="00870B5B" w:rsidRPr="001B27F8">
        <w:rPr>
          <w:rStyle w:val="fontstyle21"/>
          <w:rFonts w:ascii="Times New Roman" w:hAnsi="Times New Roman" w:cs="Times New Roman"/>
          <w:color w:val="auto"/>
          <w:sz w:val="28"/>
          <w:szCs w:val="28"/>
        </w:rPr>
        <w:t>.</w:t>
      </w:r>
      <w:r w:rsidR="00361DCD" w:rsidRPr="001B27F8">
        <w:rPr>
          <w:rStyle w:val="fontstyle21"/>
          <w:rFonts w:ascii="Times New Roman" w:hAnsi="Times New Roman" w:cs="Times New Roman"/>
          <w:color w:val="auto"/>
          <w:sz w:val="28"/>
          <w:szCs w:val="28"/>
        </w:rPr>
        <w:t xml:space="preserve"> </w:t>
      </w:r>
      <w:r w:rsidR="00361DCD" w:rsidRPr="001B27F8">
        <w:rPr>
          <w:rStyle w:val="fontstyle01"/>
          <w:color w:val="auto"/>
        </w:rPr>
        <w:t>Основным источ</w:t>
      </w:r>
      <w:r w:rsidR="00252ED0">
        <w:rPr>
          <w:rStyle w:val="fontstyle01"/>
          <w:color w:val="auto"/>
        </w:rPr>
        <w:t>ником TGF-β являются T</w:t>
      </w:r>
      <w:r w:rsidR="00CA1B49">
        <w:rPr>
          <w:rStyle w:val="fontstyle01"/>
          <w:color w:val="auto"/>
        </w:rPr>
        <w:t>-</w:t>
      </w:r>
      <w:r w:rsidR="00252ED0">
        <w:rPr>
          <w:rStyle w:val="fontstyle01"/>
          <w:color w:val="auto"/>
        </w:rPr>
        <w:t>reg</w:t>
      </w:r>
      <w:r w:rsidR="00361DCD" w:rsidRPr="001B27F8">
        <w:rPr>
          <w:rStyle w:val="fontstyle01"/>
          <w:color w:val="auto"/>
        </w:rPr>
        <w:t xml:space="preserve"> </w:t>
      </w:r>
      <w:r w:rsidR="00361DCD" w:rsidRPr="001B27F8">
        <w:rPr>
          <w:rStyle w:val="fontstyle01"/>
          <w:color w:val="auto"/>
        </w:rPr>
        <w:fldChar w:fldCharType="begin" w:fldLock="1"/>
      </w:r>
      <w:r w:rsidR="00765C06">
        <w:rPr>
          <w:rStyle w:val="fontstyle01"/>
          <w:color w:val="auto"/>
        </w:rPr>
        <w:instrText>ADDIN CSL_CITATION {"citationItems":[{"id":"ITEM-1","itemData":{"DOI":"10.18821/0206-4952-2016-37-1-51","ISBN":"0206495220163","author":[{"dropping-particle":"","family":"Солдатов","given":"А.А.","non-dropping-particle":"","parse-names":false,"suffix":""},{"dropping-particle":"","family":"Авдеева","given":"Ж.И.","non-dropping-particle":"","parse-names":false,"suffix":""},{"dropping-particle":"","family":"Медуницын","given":"Н.В.","non-dropping-particle":"","parse-names":false,"suffix":""}],"container-title":"Иммунология","id":"ITEM-1","issue":"1","issued":{"date-parts":[["2016"]]},"page":"51-60","title":"Механизмы аллергической реакции немедленного типа, препараты и методы специфической иммунотерапии","type":"article-journal","volume":"37"},"uris":["http://www.mendeley.com/documents/?uuid=bc62709d-7579-4d4f-9250-17445dbe9361"]}],"mendeley":{"formattedCitation":"[84]","plainTextFormattedCitation":"[84]","previouslyFormattedCitation":"[84]"},"properties":{"noteIndex":0},"schema":"https://github.com/citation-style-language/schema/raw/master/csl-citation.json"}</w:instrText>
      </w:r>
      <w:r w:rsidR="00361DCD" w:rsidRPr="001B27F8">
        <w:rPr>
          <w:rStyle w:val="fontstyle01"/>
          <w:color w:val="auto"/>
        </w:rPr>
        <w:fldChar w:fldCharType="separate"/>
      </w:r>
      <w:r w:rsidR="00877069" w:rsidRPr="00877069">
        <w:rPr>
          <w:rStyle w:val="fontstyle01"/>
          <w:noProof/>
          <w:color w:val="auto"/>
        </w:rPr>
        <w:t>[84]</w:t>
      </w:r>
      <w:r w:rsidR="00361DCD" w:rsidRPr="001B27F8">
        <w:rPr>
          <w:rStyle w:val="fontstyle01"/>
          <w:color w:val="auto"/>
        </w:rPr>
        <w:fldChar w:fldCharType="end"/>
      </w:r>
      <w:r w:rsidR="00361DCD" w:rsidRPr="001B27F8">
        <w:rPr>
          <w:rStyle w:val="fontstyle01"/>
          <w:color w:val="auto"/>
        </w:rPr>
        <w:t>.</w:t>
      </w:r>
      <w:r w:rsidR="00870B5B" w:rsidRPr="001B27F8">
        <w:rPr>
          <w:rStyle w:val="fontstyle21"/>
          <w:rFonts w:ascii="Times New Roman" w:hAnsi="Times New Roman" w:cs="Times New Roman"/>
          <w:color w:val="auto"/>
          <w:sz w:val="28"/>
          <w:szCs w:val="28"/>
        </w:rPr>
        <w:t xml:space="preserve"> </w:t>
      </w:r>
      <w:r w:rsidRPr="001B27F8">
        <w:rPr>
          <w:rStyle w:val="fontstyle21"/>
          <w:rFonts w:ascii="Times New Roman" w:hAnsi="Times New Roman" w:cs="Times New Roman"/>
          <w:color w:val="auto"/>
          <w:sz w:val="28"/>
          <w:szCs w:val="28"/>
        </w:rPr>
        <w:t>Основной эффект TGF-β опосредуется через ингибирование В-клеточной пролиферации и дифференцировки, способствуя секреции IgA</w:t>
      </w:r>
      <w:r w:rsidR="00361DCD" w:rsidRPr="001B27F8">
        <w:rPr>
          <w:rStyle w:val="fontstyle21"/>
          <w:rFonts w:ascii="Times New Roman" w:hAnsi="Times New Roman" w:cs="Times New Roman"/>
          <w:color w:val="auto"/>
          <w:sz w:val="28"/>
          <w:szCs w:val="28"/>
        </w:rPr>
        <w:t xml:space="preserve"> и </w:t>
      </w:r>
      <w:r w:rsidR="00361DCD" w:rsidRPr="001B27F8">
        <w:rPr>
          <w:rStyle w:val="fontstyle01"/>
          <w:color w:val="auto"/>
          <w:lang w:val="en-US"/>
        </w:rPr>
        <w:t>IgG</w:t>
      </w:r>
      <w:r w:rsidR="00361DCD" w:rsidRPr="001B27F8">
        <w:rPr>
          <w:rStyle w:val="fontstyle01"/>
          <w:color w:val="auto"/>
        </w:rPr>
        <w:t>4,</w:t>
      </w:r>
      <w:r w:rsidRPr="001B27F8">
        <w:rPr>
          <w:rStyle w:val="fontstyle21"/>
          <w:rFonts w:ascii="Times New Roman" w:hAnsi="Times New Roman" w:cs="Times New Roman"/>
          <w:color w:val="auto"/>
          <w:sz w:val="28"/>
          <w:szCs w:val="28"/>
        </w:rPr>
        <w:t xml:space="preserve"> подавляя активнос</w:t>
      </w:r>
      <w:r w:rsidR="00866E73">
        <w:rPr>
          <w:rStyle w:val="fontstyle21"/>
          <w:rFonts w:ascii="Times New Roman" w:hAnsi="Times New Roman" w:cs="Times New Roman"/>
          <w:color w:val="auto"/>
          <w:sz w:val="28"/>
          <w:szCs w:val="28"/>
        </w:rPr>
        <w:t>ть Th2</w:t>
      </w:r>
      <w:r w:rsidR="00ED1C78" w:rsidRPr="001B27F8">
        <w:rPr>
          <w:rStyle w:val="fontstyle21"/>
          <w:rFonts w:ascii="Times New Roman" w:hAnsi="Times New Roman" w:cs="Times New Roman"/>
          <w:color w:val="auto"/>
          <w:sz w:val="28"/>
          <w:szCs w:val="28"/>
        </w:rPr>
        <w:t xml:space="preserve"> </w:t>
      </w:r>
      <w:r w:rsidR="00ED1C78" w:rsidRPr="001B27F8">
        <w:rPr>
          <w:rStyle w:val="fontstyle21"/>
          <w:rFonts w:ascii="Times New Roman" w:hAnsi="Times New Roman" w:cs="Times New Roman"/>
          <w:color w:val="auto"/>
          <w:sz w:val="28"/>
          <w:szCs w:val="28"/>
        </w:rPr>
        <w:fldChar w:fldCharType="begin" w:fldLock="1"/>
      </w:r>
      <w:r w:rsidR="00765C06">
        <w:rPr>
          <w:rStyle w:val="fontstyle21"/>
          <w:rFonts w:ascii="Times New Roman" w:hAnsi="Times New Roman" w:cs="Times New Roman"/>
          <w:color w:val="auto"/>
          <w:sz w:val="28"/>
          <w:szCs w:val="28"/>
        </w:rPr>
        <w:instrText>ADDIN CSL_CITATION {"citationItems":[{"id":"ITEM-1","itemData":{"ISBN":"1738420620","author":[{"dropping-particle":"","family":"Аллахвердиева","given":"Л.И.","non-dropping-particle":"","parse-names":false,"suffix":""},{"dropping-particle":"","family":"Алекперова","given":"Н.А.","non-dropping-particle":"","parse-names":false,"suffix":""}],"container-title":"Иммунология","id":"ITEM-1","issue":"4","issued":{"date-parts":[["2017"]]},"page":"206-209","title":"Клиническая эффективность и лабораторный мониторинг сублингвальной аллерген-специфической иммунотерапии при респираторной аллергии у детей","type":"article-journal","volume":"38"},"uris":["http://www.mendeley.com/documents/?uuid=9d71ec8c-2bf8-4f26-aba1-d3377da28eb9"]}],"mendeley":{"formattedCitation":"[86]","plainTextFormattedCitation":"[86]","previouslyFormattedCitation":"[86]"},"properties":{"noteIndex":0},"schema":"https://github.com/citation-style-language/schema/raw/master/csl-citation.json"}</w:instrText>
      </w:r>
      <w:r w:rsidR="00ED1C78" w:rsidRPr="001B27F8">
        <w:rPr>
          <w:rStyle w:val="fontstyle21"/>
          <w:rFonts w:ascii="Times New Roman" w:hAnsi="Times New Roman" w:cs="Times New Roman"/>
          <w:color w:val="auto"/>
          <w:sz w:val="28"/>
          <w:szCs w:val="28"/>
        </w:rPr>
        <w:fldChar w:fldCharType="separate"/>
      </w:r>
      <w:r w:rsidR="00877069" w:rsidRPr="00877069">
        <w:rPr>
          <w:rStyle w:val="fontstyle21"/>
          <w:rFonts w:ascii="Times New Roman" w:hAnsi="Times New Roman" w:cs="Times New Roman"/>
          <w:noProof/>
          <w:color w:val="auto"/>
          <w:sz w:val="28"/>
          <w:szCs w:val="28"/>
        </w:rPr>
        <w:t>[86]</w:t>
      </w:r>
      <w:r w:rsidR="00ED1C78" w:rsidRPr="001B27F8">
        <w:rPr>
          <w:rStyle w:val="fontstyle21"/>
          <w:rFonts w:ascii="Times New Roman" w:hAnsi="Times New Roman" w:cs="Times New Roman"/>
          <w:color w:val="auto"/>
          <w:sz w:val="28"/>
          <w:szCs w:val="28"/>
        </w:rPr>
        <w:fldChar w:fldCharType="end"/>
      </w:r>
      <w:r w:rsidRPr="001B27F8">
        <w:rPr>
          <w:rStyle w:val="fontstyle21"/>
          <w:rFonts w:ascii="Times New Roman" w:hAnsi="Times New Roman" w:cs="Times New Roman"/>
          <w:color w:val="auto"/>
          <w:sz w:val="28"/>
          <w:szCs w:val="28"/>
        </w:rPr>
        <w:t xml:space="preserve">. </w:t>
      </w:r>
      <w:r w:rsidR="00455235">
        <w:rPr>
          <w:rStyle w:val="fontstyle21"/>
          <w:rFonts w:ascii="Times New Roman" w:hAnsi="Times New Roman" w:cs="Times New Roman"/>
          <w:color w:val="auto"/>
          <w:sz w:val="28"/>
          <w:szCs w:val="28"/>
        </w:rPr>
        <w:t>ИЛ</w:t>
      </w:r>
      <w:r w:rsidRPr="001B27F8">
        <w:rPr>
          <w:rStyle w:val="fontstyle21"/>
          <w:rFonts w:ascii="Times New Roman" w:hAnsi="Times New Roman" w:cs="Times New Roman"/>
          <w:color w:val="auto"/>
          <w:sz w:val="28"/>
          <w:szCs w:val="28"/>
        </w:rPr>
        <w:t>-10 и TGF-β также ингибируют рекрутирование эффекторных клеток (эозинофилов, базофилов), тем самым ограничивая местную воспалительную реакцию</w:t>
      </w:r>
      <w:r w:rsidR="00E4215C" w:rsidRPr="00E4215C">
        <w:rPr>
          <w:rStyle w:val="fontstyle21"/>
          <w:rFonts w:ascii="Times New Roman" w:hAnsi="Times New Roman" w:cs="Times New Roman"/>
          <w:color w:val="auto"/>
          <w:sz w:val="28"/>
          <w:szCs w:val="28"/>
        </w:rPr>
        <w:t xml:space="preserve"> </w:t>
      </w:r>
      <w:r w:rsidR="00E4215C">
        <w:rPr>
          <w:rStyle w:val="fontstyle21"/>
          <w:rFonts w:ascii="Times New Roman" w:hAnsi="Times New Roman" w:cs="Times New Roman"/>
          <w:color w:val="auto"/>
          <w:sz w:val="28"/>
          <w:szCs w:val="28"/>
        </w:rPr>
        <w:fldChar w:fldCharType="begin" w:fldLock="1"/>
      </w:r>
      <w:r w:rsidR="00765C06">
        <w:rPr>
          <w:rStyle w:val="fontstyle21"/>
          <w:rFonts w:ascii="Times New Roman" w:hAnsi="Times New Roman" w:cs="Times New Roman"/>
          <w:color w:val="auto"/>
          <w:sz w:val="28"/>
          <w:szCs w:val="28"/>
        </w:rPr>
        <w:instrText>ADDIN CSL_CITATION {"citationItems":[{"id":"ITEM-1","itemData":{"DOI":"10.1016/j.anorl.2017.06.005","ISSN":"18797296","PMID":"28684084","abstract":"Allergic rhinitis is a common condition, with significant impact on quality of life depending on severity and quality of control. Allergen-specific immunotherapy (allergen-SIT) is the only known treatment able to alter the natural course of allergic rhinitis. Although well known to allergologists, it has yet to be fully adopted by the ENT community. This review, based on the most recent meta-analyses and clinical studies, shows that SIT significantly reduces symptoms and medication requirements (nasal corticosteroids, H1-antihistamines) in allergic rhinitis. It can reduce the risk of progression to asthma and, if initiated early enough, of developing new sensitizations. Immunobiological analysis shows an altered inflammatory profile following SIT, with immune tolerance involving T-regulatory lymphocyte induction and IgG production. Sublingual SIT with drops is as effective as subcutaneous SIT and is simpler to use, with less anaphylactic risk. Standardization of trial protocols in terms of treatment response assessment and side effect grading is recommended to improve comparative studies. Sublingual SIT with tablets has recently been introduced, providing a good opportunity for ENT practitioners to adopt the SIT approach in rhinitis triggered by allergy to pollens and, in the near future, to house dust mites.","author":[{"dropping-particle":"","family":"Mortuaire","given":"G.","non-dropping-particle":"","parse-names":false,"suffix":""},{"dropping-particle":"","family":"Michel","given":"J.","non-dropping-particle":"","parse-names":false,"suffix":""},{"dropping-particle":"","family":"Papon","given":"J. F.","non-dropping-particle":"","parse-names":false,"suffix":""},{"dropping-particle":"","family":"Malard","given":"O.","non-dropping-particle":"","parse-names":false,"suffix":""},{"dropping-particle":"","family":"Ebbo","given":"D.","non-dropping-particle":"","parse-names":false,"suffix":""},{"dropping-particle":"","family":"Crampette","given":"L.","non-dropping-particle":"","parse-names":false,"suffix":""},{"dropping-particle":"","family":"Jankowski","given":"R.","non-dropping-particle":"","parse-names":false,"suffix":""},{"dropping-particle":"","family":"Coste","given":"A.","non-dropping-particle":"","parse-names":false,"suffix":""},{"dropping-particle":"","family":"Serrano","given":"E.","non-dropping-particle":"","parse-names":false,"suffix":""}],"container-title":"European Annals of Otorhinolaryngology, Head and Neck Diseases","id":"ITEM-1","issue":"4","issued":{"date-parts":[["2017"]]},"page":"253-258","publisher":"Elsevier Masson SAS","title":"Specific immunotherapy in allergic rhinitis","type":"article-journal","volume":"134"},"uris":["http://www.mendeley.com/documents/?uuid=106d9be0-8457-4698-9b63-85c63fd72c4a"]}],"mendeley":{"formattedCitation":"[62]","plainTextFormattedCitation":"[62]","previouslyFormattedCitation":"[62]"},"properties":{"noteIndex":0},"schema":"https://github.com/citation-style-language/schema/raw/master/csl-citation.json"}</w:instrText>
      </w:r>
      <w:r w:rsidR="00E4215C">
        <w:rPr>
          <w:rStyle w:val="fontstyle21"/>
          <w:rFonts w:ascii="Times New Roman" w:hAnsi="Times New Roman" w:cs="Times New Roman"/>
          <w:color w:val="auto"/>
          <w:sz w:val="28"/>
          <w:szCs w:val="28"/>
        </w:rPr>
        <w:fldChar w:fldCharType="separate"/>
      </w:r>
      <w:r w:rsidR="00877069" w:rsidRPr="00877069">
        <w:rPr>
          <w:rStyle w:val="fontstyle21"/>
          <w:rFonts w:ascii="Times New Roman" w:hAnsi="Times New Roman" w:cs="Times New Roman"/>
          <w:noProof/>
          <w:color w:val="auto"/>
          <w:sz w:val="28"/>
          <w:szCs w:val="28"/>
        </w:rPr>
        <w:t>[62]</w:t>
      </w:r>
      <w:r w:rsidR="00E4215C">
        <w:rPr>
          <w:rStyle w:val="fontstyle21"/>
          <w:rFonts w:ascii="Times New Roman" w:hAnsi="Times New Roman" w:cs="Times New Roman"/>
          <w:color w:val="auto"/>
          <w:sz w:val="28"/>
          <w:szCs w:val="28"/>
        </w:rPr>
        <w:fldChar w:fldCharType="end"/>
      </w:r>
      <w:r w:rsidRPr="001B27F8">
        <w:rPr>
          <w:rStyle w:val="fontstyle21"/>
          <w:rFonts w:ascii="Times New Roman" w:hAnsi="Times New Roman" w:cs="Times New Roman"/>
          <w:color w:val="auto"/>
          <w:sz w:val="28"/>
          <w:szCs w:val="28"/>
        </w:rPr>
        <w:t>.</w:t>
      </w:r>
      <w:r w:rsidR="00D02028" w:rsidRPr="001B27F8">
        <w:rPr>
          <w:rStyle w:val="fontstyle01"/>
          <w:color w:val="auto"/>
        </w:rPr>
        <w:t xml:space="preserve"> Одним из ключевых свойств толерогенной активности</w:t>
      </w:r>
      <w:r w:rsidR="003D78AC" w:rsidRPr="001B27F8">
        <w:rPr>
          <w:rStyle w:val="fontstyle01"/>
          <w:color w:val="auto"/>
        </w:rPr>
        <w:t xml:space="preserve"> </w:t>
      </w:r>
      <w:r w:rsidR="00D02028" w:rsidRPr="001B27F8">
        <w:rPr>
          <w:rStyle w:val="fontstyle01"/>
          <w:color w:val="auto"/>
        </w:rPr>
        <w:t>ИЛ-10 и TGF</w:t>
      </w:r>
      <w:r w:rsidR="00CA1B49">
        <w:rPr>
          <w:rStyle w:val="fontstyle01"/>
          <w:color w:val="auto"/>
        </w:rPr>
        <w:t>-</w:t>
      </w:r>
      <w:r w:rsidR="00D02028" w:rsidRPr="001B27F8">
        <w:rPr>
          <w:rStyle w:val="fontstyle01"/>
          <w:color w:val="auto"/>
        </w:rPr>
        <w:t>β является их способность подавлять экспрессию</w:t>
      </w:r>
      <w:r w:rsidR="00D75851">
        <w:rPr>
          <w:rStyle w:val="fontstyle01"/>
          <w:color w:val="auto"/>
        </w:rPr>
        <w:t xml:space="preserve"> молекул главного</w:t>
      </w:r>
      <w:r w:rsidR="00D75851" w:rsidRPr="00D75851">
        <w:rPr>
          <w:rStyle w:val="fontstyle01"/>
          <w:color w:val="auto"/>
        </w:rPr>
        <w:t xml:space="preserve"> комплекс</w:t>
      </w:r>
      <w:r w:rsidR="00D75851">
        <w:rPr>
          <w:rStyle w:val="fontstyle01"/>
          <w:color w:val="auto"/>
        </w:rPr>
        <w:t>а</w:t>
      </w:r>
      <w:r w:rsidR="00D75851" w:rsidRPr="00D75851">
        <w:rPr>
          <w:rStyle w:val="fontstyle01"/>
          <w:color w:val="auto"/>
        </w:rPr>
        <w:t xml:space="preserve"> гистосовместимости</w:t>
      </w:r>
      <w:r w:rsidR="003D78AC" w:rsidRPr="001B27F8">
        <w:rPr>
          <w:rStyle w:val="fontstyle01"/>
          <w:color w:val="auto"/>
        </w:rPr>
        <w:t xml:space="preserve"> </w:t>
      </w:r>
      <w:r w:rsidR="00D75851">
        <w:rPr>
          <w:rStyle w:val="fontstyle01"/>
          <w:color w:val="auto"/>
        </w:rPr>
        <w:t>(</w:t>
      </w:r>
      <w:r w:rsidR="00D02028" w:rsidRPr="001B27F8">
        <w:rPr>
          <w:rStyle w:val="fontstyle01"/>
          <w:color w:val="auto"/>
        </w:rPr>
        <w:t>МНС</w:t>
      </w:r>
      <w:r w:rsidR="00D75851">
        <w:rPr>
          <w:rStyle w:val="fontstyle01"/>
          <w:color w:val="auto"/>
        </w:rPr>
        <w:t>)</w:t>
      </w:r>
      <w:r w:rsidR="00D02028" w:rsidRPr="001B27F8">
        <w:rPr>
          <w:rStyle w:val="fontstyle01"/>
          <w:color w:val="auto"/>
        </w:rPr>
        <w:t xml:space="preserve"> II</w:t>
      </w:r>
      <w:r w:rsidR="00D75851">
        <w:rPr>
          <w:rStyle w:val="fontstyle01"/>
          <w:color w:val="auto"/>
        </w:rPr>
        <w:t xml:space="preserve"> </w:t>
      </w:r>
      <w:r w:rsidR="00086167">
        <w:rPr>
          <w:rStyle w:val="fontstyle01"/>
          <w:color w:val="auto"/>
        </w:rPr>
        <w:t>класса</w:t>
      </w:r>
      <w:r w:rsidR="00D02028" w:rsidRPr="001B27F8">
        <w:rPr>
          <w:rStyle w:val="fontstyle01"/>
          <w:color w:val="auto"/>
        </w:rPr>
        <w:t xml:space="preserve"> и ко-стимулирующих молекул на </w:t>
      </w:r>
      <w:r w:rsidR="00DA68FD">
        <w:rPr>
          <w:rStyle w:val="fontstyle01"/>
          <w:color w:val="auto"/>
        </w:rPr>
        <w:t>антиген-презентирующие клетки (</w:t>
      </w:r>
      <w:r w:rsidR="00D02028" w:rsidRPr="001B27F8">
        <w:rPr>
          <w:rStyle w:val="fontstyle01"/>
          <w:color w:val="auto"/>
        </w:rPr>
        <w:t>АПК</w:t>
      </w:r>
      <w:r w:rsidR="00DA68FD">
        <w:rPr>
          <w:rStyle w:val="fontstyle01"/>
          <w:color w:val="auto"/>
        </w:rPr>
        <w:t>)</w:t>
      </w:r>
      <w:r w:rsidR="00D02028" w:rsidRPr="001B27F8">
        <w:rPr>
          <w:rStyle w:val="fontstyle01"/>
          <w:color w:val="auto"/>
        </w:rPr>
        <w:t>, что блокирует</w:t>
      </w:r>
      <w:r w:rsidR="003D78AC" w:rsidRPr="001B27F8">
        <w:rPr>
          <w:rStyle w:val="fontstyle01"/>
          <w:color w:val="auto"/>
        </w:rPr>
        <w:t xml:space="preserve"> </w:t>
      </w:r>
      <w:r w:rsidR="00D02028" w:rsidRPr="001B27F8">
        <w:rPr>
          <w:rStyle w:val="fontstyle01"/>
          <w:color w:val="auto"/>
        </w:rPr>
        <w:t>дальнейшее развитие иммунного ответа на антиген</w:t>
      </w:r>
      <w:r w:rsidR="00AB4344" w:rsidRPr="001B27F8">
        <w:rPr>
          <w:rStyle w:val="fontstyle01"/>
          <w:color w:val="auto"/>
        </w:rPr>
        <w:t xml:space="preserve"> </w:t>
      </w:r>
      <w:r w:rsidR="00AB4344" w:rsidRPr="001B27F8">
        <w:rPr>
          <w:rStyle w:val="fontstyle01"/>
          <w:color w:val="auto"/>
        </w:rPr>
        <w:fldChar w:fldCharType="begin" w:fldLock="1"/>
      </w:r>
      <w:r w:rsidR="00765C06">
        <w:rPr>
          <w:rStyle w:val="fontstyle01"/>
          <w:color w:val="auto"/>
        </w:rPr>
        <w:instrText>ADDIN CSL_CITATION {"citationItems":[{"id":"ITEM-1","itemData":{"DOI":"10.18821/0206-4952-2016-37-1-51","ISBN":"0206495220163","author":[{"dropping-particle":"","family":"Солдатов","given":"А.А.","non-dropping-particle":"","parse-names":false,"suffix":""},{"dropping-particle":"","family":"Авдеева","given":"Ж.И.","non-dropping-particle":"","parse-names":false,"suffix":""},{"dropping-particle":"","family":"Медуницын","given":"Н.В.","non-dropping-particle":"","parse-names":false,"suffix":""}],"container-title":"Иммунология","id":"ITEM-1","issue":"1","issued":{"date-parts":[["2016"]]},"page":"51-60","title":"Механизмы аллергической реакции немедленного типа, препараты и методы специфической иммунотерапии","type":"article-journal","volume":"37"},"uris":["http://www.mendeley.com/documents/?uuid=bc62709d-7579-4d4f-9250-17445dbe9361"]}],"mendeley":{"formattedCitation":"[84]","plainTextFormattedCitation":"[84]","previouslyFormattedCitation":"[84]"},"properties":{"noteIndex":0},"schema":"https://github.com/citation-style-language/schema/raw/master/csl-citation.json"}</w:instrText>
      </w:r>
      <w:r w:rsidR="00AB4344" w:rsidRPr="001B27F8">
        <w:rPr>
          <w:rStyle w:val="fontstyle01"/>
          <w:color w:val="auto"/>
        </w:rPr>
        <w:fldChar w:fldCharType="separate"/>
      </w:r>
      <w:r w:rsidR="00877069" w:rsidRPr="00877069">
        <w:rPr>
          <w:rStyle w:val="fontstyle01"/>
          <w:noProof/>
          <w:color w:val="auto"/>
        </w:rPr>
        <w:t>[84]</w:t>
      </w:r>
      <w:r w:rsidR="00AB4344" w:rsidRPr="001B27F8">
        <w:rPr>
          <w:rStyle w:val="fontstyle01"/>
          <w:color w:val="auto"/>
        </w:rPr>
        <w:fldChar w:fldCharType="end"/>
      </w:r>
      <w:r w:rsidR="00D02028" w:rsidRPr="001B27F8">
        <w:rPr>
          <w:rStyle w:val="fontstyle01"/>
          <w:color w:val="auto"/>
        </w:rPr>
        <w:t>.</w:t>
      </w:r>
      <w:r w:rsidR="003D78AC" w:rsidRPr="001B27F8">
        <w:rPr>
          <w:rStyle w:val="fontstyle01"/>
          <w:color w:val="auto"/>
        </w:rPr>
        <w:t xml:space="preserve"> </w:t>
      </w:r>
    </w:p>
    <w:p w14:paraId="5031D202" w14:textId="07960186" w:rsidR="0041089C" w:rsidRPr="001B27F8" w:rsidRDefault="007745E3" w:rsidP="001B27F8">
      <w:pPr>
        <w:pStyle w:val="a3"/>
        <w:tabs>
          <w:tab w:val="left" w:pos="851"/>
        </w:tabs>
        <w:spacing w:after="0" w:line="240" w:lineRule="auto"/>
        <w:ind w:left="0" w:firstLine="567"/>
        <w:jc w:val="both"/>
        <w:rPr>
          <w:rStyle w:val="fontstyle01"/>
          <w:color w:val="auto"/>
        </w:rPr>
      </w:pPr>
      <w:r w:rsidRPr="001B27F8">
        <w:rPr>
          <w:rStyle w:val="fontstyle01"/>
          <w:color w:val="auto"/>
        </w:rPr>
        <w:t>Таким образом, на протяжении</w:t>
      </w:r>
      <w:r w:rsidR="0041089C" w:rsidRPr="001B27F8">
        <w:rPr>
          <w:rStyle w:val="fontstyle01"/>
          <w:color w:val="auto"/>
        </w:rPr>
        <w:t xml:space="preserve"> 100 лет применения АСИТ было проведено множество исследований, демонстрирующих эффективность терапии и раскрывающих ключевые моменты механизмов развития иммунологической толерантности</w:t>
      </w:r>
      <w:r w:rsidR="00450CD4" w:rsidRPr="001B27F8">
        <w:rPr>
          <w:rStyle w:val="fontstyle01"/>
          <w:color w:val="auto"/>
        </w:rPr>
        <w:t xml:space="preserve"> </w:t>
      </w:r>
      <w:r w:rsidR="00450CD4" w:rsidRPr="001B27F8">
        <w:rPr>
          <w:rStyle w:val="fontstyle01"/>
          <w:color w:val="auto"/>
        </w:rPr>
        <w:fldChar w:fldCharType="begin" w:fldLock="1"/>
      </w:r>
      <w:r w:rsidR="00765C06">
        <w:rPr>
          <w:rStyle w:val="fontstyle01"/>
          <w:color w:val="auto"/>
        </w:rPr>
        <w:instrText>ADDIN CSL_CITATION {"citationItems":[{"id":"ITEM-1","itemData":{"DOI":"10.1097/ACI.0000000000000216","ISBN":"0000000000000","ISSN":"14736322","PMID":"26509663","abstract":"Purpose of review: The aims of this review are to discuss the impact of chronic high-dose allergen exposure on allergenspecific CD4(+) T-cell subset during allergen-specific immunotherapy (AIT) and discuss recent advances supporting novel mechanisms for desensitization and tolerance induction during AIT. Recent findings: New technologies for direct molecular and cellular analysis have now provided an unprecedented opportunity to compare the functions and phenotypes of allergen-specific T cells at a single cell level, both in the context of disease and clinical intervention. Recent studies have demonstrated that AIT may restore tolerance by transiently inducing interleukin (IL)-10 producing T cells followed by selective deletion of allergen-specific TH2 cell subset. Summary: With antigen-specific TH2 cells at the core of the allergic process in atopic individuals, the duration and dose of antigen exposure can be the driving force behind current AIT protocol. Mechanisms modulating allergen-specific CD4(+) T-cell responses may include autocrine IL-10 production to limit excessive TH2 cell effector responses, T-cell exhaustion, and preferential proallergic TH2 cell deletion allowing concurrent downregulating T-cell responses to emerge. Administration of AIT in the context of immune modulating strategies able to induce counter-regulatory immune response may lead to improved AIT with durable clinical benefit.","author":[{"dropping-particle":"","family":"Wambre","given":"Erik","non-dropping-particle":"","parse-names":false,"suffix":""}],"container-title":"Current Opinion in Allergy and Clinical Immunology","id":"ITEM-1","issue":"6","issued":{"date-parts":[["2015"]]},"page":"581-587","title":"Effect of allergen-specific immunotherapy on CD4+ T cells","type":"article-journal","volume":"15"},"uris":["http://www.mendeley.com/documents/?uuid=ba41d068-1762-4e6c-b705-27ea95bc5d81"]}],"mendeley":{"formattedCitation":"[70]","plainTextFormattedCitation":"[70]","previouslyFormattedCitation":"[70]"},"properties":{"noteIndex":0},"schema":"https://github.com/citation-style-language/schema/raw/master/csl-citation.json"}</w:instrText>
      </w:r>
      <w:r w:rsidR="00450CD4" w:rsidRPr="001B27F8">
        <w:rPr>
          <w:rStyle w:val="fontstyle01"/>
          <w:color w:val="auto"/>
        </w:rPr>
        <w:fldChar w:fldCharType="separate"/>
      </w:r>
      <w:r w:rsidR="00877069" w:rsidRPr="00877069">
        <w:rPr>
          <w:rStyle w:val="fontstyle01"/>
          <w:noProof/>
          <w:color w:val="auto"/>
        </w:rPr>
        <w:t>[70]</w:t>
      </w:r>
      <w:r w:rsidR="00450CD4" w:rsidRPr="001B27F8">
        <w:rPr>
          <w:rStyle w:val="fontstyle01"/>
          <w:color w:val="auto"/>
        </w:rPr>
        <w:fldChar w:fldCharType="end"/>
      </w:r>
      <w:r w:rsidR="0041089C" w:rsidRPr="001B27F8">
        <w:rPr>
          <w:rStyle w:val="fontstyle01"/>
          <w:color w:val="auto"/>
        </w:rPr>
        <w:t>. Но и по сей день данный вопрос остается актуальным, и имеет тенденцию к расширению знаний и представлений о м</w:t>
      </w:r>
      <w:r w:rsidR="000B4FD6" w:rsidRPr="001B27F8">
        <w:rPr>
          <w:rStyle w:val="fontstyle01"/>
          <w:color w:val="auto"/>
        </w:rPr>
        <w:t>аркерах эффективности аллерген-</w:t>
      </w:r>
      <w:r w:rsidR="0041089C" w:rsidRPr="001B27F8">
        <w:rPr>
          <w:rStyle w:val="fontstyle01"/>
          <w:color w:val="auto"/>
        </w:rPr>
        <w:t>специфической иммунотерапии, детализирующих ключевые иммунологические механизмы, в соответствии с модернизированными технологиями на современном этапе развития науки</w:t>
      </w:r>
      <w:r w:rsidR="006E43B1" w:rsidRPr="001B27F8">
        <w:rPr>
          <w:rStyle w:val="fontstyle01"/>
          <w:color w:val="auto"/>
        </w:rPr>
        <w:t xml:space="preserve"> </w:t>
      </w:r>
      <w:r w:rsidR="006E43B1" w:rsidRPr="001B27F8">
        <w:rPr>
          <w:rStyle w:val="fontstyle01"/>
          <w:color w:val="auto"/>
        </w:rPr>
        <w:fldChar w:fldCharType="begin" w:fldLock="1"/>
      </w:r>
      <w:r w:rsidR="00765C06">
        <w:rPr>
          <w:rStyle w:val="fontstyle01"/>
          <w:color w:val="auto"/>
        </w:rPr>
        <w:instrText>ADDIN CSL_CITATION {"citationItems":[{"id":"ITEM-1","itemData":{"DOI":"10.34689/SH.2020.22.2.004","ISBN":"0000000314008","author":[{"dropping-particle":"","family":"Измайлович","given":"М.Р.","non-dropping-particle":"","parse-names":false,"suffix":""},{"dropping-particle":"","family":"Газалиева","given":"М.А.","non-dropping-particle":"","parse-names":false,"suffix":""},{"dropping-particle":"","family":"Глушкова","given":"Н.Е.","non-dropping-particle":"","parse-names":false,"suffix":""},{"dropping-particle":"","family":"Дедова","given":"О.Ю.","non-dropping-particle":"","parse-names":false,"suffix":""},{"dropping-particle":"","family":"Мендибай","given":"С.Т.","non-dropping-particle":"","parse-names":false,"suffix":""},{"dropping-particle":"","family":"Скворцова","given":"А.В.","non-dropping-particle":"","parse-names":false,"suffix":""}],"container-title":"Наука и Здравоохранение","id":"ITEM-1","issue":"2","issued":{"date-parts":[["2020"]]},"page":"38-48","title":"Иммунологические аспекты эффективности аллерген- специфической иммунотерапии. Обзор литературы.","type":"article-journal","volume":"22"},"uris":["http://www.mendeley.com/documents/?uuid=c3bbf822-416f-4513-b28d-0e8490817195"]}],"mendeley":{"formattedCitation":"[19]","plainTextFormattedCitation":"[19]","previouslyFormattedCitation":"[19]"},"properties":{"noteIndex":0},"schema":"https://github.com/citation-style-language/schema/raw/master/csl-citation.json"}</w:instrText>
      </w:r>
      <w:r w:rsidR="006E43B1" w:rsidRPr="001B27F8">
        <w:rPr>
          <w:rStyle w:val="fontstyle01"/>
          <w:color w:val="auto"/>
        </w:rPr>
        <w:fldChar w:fldCharType="separate"/>
      </w:r>
      <w:r w:rsidR="00877069" w:rsidRPr="00877069">
        <w:rPr>
          <w:rStyle w:val="fontstyle01"/>
          <w:noProof/>
          <w:color w:val="auto"/>
        </w:rPr>
        <w:t>[19]</w:t>
      </w:r>
      <w:r w:rsidR="006E43B1" w:rsidRPr="001B27F8">
        <w:rPr>
          <w:rStyle w:val="fontstyle01"/>
          <w:color w:val="auto"/>
        </w:rPr>
        <w:fldChar w:fldCharType="end"/>
      </w:r>
      <w:r w:rsidR="0041089C" w:rsidRPr="001B27F8">
        <w:rPr>
          <w:rStyle w:val="fontstyle01"/>
          <w:color w:val="auto"/>
        </w:rPr>
        <w:t>.</w:t>
      </w:r>
    </w:p>
    <w:p w14:paraId="216B3742" w14:textId="77777777" w:rsidR="0020194B" w:rsidRPr="001B27F8" w:rsidRDefault="0020194B" w:rsidP="001B27F8">
      <w:pPr>
        <w:pStyle w:val="a3"/>
        <w:tabs>
          <w:tab w:val="left" w:pos="851"/>
        </w:tabs>
        <w:spacing w:after="0" w:line="240" w:lineRule="auto"/>
        <w:ind w:left="0" w:firstLine="567"/>
        <w:jc w:val="both"/>
        <w:rPr>
          <w:rStyle w:val="fontstyle01"/>
          <w:color w:val="auto"/>
        </w:rPr>
      </w:pPr>
    </w:p>
    <w:p w14:paraId="2E4B6805" w14:textId="2EDBF089" w:rsidR="00D67F1B" w:rsidRPr="001B27F8" w:rsidRDefault="001F522C" w:rsidP="00102E42">
      <w:pPr>
        <w:pStyle w:val="1"/>
        <w:numPr>
          <w:ilvl w:val="1"/>
          <w:numId w:val="2"/>
        </w:numPr>
        <w:tabs>
          <w:tab w:val="left" w:pos="1134"/>
        </w:tabs>
        <w:spacing w:before="0" w:line="240" w:lineRule="auto"/>
        <w:ind w:left="0" w:firstLine="567"/>
        <w:jc w:val="both"/>
        <w:rPr>
          <w:rStyle w:val="a4"/>
          <w:rFonts w:ascii="Times New Roman" w:hAnsi="Times New Roman" w:cs="Times New Roman"/>
          <w:bCs w:val="0"/>
          <w:i w:val="0"/>
          <w:iCs w:val="0"/>
          <w:color w:val="auto"/>
          <w:spacing w:val="0"/>
          <w:sz w:val="28"/>
          <w:szCs w:val="28"/>
        </w:rPr>
      </w:pPr>
      <w:bookmarkStart w:id="8" w:name="_Toc137904332"/>
      <w:r>
        <w:rPr>
          <w:rStyle w:val="a4"/>
          <w:rFonts w:ascii="Times New Roman" w:hAnsi="Times New Roman" w:cs="Times New Roman"/>
          <w:bCs w:val="0"/>
          <w:i w:val="0"/>
          <w:iCs w:val="0"/>
          <w:color w:val="auto"/>
          <w:spacing w:val="0"/>
          <w:sz w:val="28"/>
          <w:szCs w:val="28"/>
        </w:rPr>
        <w:t>Роль в</w:t>
      </w:r>
      <w:r w:rsidR="001161FE" w:rsidRPr="001B27F8">
        <w:rPr>
          <w:rStyle w:val="a4"/>
          <w:rFonts w:ascii="Times New Roman" w:hAnsi="Times New Roman" w:cs="Times New Roman"/>
          <w:bCs w:val="0"/>
          <w:i w:val="0"/>
          <w:iCs w:val="0"/>
          <w:color w:val="auto"/>
          <w:spacing w:val="0"/>
          <w:sz w:val="28"/>
          <w:szCs w:val="28"/>
        </w:rPr>
        <w:t>итамин</w:t>
      </w:r>
      <w:r>
        <w:rPr>
          <w:rStyle w:val="a4"/>
          <w:rFonts w:ascii="Times New Roman" w:hAnsi="Times New Roman" w:cs="Times New Roman"/>
          <w:bCs w:val="0"/>
          <w:i w:val="0"/>
          <w:iCs w:val="0"/>
          <w:color w:val="auto"/>
          <w:spacing w:val="0"/>
          <w:sz w:val="28"/>
          <w:szCs w:val="28"/>
        </w:rPr>
        <w:t>а</w:t>
      </w:r>
      <w:r w:rsidR="001161FE" w:rsidRPr="001B27F8">
        <w:rPr>
          <w:rStyle w:val="a4"/>
          <w:rFonts w:ascii="Times New Roman" w:hAnsi="Times New Roman" w:cs="Times New Roman"/>
          <w:bCs w:val="0"/>
          <w:i w:val="0"/>
          <w:iCs w:val="0"/>
          <w:color w:val="auto"/>
          <w:spacing w:val="0"/>
          <w:sz w:val="28"/>
          <w:szCs w:val="28"/>
        </w:rPr>
        <w:t xml:space="preserve"> Д</w:t>
      </w:r>
      <w:r>
        <w:rPr>
          <w:rStyle w:val="a4"/>
          <w:rFonts w:ascii="Times New Roman" w:hAnsi="Times New Roman" w:cs="Times New Roman"/>
          <w:bCs w:val="0"/>
          <w:i w:val="0"/>
          <w:iCs w:val="0"/>
          <w:color w:val="auto"/>
          <w:spacing w:val="0"/>
          <w:sz w:val="28"/>
          <w:szCs w:val="28"/>
        </w:rPr>
        <w:t xml:space="preserve"> в аллерген-специфической иммунотерапии</w:t>
      </w:r>
      <w:bookmarkEnd w:id="8"/>
    </w:p>
    <w:p w14:paraId="55AD17DF" w14:textId="52AE8547" w:rsidR="002547D7" w:rsidRPr="001B27F8" w:rsidRDefault="001161FE" w:rsidP="001B27F8">
      <w:pPr>
        <w:tabs>
          <w:tab w:val="left" w:pos="851"/>
        </w:tabs>
        <w:spacing w:after="0" w:line="240" w:lineRule="auto"/>
        <w:ind w:firstLine="567"/>
        <w:jc w:val="both"/>
        <w:rPr>
          <w:rFonts w:ascii="Times New Roman" w:hAnsi="Times New Roman" w:cs="Times New Roman"/>
          <w:sz w:val="28"/>
          <w:szCs w:val="28"/>
        </w:rPr>
      </w:pPr>
      <w:r w:rsidRPr="001B27F8">
        <w:rPr>
          <w:rFonts w:ascii="Times New Roman" w:hAnsi="Times New Roman" w:cs="Times New Roman"/>
          <w:sz w:val="28"/>
          <w:szCs w:val="28"/>
        </w:rPr>
        <w:t xml:space="preserve">На </w:t>
      </w:r>
      <w:r w:rsidR="002201E7" w:rsidRPr="001B27F8">
        <w:rPr>
          <w:rFonts w:ascii="Times New Roman" w:hAnsi="Times New Roman" w:cs="Times New Roman"/>
          <w:sz w:val="28"/>
          <w:szCs w:val="28"/>
        </w:rPr>
        <w:t>сегодняшний день известно, что</w:t>
      </w:r>
      <w:r w:rsidRPr="001B27F8">
        <w:rPr>
          <w:rFonts w:ascii="Times New Roman" w:hAnsi="Times New Roman" w:cs="Times New Roman"/>
          <w:sz w:val="28"/>
          <w:szCs w:val="28"/>
        </w:rPr>
        <w:t xml:space="preserve"> участие витамина Д сопряжено с развитием аллергических процессов и рассматривается качестве иммуномодулятора, воздействующего на </w:t>
      </w:r>
      <w:r w:rsidR="002201E7" w:rsidRPr="001B27F8">
        <w:rPr>
          <w:rFonts w:ascii="Times New Roman" w:hAnsi="Times New Roman" w:cs="Times New Roman"/>
          <w:sz w:val="28"/>
          <w:szCs w:val="28"/>
        </w:rPr>
        <w:t>дендритные клетки (ДК), макрофаги</w:t>
      </w:r>
      <w:r w:rsidR="00BD406E" w:rsidRPr="001B27F8">
        <w:rPr>
          <w:rFonts w:ascii="Times New Roman" w:hAnsi="Times New Roman" w:cs="Times New Roman"/>
          <w:sz w:val="28"/>
          <w:szCs w:val="28"/>
        </w:rPr>
        <w:t>, Т-клетки</w:t>
      </w:r>
      <w:r w:rsidR="002201E7" w:rsidRPr="001B27F8">
        <w:rPr>
          <w:rFonts w:ascii="Times New Roman" w:hAnsi="Times New Roman" w:cs="Times New Roman"/>
          <w:sz w:val="28"/>
          <w:szCs w:val="28"/>
        </w:rPr>
        <w:t xml:space="preserve"> и В-клетки</w:t>
      </w:r>
      <w:r w:rsidR="007E69B9">
        <w:rPr>
          <w:rFonts w:ascii="Times New Roman" w:hAnsi="Times New Roman" w:cs="Times New Roman"/>
          <w:sz w:val="28"/>
          <w:szCs w:val="28"/>
        </w:rPr>
        <w:t xml:space="preserve"> </w:t>
      </w:r>
      <w:r w:rsidR="007E69B9"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{"citationItems":[{"id":"ITEM-1","itemData":{"DOI":"10.1111/sji.12403","ISSN":"13653083","PMID":"26678915","abstract":"In the past, vitamin D was known for its classical, skeletal action as a regulator of calcium and bone homoeostasis. Currently, vitamin D was found to have a role in numerous physiological processes in the human body; thus, vitamin D has pleiotropic activity. The studies carried out in the past two decades showed the role of vitamin D in the regulation of immune system functions. Basically, these effects may be mediated not only via endocrine mechanism of circulating calcitriol but also via paracrine one (based on cell-cell communication that leads to production of signal inducing the changes in nearby/adjacent cells and modulating their differentiation or behaviour) and intracrine mechanism (the action of vitamin D inside a cell) of 1,25-dihydroxycholecalciferol (1,25(OH)2D3) synthetized from its precursor 25-hydroxyvitamin D3 (25(OH)D3). Both vitamin D receptor (VDR) and 25-hydroxyvitamin D3 1-α-hydroxylase (CYP27B1) are expressed in several types of immune cells (i.e. antigen presenting cells, T and B cells), and thus, they are able to synthetize the bioactive form of vitamin D that modulates both the innate and adaptive immune system. This review discusses the role of vitamin D as regulator of immune system, and our understanding of how vitamin D regulates both adaptive and innate immunity as well as inflammatory cascade on the cellular level.","author":[{"dropping-particle":"","family":"Szymczak","given":"I.","non-dropping-particle":"","parse-names":false,"suffix":""},{"dropping-particle":"","family":"Pawliczak","given":"R.","non-dropping-particle":"","parse-names":false,"suffix":""}],"container-title":"Scandinavian Journal of Immunology","id":"ITEM-1","issue":"2","issued":{"date-parts":[["2016"]]},"page":"83-91","title":"The Active Metabolite of Vitamin D3 as a Potential Immunomodulator","type":"article-journal","volume":"83"},"uris":["http://www.mendeley.com/documents/?uuid=c892fd78-53db-414a-9b7e-e2b504f9c1c1"]}],"mendeley":{"formattedCitation":"[87]","plainTextFormattedCitation":"[87]","previouslyFormattedCitation":"[87]"},"properties":{"noteIndex":0},"schema":"https://github.com/citation-style-language/schema/raw/master/csl-citation.json"}</w:instrText>
      </w:r>
      <w:r w:rsidR="007E69B9"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[87]</w:t>
      </w:r>
      <w:r w:rsidR="007E69B9" w:rsidRPr="001B27F8">
        <w:rPr>
          <w:rFonts w:ascii="Times New Roman" w:hAnsi="Times New Roman" w:cs="Times New Roman"/>
          <w:sz w:val="28"/>
          <w:szCs w:val="28"/>
        </w:rPr>
        <w:fldChar w:fldCharType="end"/>
      </w:r>
      <w:r w:rsidR="00D008E5" w:rsidRPr="001B27F8">
        <w:rPr>
          <w:rFonts w:ascii="Times New Roman" w:hAnsi="Times New Roman" w:cs="Times New Roman"/>
          <w:sz w:val="28"/>
          <w:szCs w:val="28"/>
        </w:rPr>
        <w:t xml:space="preserve">. </w:t>
      </w:r>
      <w:r w:rsidR="000A40F1" w:rsidRPr="001B27F8">
        <w:rPr>
          <w:rFonts w:ascii="Times New Roman" w:hAnsi="Times New Roman" w:cs="Times New Roman"/>
          <w:sz w:val="28"/>
          <w:szCs w:val="28"/>
        </w:rPr>
        <w:t>А</w:t>
      </w:r>
      <w:r w:rsidR="00247AAC" w:rsidRPr="001B27F8">
        <w:rPr>
          <w:rFonts w:ascii="Times New Roman" w:hAnsi="Times New Roman" w:cs="Times New Roman"/>
          <w:sz w:val="28"/>
          <w:szCs w:val="28"/>
        </w:rPr>
        <w:t>ктивированные B-лимфоциты</w:t>
      </w:r>
      <w:r w:rsidR="000A40F1" w:rsidRPr="001B27F8">
        <w:rPr>
          <w:rFonts w:ascii="Times New Roman" w:hAnsi="Times New Roman" w:cs="Times New Roman"/>
          <w:sz w:val="28"/>
          <w:szCs w:val="28"/>
        </w:rPr>
        <w:t>, Т-лимфоциты и миелоидные АПК могут синтезировать биологически активный кальцитриол из 25-гидроксивитамина D3</w:t>
      </w:r>
      <w:r w:rsidR="00247AAC" w:rsidRPr="001B27F8">
        <w:rPr>
          <w:rFonts w:ascii="Times New Roman" w:hAnsi="Times New Roman" w:cs="Times New Roman"/>
          <w:sz w:val="28"/>
          <w:szCs w:val="28"/>
        </w:rPr>
        <w:t xml:space="preserve"> (неактивный предшественник)</w:t>
      </w:r>
      <w:r w:rsidR="000A40F1" w:rsidRPr="001B27F8">
        <w:rPr>
          <w:rFonts w:ascii="Times New Roman" w:hAnsi="Times New Roman" w:cs="Times New Roman"/>
          <w:sz w:val="28"/>
          <w:szCs w:val="28"/>
        </w:rPr>
        <w:t xml:space="preserve"> </w:t>
      </w:r>
      <w:r w:rsidR="000A40F1" w:rsidRPr="001B27F8">
        <w:rPr>
          <w:rFonts w:ascii="Times New Roman" w:hAnsi="Times New Roman" w:cs="Times New Roman"/>
          <w:sz w:val="28"/>
          <w:szCs w:val="28"/>
          <w:lang w:val="en-US"/>
        </w:rPr>
        <w:fldChar w:fldCharType="begin" w:fldLock="1"/>
      </w:r>
      <w:r w:rsidR="00765C06">
        <w:rPr>
          <w:rFonts w:ascii="Times New Roman" w:hAnsi="Times New Roman" w:cs="Times New Roman"/>
          <w:sz w:val="28"/>
          <w:szCs w:val="28"/>
          <w:lang w:val="en-US"/>
        </w:rPr>
        <w:instrText>ADDIN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CSL</w:instrText>
      </w:r>
      <w:r w:rsidR="00765C06" w:rsidRPr="00015FE3">
        <w:rPr>
          <w:rFonts w:ascii="Times New Roman" w:hAnsi="Times New Roman" w:cs="Times New Roman"/>
          <w:sz w:val="28"/>
          <w:szCs w:val="28"/>
        </w:rPr>
        <w:instrText>_</w:instrText>
      </w:r>
      <w:r w:rsidR="00765C06">
        <w:rPr>
          <w:rFonts w:ascii="Times New Roman" w:hAnsi="Times New Roman" w:cs="Times New Roman"/>
          <w:sz w:val="28"/>
          <w:szCs w:val="28"/>
          <w:lang w:val="en-US"/>
        </w:rPr>
        <w:instrText>CITATION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citationItems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id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ITEM</w:instrText>
      </w:r>
      <w:r w:rsidR="00765C06" w:rsidRPr="00015FE3">
        <w:rPr>
          <w:rFonts w:ascii="Times New Roman" w:hAnsi="Times New Roman" w:cs="Times New Roman"/>
          <w:sz w:val="28"/>
          <w:szCs w:val="28"/>
        </w:rPr>
        <w:instrText>-1","</w:instrText>
      </w:r>
      <w:r w:rsidR="00765C06">
        <w:rPr>
          <w:rFonts w:ascii="Times New Roman" w:hAnsi="Times New Roman" w:cs="Times New Roman"/>
          <w:sz w:val="28"/>
          <w:szCs w:val="28"/>
          <w:lang w:val="en-US"/>
        </w:rPr>
        <w:instrText>itemData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DOI</w:instrText>
      </w:r>
      <w:r w:rsidR="00765C06" w:rsidRPr="00015FE3">
        <w:rPr>
          <w:rFonts w:ascii="Times New Roman" w:hAnsi="Times New Roman" w:cs="Times New Roman"/>
          <w:sz w:val="28"/>
          <w:szCs w:val="28"/>
        </w:rPr>
        <w:instrText>":"10.4049/</w:instrText>
      </w:r>
      <w:r w:rsidR="00765C06">
        <w:rPr>
          <w:rFonts w:ascii="Times New Roman" w:hAnsi="Times New Roman" w:cs="Times New Roman"/>
          <w:sz w:val="28"/>
          <w:szCs w:val="28"/>
          <w:lang w:val="en-US"/>
        </w:rPr>
        <w:instrText>jimmunol</w:instrText>
      </w:r>
      <w:r w:rsidR="00765C06" w:rsidRPr="00015FE3">
        <w:rPr>
          <w:rFonts w:ascii="Times New Roman" w:hAnsi="Times New Roman" w:cs="Times New Roman"/>
          <w:sz w:val="28"/>
          <w:szCs w:val="28"/>
        </w:rPr>
        <w:instrText>.1301656","</w:instrText>
      </w:r>
      <w:r w:rsidR="00765C06">
        <w:rPr>
          <w:rFonts w:ascii="Times New Roman" w:hAnsi="Times New Roman" w:cs="Times New Roman"/>
          <w:sz w:val="28"/>
          <w:szCs w:val="28"/>
          <w:lang w:val="en-US"/>
        </w:rPr>
        <w:instrText>ISSN</w:instrText>
      </w:r>
      <w:r w:rsidR="00765C06" w:rsidRPr="00015FE3">
        <w:rPr>
          <w:rFonts w:ascii="Times New Roman" w:hAnsi="Times New Roman" w:cs="Times New Roman"/>
          <w:sz w:val="28"/>
          <w:szCs w:val="28"/>
        </w:rPr>
        <w:instrText>":"0022-1767","</w:instrText>
      </w:r>
      <w:r w:rsidR="00765C06">
        <w:rPr>
          <w:rFonts w:ascii="Times New Roman" w:hAnsi="Times New Roman" w:cs="Times New Roman"/>
          <w:sz w:val="28"/>
          <w:szCs w:val="28"/>
          <w:lang w:val="en-US"/>
        </w:rPr>
        <w:instrText>PMID</w:instrText>
      </w:r>
      <w:r w:rsidR="00765C06" w:rsidRPr="00015FE3">
        <w:rPr>
          <w:rFonts w:ascii="Times New Roman" w:hAnsi="Times New Roman" w:cs="Times New Roman"/>
          <w:sz w:val="28"/>
          <w:szCs w:val="28"/>
        </w:rPr>
        <w:instrText>":"24951815","</w:instrText>
      </w:r>
      <w:r w:rsidR="00765C06">
        <w:rPr>
          <w:rFonts w:ascii="Times New Roman" w:hAnsi="Times New Roman" w:cs="Times New Roman"/>
          <w:sz w:val="28"/>
          <w:szCs w:val="28"/>
          <w:lang w:val="en-US"/>
        </w:rPr>
        <w:instrText>abstract</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Calcitriol</w:instrText>
      </w:r>
      <w:r w:rsidR="00765C06" w:rsidRPr="00015FE3">
        <w:rPr>
          <w:rFonts w:ascii="Times New Roman" w:hAnsi="Times New Roman" w:cs="Times New Roman"/>
          <w:sz w:val="28"/>
          <w:szCs w:val="28"/>
        </w:rPr>
        <w:instrText xml:space="preserve"> (1</w:instrText>
      </w:r>
      <w:r w:rsidR="00765C06">
        <w:rPr>
          <w:rFonts w:ascii="Times New Roman" w:hAnsi="Times New Roman" w:cs="Times New Roman"/>
          <w:sz w:val="28"/>
          <w:szCs w:val="28"/>
          <w:lang w:val="en-US"/>
        </w:rPr>
        <w:instrText>α</w:instrText>
      </w:r>
      <w:r w:rsidR="00765C06" w:rsidRPr="00015FE3">
        <w:rPr>
          <w:rFonts w:ascii="Times New Roman" w:hAnsi="Times New Roman" w:cs="Times New Roman"/>
          <w:sz w:val="28"/>
          <w:szCs w:val="28"/>
        </w:rPr>
        <w:instrText>,25-</w:instrText>
      </w:r>
      <w:r w:rsidR="00765C06">
        <w:rPr>
          <w:rFonts w:ascii="Times New Roman" w:hAnsi="Times New Roman" w:cs="Times New Roman"/>
          <w:sz w:val="28"/>
          <w:szCs w:val="28"/>
          <w:lang w:val="en-US"/>
        </w:rPr>
        <w:instrText>dihydroxyvitamin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w:instrText>
      </w:r>
      <w:r w:rsidR="00765C06" w:rsidRPr="00015FE3">
        <w:rPr>
          <w:rFonts w:ascii="Times New Roman" w:hAnsi="Times New Roman" w:cs="Times New Roman"/>
          <w:sz w:val="28"/>
          <w:szCs w:val="28"/>
        </w:rPr>
        <w:instrText xml:space="preserve">3) </w:instrText>
      </w:r>
      <w:r w:rsidR="00765C06">
        <w:rPr>
          <w:rFonts w:ascii="Times New Roman" w:hAnsi="Times New Roman" w:cs="Times New Roman"/>
          <w:sz w:val="28"/>
          <w:szCs w:val="28"/>
          <w:lang w:val="en-US"/>
        </w:rPr>
        <w:instrText>is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active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vitamin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metabolite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mediates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immunological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functions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which</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are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relevant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allergy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Its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therapeutic</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use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limited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by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hypercalcaemic</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toxicity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We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have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previously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shown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that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activation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vitamin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receptor</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inhibits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IgE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production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that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B</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cells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can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synthesize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calcitriol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from</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its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precursor</w:instrText>
      </w:r>
      <w:r w:rsidR="00765C06" w:rsidRPr="00015FE3">
        <w:rPr>
          <w:rFonts w:ascii="Times New Roman" w:hAnsi="Times New Roman" w:cs="Times New Roman"/>
          <w:sz w:val="28"/>
          <w:szCs w:val="28"/>
        </w:rPr>
        <w:instrText xml:space="preserve"> 25-</w:instrText>
      </w:r>
      <w:r w:rsidR="00765C06">
        <w:rPr>
          <w:rFonts w:ascii="Times New Roman" w:hAnsi="Times New Roman" w:cs="Times New Roman"/>
          <w:sz w:val="28"/>
          <w:szCs w:val="28"/>
          <w:lang w:val="en-US"/>
        </w:rPr>
        <w:instrText>hydroxyvitamin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w:instrText>
      </w:r>
      <w:r w:rsidR="00765C06" w:rsidRPr="00015FE3">
        <w:rPr>
          <w:rFonts w:ascii="Times New Roman" w:hAnsi="Times New Roman" w:cs="Times New Roman"/>
          <w:sz w:val="28"/>
          <w:szCs w:val="28"/>
        </w:rPr>
        <w:instrText>3 (</w:instrText>
      </w:r>
      <w:r w:rsidR="00765C06">
        <w:rPr>
          <w:rFonts w:ascii="Times New Roman" w:hAnsi="Times New Roman" w:cs="Times New Roman"/>
          <w:sz w:val="28"/>
          <w:szCs w:val="28"/>
          <w:lang w:val="en-US"/>
        </w:rPr>
        <w:instrText>inactive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precursor</w:instrText>
      </w:r>
      <w:r w:rsidR="00765C06" w:rsidRPr="00015FE3">
        <w:rPr>
          <w:rFonts w:ascii="Times New Roman" w:hAnsi="Times New Roman" w:cs="Times New Roman"/>
          <w:sz w:val="28"/>
          <w:szCs w:val="28"/>
        </w:rPr>
        <w:instrText>) [25(</w:instrText>
      </w:r>
      <w:r w:rsidR="00765C06">
        <w:rPr>
          <w:rFonts w:ascii="Times New Roman" w:hAnsi="Times New Roman" w:cs="Times New Roman"/>
          <w:sz w:val="28"/>
          <w:szCs w:val="28"/>
          <w:lang w:val="en-US"/>
        </w:rPr>
        <w:instrText>OH</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upon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antigenic</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stimulation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this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study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we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address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impact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25(</w:instrText>
      </w:r>
      <w:r w:rsidR="00765C06">
        <w:rPr>
          <w:rFonts w:ascii="Times New Roman" w:hAnsi="Times New Roman" w:cs="Times New Roman"/>
          <w:sz w:val="28"/>
          <w:szCs w:val="28"/>
          <w:lang w:val="en-US"/>
        </w:rPr>
        <w:instrText>OH</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development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type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sensitization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determine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its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role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allergen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specific</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immunotherapy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BALB</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mice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were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sensitized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to</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OVA</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under</w:instrText>
      </w:r>
      <w:r w:rsidR="00765C06" w:rsidRPr="00015FE3">
        <w:rPr>
          <w:rFonts w:ascii="Times New Roman" w:hAnsi="Times New Roman" w:cs="Times New Roman"/>
          <w:sz w:val="28"/>
          <w:szCs w:val="28"/>
        </w:rPr>
        <w:instrText xml:space="preserve"> 25(</w:instrText>
      </w:r>
      <w:r w:rsidR="00765C06">
        <w:rPr>
          <w:rFonts w:ascii="Times New Roman" w:hAnsi="Times New Roman" w:cs="Times New Roman"/>
          <w:sz w:val="28"/>
          <w:szCs w:val="28"/>
          <w:lang w:val="en-US"/>
        </w:rPr>
        <w:instrText>OH</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deficient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or</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sufficient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conditions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humoral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immune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response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over</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time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was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measured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by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ELISA</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OVA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specific</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immunotherapy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was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established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studied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murine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model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allergic</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airway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inflammation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using</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lung</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histology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pulmonary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cytokine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expression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analysis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functional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parameters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isolated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perfused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mouse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lungs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w:instrText>
      </w:r>
      <w:r w:rsidR="00765C06" w:rsidRPr="00015FE3">
        <w:rPr>
          <w:rFonts w:ascii="Times New Roman" w:hAnsi="Times New Roman" w:cs="Times New Roman"/>
          <w:sz w:val="28"/>
          <w:szCs w:val="28"/>
        </w:rPr>
        <w:instrText xml:space="preserve"> 25(</w:instrText>
      </w:r>
      <w:r w:rsidR="00765C06">
        <w:rPr>
          <w:rFonts w:ascii="Times New Roman" w:hAnsi="Times New Roman" w:cs="Times New Roman"/>
          <w:sz w:val="28"/>
          <w:szCs w:val="28"/>
          <w:lang w:val="en-US"/>
        </w:rPr>
        <w:instrText>OH</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deficient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mice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OVA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specific</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IgE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IgG</w:instrText>
      </w:r>
      <w:r w:rsidR="00765C06" w:rsidRPr="00015FE3">
        <w:rPr>
          <w:rFonts w:ascii="Times New Roman" w:hAnsi="Times New Roman" w:cs="Times New Roman"/>
          <w:sz w:val="28"/>
          <w:szCs w:val="28"/>
        </w:rPr>
        <w:instrText xml:space="preserve">1 </w:instrText>
      </w:r>
      <w:r w:rsidR="00765C06">
        <w:rPr>
          <w:rFonts w:ascii="Times New Roman" w:hAnsi="Times New Roman" w:cs="Times New Roman"/>
          <w:sz w:val="28"/>
          <w:szCs w:val="28"/>
          <w:lang w:val="en-US"/>
        </w:rPr>
        <w:instrText>serum</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concentrations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were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increased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compared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with</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control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mice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OVA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specific</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immunotherapy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reduced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humoral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immune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reaction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after</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OVA</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recall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dose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dependently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Coadministration of 25(OH)D in the context of OVA-specific immunotherapy reduced the allergic airway inflammation and responsiveness upon OVA challenge. These findings were paralleled by reduced Th2 cytokine expression in the lungs. In conclusion, 25(OH)D deficiency promotes the development of type I sensitization and correction of its serum concentrations enhances the benefit of specific immunotherapy.","author":[{"dropping-particle":"","family":"Heine","given":"Guido","non-dropping-particle":"","parse-names":false,"suffix":""},{"dropping-particle":"","family":"Tabeling","given":"Christoph","non-dropping-particle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Hartmann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Bjoern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Gonz</w:instrText>
      </w:r>
      <w:r w:rsidR="00765C06" w:rsidRPr="00015FE3">
        <w:rPr>
          <w:rFonts w:ascii="Times New Roman" w:hAnsi="Times New Roman" w:cs="Times New Roman"/>
          <w:sz w:val="28"/>
          <w:szCs w:val="28"/>
        </w:rPr>
        <w:instrText>á</w:instrText>
      </w:r>
      <w:r w:rsidR="00765C06">
        <w:rPr>
          <w:rFonts w:ascii="Times New Roman" w:hAnsi="Times New Roman" w:cs="Times New Roman"/>
          <w:sz w:val="28"/>
          <w:szCs w:val="28"/>
          <w:lang w:val="en-US"/>
        </w:rPr>
        <w:instrText>lez</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Calera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Carla</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R</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K</w:instrText>
      </w:r>
      <w:r w:rsidR="00765C06" w:rsidRPr="00015FE3">
        <w:rPr>
          <w:rFonts w:ascii="Times New Roman" w:hAnsi="Times New Roman" w:cs="Times New Roman"/>
          <w:sz w:val="28"/>
          <w:szCs w:val="28"/>
        </w:rPr>
        <w:instrText>ü</w:instrText>
      </w:r>
      <w:r w:rsidR="00765C06">
        <w:rPr>
          <w:rFonts w:ascii="Times New Roman" w:hAnsi="Times New Roman" w:cs="Times New Roman"/>
          <w:sz w:val="28"/>
          <w:szCs w:val="28"/>
          <w:lang w:val="en-US"/>
        </w:rPr>
        <w:instrText>hl</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Anja</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Lindner</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Juliane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Radbruch</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Andreas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Witzenrath</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Martin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Worm</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Margitta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container</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title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Journal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Immunology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id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ITEM</w:instrText>
      </w:r>
      <w:r w:rsidR="00765C06" w:rsidRPr="00015FE3">
        <w:rPr>
          <w:rFonts w:ascii="Times New Roman" w:hAnsi="Times New Roman" w:cs="Times New Roman"/>
          <w:sz w:val="28"/>
          <w:szCs w:val="28"/>
        </w:rPr>
        <w:instrText>-1","</w:instrText>
      </w:r>
      <w:r w:rsidR="00765C06">
        <w:rPr>
          <w:rFonts w:ascii="Times New Roman" w:hAnsi="Times New Roman" w:cs="Times New Roman"/>
          <w:sz w:val="28"/>
          <w:szCs w:val="28"/>
          <w:lang w:val="en-US"/>
        </w:rPr>
        <w:instrText>issue</w:instrText>
      </w:r>
      <w:r w:rsidR="00765C06" w:rsidRPr="00015FE3">
        <w:rPr>
          <w:rFonts w:ascii="Times New Roman" w:hAnsi="Times New Roman" w:cs="Times New Roman"/>
          <w:sz w:val="28"/>
          <w:szCs w:val="28"/>
        </w:rPr>
        <w:instrText>":"3","</w:instrText>
      </w:r>
      <w:r w:rsidR="00765C06">
        <w:rPr>
          <w:rFonts w:ascii="Times New Roman" w:hAnsi="Times New Roman" w:cs="Times New Roman"/>
          <w:sz w:val="28"/>
          <w:szCs w:val="28"/>
          <w:lang w:val="en-US"/>
        </w:rPr>
        <w:instrText>issued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date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parts</w:instrText>
      </w:r>
      <w:r w:rsidR="00765C06" w:rsidRPr="00015FE3">
        <w:rPr>
          <w:rFonts w:ascii="Times New Roman" w:hAnsi="Times New Roman" w:cs="Times New Roman"/>
          <w:sz w:val="28"/>
          <w:szCs w:val="28"/>
        </w:rPr>
        <w:instrText>":[["2014"]]},"</w:instrText>
      </w:r>
      <w:r w:rsidR="00765C06">
        <w:rPr>
          <w:rFonts w:ascii="Times New Roman" w:hAnsi="Times New Roman" w:cs="Times New Roman"/>
          <w:sz w:val="28"/>
          <w:szCs w:val="28"/>
          <w:lang w:val="en-US"/>
        </w:rPr>
        <w:instrText>page</w:instrText>
      </w:r>
      <w:r w:rsidR="00765C06" w:rsidRPr="00015FE3">
        <w:rPr>
          <w:rFonts w:ascii="Times New Roman" w:hAnsi="Times New Roman" w:cs="Times New Roman"/>
          <w:sz w:val="28"/>
          <w:szCs w:val="28"/>
        </w:rPr>
        <w:instrText>":"1017-1023","</w:instrText>
      </w:r>
      <w:r w:rsidR="00765C06">
        <w:rPr>
          <w:rFonts w:ascii="Times New Roman" w:hAnsi="Times New Roman" w:cs="Times New Roman"/>
          <w:sz w:val="28"/>
          <w:szCs w:val="28"/>
          <w:lang w:val="en-US"/>
        </w:rPr>
        <w:instrText>title</w:instrText>
      </w:r>
      <w:r w:rsidR="00765C06" w:rsidRPr="00015FE3">
        <w:rPr>
          <w:rFonts w:ascii="Times New Roman" w:hAnsi="Times New Roman" w:cs="Times New Roman"/>
          <w:sz w:val="28"/>
          <w:szCs w:val="28"/>
        </w:rPr>
        <w:instrText>":" 25-</w:instrText>
      </w:r>
      <w:r w:rsidR="00765C06">
        <w:rPr>
          <w:rFonts w:ascii="Times New Roman" w:hAnsi="Times New Roman" w:cs="Times New Roman"/>
          <w:sz w:val="28"/>
          <w:szCs w:val="28"/>
          <w:lang w:val="en-US"/>
        </w:rPr>
        <w:instrText>Hydroxvitamin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w:instrText>
      </w:r>
      <w:r w:rsidR="00765C06" w:rsidRPr="00015FE3">
        <w:rPr>
          <w:rFonts w:ascii="Times New Roman" w:hAnsi="Times New Roman" w:cs="Times New Roman"/>
          <w:sz w:val="28"/>
          <w:szCs w:val="28"/>
        </w:rPr>
        <w:instrText xml:space="preserve"> 3 </w:instrText>
      </w:r>
      <w:r w:rsidR="00765C06">
        <w:rPr>
          <w:rFonts w:ascii="Times New Roman" w:hAnsi="Times New Roman" w:cs="Times New Roman"/>
          <w:sz w:val="28"/>
          <w:szCs w:val="28"/>
          <w:lang w:val="en-US"/>
        </w:rPr>
        <w:instrText>Promotes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Long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Term</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Effect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Specific</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Immunotherapy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Murine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Allergy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Model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type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journal</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volume</w:instrText>
      </w:r>
      <w:r w:rsidR="00765C06" w:rsidRPr="00015FE3">
        <w:rPr>
          <w:rFonts w:ascii="Times New Roman" w:hAnsi="Times New Roman" w:cs="Times New Roman"/>
          <w:sz w:val="28"/>
          <w:szCs w:val="28"/>
        </w:rPr>
        <w:instrText>":"193"},"</w:instrText>
      </w:r>
      <w:r w:rsidR="00765C06">
        <w:rPr>
          <w:rFonts w:ascii="Times New Roman" w:hAnsi="Times New Roman" w:cs="Times New Roman"/>
          <w:sz w:val="28"/>
          <w:szCs w:val="28"/>
          <w:lang w:val="en-US"/>
        </w:rPr>
        <w:instrText>uris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http</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www</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mendeley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com</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documents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uuid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fb</w:instrText>
      </w:r>
      <w:r w:rsidR="00765C06" w:rsidRPr="00015FE3">
        <w:rPr>
          <w:rFonts w:ascii="Times New Roman" w:hAnsi="Times New Roman" w:cs="Times New Roman"/>
          <w:sz w:val="28"/>
          <w:szCs w:val="28"/>
        </w:rPr>
        <w:instrText>57</w:instrText>
      </w:r>
      <w:r w:rsidR="00765C06">
        <w:rPr>
          <w:rFonts w:ascii="Times New Roman" w:hAnsi="Times New Roman" w:cs="Times New Roman"/>
          <w:sz w:val="28"/>
          <w:szCs w:val="28"/>
          <w:lang w:val="en-US"/>
        </w:rPr>
        <w:instrText>a</w:instrText>
      </w:r>
      <w:r w:rsidR="00765C06" w:rsidRPr="00015FE3">
        <w:rPr>
          <w:rFonts w:ascii="Times New Roman" w:hAnsi="Times New Roman" w:cs="Times New Roman"/>
          <w:sz w:val="28"/>
          <w:szCs w:val="28"/>
        </w:rPr>
        <w:instrText>8</w:instrText>
      </w:r>
      <w:r w:rsidR="00765C06">
        <w:rPr>
          <w:rFonts w:ascii="Times New Roman" w:hAnsi="Times New Roman" w:cs="Times New Roman"/>
          <w:sz w:val="28"/>
          <w:szCs w:val="28"/>
          <w:lang w:val="en-US"/>
        </w:rPr>
        <w:instrText>fd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a</w:instrText>
      </w:r>
      <w:r w:rsidR="00765C06" w:rsidRPr="00015FE3">
        <w:rPr>
          <w:rFonts w:ascii="Times New Roman" w:hAnsi="Times New Roman" w:cs="Times New Roman"/>
          <w:sz w:val="28"/>
          <w:szCs w:val="28"/>
        </w:rPr>
        <w:instrText>20</w:instrText>
      </w:r>
      <w:r w:rsidR="00765C06">
        <w:rPr>
          <w:rFonts w:ascii="Times New Roman" w:hAnsi="Times New Roman" w:cs="Times New Roman"/>
          <w:sz w:val="28"/>
          <w:szCs w:val="28"/>
          <w:lang w:val="en-US"/>
        </w:rPr>
        <w:instrText>a</w:instrText>
      </w:r>
      <w:r w:rsidR="00765C06" w:rsidRPr="00015FE3">
        <w:rPr>
          <w:rFonts w:ascii="Times New Roman" w:hAnsi="Times New Roman" w:cs="Times New Roman"/>
          <w:sz w:val="28"/>
          <w:szCs w:val="28"/>
        </w:rPr>
        <w:instrText>-4</w:instrText>
      </w:r>
      <w:r w:rsidR="00765C06">
        <w:rPr>
          <w:rFonts w:ascii="Times New Roman" w:hAnsi="Times New Roman" w:cs="Times New Roman"/>
          <w:sz w:val="28"/>
          <w:szCs w:val="28"/>
          <w:lang w:val="en-US"/>
        </w:rPr>
        <w:instrText>b</w:instrText>
      </w:r>
      <w:r w:rsidR="00765C06" w:rsidRPr="00015FE3">
        <w:rPr>
          <w:rFonts w:ascii="Times New Roman" w:hAnsi="Times New Roman" w:cs="Times New Roman"/>
          <w:sz w:val="28"/>
          <w:szCs w:val="28"/>
        </w:rPr>
        <w:instrText>46-</w:instrText>
      </w:r>
      <w:r w:rsidR="00765C06">
        <w:rPr>
          <w:rFonts w:ascii="Times New Roman" w:hAnsi="Times New Roman" w:cs="Times New Roman"/>
          <w:sz w:val="28"/>
          <w:szCs w:val="28"/>
          <w:lang w:val="en-US"/>
        </w:rPr>
        <w:instrText>b</w:instrText>
      </w:r>
      <w:r w:rsidR="00765C06" w:rsidRPr="00015FE3">
        <w:rPr>
          <w:rFonts w:ascii="Times New Roman" w:hAnsi="Times New Roman" w:cs="Times New Roman"/>
          <w:sz w:val="28"/>
          <w:szCs w:val="28"/>
        </w:rPr>
        <w:instrText>220-53</w:instrText>
      </w:r>
      <w:r w:rsidR="00765C06">
        <w:rPr>
          <w:rFonts w:ascii="Times New Roman" w:hAnsi="Times New Roman" w:cs="Times New Roman"/>
          <w:sz w:val="28"/>
          <w:szCs w:val="28"/>
          <w:lang w:val="en-US"/>
        </w:rPr>
        <w:instrText>c</w:instrText>
      </w:r>
      <w:r w:rsidR="00765C06" w:rsidRPr="00015FE3">
        <w:rPr>
          <w:rFonts w:ascii="Times New Roman" w:hAnsi="Times New Roman" w:cs="Times New Roman"/>
          <w:sz w:val="28"/>
          <w:szCs w:val="28"/>
        </w:rPr>
        <w:instrText>96306</w:instrText>
      </w:r>
      <w:r w:rsidR="00765C06">
        <w:rPr>
          <w:rFonts w:ascii="Times New Roman" w:hAnsi="Times New Roman" w:cs="Times New Roman"/>
          <w:sz w:val="28"/>
          <w:szCs w:val="28"/>
          <w:lang w:val="en-US"/>
        </w:rPr>
        <w:instrText>a</w:instrText>
      </w:r>
      <w:r w:rsidR="00765C06" w:rsidRPr="00015FE3">
        <w:rPr>
          <w:rFonts w:ascii="Times New Roman" w:hAnsi="Times New Roman" w:cs="Times New Roman"/>
          <w:sz w:val="28"/>
          <w:szCs w:val="28"/>
        </w:rPr>
        <w:instrText>382"]}],"</w:instrText>
      </w:r>
      <w:r w:rsidR="00765C06">
        <w:rPr>
          <w:rFonts w:ascii="Times New Roman" w:hAnsi="Times New Roman" w:cs="Times New Roman"/>
          <w:sz w:val="28"/>
          <w:szCs w:val="28"/>
          <w:lang w:val="en-US"/>
        </w:rPr>
        <w:instrText>mendeley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formattedCitation</w:instrText>
      </w:r>
      <w:r w:rsidR="00765C06" w:rsidRPr="00015FE3">
        <w:rPr>
          <w:rFonts w:ascii="Times New Roman" w:hAnsi="Times New Roman" w:cs="Times New Roman"/>
          <w:sz w:val="28"/>
          <w:szCs w:val="28"/>
        </w:rPr>
        <w:instrText>":"[88]","</w:instrText>
      </w:r>
      <w:r w:rsidR="00765C06">
        <w:rPr>
          <w:rFonts w:ascii="Times New Roman" w:hAnsi="Times New Roman" w:cs="Times New Roman"/>
          <w:sz w:val="28"/>
          <w:szCs w:val="28"/>
          <w:lang w:val="en-US"/>
        </w:rPr>
        <w:instrText>plainTextFormattedCitation</w:instrText>
      </w:r>
      <w:r w:rsidR="00765C06" w:rsidRPr="00015FE3">
        <w:rPr>
          <w:rFonts w:ascii="Times New Roman" w:hAnsi="Times New Roman" w:cs="Times New Roman"/>
          <w:sz w:val="28"/>
          <w:szCs w:val="28"/>
        </w:rPr>
        <w:instrText>":"[88]","</w:instrText>
      </w:r>
      <w:r w:rsidR="00765C06">
        <w:rPr>
          <w:rFonts w:ascii="Times New Roman" w:hAnsi="Times New Roman" w:cs="Times New Roman"/>
          <w:sz w:val="28"/>
          <w:szCs w:val="28"/>
          <w:lang w:val="en-US"/>
        </w:rPr>
        <w:instrText>previouslyFormattedCitation</w:instrText>
      </w:r>
      <w:r w:rsidR="00765C06" w:rsidRPr="00015FE3">
        <w:rPr>
          <w:rFonts w:ascii="Times New Roman" w:hAnsi="Times New Roman" w:cs="Times New Roman"/>
          <w:sz w:val="28"/>
          <w:szCs w:val="28"/>
        </w:rPr>
        <w:instrText>":"[88]"},"</w:instrText>
      </w:r>
      <w:r w:rsidR="00765C06">
        <w:rPr>
          <w:rFonts w:ascii="Times New Roman" w:hAnsi="Times New Roman" w:cs="Times New Roman"/>
          <w:sz w:val="28"/>
          <w:szCs w:val="28"/>
          <w:lang w:val="en-US"/>
        </w:rPr>
        <w:instrText>properties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noteIndex</w:instrText>
      </w:r>
      <w:r w:rsidR="00765C06" w:rsidRPr="00015FE3">
        <w:rPr>
          <w:rFonts w:ascii="Times New Roman" w:hAnsi="Times New Roman" w:cs="Times New Roman"/>
          <w:sz w:val="28"/>
          <w:szCs w:val="28"/>
        </w:rPr>
        <w:instrText>":0},"</w:instrText>
      </w:r>
      <w:r w:rsidR="00765C06">
        <w:rPr>
          <w:rFonts w:ascii="Times New Roman" w:hAnsi="Times New Roman" w:cs="Times New Roman"/>
          <w:sz w:val="28"/>
          <w:szCs w:val="28"/>
          <w:lang w:val="en-US"/>
        </w:rPr>
        <w:instrText>schema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https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github</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com</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citation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style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language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schema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raw</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master</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csl</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citation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json</w:instrText>
      </w:r>
      <w:r w:rsidR="00765C06" w:rsidRPr="00015FE3">
        <w:rPr>
          <w:rFonts w:ascii="Times New Roman" w:hAnsi="Times New Roman" w:cs="Times New Roman"/>
          <w:sz w:val="28"/>
          <w:szCs w:val="28"/>
        </w:rPr>
        <w:instrText>"}</w:instrText>
      </w:r>
      <w:r w:rsidR="000A40F1" w:rsidRPr="001B27F8">
        <w:rPr>
          <w:rFonts w:ascii="Times New Roman" w:hAnsi="Times New Roman" w:cs="Times New Roman"/>
          <w:sz w:val="28"/>
          <w:szCs w:val="28"/>
          <w:lang w:val="en-US"/>
        </w:rPr>
        <w:fldChar w:fldCharType="separate"/>
      </w:r>
      <w:r w:rsidR="00877069" w:rsidRPr="00877069">
        <w:rPr>
          <w:rFonts w:ascii="Times New Roman" w:hAnsi="Times New Roman" w:cs="Times New Roman"/>
          <w:noProof/>
          <w:sz w:val="28"/>
          <w:szCs w:val="28"/>
        </w:rPr>
        <w:t>[88]</w:t>
      </w:r>
      <w:r w:rsidR="000A40F1" w:rsidRPr="001B27F8">
        <w:rPr>
          <w:rFonts w:ascii="Times New Roman" w:hAnsi="Times New Roman" w:cs="Times New Roman"/>
          <w:sz w:val="28"/>
          <w:szCs w:val="28"/>
          <w:lang w:val="en-US"/>
        </w:rPr>
        <w:fldChar w:fldCharType="end"/>
      </w:r>
      <w:r w:rsidR="000A40F1" w:rsidRPr="001B27F8">
        <w:rPr>
          <w:rFonts w:ascii="Times New Roman" w:hAnsi="Times New Roman" w:cs="Times New Roman"/>
          <w:sz w:val="28"/>
          <w:szCs w:val="28"/>
        </w:rPr>
        <w:t xml:space="preserve">. </w:t>
      </w:r>
      <w:r w:rsidR="00BF2E21">
        <w:rPr>
          <w:rFonts w:ascii="Times New Roman" w:hAnsi="Times New Roman" w:cs="Times New Roman"/>
          <w:sz w:val="28"/>
          <w:szCs w:val="28"/>
        </w:rPr>
        <w:t xml:space="preserve">Рецепторы к витамину Д </w:t>
      </w:r>
      <w:r w:rsidR="00912DE4" w:rsidRPr="001B27F8">
        <w:rPr>
          <w:rFonts w:ascii="Times New Roman" w:hAnsi="Times New Roman" w:cs="Times New Roman"/>
          <w:sz w:val="28"/>
          <w:szCs w:val="28"/>
        </w:rPr>
        <w:t>были обнаружены в моноцитах крови и активированных Т</w:t>
      </w:r>
      <w:r w:rsidR="004A3DDB">
        <w:rPr>
          <w:rFonts w:ascii="Times New Roman" w:hAnsi="Times New Roman" w:cs="Times New Roman"/>
          <w:sz w:val="28"/>
          <w:szCs w:val="28"/>
        </w:rPr>
        <w:t>-</w:t>
      </w:r>
      <w:r w:rsidR="00912DE4" w:rsidRPr="001B27F8">
        <w:rPr>
          <w:rFonts w:ascii="Times New Roman" w:hAnsi="Times New Roman" w:cs="Times New Roman"/>
          <w:sz w:val="28"/>
          <w:szCs w:val="28"/>
        </w:rPr>
        <w:t xml:space="preserve"> и В</w:t>
      </w:r>
      <w:r w:rsidR="004A3DDB">
        <w:rPr>
          <w:rFonts w:ascii="Times New Roman" w:hAnsi="Times New Roman" w:cs="Times New Roman"/>
          <w:sz w:val="28"/>
          <w:szCs w:val="28"/>
        </w:rPr>
        <w:t>-</w:t>
      </w:r>
      <w:r w:rsidR="00912DE4" w:rsidRPr="001B27F8">
        <w:rPr>
          <w:rFonts w:ascii="Times New Roman" w:hAnsi="Times New Roman" w:cs="Times New Roman"/>
          <w:sz w:val="28"/>
          <w:szCs w:val="28"/>
        </w:rPr>
        <w:t xml:space="preserve"> лимфоцитах. </w:t>
      </w:r>
      <w:r w:rsidR="00F714EF" w:rsidRPr="001B27F8">
        <w:rPr>
          <w:rFonts w:ascii="Times New Roman" w:hAnsi="Times New Roman" w:cs="Times New Roman"/>
          <w:sz w:val="28"/>
          <w:szCs w:val="28"/>
        </w:rPr>
        <w:t>В таком положении Т-лимфоциты</w:t>
      </w:r>
      <w:r w:rsidR="00BD406E" w:rsidRPr="001B27F8">
        <w:rPr>
          <w:rFonts w:ascii="Times New Roman" w:hAnsi="Times New Roman" w:cs="Times New Roman"/>
          <w:sz w:val="28"/>
          <w:szCs w:val="28"/>
        </w:rPr>
        <w:t xml:space="preserve"> являются непосредственными мишенями</w:t>
      </w:r>
      <w:r w:rsidR="007511E5">
        <w:rPr>
          <w:rFonts w:ascii="Times New Roman" w:hAnsi="Times New Roman" w:cs="Times New Roman"/>
          <w:sz w:val="28"/>
          <w:szCs w:val="28"/>
        </w:rPr>
        <w:t xml:space="preserve"> активированной формы витамина Д</w:t>
      </w:r>
      <w:r w:rsidR="00BD406E" w:rsidRPr="001B27F8">
        <w:rPr>
          <w:rFonts w:ascii="Times New Roman" w:hAnsi="Times New Roman" w:cs="Times New Roman"/>
          <w:sz w:val="28"/>
          <w:szCs w:val="28"/>
        </w:rPr>
        <w:t xml:space="preserve">, </w:t>
      </w:r>
      <w:r w:rsidR="002D112C" w:rsidRPr="001B27F8">
        <w:rPr>
          <w:rFonts w:ascii="Times New Roman" w:hAnsi="Times New Roman" w:cs="Times New Roman"/>
          <w:sz w:val="28"/>
          <w:szCs w:val="28"/>
        </w:rPr>
        <w:t>который оказывает регуляторное</w:t>
      </w:r>
      <w:r w:rsidR="00BD406E" w:rsidRPr="001B27F8">
        <w:rPr>
          <w:rFonts w:ascii="Times New Roman" w:hAnsi="Times New Roman" w:cs="Times New Roman"/>
          <w:sz w:val="28"/>
          <w:szCs w:val="28"/>
        </w:rPr>
        <w:t xml:space="preserve"> </w:t>
      </w:r>
      <w:r w:rsidR="002D112C" w:rsidRPr="001B27F8">
        <w:rPr>
          <w:rFonts w:ascii="Times New Roman" w:hAnsi="Times New Roman" w:cs="Times New Roman"/>
          <w:sz w:val="28"/>
          <w:szCs w:val="28"/>
        </w:rPr>
        <w:t>влияние</w:t>
      </w:r>
      <w:r w:rsidR="00BD406E" w:rsidRPr="001B27F8">
        <w:rPr>
          <w:rFonts w:ascii="Times New Roman" w:hAnsi="Times New Roman" w:cs="Times New Roman"/>
          <w:sz w:val="28"/>
          <w:szCs w:val="28"/>
        </w:rPr>
        <w:t xml:space="preserve"> на уровни циркулирующих хемокинов и цитокинов</w:t>
      </w:r>
      <w:r w:rsidR="000A40F1" w:rsidRPr="001B27F8">
        <w:rPr>
          <w:rFonts w:ascii="Times New Roman" w:hAnsi="Times New Roman" w:cs="Times New Roman"/>
          <w:sz w:val="28"/>
          <w:szCs w:val="28"/>
        </w:rPr>
        <w:t xml:space="preserve"> </w:t>
      </w:r>
      <w:r w:rsidR="000A40F1"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{"citationItems":[{"id":"ITEM-1","itemData":{"DOI":"10.5005/jp-journals-10013-1209","ISSN":"09756965","abstract":"Allergic rhinitis is a common condition affecting 5 to 40% of general population and its prevalence is increasing. It is a chronic condition characterized by inflammation of nasal mucosa. As per recent studies, there is an association between serum vitamin D levels and allergic rhinitis status. Vitamin D has major role in the regulation of calcium metabolism. In addition to this, it also has a number of immunological effects and takes part in immunomodulation, which can significantly affect the outcome of allergic responses like in allergic rhinitis. Aims and objectives: To establish the correlation between vitamin D3 serum levels and allergic rhinitis. Materials and methods: Vitamin D levels were assessed in 23 patients with allergic rhinitis diagnosed clinically by allergic rhinitis and its impact on asthma 2008 criteria and results were compared with vitamin D status in the normal population of same region. Results: The levels of serum vitamin D levels were significantly low in the patients of allergic rhinitis. Conclusion: Measuring of serum levels of vitamin D could be considered in the routine assessment of patients with allergic rhinitis.","author":[{"dropping-particle":"","family":"Thakkar","given":"Bhaskar","non-dropping-particle":"","parse-names":false,"suffix":""},{"dropping-particle":"","family":"Katarkar","given":"Ashish","non-dropping-particle":"","parse-names":false,"suffix":""},{"dropping-particle":"","family":"Modh","given":"Datt","non-dropping-particle":"","parse-names":false,"suffix":""},{"dropping-particle":"","family":"Jain","given":"Anil","non-dropping-particle":"","parse-names":false,"suffix":""},{"dropping-particle":"","family":"Shah","given":"Pankaj","non-dropping-particle":"","parse-names":false,"suffix":""},{"dropping-particle":"","family":"Joshi","given":"Krupal","non-dropping-particle":"","parse-names":false,"suffix":""}],"container-title":"Clinical Rhinology","id":"ITEM-1","issue":"3","issued":{"date-parts":[["2014"]]},"page":"112-116","title":"Deficiency of vitamin D in allergic rhinitis: A possible factor in multifactorial disease","type":"article-journal","volume":"7"},"uris":["http://www.mendeley.com/documents/?uuid=6c5d3b80-5dd8-4f9f-ae57-701338b294ad"]}],"mendeley":{"formattedCitation":"[24]","plainTextFormattedCitation":"[24]","previouslyFormattedCitation":"[24]"},"properties":{"noteIndex":0},"schema":"https://github.com/citation-style-language/schema/raw/master/csl-citation.json"}</w:instrText>
      </w:r>
      <w:r w:rsidR="000A40F1"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[24]</w:t>
      </w:r>
      <w:r w:rsidR="000A40F1" w:rsidRPr="001B27F8">
        <w:rPr>
          <w:rFonts w:ascii="Times New Roman" w:hAnsi="Times New Roman" w:cs="Times New Roman"/>
          <w:sz w:val="28"/>
          <w:szCs w:val="28"/>
        </w:rPr>
        <w:fldChar w:fldCharType="end"/>
      </w:r>
      <w:r w:rsidR="00BD406E" w:rsidRPr="001B27F8">
        <w:rPr>
          <w:rFonts w:ascii="Times New Roman" w:hAnsi="Times New Roman" w:cs="Times New Roman"/>
          <w:sz w:val="28"/>
          <w:szCs w:val="28"/>
        </w:rPr>
        <w:t xml:space="preserve">. </w:t>
      </w:r>
    </w:p>
    <w:p w14:paraId="3F23AB5B" w14:textId="76831A0C" w:rsidR="002547D7" w:rsidRPr="001B27F8" w:rsidRDefault="00086167" w:rsidP="001B27F8">
      <w:pPr>
        <w:tabs>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Витамин Д</w:t>
      </w:r>
      <w:r w:rsidR="00F714EF" w:rsidRPr="001B27F8">
        <w:rPr>
          <w:rFonts w:ascii="Times New Roman" w:hAnsi="Times New Roman" w:cs="Times New Roman"/>
          <w:sz w:val="28"/>
          <w:szCs w:val="28"/>
        </w:rPr>
        <w:t xml:space="preserve"> подавляет дифференцировку, созревание и иммуностимулирующую способность дендритных клеток, </w:t>
      </w:r>
      <w:r w:rsidR="003F052A">
        <w:rPr>
          <w:rFonts w:ascii="Times New Roman" w:hAnsi="Times New Roman" w:cs="Times New Roman"/>
          <w:sz w:val="28"/>
          <w:szCs w:val="28"/>
        </w:rPr>
        <w:t>блокируя</w:t>
      </w:r>
      <w:r w:rsidR="00F714EF" w:rsidRPr="001B27F8">
        <w:rPr>
          <w:rFonts w:ascii="Times New Roman" w:hAnsi="Times New Roman" w:cs="Times New Roman"/>
          <w:sz w:val="28"/>
          <w:szCs w:val="28"/>
        </w:rPr>
        <w:t xml:space="preserve"> экспрессию молекул MHC класса II</w:t>
      </w:r>
      <w:r w:rsidR="006C6C84" w:rsidRPr="001B27F8">
        <w:rPr>
          <w:rFonts w:ascii="Times New Roman" w:hAnsi="Times New Roman" w:cs="Times New Roman"/>
          <w:sz w:val="28"/>
          <w:szCs w:val="28"/>
        </w:rPr>
        <w:t xml:space="preserve"> </w:t>
      </w:r>
      <w:r w:rsidR="006C6C84"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{"citationItems":[{"id":"ITEM-1","itemData":{"DOI":"10.3390/nu7095383","ISSN":"20726643","PMID":"26402698","abstract":"Studies over the last two decades have revealed profound immunomodulatory aspects of vitamin D on various aspects of the immune system. This review will provide an overview of Vitamin D metabolism, a description of dendritic cell subsets, and highlight recent advances on the effects of vitamin D on dendritic cell function, maturation, cytokine production and antigen presentation. The active form of vitamin D, 1,25(OH)2D3, has important immunoregulatory and anti-inflammatory effects. Specifically, the 1,25(OH)2D3-Vitamin D3 complex can affect the maturation and migration of many dendritic cell subsets, conferring a special immunoregulatory role as well as tolerogenic properties affecting cytokine and chemokine production. Furthermore, there have been many recent studies demonstrating the effects of Vitamin D on allergic disease and autoimmunity. A clear understanding of the effects of the various forms of Vitamin D will provide new opportunities to improve human health.","author":[{"dropping-particle":"","family":"Barragan","given":"Myriam","non-dropping-particle":"","parse-names":false,"suffix":""},{"dropping-particle":"","family":"Good","given":"Misty","non-dropping-particle":"","parse-names":false,"suffix":""},{"dropping-particle":"","family":"Kolls","given":"Jay K.","non-dropping-particle":"","parse-names":false,"suffix":""}],"container-title":"Nutrients","id":"ITEM-1","issue":"9","issued":{"date-parts":[["2015"]]},"page":"8127-8151","title":"Regulation of dendritic cell function by vitamin D","type":"article-journal","volume":"7"},"uris":["http://www.mendeley.com/documents/?uuid=49481eb0-7373-4226-8bc5-479d2ffdc0de"]}],"mendeley":{"formattedCitation":"[89]","plainTextFormattedCitation":"[89]","previouslyFormattedCitation":"[89]"},"properties":{"noteIndex":0},"schema":"https://github.com/citation-style-language/schema/raw/master/csl-citation.json"}</w:instrText>
      </w:r>
      <w:r w:rsidR="006C6C84"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[89]</w:t>
      </w:r>
      <w:r w:rsidR="006C6C84" w:rsidRPr="001B27F8">
        <w:rPr>
          <w:rFonts w:ascii="Times New Roman" w:hAnsi="Times New Roman" w:cs="Times New Roman"/>
          <w:sz w:val="28"/>
          <w:szCs w:val="28"/>
        </w:rPr>
        <w:fldChar w:fldCharType="end"/>
      </w:r>
      <w:r w:rsidR="00F714EF" w:rsidRPr="001B27F8">
        <w:rPr>
          <w:rFonts w:ascii="Times New Roman" w:hAnsi="Times New Roman" w:cs="Times New Roman"/>
          <w:sz w:val="28"/>
          <w:szCs w:val="28"/>
        </w:rPr>
        <w:t>. Тем самым, ф</w:t>
      </w:r>
      <w:r w:rsidR="00A54C08">
        <w:rPr>
          <w:rFonts w:ascii="Times New Roman" w:hAnsi="Times New Roman" w:cs="Times New Roman"/>
          <w:sz w:val="28"/>
          <w:szCs w:val="28"/>
        </w:rPr>
        <w:t>изиологические уровни витамина Д</w:t>
      </w:r>
      <w:r w:rsidR="002428AB" w:rsidRPr="001B27F8">
        <w:rPr>
          <w:rFonts w:ascii="Times New Roman" w:hAnsi="Times New Roman" w:cs="Times New Roman"/>
          <w:sz w:val="28"/>
          <w:szCs w:val="28"/>
        </w:rPr>
        <w:t xml:space="preserve"> поддерживают </w:t>
      </w:r>
      <w:r w:rsidR="000A40F1" w:rsidRPr="001B27F8">
        <w:rPr>
          <w:rFonts w:ascii="Times New Roman" w:hAnsi="Times New Roman" w:cs="Times New Roman"/>
          <w:sz w:val="28"/>
          <w:szCs w:val="28"/>
        </w:rPr>
        <w:t>уровен</w:t>
      </w:r>
      <w:r w:rsidR="00A54C08">
        <w:rPr>
          <w:rFonts w:ascii="Times New Roman" w:hAnsi="Times New Roman" w:cs="Times New Roman"/>
          <w:sz w:val="28"/>
          <w:szCs w:val="28"/>
        </w:rPr>
        <w:t>ь толерогенных ДК</w:t>
      </w:r>
      <w:r w:rsidR="00B63508" w:rsidRPr="001B27F8">
        <w:rPr>
          <w:rFonts w:ascii="Times New Roman" w:hAnsi="Times New Roman" w:cs="Times New Roman"/>
          <w:sz w:val="28"/>
          <w:szCs w:val="28"/>
        </w:rPr>
        <w:t xml:space="preserve">, продуцирующих ИЛ-10 </w:t>
      </w:r>
      <w:r w:rsidR="00B63508"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{"citationItems":[{"id":"ITEM-1","itemData":{"DOI":"10.5005/jp-journals-10013-1209","ISSN":"09756965","abstract":"Allergic rhinitis is a common condition affecting 5 to 40% of general population and its prevalence is increasing. It is a chronic condition characterized by inflammation of nasal mucosa. As per recent studies, there is an association between serum vitamin D levels and allergic rhinitis status. Vitamin D has major role in the regulation of calcium metabolism. In addition to this, it also has a number of immunological effects and takes part in immunomodulation, which can significantly affect the outcome of allergic responses like in allergic rhinitis. Aims and objectives: To establish the correlation between vitamin D3 serum levels and allergic rhinitis. Materials and methods: Vitamin D levels were assessed in 23 patients with allergic rhinitis diagnosed clinically by allergic rhinitis and its impact on asthma 2008 criteria and results were compared with vitamin D status in the normal population of same region. Results: The levels of serum vitamin D levels were significantly low in the patients of allergic rhinitis. Conclusion: Measuring of serum levels of vitamin D could be considered in the routine assessment of patients with allergic rhinitis.","author":[{"dropping-particle":"","family":"Thakkar","given":"Bhaskar","non-dropping-particle":"","parse-names":false,"suffix":""},{"dropping-particle":"","family":"Katarkar","given":"Ashish","non-dropping-particle":"","parse-names":false,"suffix":""},{"dropping-particle":"","family":"Modh","given":"Datt","non-dropping-particle":"","parse-names":false,"suffix":""},{"dropping-particle":"","family":"Jain","given":"Anil","non-dropping-particle":"","parse-names":false,"suffix":""},{"dropping-particle":"","family":"Shah","given":"Pankaj","non-dropping-particle":"","parse-names":false,"suffix":""},{"dropping-particle":"","family":"Joshi","given":"Krupal","non-dropping-particle":"","parse-names":false,"suffix":""}],"container-title":"Clinical Rhinology","id":"ITEM-1","issue":"3","issued":{"date-parts":[["2014"]]},"page":"112-116","title":"Deficiency of vitamin D in allergic rhinitis: A possible factor in multifactorial disease","type":"article-journal","volume":"7"},"uris":["http://www.mendeley.com/documents/?uuid=6c5d3b80-5dd8-4f9f-ae57-701338b294ad"]}],"mendeley":{"formattedCitation":"[24]","plainTextFormattedCitation":"[24]","previouslyFormattedCitation":"[24]"},"properties":{"noteIndex":0},"schema":"https://github.com/citation-style-language/schema/raw/master/csl-citation.json"}</w:instrText>
      </w:r>
      <w:r w:rsidR="00B63508"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[24]</w:t>
      </w:r>
      <w:r w:rsidR="00B63508" w:rsidRPr="001B27F8">
        <w:rPr>
          <w:rFonts w:ascii="Times New Roman" w:hAnsi="Times New Roman" w:cs="Times New Roman"/>
          <w:sz w:val="28"/>
          <w:szCs w:val="28"/>
        </w:rPr>
        <w:fldChar w:fldCharType="end"/>
      </w:r>
      <w:r w:rsidR="000A40F1" w:rsidRPr="001B27F8">
        <w:rPr>
          <w:rFonts w:ascii="Times New Roman" w:hAnsi="Times New Roman" w:cs="Times New Roman"/>
          <w:sz w:val="28"/>
          <w:szCs w:val="28"/>
        </w:rPr>
        <w:t>.</w:t>
      </w:r>
      <w:r w:rsidR="001F522C">
        <w:rPr>
          <w:rFonts w:ascii="Times New Roman" w:hAnsi="Times New Roman" w:cs="Times New Roman"/>
          <w:sz w:val="28"/>
          <w:szCs w:val="28"/>
        </w:rPr>
        <w:t xml:space="preserve"> </w:t>
      </w:r>
      <w:r w:rsidR="00A54C08">
        <w:rPr>
          <w:rFonts w:ascii="Times New Roman" w:hAnsi="Times New Roman" w:cs="Times New Roman"/>
          <w:sz w:val="28"/>
          <w:szCs w:val="28"/>
        </w:rPr>
        <w:t>Витамин Д</w:t>
      </w:r>
      <w:r w:rsidR="002547D7" w:rsidRPr="001B27F8">
        <w:rPr>
          <w:rFonts w:ascii="Times New Roman" w:hAnsi="Times New Roman" w:cs="Times New Roman"/>
          <w:sz w:val="28"/>
          <w:szCs w:val="28"/>
        </w:rPr>
        <w:t xml:space="preserve"> способствует поддержан</w:t>
      </w:r>
      <w:r w:rsidR="00A54C08">
        <w:rPr>
          <w:rFonts w:ascii="Times New Roman" w:hAnsi="Times New Roman" w:cs="Times New Roman"/>
          <w:sz w:val="28"/>
          <w:szCs w:val="28"/>
        </w:rPr>
        <w:t xml:space="preserve">ию баланса между </w:t>
      </w:r>
      <w:r w:rsidR="00380766">
        <w:rPr>
          <w:rFonts w:ascii="Times New Roman" w:hAnsi="Times New Roman" w:cs="Times New Roman"/>
          <w:sz w:val="28"/>
          <w:szCs w:val="28"/>
        </w:rPr>
        <w:t>Т-хелперами 1 (</w:t>
      </w:r>
      <w:r w:rsidR="00A54C08">
        <w:rPr>
          <w:rFonts w:ascii="Times New Roman" w:hAnsi="Times New Roman" w:cs="Times New Roman"/>
          <w:sz w:val="28"/>
          <w:szCs w:val="28"/>
        </w:rPr>
        <w:t>Th1</w:t>
      </w:r>
      <w:r w:rsidR="00380766">
        <w:rPr>
          <w:rFonts w:ascii="Times New Roman" w:hAnsi="Times New Roman" w:cs="Times New Roman"/>
          <w:sz w:val="28"/>
          <w:szCs w:val="28"/>
        </w:rPr>
        <w:t>)</w:t>
      </w:r>
      <w:r w:rsidR="00C71D4D" w:rsidRPr="001B27F8">
        <w:rPr>
          <w:rFonts w:ascii="Times New Roman" w:hAnsi="Times New Roman" w:cs="Times New Roman"/>
          <w:sz w:val="28"/>
          <w:szCs w:val="28"/>
        </w:rPr>
        <w:t xml:space="preserve"> и </w:t>
      </w:r>
      <w:r w:rsidR="002B22BA">
        <w:rPr>
          <w:rFonts w:ascii="Times New Roman" w:hAnsi="Times New Roman" w:cs="Times New Roman"/>
          <w:sz w:val="28"/>
          <w:szCs w:val="28"/>
        </w:rPr>
        <w:t>2 типа</w:t>
      </w:r>
      <w:r w:rsidR="00A84C2A" w:rsidRPr="001B27F8">
        <w:rPr>
          <w:rFonts w:ascii="Times New Roman" w:hAnsi="Times New Roman" w:cs="Times New Roman"/>
          <w:sz w:val="28"/>
          <w:szCs w:val="28"/>
        </w:rPr>
        <w:t xml:space="preserve"> </w:t>
      </w:r>
      <w:r w:rsidR="006C6C84"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{"citationItems":[{"id":"ITEM-1","itemData":{"DOI":"10.1111/sji.12403","ISSN":"13653083","PMID":"26678915","abstract":"In the past, vitamin D was known for its classical, skeletal action as a regulator of calcium and bone homoeostasis. Currently, vitamin D was found to have a role in numerous physiological processes in the human body; thus, vitamin D has pleiotropic activity. The studies carried out in the past two decades showed the role of vitamin D in the regulation of immune system functions. Basically, these effects may be mediated not only via endocrine mechanism of circulating calcitriol but also via paracrine one (based on cell-cell communication that leads to production of signal inducing the changes in nearby/adjacent cells and modulating their differentiation or behaviour) and intracrine mechanism (the action of vitamin D inside a cell) of 1,25-dihydroxycholecalciferol (1,25(OH)2D3) synthetized from its precursor 25-hydroxyvitamin D3 (25(OH)D3). Both vitamin D receptor (VDR) and 25-hydroxyvitamin D3 1-α-hydroxylase (CYP27B1) are expressed in several types of immune cells (i.e. antigen presenting cells, T and B cells), and thus, they are able to synthetize the bioactive form of vitamin D that modulates both the innate and adaptive immune system. This review discusses the role of vitamin D as regulator of immune system, and our understanding of how vitamin D regulates both adaptive and innate immunity as well as inflammatory cascade on the cellular level.","author":[{"dropping-particle":"","family":"Szymczak","given":"I.","non-dropping-particle":"","parse-names":false,"suffix":""},{"dropping-particle":"","family":"Pawliczak","given":"R.","non-dropping-particle":"","parse-names":false,"suffix":""}],"container-title":"Scandinavian Journal of Immunology","id":"ITEM-1","issue":"2","issued":{"date-parts":[["2016"]]},"page":"83-91","title":"The Active Metabolite of Vitamin D3 as a Potential Immunomodulator","type":"article-journal","volume":"83"},"uris":["http://www.mendeley.com/documents/?uuid=c892fd78-53db-414a-9b7e-e2b504f9c1c1"]}],"mendeley":{"formattedCitation":"[87]","plainTextFormattedCitation":"[87]","previouslyFormattedCitation":"[87]"},"properties":{"noteIndex":0},"schema":"https://github.com/citation-style-language/schema/raw/master/csl-citation.json"}</w:instrText>
      </w:r>
      <w:r w:rsidR="006C6C84"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[87]</w:t>
      </w:r>
      <w:r w:rsidR="006C6C84" w:rsidRPr="001B27F8">
        <w:rPr>
          <w:rFonts w:ascii="Times New Roman" w:hAnsi="Times New Roman" w:cs="Times New Roman"/>
          <w:sz w:val="28"/>
          <w:szCs w:val="28"/>
        </w:rPr>
        <w:fldChar w:fldCharType="end"/>
      </w:r>
      <w:r w:rsidR="002547D7" w:rsidRPr="001B27F8">
        <w:rPr>
          <w:rFonts w:ascii="Times New Roman" w:hAnsi="Times New Roman" w:cs="Times New Roman"/>
          <w:sz w:val="28"/>
          <w:szCs w:val="28"/>
        </w:rPr>
        <w:t xml:space="preserve">. Некоторые исследования </w:t>
      </w:r>
      <w:r w:rsidR="00054AC9">
        <w:rPr>
          <w:rFonts w:ascii="Times New Roman" w:hAnsi="Times New Roman" w:cs="Times New Roman"/>
          <w:sz w:val="28"/>
          <w:szCs w:val="28"/>
        </w:rPr>
        <w:t>показали, что дефицит витамина Д</w:t>
      </w:r>
      <w:r w:rsidR="002547D7" w:rsidRPr="001B27F8">
        <w:rPr>
          <w:rFonts w:ascii="Times New Roman" w:hAnsi="Times New Roman" w:cs="Times New Roman"/>
          <w:sz w:val="28"/>
          <w:szCs w:val="28"/>
        </w:rPr>
        <w:t xml:space="preserve"> может привести к увеличению Th2 и снижению T</w:t>
      </w:r>
      <w:r w:rsidR="00054AC9">
        <w:rPr>
          <w:rFonts w:ascii="Times New Roman" w:hAnsi="Times New Roman" w:cs="Times New Roman"/>
          <w:sz w:val="28"/>
          <w:szCs w:val="28"/>
        </w:rPr>
        <w:t>-</w:t>
      </w:r>
      <w:r w:rsidR="002547D7" w:rsidRPr="001B27F8">
        <w:rPr>
          <w:rFonts w:ascii="Times New Roman" w:hAnsi="Times New Roman" w:cs="Times New Roman"/>
          <w:sz w:val="28"/>
          <w:szCs w:val="28"/>
        </w:rPr>
        <w:t xml:space="preserve">reg и </w:t>
      </w:r>
      <w:r w:rsidR="00C71D4D" w:rsidRPr="001B27F8">
        <w:rPr>
          <w:rFonts w:ascii="Times New Roman" w:hAnsi="Times New Roman" w:cs="Times New Roman"/>
          <w:sz w:val="28"/>
          <w:szCs w:val="28"/>
        </w:rPr>
        <w:t>ИЛ</w:t>
      </w:r>
      <w:r w:rsidR="00096EA1" w:rsidRPr="001B27F8">
        <w:rPr>
          <w:rFonts w:ascii="Times New Roman" w:hAnsi="Times New Roman" w:cs="Times New Roman"/>
          <w:sz w:val="28"/>
          <w:szCs w:val="28"/>
        </w:rPr>
        <w:t>-10</w:t>
      </w:r>
      <w:r w:rsidR="00A84C2A" w:rsidRPr="001B27F8">
        <w:rPr>
          <w:rFonts w:ascii="Times New Roman" w:hAnsi="Times New Roman" w:cs="Times New Roman"/>
          <w:sz w:val="28"/>
          <w:szCs w:val="28"/>
        </w:rPr>
        <w:t xml:space="preserve"> </w:t>
      </w:r>
      <w:r w:rsidR="002547D7"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{"citationItems":[{"id":"ITEM-1","itemData":{"DOI":"10.3390/nu12061801","ISBN":"4871328120","ISSN":"20726643","PMID":"32560403","abstract":"Asthma and allergic rhinitis are the most common chronic childhood diseases with an increasing prevalence worldwide. There is an urgent need to look for methods of preventing allergic diseases from an early age. The relationship between vitamin D status and allergic diseases has been discussed in several studies recently. 25-hydroxyvitamin D (25(OH)D) is suggested to affect the development and/or severity of asthma and allergic rhinitis. Observational studies have seemed to confirm that vitamin D deficiency may contribute to an increase in allergy and asthma. Following interventional studies, however, have yielded ambiguous results. In this review, we describe recent findings regarding 25(OH)D impact on allergic diseases and provide a systematic analysis of the causes of great variability of the achieved results in different studies.","author":[{"dropping-particle":"","family":"Sikorska-Szaflik","given":"Hanna","non-dropping-particle":"","parse-names":false,"suffix":""},{"dropping-particle":"","family":"Sozańska","given":"Barbara","non-dropping-particle":"","parse-names":false,"suffix":""}],"container-title":"Nutrients","id":"ITEM-1","issue":"6","issued":{"date-parts":[["2020"]]},"page":"1-9","title":"The role of vitamin D in respiratory allergies prevention. Why the effect is so difficult to disentangle?","type":"article-journal","volume":"12"},"uris":["http://www.mendeley.com/documents/?uuid=5bd537a7-6249-4c0d-a291-15075f6396b1"]}],"mendeley":{"formattedCitation":"[90]","plainTextFormattedCitation":"[90]","previouslyFormattedCitation":"[90]"},"properties":{"noteIndex":0},"schema":"https://github.com/citation-style-language/schema/raw/master/csl-citation.json"}</w:instrText>
      </w:r>
      <w:r w:rsidR="002547D7"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[90]</w:t>
      </w:r>
      <w:r w:rsidR="002547D7" w:rsidRPr="001B27F8">
        <w:rPr>
          <w:rFonts w:ascii="Times New Roman" w:hAnsi="Times New Roman" w:cs="Times New Roman"/>
          <w:sz w:val="28"/>
          <w:szCs w:val="28"/>
        </w:rPr>
        <w:fldChar w:fldCharType="end"/>
      </w:r>
      <w:r w:rsidR="002547D7" w:rsidRPr="001B27F8">
        <w:rPr>
          <w:rFonts w:ascii="Times New Roman" w:hAnsi="Times New Roman" w:cs="Times New Roman"/>
          <w:sz w:val="28"/>
          <w:szCs w:val="28"/>
        </w:rPr>
        <w:t xml:space="preserve">. Было обнаружено, что </w:t>
      </w:r>
      <w:r w:rsidR="00912DE4" w:rsidRPr="001B27F8">
        <w:rPr>
          <w:rFonts w:ascii="Times New Roman" w:hAnsi="Times New Roman" w:cs="Times New Roman"/>
          <w:sz w:val="28"/>
          <w:szCs w:val="28"/>
        </w:rPr>
        <w:t>адекватный</w:t>
      </w:r>
      <w:r w:rsidR="000F0D89" w:rsidRPr="001B27F8">
        <w:rPr>
          <w:rFonts w:ascii="Times New Roman" w:hAnsi="Times New Roman" w:cs="Times New Roman"/>
          <w:sz w:val="28"/>
          <w:szCs w:val="28"/>
        </w:rPr>
        <w:t xml:space="preserve"> уровень </w:t>
      </w:r>
      <w:r w:rsidR="002547D7" w:rsidRPr="001B27F8">
        <w:rPr>
          <w:rFonts w:ascii="Times New Roman" w:hAnsi="Times New Roman" w:cs="Times New Roman"/>
          <w:sz w:val="28"/>
          <w:szCs w:val="28"/>
        </w:rPr>
        <w:t>витамин</w:t>
      </w:r>
      <w:r w:rsidR="000F0D89" w:rsidRPr="001B27F8">
        <w:rPr>
          <w:rFonts w:ascii="Times New Roman" w:hAnsi="Times New Roman" w:cs="Times New Roman"/>
          <w:sz w:val="28"/>
          <w:szCs w:val="28"/>
        </w:rPr>
        <w:t>а</w:t>
      </w:r>
      <w:r w:rsidR="00054AC9">
        <w:rPr>
          <w:rFonts w:ascii="Times New Roman" w:hAnsi="Times New Roman" w:cs="Times New Roman"/>
          <w:sz w:val="28"/>
          <w:szCs w:val="28"/>
        </w:rPr>
        <w:t xml:space="preserve"> Д</w:t>
      </w:r>
      <w:r w:rsidR="000F0D89" w:rsidRPr="001B27F8">
        <w:rPr>
          <w:rFonts w:ascii="Times New Roman" w:hAnsi="Times New Roman" w:cs="Times New Roman"/>
          <w:sz w:val="28"/>
          <w:szCs w:val="28"/>
        </w:rPr>
        <w:t xml:space="preserve"> в крови способствует подавлению</w:t>
      </w:r>
      <w:r w:rsidR="002547D7" w:rsidRPr="001B27F8">
        <w:rPr>
          <w:rFonts w:ascii="Times New Roman" w:hAnsi="Times New Roman" w:cs="Times New Roman"/>
          <w:sz w:val="28"/>
          <w:szCs w:val="28"/>
        </w:rPr>
        <w:t xml:space="preserve"> образование IgE</w:t>
      </w:r>
      <w:r w:rsidR="000F0D89" w:rsidRPr="001B27F8">
        <w:rPr>
          <w:rFonts w:ascii="Times New Roman" w:hAnsi="Times New Roman" w:cs="Times New Roman"/>
          <w:sz w:val="28"/>
          <w:szCs w:val="28"/>
        </w:rPr>
        <w:t>, а т</w:t>
      </w:r>
      <w:r w:rsidR="00693CB9" w:rsidRPr="001B27F8">
        <w:rPr>
          <w:rFonts w:ascii="Times New Roman" w:hAnsi="Times New Roman" w:cs="Times New Roman"/>
          <w:sz w:val="28"/>
          <w:szCs w:val="28"/>
        </w:rPr>
        <w:t>а</w:t>
      </w:r>
      <w:r w:rsidR="000F0D89" w:rsidRPr="001B27F8">
        <w:rPr>
          <w:rFonts w:ascii="Times New Roman" w:hAnsi="Times New Roman" w:cs="Times New Roman"/>
          <w:sz w:val="28"/>
          <w:szCs w:val="28"/>
        </w:rPr>
        <w:t>кже</w:t>
      </w:r>
      <w:r w:rsidR="002547D7" w:rsidRPr="001B27F8">
        <w:rPr>
          <w:rFonts w:ascii="Times New Roman" w:hAnsi="Times New Roman" w:cs="Times New Roman"/>
          <w:sz w:val="28"/>
          <w:szCs w:val="28"/>
        </w:rPr>
        <w:t xml:space="preserve"> усиливает секрецию ИЛ-10 В-лимфоци</w:t>
      </w:r>
      <w:r w:rsidR="00162F8C" w:rsidRPr="001B27F8">
        <w:rPr>
          <w:rFonts w:ascii="Times New Roman" w:hAnsi="Times New Roman" w:cs="Times New Roman"/>
          <w:sz w:val="28"/>
          <w:szCs w:val="28"/>
        </w:rPr>
        <w:t>т</w:t>
      </w:r>
      <w:r w:rsidR="002547D7" w:rsidRPr="001B27F8">
        <w:rPr>
          <w:rFonts w:ascii="Times New Roman" w:hAnsi="Times New Roman" w:cs="Times New Roman"/>
          <w:sz w:val="28"/>
          <w:szCs w:val="28"/>
        </w:rPr>
        <w:t xml:space="preserve">ами </w:t>
      </w:r>
      <w:r w:rsidR="002547D7" w:rsidRPr="001B27F8">
        <w:rPr>
          <w:rFonts w:ascii="Times New Roman" w:hAnsi="Times New Roman" w:cs="Times New Roman"/>
          <w:sz w:val="28"/>
          <w:szCs w:val="28"/>
          <w:lang w:val="en-US"/>
        </w:rPr>
        <w:fldChar w:fldCharType="begin" w:fldLock="1"/>
      </w:r>
      <w:r w:rsidR="00765C06">
        <w:rPr>
          <w:rFonts w:ascii="Times New Roman" w:hAnsi="Times New Roman" w:cs="Times New Roman"/>
          <w:sz w:val="28"/>
          <w:szCs w:val="28"/>
          <w:lang w:val="en-US"/>
        </w:rPr>
        <w:instrText>ADDIN CSL_CITATION {"citationItems":[{"id":"ITEM-1","itemData":{"DOI":"10.4049/jimmunol.1301656","ISSN":"0022-1767","PMID":"24951815","abstract":"Calcitriol (1α,25-dihydroxyvitamin D3) is the active vitamin D metabolite and mediates immunological functions, which are relevant in allergy. Its therapeutic use is limited by hypercalcaemic toxicity. We have previously shown that the activation of the vitamin D receptor inhibits IgE production and that B cells can synthesize calcitriol from its precursor 25-hydroxyvitamin D3 (inactive precursor) [25(OH)D] upon antigenic stimulation. In this study, we address the impact of 25(OH)D on the development of type I sensitization and determine its role in allergen-specific immunotherapy. BALB/c mice were sensitized to OVA, under 25(OH)D-deficient or sufficient conditions. The humoral immune response over time was measured by ELISA. OVA-specific immunotherapy was established and studied in a murine model of allergic airway inflammation using lung histology, pulmonary cytokine expression analysis, and functional parameters in isolated and perfused mouse lungs. In 25(OH)D-deficient mice, OVA-specific IgE and IgG1 serum concentrations were increased compared with control mice. OVA-specific immunotherapy reduced the humoral immune reaction after OVA recall dose-dependently. Coadministration of 25(OH)D in the context of OVA-specific immunotherapy reduced the allergic airway inflammation and responsiveness upon OVA challenge. These findings were paralleled by reduced Th2 cytokine expression in the lungs. In conclusion, 25(OH)D deficiency promotes the development of type I sensitization and correction of its serum concentrations enhances the benefit of specific immunotherapy.","author":[{"dropping-particle":"","family":"Heine","given":"Guido","non-dropping-particle":"","parse-names":false,"suffix":""},{"dropping-particle":"","family":"Tabeling","given":"Christoph","non-dropping-particle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Hartmann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Bjoern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Gonz</w:instrText>
      </w:r>
      <w:r w:rsidR="00765C06" w:rsidRPr="00015FE3">
        <w:rPr>
          <w:rFonts w:ascii="Times New Roman" w:hAnsi="Times New Roman" w:cs="Times New Roman"/>
          <w:sz w:val="28"/>
          <w:szCs w:val="28"/>
        </w:rPr>
        <w:instrText>á</w:instrText>
      </w:r>
      <w:r w:rsidR="00765C06">
        <w:rPr>
          <w:rFonts w:ascii="Times New Roman" w:hAnsi="Times New Roman" w:cs="Times New Roman"/>
          <w:sz w:val="28"/>
          <w:szCs w:val="28"/>
          <w:lang w:val="en-US"/>
        </w:rPr>
        <w:instrText>lez</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Calera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Carla</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R</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K</w:instrText>
      </w:r>
      <w:r w:rsidR="00765C06" w:rsidRPr="00015FE3">
        <w:rPr>
          <w:rFonts w:ascii="Times New Roman" w:hAnsi="Times New Roman" w:cs="Times New Roman"/>
          <w:sz w:val="28"/>
          <w:szCs w:val="28"/>
        </w:rPr>
        <w:instrText>ü</w:instrText>
      </w:r>
      <w:r w:rsidR="00765C06">
        <w:rPr>
          <w:rFonts w:ascii="Times New Roman" w:hAnsi="Times New Roman" w:cs="Times New Roman"/>
          <w:sz w:val="28"/>
          <w:szCs w:val="28"/>
          <w:lang w:val="en-US"/>
        </w:rPr>
        <w:instrText>hl</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Anja</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Lindner</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Juliane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Radbruch</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Andreas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Witzenrath</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Martin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Worm</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Margitta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container</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title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Journal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Immunology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id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ITEM</w:instrText>
      </w:r>
      <w:r w:rsidR="00765C06" w:rsidRPr="00015FE3">
        <w:rPr>
          <w:rFonts w:ascii="Times New Roman" w:hAnsi="Times New Roman" w:cs="Times New Roman"/>
          <w:sz w:val="28"/>
          <w:szCs w:val="28"/>
        </w:rPr>
        <w:instrText>-1","</w:instrText>
      </w:r>
      <w:r w:rsidR="00765C06">
        <w:rPr>
          <w:rFonts w:ascii="Times New Roman" w:hAnsi="Times New Roman" w:cs="Times New Roman"/>
          <w:sz w:val="28"/>
          <w:szCs w:val="28"/>
          <w:lang w:val="en-US"/>
        </w:rPr>
        <w:instrText>issue</w:instrText>
      </w:r>
      <w:r w:rsidR="00765C06" w:rsidRPr="00015FE3">
        <w:rPr>
          <w:rFonts w:ascii="Times New Roman" w:hAnsi="Times New Roman" w:cs="Times New Roman"/>
          <w:sz w:val="28"/>
          <w:szCs w:val="28"/>
        </w:rPr>
        <w:instrText>":"3","</w:instrText>
      </w:r>
      <w:r w:rsidR="00765C06">
        <w:rPr>
          <w:rFonts w:ascii="Times New Roman" w:hAnsi="Times New Roman" w:cs="Times New Roman"/>
          <w:sz w:val="28"/>
          <w:szCs w:val="28"/>
          <w:lang w:val="en-US"/>
        </w:rPr>
        <w:instrText>issued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date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parts</w:instrText>
      </w:r>
      <w:r w:rsidR="00765C06" w:rsidRPr="00015FE3">
        <w:rPr>
          <w:rFonts w:ascii="Times New Roman" w:hAnsi="Times New Roman" w:cs="Times New Roman"/>
          <w:sz w:val="28"/>
          <w:szCs w:val="28"/>
        </w:rPr>
        <w:instrText>":[["2014"]]},"</w:instrText>
      </w:r>
      <w:r w:rsidR="00765C06">
        <w:rPr>
          <w:rFonts w:ascii="Times New Roman" w:hAnsi="Times New Roman" w:cs="Times New Roman"/>
          <w:sz w:val="28"/>
          <w:szCs w:val="28"/>
          <w:lang w:val="en-US"/>
        </w:rPr>
        <w:instrText>page</w:instrText>
      </w:r>
      <w:r w:rsidR="00765C06" w:rsidRPr="00015FE3">
        <w:rPr>
          <w:rFonts w:ascii="Times New Roman" w:hAnsi="Times New Roman" w:cs="Times New Roman"/>
          <w:sz w:val="28"/>
          <w:szCs w:val="28"/>
        </w:rPr>
        <w:instrText>":"1017-1023","</w:instrText>
      </w:r>
      <w:r w:rsidR="00765C06">
        <w:rPr>
          <w:rFonts w:ascii="Times New Roman" w:hAnsi="Times New Roman" w:cs="Times New Roman"/>
          <w:sz w:val="28"/>
          <w:szCs w:val="28"/>
          <w:lang w:val="en-US"/>
        </w:rPr>
        <w:instrText>title</w:instrText>
      </w:r>
      <w:r w:rsidR="00765C06" w:rsidRPr="00015FE3">
        <w:rPr>
          <w:rFonts w:ascii="Times New Roman" w:hAnsi="Times New Roman" w:cs="Times New Roman"/>
          <w:sz w:val="28"/>
          <w:szCs w:val="28"/>
        </w:rPr>
        <w:instrText>":" 25-</w:instrText>
      </w:r>
      <w:r w:rsidR="00765C06">
        <w:rPr>
          <w:rFonts w:ascii="Times New Roman" w:hAnsi="Times New Roman" w:cs="Times New Roman"/>
          <w:sz w:val="28"/>
          <w:szCs w:val="28"/>
          <w:lang w:val="en-US"/>
        </w:rPr>
        <w:instrText>Hydroxvitamin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w:instrText>
      </w:r>
      <w:r w:rsidR="00765C06" w:rsidRPr="00015FE3">
        <w:rPr>
          <w:rFonts w:ascii="Times New Roman" w:hAnsi="Times New Roman" w:cs="Times New Roman"/>
          <w:sz w:val="28"/>
          <w:szCs w:val="28"/>
        </w:rPr>
        <w:instrText xml:space="preserve"> 3 </w:instrText>
      </w:r>
      <w:r w:rsidR="00765C06">
        <w:rPr>
          <w:rFonts w:ascii="Times New Roman" w:hAnsi="Times New Roman" w:cs="Times New Roman"/>
          <w:sz w:val="28"/>
          <w:szCs w:val="28"/>
          <w:lang w:val="en-US"/>
        </w:rPr>
        <w:instrText>Promotes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Long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Term</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Effect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Specific</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Immunotherapy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Murine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Allergy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Model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type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journal</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volume</w:instrText>
      </w:r>
      <w:r w:rsidR="00765C06" w:rsidRPr="00015FE3">
        <w:rPr>
          <w:rFonts w:ascii="Times New Roman" w:hAnsi="Times New Roman" w:cs="Times New Roman"/>
          <w:sz w:val="28"/>
          <w:szCs w:val="28"/>
        </w:rPr>
        <w:instrText>":"193"},"</w:instrText>
      </w:r>
      <w:r w:rsidR="00765C06">
        <w:rPr>
          <w:rFonts w:ascii="Times New Roman" w:hAnsi="Times New Roman" w:cs="Times New Roman"/>
          <w:sz w:val="28"/>
          <w:szCs w:val="28"/>
          <w:lang w:val="en-US"/>
        </w:rPr>
        <w:instrText>uris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http</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www</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mendeley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com</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documents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uuid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fb</w:instrText>
      </w:r>
      <w:r w:rsidR="00765C06" w:rsidRPr="00015FE3">
        <w:rPr>
          <w:rFonts w:ascii="Times New Roman" w:hAnsi="Times New Roman" w:cs="Times New Roman"/>
          <w:sz w:val="28"/>
          <w:szCs w:val="28"/>
        </w:rPr>
        <w:instrText>57</w:instrText>
      </w:r>
      <w:r w:rsidR="00765C06">
        <w:rPr>
          <w:rFonts w:ascii="Times New Roman" w:hAnsi="Times New Roman" w:cs="Times New Roman"/>
          <w:sz w:val="28"/>
          <w:szCs w:val="28"/>
          <w:lang w:val="en-US"/>
        </w:rPr>
        <w:instrText>a</w:instrText>
      </w:r>
      <w:r w:rsidR="00765C06" w:rsidRPr="00015FE3">
        <w:rPr>
          <w:rFonts w:ascii="Times New Roman" w:hAnsi="Times New Roman" w:cs="Times New Roman"/>
          <w:sz w:val="28"/>
          <w:szCs w:val="28"/>
        </w:rPr>
        <w:instrText>8</w:instrText>
      </w:r>
      <w:r w:rsidR="00765C06">
        <w:rPr>
          <w:rFonts w:ascii="Times New Roman" w:hAnsi="Times New Roman" w:cs="Times New Roman"/>
          <w:sz w:val="28"/>
          <w:szCs w:val="28"/>
          <w:lang w:val="en-US"/>
        </w:rPr>
        <w:instrText>fd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a</w:instrText>
      </w:r>
      <w:r w:rsidR="00765C06" w:rsidRPr="00015FE3">
        <w:rPr>
          <w:rFonts w:ascii="Times New Roman" w:hAnsi="Times New Roman" w:cs="Times New Roman"/>
          <w:sz w:val="28"/>
          <w:szCs w:val="28"/>
        </w:rPr>
        <w:instrText>20</w:instrText>
      </w:r>
      <w:r w:rsidR="00765C06">
        <w:rPr>
          <w:rFonts w:ascii="Times New Roman" w:hAnsi="Times New Roman" w:cs="Times New Roman"/>
          <w:sz w:val="28"/>
          <w:szCs w:val="28"/>
          <w:lang w:val="en-US"/>
        </w:rPr>
        <w:instrText>a</w:instrText>
      </w:r>
      <w:r w:rsidR="00765C06" w:rsidRPr="00015FE3">
        <w:rPr>
          <w:rFonts w:ascii="Times New Roman" w:hAnsi="Times New Roman" w:cs="Times New Roman"/>
          <w:sz w:val="28"/>
          <w:szCs w:val="28"/>
        </w:rPr>
        <w:instrText>-4</w:instrText>
      </w:r>
      <w:r w:rsidR="00765C06">
        <w:rPr>
          <w:rFonts w:ascii="Times New Roman" w:hAnsi="Times New Roman" w:cs="Times New Roman"/>
          <w:sz w:val="28"/>
          <w:szCs w:val="28"/>
          <w:lang w:val="en-US"/>
        </w:rPr>
        <w:instrText>b</w:instrText>
      </w:r>
      <w:r w:rsidR="00765C06" w:rsidRPr="00015FE3">
        <w:rPr>
          <w:rFonts w:ascii="Times New Roman" w:hAnsi="Times New Roman" w:cs="Times New Roman"/>
          <w:sz w:val="28"/>
          <w:szCs w:val="28"/>
        </w:rPr>
        <w:instrText>46-</w:instrText>
      </w:r>
      <w:r w:rsidR="00765C06">
        <w:rPr>
          <w:rFonts w:ascii="Times New Roman" w:hAnsi="Times New Roman" w:cs="Times New Roman"/>
          <w:sz w:val="28"/>
          <w:szCs w:val="28"/>
          <w:lang w:val="en-US"/>
        </w:rPr>
        <w:instrText>b</w:instrText>
      </w:r>
      <w:r w:rsidR="00765C06" w:rsidRPr="00015FE3">
        <w:rPr>
          <w:rFonts w:ascii="Times New Roman" w:hAnsi="Times New Roman" w:cs="Times New Roman"/>
          <w:sz w:val="28"/>
          <w:szCs w:val="28"/>
        </w:rPr>
        <w:instrText>220-53</w:instrText>
      </w:r>
      <w:r w:rsidR="00765C06">
        <w:rPr>
          <w:rFonts w:ascii="Times New Roman" w:hAnsi="Times New Roman" w:cs="Times New Roman"/>
          <w:sz w:val="28"/>
          <w:szCs w:val="28"/>
          <w:lang w:val="en-US"/>
        </w:rPr>
        <w:instrText>c</w:instrText>
      </w:r>
      <w:r w:rsidR="00765C06" w:rsidRPr="00015FE3">
        <w:rPr>
          <w:rFonts w:ascii="Times New Roman" w:hAnsi="Times New Roman" w:cs="Times New Roman"/>
          <w:sz w:val="28"/>
          <w:szCs w:val="28"/>
        </w:rPr>
        <w:instrText>96306</w:instrText>
      </w:r>
      <w:r w:rsidR="00765C06">
        <w:rPr>
          <w:rFonts w:ascii="Times New Roman" w:hAnsi="Times New Roman" w:cs="Times New Roman"/>
          <w:sz w:val="28"/>
          <w:szCs w:val="28"/>
          <w:lang w:val="en-US"/>
        </w:rPr>
        <w:instrText>a</w:instrText>
      </w:r>
      <w:r w:rsidR="00765C06" w:rsidRPr="00015FE3">
        <w:rPr>
          <w:rFonts w:ascii="Times New Roman" w:hAnsi="Times New Roman" w:cs="Times New Roman"/>
          <w:sz w:val="28"/>
          <w:szCs w:val="28"/>
        </w:rPr>
        <w:instrText>382"]}],"</w:instrText>
      </w:r>
      <w:r w:rsidR="00765C06">
        <w:rPr>
          <w:rFonts w:ascii="Times New Roman" w:hAnsi="Times New Roman" w:cs="Times New Roman"/>
          <w:sz w:val="28"/>
          <w:szCs w:val="28"/>
          <w:lang w:val="en-US"/>
        </w:rPr>
        <w:instrText>mendeley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formattedCitation</w:instrText>
      </w:r>
      <w:r w:rsidR="00765C06" w:rsidRPr="00015FE3">
        <w:rPr>
          <w:rFonts w:ascii="Times New Roman" w:hAnsi="Times New Roman" w:cs="Times New Roman"/>
          <w:sz w:val="28"/>
          <w:szCs w:val="28"/>
        </w:rPr>
        <w:instrText>":"[88]","</w:instrText>
      </w:r>
      <w:r w:rsidR="00765C06">
        <w:rPr>
          <w:rFonts w:ascii="Times New Roman" w:hAnsi="Times New Roman" w:cs="Times New Roman"/>
          <w:sz w:val="28"/>
          <w:szCs w:val="28"/>
          <w:lang w:val="en-US"/>
        </w:rPr>
        <w:instrText>plainTextFormattedCitation</w:instrText>
      </w:r>
      <w:r w:rsidR="00765C06" w:rsidRPr="00015FE3">
        <w:rPr>
          <w:rFonts w:ascii="Times New Roman" w:hAnsi="Times New Roman" w:cs="Times New Roman"/>
          <w:sz w:val="28"/>
          <w:szCs w:val="28"/>
        </w:rPr>
        <w:instrText>":"[88]","</w:instrText>
      </w:r>
      <w:r w:rsidR="00765C06">
        <w:rPr>
          <w:rFonts w:ascii="Times New Roman" w:hAnsi="Times New Roman" w:cs="Times New Roman"/>
          <w:sz w:val="28"/>
          <w:szCs w:val="28"/>
          <w:lang w:val="en-US"/>
        </w:rPr>
        <w:instrText>previouslyFormattedCitation</w:instrText>
      </w:r>
      <w:r w:rsidR="00765C06" w:rsidRPr="00015FE3">
        <w:rPr>
          <w:rFonts w:ascii="Times New Roman" w:hAnsi="Times New Roman" w:cs="Times New Roman"/>
          <w:sz w:val="28"/>
          <w:szCs w:val="28"/>
        </w:rPr>
        <w:instrText>":"[88]"},"</w:instrText>
      </w:r>
      <w:r w:rsidR="00765C06">
        <w:rPr>
          <w:rFonts w:ascii="Times New Roman" w:hAnsi="Times New Roman" w:cs="Times New Roman"/>
          <w:sz w:val="28"/>
          <w:szCs w:val="28"/>
          <w:lang w:val="en-US"/>
        </w:rPr>
        <w:instrText>properties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noteIndex</w:instrText>
      </w:r>
      <w:r w:rsidR="00765C06" w:rsidRPr="00015FE3">
        <w:rPr>
          <w:rFonts w:ascii="Times New Roman" w:hAnsi="Times New Roman" w:cs="Times New Roman"/>
          <w:sz w:val="28"/>
          <w:szCs w:val="28"/>
        </w:rPr>
        <w:instrText>":0},"</w:instrText>
      </w:r>
      <w:r w:rsidR="00765C06">
        <w:rPr>
          <w:rFonts w:ascii="Times New Roman" w:hAnsi="Times New Roman" w:cs="Times New Roman"/>
          <w:sz w:val="28"/>
          <w:szCs w:val="28"/>
          <w:lang w:val="en-US"/>
        </w:rPr>
        <w:instrText>schema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https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github</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com</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citation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style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language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schema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raw</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master</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csl</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citation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json</w:instrText>
      </w:r>
      <w:r w:rsidR="00765C06" w:rsidRPr="00015FE3">
        <w:rPr>
          <w:rFonts w:ascii="Times New Roman" w:hAnsi="Times New Roman" w:cs="Times New Roman"/>
          <w:sz w:val="28"/>
          <w:szCs w:val="28"/>
        </w:rPr>
        <w:instrText>"}</w:instrText>
      </w:r>
      <w:r w:rsidR="002547D7" w:rsidRPr="001B27F8">
        <w:rPr>
          <w:rFonts w:ascii="Times New Roman" w:hAnsi="Times New Roman" w:cs="Times New Roman"/>
          <w:sz w:val="28"/>
          <w:szCs w:val="28"/>
          <w:lang w:val="en-US"/>
        </w:rPr>
        <w:fldChar w:fldCharType="separate"/>
      </w:r>
      <w:r w:rsidR="00877069" w:rsidRPr="00877069">
        <w:rPr>
          <w:rFonts w:ascii="Times New Roman" w:hAnsi="Times New Roman" w:cs="Times New Roman"/>
          <w:noProof/>
          <w:sz w:val="28"/>
          <w:szCs w:val="28"/>
        </w:rPr>
        <w:t>[88]</w:t>
      </w:r>
      <w:r w:rsidR="002547D7" w:rsidRPr="001B27F8">
        <w:rPr>
          <w:rFonts w:ascii="Times New Roman" w:hAnsi="Times New Roman" w:cs="Times New Roman"/>
          <w:sz w:val="28"/>
          <w:szCs w:val="28"/>
          <w:lang w:val="en-US"/>
        </w:rPr>
        <w:fldChar w:fldCharType="end"/>
      </w:r>
      <w:r w:rsidR="00833EED">
        <w:rPr>
          <w:rFonts w:ascii="Times New Roman" w:hAnsi="Times New Roman" w:cs="Times New Roman"/>
          <w:sz w:val="28"/>
          <w:szCs w:val="28"/>
        </w:rPr>
        <w:t>.</w:t>
      </w:r>
      <w:r w:rsidR="001F522C">
        <w:rPr>
          <w:rFonts w:ascii="Times New Roman" w:hAnsi="Times New Roman" w:cs="Times New Roman"/>
          <w:sz w:val="28"/>
          <w:szCs w:val="28"/>
        </w:rPr>
        <w:t xml:space="preserve"> </w:t>
      </w:r>
      <w:r w:rsidR="00054AC9">
        <w:rPr>
          <w:rFonts w:ascii="Times New Roman" w:hAnsi="Times New Roman" w:cs="Times New Roman"/>
          <w:sz w:val="28"/>
          <w:szCs w:val="28"/>
        </w:rPr>
        <w:t>Действие витамина Д</w:t>
      </w:r>
      <w:r w:rsidR="002547D7" w:rsidRPr="001B27F8">
        <w:rPr>
          <w:rFonts w:ascii="Times New Roman" w:hAnsi="Times New Roman" w:cs="Times New Roman"/>
          <w:sz w:val="28"/>
          <w:szCs w:val="28"/>
        </w:rPr>
        <w:t xml:space="preserve"> в иммунологической системе может быть дозозависимым. Стандартные дозы могут ингибировать продукцию цитокинов Th1 и Th2, тогда как высокие дозы могу</w:t>
      </w:r>
      <w:r w:rsidR="00A84C2A" w:rsidRPr="001B27F8">
        <w:rPr>
          <w:rFonts w:ascii="Times New Roman" w:hAnsi="Times New Roman" w:cs="Times New Roman"/>
          <w:sz w:val="28"/>
          <w:szCs w:val="28"/>
        </w:rPr>
        <w:t xml:space="preserve">т даже усиливать ответы Th2 </w:t>
      </w:r>
      <w:r w:rsidR="00A84C2A"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{"citationItems":[{"id":"ITEM-1","itemData":{"DOI":"10.3390/nu12061801","ISBN":"4871328120","ISSN":"20726643","PMID":"32560403","abstract":"Asthma and allergic rhinitis are the most common chronic childhood diseases with an increasing prevalence worldwide. There is an urgent need to look for methods of preventing allergic diseases from an early age. The relationship between vitamin D status and allergic diseases has been discussed in several studies recently. 25-hydroxyvitamin D (25(OH)D) is suggested to affect the development and/or severity of asthma and allergic rhinitis. Observational studies have seemed to confirm that vitamin D deficiency may contribute to an increase in allergy and asthma. Following interventional studies, however, have yielded ambiguous results. In this review, we describe recent findings regarding 25(OH)D impact on allergic diseases and provide a systematic analysis of the causes of great variability of the achieved results in different studies.","author":[{"dropping-particle":"","family":"Sikorska-Szaflik","given":"Hanna","non-dropping-particle":"","parse-names":false,"suffix":""},{"dropping-particle":"","family":"Sozańska","given":"Barbara","non-dropping-particle":"","parse-names":false,"suffix":""}],"container-title":"Nutrients","id":"ITEM-1","issue":"6","issued":{"date-parts":[["2020"]]},"page":"1-9","title":"The role of vitamin D in respiratory allergies prevention. Why the effect is so difficult to disentangle?","type":"article-journal","volume":"12"},"uris":["http://www.mendeley.com/documents/?uuid=5bd537a7-6249-4c0d-a291-15075f6396b1"]}],"mendeley":{"formattedCitation":"[90]","plainTextFormattedCitation":"[90]","previouslyFormattedCitation":"[90]"},"properties":{"noteIndex":0},"schema":"https://github.com/citation-style-language/schema/raw/master/csl-citation.json"}</w:instrText>
      </w:r>
      <w:r w:rsidR="00A84C2A"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[90]</w:t>
      </w:r>
      <w:r w:rsidR="00A84C2A" w:rsidRPr="001B27F8">
        <w:rPr>
          <w:rFonts w:ascii="Times New Roman" w:hAnsi="Times New Roman" w:cs="Times New Roman"/>
          <w:sz w:val="28"/>
          <w:szCs w:val="28"/>
        </w:rPr>
        <w:fldChar w:fldCharType="end"/>
      </w:r>
      <w:r w:rsidR="002547D7" w:rsidRPr="001B27F8">
        <w:rPr>
          <w:rFonts w:ascii="Times New Roman" w:hAnsi="Times New Roman" w:cs="Times New Roman"/>
          <w:sz w:val="28"/>
          <w:szCs w:val="28"/>
        </w:rPr>
        <w:t>.</w:t>
      </w:r>
    </w:p>
    <w:p w14:paraId="2F2AE567" w14:textId="37C55A58" w:rsidR="00AF1F94" w:rsidRPr="001B27F8" w:rsidRDefault="00BD406E" w:rsidP="001B27F8">
      <w:pPr>
        <w:tabs>
          <w:tab w:val="left" w:pos="851"/>
        </w:tabs>
        <w:spacing w:after="0" w:line="240" w:lineRule="auto"/>
        <w:ind w:firstLine="567"/>
        <w:jc w:val="both"/>
        <w:rPr>
          <w:rFonts w:ascii="Times New Roman" w:hAnsi="Times New Roman" w:cs="Times New Roman"/>
          <w:sz w:val="28"/>
          <w:szCs w:val="28"/>
        </w:rPr>
      </w:pPr>
      <w:r w:rsidRPr="001B27F8">
        <w:rPr>
          <w:rFonts w:ascii="Times New Roman" w:hAnsi="Times New Roman" w:cs="Times New Roman"/>
          <w:sz w:val="28"/>
          <w:szCs w:val="28"/>
        </w:rPr>
        <w:t xml:space="preserve"> </w:t>
      </w:r>
      <w:r w:rsidR="009603D1" w:rsidRPr="001B27F8">
        <w:rPr>
          <w:rFonts w:ascii="Times New Roman" w:hAnsi="Times New Roman" w:cs="Times New Roman"/>
          <w:sz w:val="28"/>
          <w:szCs w:val="28"/>
        </w:rPr>
        <w:t xml:space="preserve">За последнее десятилетие растет число исследований, посвященных взаимовлиянию уровня витамина Д в крови и развитию и тяжести аллергических заболеваний </w:t>
      </w:r>
      <w:r w:rsidR="009603D1"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{"citationItems":[{"id":"ITEM-1","itemData":{"DOI":"10.1016/j.jaci.2012.01.037","ISSN":"10976825","author":[{"dropping-particle":"","family":"Osborne","given":"Nicholas J.","non-dropping-particle":"","parse-names":false,"suffix":""},{"dropping-particle":"","family":"Ukoumunne","given":"Obioha C.","non-dropping-particle":"","parse-names":false,"suffix":""},{"dropping-particle":"","family":"Wake","given":"Melissa","non-dropping-particle":"","parse-names":false,"suffix":""},{"dropping-particle":"","family":"Allen","given":"Katrina J.","non-dropping-particle":"","parse-names":false,"suffix":""}],"container-title":"Journal of Allergy and Clinical Immunology","id":"ITEM-1","issue":"3","issued":{"date-parts":[["2012"]]},"page":"865-867","title":"Prevalence of eczema and food allergy is associated with latitude in Australia","type":"article-journal","volume":"129"},"uris":["http://www.mendeley.com/documents/?uuid=9710be51-003e-490f-b642-671f678d1e40"]},{"id":"ITEM-2","itemData":{"DOI":"10.1111/pai.12599","ISBN":"8223939118","ISSN":"13993038","PMID":"27188226","abstract":"Background: We aimed to systematically review observational studies investigating the relationship between vitamin D levels and allergic rhinitis (AR). Methods: Studies were selected if they evaluated the relationship between vitamin D levels and AR, and included studies that evaluated other allergic conditions if those studies also contained data on AR. We assessed the incidence and prevalence of AR according to vitamin D levels and compared vitamin D levels in patients with AR to levels in controls. Results: Nineteen studies were selected. Of these, only seven focused solely on AR; 10 studies evaluated the other allergic diseases as well as AR; and two studies evaluated asthma primarily, but also included data on patients with AR. The pooled odds ratios (ORs) for the incidence of AR according to vitamin D levels were not statistically significant for either children or adults. Lower vitamin D levels were associated with a higher AR prevalence only in children (pooled OR [95% confidence interval (CI)], 0.75 [0.58, 0.98]). The pooled mean vitamin D level in patients with AR was lower than that of controls only in children (pooled means difference [95% CI], −7.63 [−13.08, −2.18]). Conclusions: Prior vitamin D levels were not related to developing AR, but lower vitamin D levels were associated with a higher AR prevalence only in children. There is insufficient evidence to support vitamin D supplementation for AR prevention. However, physicians should consider evaluating patients for vitamin D deficiency during AR management, especially in children.","author":[{"dropping-particle":"","family":"Kim","given":"Yoon Hee","non-dropping-particle":"","parse-names":false,"suffix":""},{"dropping-particle":"","family":"Kim","given":"Kyung Won","non-dropping-particle":"","parse-names":false,"suffix":""},{"dropping-particle":"","family":"Kim","given":"Min Jung","non-dropping-particle":"","parse-names":false,"suffix":""},{"dropping-particle":"","family":"Sol","given":"In Suk","non-dropping-particle":"","parse-names":false,"suffix":""},{"dropping-particle":"","family":"Yoon","given":"Seo Hee","non-dropping-particle":"","parse-names":false,"suffix":""},{"dropping-particle":"","family":"Ahn","given":"Hyeong Sik","non-dropping-particle":"","parse-names":false,"suffix":""},{"dropping-particle":"","family":"Kim","given":"Hyun Jung","non-dropping-particle":"","parse-names":false,"suffix":""},{"dropping-particle":"","family":"Sohn","given":"Myung Hyun","non-dropping-particle":"","parse-names":false,"suffix":""},{"dropping-particle":"","family":"Kim","given":"Kyu Earn","non-dropping-particle":"","parse-names":false,"suffix":""}],"container-title":"Pediatric Allergy and Immunology","id":"ITEM-2","issue":"6","issued":{"date-parts":[["2016"]]},"page":"580-590","title":"Vitamin D levels in allergic rhinitis: a systematic review and meta-analysis","type":"article-journal","volume":"27"},"uris":["http://www.mendeley.com/documents/?uuid=a1009566-5fe2-4412-9ee8-b8ff5f92ecd9"]}],"mendeley":{"formattedCitation":"[91,92]","plainTextFormattedCitation":"[91,92]","previouslyFormattedCitation":"[91,92]"},"properties":{"noteIndex":0},"schema":"https://github.com/citation-style-language/schema/raw/master/csl-citation.json"}</w:instrText>
      </w:r>
      <w:r w:rsidR="009603D1"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[91,92]</w:t>
      </w:r>
      <w:r w:rsidR="009603D1" w:rsidRPr="001B27F8">
        <w:rPr>
          <w:rFonts w:ascii="Times New Roman" w:hAnsi="Times New Roman" w:cs="Times New Roman"/>
          <w:sz w:val="28"/>
          <w:szCs w:val="28"/>
        </w:rPr>
        <w:fldChar w:fldCharType="end"/>
      </w:r>
      <w:r w:rsidR="00675980" w:rsidRPr="001B27F8">
        <w:rPr>
          <w:rFonts w:ascii="Times New Roman" w:hAnsi="Times New Roman" w:cs="Times New Roman"/>
          <w:sz w:val="28"/>
          <w:szCs w:val="28"/>
        </w:rPr>
        <w:t xml:space="preserve">. </w:t>
      </w:r>
      <w:r w:rsidR="009603D1" w:rsidRPr="001B27F8">
        <w:rPr>
          <w:rFonts w:ascii="Times New Roman" w:hAnsi="Times New Roman" w:cs="Times New Roman"/>
          <w:sz w:val="28"/>
          <w:szCs w:val="28"/>
        </w:rPr>
        <w:t xml:space="preserve">Существование </w:t>
      </w:r>
      <w:r w:rsidR="001844DA" w:rsidRPr="001B27F8">
        <w:rPr>
          <w:rFonts w:ascii="Times New Roman" w:hAnsi="Times New Roman" w:cs="Times New Roman"/>
          <w:sz w:val="28"/>
          <w:szCs w:val="28"/>
        </w:rPr>
        <w:t xml:space="preserve">корреляция </w:t>
      </w:r>
      <w:r w:rsidR="00452ACC">
        <w:rPr>
          <w:rFonts w:ascii="Times New Roman" w:hAnsi="Times New Roman" w:cs="Times New Roman"/>
          <w:sz w:val="28"/>
          <w:szCs w:val="28"/>
        </w:rPr>
        <w:t>между уровнями витамина Д</w:t>
      </w:r>
      <w:r w:rsidR="009603D1" w:rsidRPr="001B27F8">
        <w:rPr>
          <w:rFonts w:ascii="Times New Roman" w:hAnsi="Times New Roman" w:cs="Times New Roman"/>
          <w:sz w:val="28"/>
          <w:szCs w:val="28"/>
        </w:rPr>
        <w:t xml:space="preserve"> в сыворотке крови и статусом аллергического ринита доказано исследованиями, где распространенно</w:t>
      </w:r>
      <w:r w:rsidR="00452ACC">
        <w:rPr>
          <w:rFonts w:ascii="Times New Roman" w:hAnsi="Times New Roman" w:cs="Times New Roman"/>
          <w:sz w:val="28"/>
          <w:szCs w:val="28"/>
        </w:rPr>
        <w:t>сть тяжелого дефицита витамина Д</w:t>
      </w:r>
      <w:r w:rsidR="009603D1" w:rsidRPr="001B27F8">
        <w:rPr>
          <w:rFonts w:ascii="Times New Roman" w:hAnsi="Times New Roman" w:cs="Times New Roman"/>
          <w:sz w:val="28"/>
          <w:szCs w:val="28"/>
        </w:rPr>
        <w:t xml:space="preserve"> была значительно выше у пациентов с аллергическим ринитом, чем у нормальной популяции</w:t>
      </w:r>
      <w:r w:rsidR="00EB18DA">
        <w:rPr>
          <w:rFonts w:ascii="Times New Roman" w:hAnsi="Times New Roman" w:cs="Times New Roman"/>
          <w:sz w:val="28"/>
          <w:szCs w:val="28"/>
        </w:rPr>
        <w:t xml:space="preserve"> </w:t>
      </w:r>
      <w:r w:rsidR="00EB18DA">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{"citationItems":[{"id":"ITEM-1","itemData":{"DOI":"10.5005/jp-journals-10013-1209","ISSN":"09756965","abstract":"Allergic rhinitis is a common condition affecting 5 to 40% of general population and its prevalence is increasing. It is a chronic condition characterized by inflammation of nasal mucosa. As per recent studies, there is an association between serum vitamin D levels and allergic rhinitis status. Vitamin D has major role in the regulation of calcium metabolism. In addition to this, it also has a number of immunological effects and takes part in immunomodulation, which can significantly affect the outcome of allergic responses like in allergic rhinitis. Aims and objectives: To establish the correlation between vitamin D3 serum levels and allergic rhinitis. Materials and methods: Vitamin D levels were assessed in 23 patients with allergic rhinitis diagnosed clinically by allergic rhinitis and its impact on asthma 2008 criteria and results were compared with vitamin D status in the normal population of same region. Results: The levels of serum vitamin D levels were significantly low in the patients of allergic rhinitis. Conclusion: Measuring of serum levels of vitamin D could be considered in the routine assessment of patients with allergic rhinitis.","author":[{"dropping-particle":"","family":"Thakkar","given":"Bhaskar","non-dropping-particle":"","parse-names":false,"suffix":""},{"dropping-particle":"","family":"Katarkar","given":"Ashish","non-dropping-particle":"","parse-names":false,"suffix":""},{"dropping-particle":"","family":"Modh","given":"Datt","non-dropping-particle":"","parse-names":false,"suffix":""},{"dropping-particle":"","family":"Jain","given":"Anil","non-dropping-particle":"","parse-names":false,"suffix":""},{"dropping-particle":"","family":"Shah","given":"Pankaj","non-dropping-particle":"","parse-names":false,"suffix":""},{"dropping-particle":"","family":"Joshi","given":"Krupal","non-dropping-particle":"","parse-names":false,"suffix":""}],"container-title":"Clinical Rhinology","id":"ITEM-1","issue":"3","issued":{"date-parts":[["2014"]]},"page":"112-116","title":"Deficiency of vitamin D in allergic rhinitis: A possible factor in multifactorial disease","type":"article-journal","volume":"7"},"uris":["http://www.mendeley.com/documents/?uuid=6c5d3b80-5dd8-4f9f-ae57-701338b294ad"]},{"id":"ITEM-2","itemData":{"DOI":"10.3390/nu12061801","ISBN":"4871328120","ISSN":"20726643","PMID":"32560403","abstract":"Asthma and allergic rhinitis are the most common chronic childhood diseases with an increasing prevalence worldwide. There is an urgent need to look for methods of preventing allergic diseases from an early age. The relationship between vitamin D status and allergic diseases has been discussed in several studies recently. 25-hydroxyvitamin D (25(OH)D) is suggested to affect the development and/or severity of asthma and allergic rhinitis. Observational studies have seemed to confirm that vitamin D deficiency may contribute to an increase in allergy and asthma. Following interventional studies, however, have yielded ambiguous results. In this review, we describe recent findings regarding 25(OH)D impact on allergic diseases and provide a systematic analysis of the causes of great variability of the achieved results in different studies.","author":[{"dropping-particle":"","family":"Sikorska-Szaflik","given":"Hanna","non-dropping-particle":"","parse-names":false,"suffix":""},{"dropping-particle":"","family":"Sozańska","given":"Barbara","non-dropping-particle":"","parse-names":false,"suffix":""}],"container-title":"Nutrients","id":"ITEM-2","issue":"6","issued":{"date-parts":[["2020"]]},"page":"1-9","title":"The role of vitamin D in respiratory allergies prevention. Why the effect is so difficult to disentangle?","type":"article-journal","volume":"12"},"uris":["http://www.mendeley.com/documents/?uuid=5bd537a7-6249-4c0d-a291-15075f6396b1"]}],"mendeley":{"formattedCitation":"[24,90]","plainTextFormattedCitation":"[24,90]","previouslyFormattedCitation":"[24,90]"},"properties":{"noteIndex":0},"schema":"https://github.com/citation-style-language/schema/raw/master/csl-citation.json"}</w:instrText>
      </w:r>
      <w:r w:rsidR="00EB18DA">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[24,90]</w:t>
      </w:r>
      <w:r w:rsidR="00EB18DA">
        <w:rPr>
          <w:rFonts w:ascii="Times New Roman" w:hAnsi="Times New Roman" w:cs="Times New Roman"/>
          <w:sz w:val="28"/>
          <w:szCs w:val="28"/>
        </w:rPr>
        <w:fldChar w:fldCharType="end"/>
      </w:r>
      <w:r w:rsidR="009603D1" w:rsidRPr="001B27F8">
        <w:rPr>
          <w:rFonts w:ascii="Times New Roman" w:hAnsi="Times New Roman" w:cs="Times New Roman"/>
          <w:sz w:val="28"/>
          <w:szCs w:val="28"/>
        </w:rPr>
        <w:t xml:space="preserve">. </w:t>
      </w:r>
      <w:r w:rsidR="00F569FF" w:rsidRPr="001B27F8">
        <w:rPr>
          <w:rFonts w:ascii="Times New Roman" w:hAnsi="Times New Roman" w:cs="Times New Roman"/>
          <w:sz w:val="28"/>
          <w:szCs w:val="28"/>
        </w:rPr>
        <w:t>Данные</w:t>
      </w:r>
      <w:r w:rsidR="00EB5BBA" w:rsidRPr="001B27F8">
        <w:rPr>
          <w:rFonts w:ascii="Times New Roman" w:hAnsi="Times New Roman" w:cs="Times New Roman"/>
          <w:sz w:val="28"/>
          <w:szCs w:val="28"/>
        </w:rPr>
        <w:t xml:space="preserve"> исследования</w:t>
      </w:r>
      <w:r w:rsidR="00F569FF" w:rsidRPr="001B27F8">
        <w:rPr>
          <w:rFonts w:ascii="Times New Roman" w:hAnsi="Times New Roman" w:cs="Times New Roman"/>
          <w:sz w:val="28"/>
          <w:szCs w:val="28"/>
        </w:rPr>
        <w:t xml:space="preserve"> предполагают, что дефицит </w:t>
      </w:r>
      <w:r w:rsidR="00EB5BBA" w:rsidRPr="001B27F8">
        <w:rPr>
          <w:rFonts w:ascii="Times New Roman" w:hAnsi="Times New Roman" w:cs="Times New Roman"/>
          <w:sz w:val="28"/>
          <w:szCs w:val="28"/>
        </w:rPr>
        <w:t xml:space="preserve">витамина Д может вызывать активацию эозинофилов и высвобождение </w:t>
      </w:r>
      <w:r w:rsidR="00F569FF" w:rsidRPr="001B27F8">
        <w:rPr>
          <w:rFonts w:ascii="Times New Roman" w:hAnsi="Times New Roman" w:cs="Times New Roman"/>
          <w:sz w:val="28"/>
          <w:szCs w:val="28"/>
        </w:rPr>
        <w:t xml:space="preserve">высоких уровней </w:t>
      </w:r>
      <w:r w:rsidR="00EB5BBA" w:rsidRPr="001B27F8">
        <w:rPr>
          <w:rFonts w:ascii="Times New Roman" w:hAnsi="Times New Roman" w:cs="Times New Roman"/>
          <w:sz w:val="28"/>
          <w:szCs w:val="28"/>
        </w:rPr>
        <w:t>эозинофильного катионного белка</w:t>
      </w:r>
      <w:r w:rsidR="00F235C0" w:rsidRPr="001B27F8">
        <w:rPr>
          <w:rFonts w:ascii="Times New Roman" w:hAnsi="Times New Roman" w:cs="Times New Roman"/>
          <w:sz w:val="28"/>
          <w:szCs w:val="28"/>
        </w:rPr>
        <w:t>, что в свою очередь оказывает влияние на воспаление слизистой</w:t>
      </w:r>
      <w:r w:rsidR="00F569FF" w:rsidRPr="001B27F8">
        <w:rPr>
          <w:rFonts w:ascii="Times New Roman" w:hAnsi="Times New Roman" w:cs="Times New Roman"/>
          <w:sz w:val="28"/>
          <w:szCs w:val="28"/>
        </w:rPr>
        <w:t xml:space="preserve"> оболочка носа у </w:t>
      </w:r>
      <w:r w:rsidR="009F6AC8" w:rsidRPr="001B27F8">
        <w:rPr>
          <w:rFonts w:ascii="Times New Roman" w:hAnsi="Times New Roman" w:cs="Times New Roman"/>
          <w:sz w:val="28"/>
          <w:szCs w:val="28"/>
        </w:rPr>
        <w:t>пациентов</w:t>
      </w:r>
      <w:r w:rsidR="00F569FF" w:rsidRPr="001B27F8">
        <w:rPr>
          <w:rFonts w:ascii="Times New Roman" w:hAnsi="Times New Roman" w:cs="Times New Roman"/>
          <w:sz w:val="28"/>
          <w:szCs w:val="28"/>
        </w:rPr>
        <w:t xml:space="preserve"> с </w:t>
      </w:r>
      <w:r w:rsidR="00452ACC">
        <w:rPr>
          <w:rFonts w:ascii="Times New Roman" w:hAnsi="Times New Roman" w:cs="Times New Roman"/>
          <w:sz w:val="28"/>
          <w:szCs w:val="28"/>
        </w:rPr>
        <w:t>АР</w:t>
      </w:r>
      <w:r w:rsidR="00F569FF" w:rsidRPr="001B27F8">
        <w:rPr>
          <w:rFonts w:ascii="Times New Roman" w:hAnsi="Times New Roman" w:cs="Times New Roman"/>
          <w:sz w:val="28"/>
          <w:szCs w:val="28"/>
        </w:rPr>
        <w:t xml:space="preserve"> </w:t>
      </w:r>
      <w:r w:rsidR="009F6AC8"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{"citationItems":[{"id":"ITEM-1","itemData":{"DOI":"10.1111/all.12206.Eosinophil","ISBN":"6176321972","ISSN":"15378276","PMID":"1000000221","abstract":"Insufficient sleep and poor quality sleep are pervasive during adolescence and relate to impairments in cognitive control and increased risk taking. However, the neurobiology underlying the association between sleep and adolescent behavior remains elusive. In the current study, we examine how poor sleep quality relates to cognitive control and reward related brain function during risk taking. Forty-six adolescents participated in a functional magnetic imaging (fMRI) scan during which they completed a cognitive control and risk taking task. Behaviorally, adolescents who reported poorer sleep also exhibited greater risk-taking. This association was paralleled by less recruitment of the dorsolateral prefrontal cortex (DLPFC) during cognitive control, greater insula activation during reward processing, and reduced functional coupling between the DLPFC and affective regions including the insula and ventral striatum during reward processing. Collectively, these results suggest that poor sleep may exaggerate the normative imbalance between affective and cognitive control systems, leading to greater risk-taking in adolescents.","author":[{"dropping-particle":"","family":"Nair","given":"P.","non-dropping-particle":"","parse-names":false,"suffix":""},{"dropping-particle":"","family":"Ochkur","given":"S. I.","non-dropping-particle":"","parse-names":false,"suffix":""},{"dropping-particle":"","family":"Protheroe","given":"C.","non-dropping-particle":"","parse-names":false,"suffix":""}],"container-title":"Allergy","id":"ITEM-1","issue":"9","issued":{"date-parts":[["2013"]]},"page":"1177-1184","title":"Eosinophil Peroxidase in Sputum Represents a Unique Biomarker of Airway Eosinophilia","type":"article-journal","volume":"68"},"uris":["http://www.mendeley.com/documents/?uuid=81c765a5-76c4-4117-aeaa-24e5cb62b1d4"]}],"mendeley":{"formattedCitation":"[93]","plainTextFormattedCitation":"[93]","previouslyFormattedCitation":"[93]"},"properties":{"noteIndex":0},"schema":"https://github.com/citation-style-language/schema/raw/master/csl-citation.json"}</w:instrText>
      </w:r>
      <w:r w:rsidR="009F6AC8"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[93]</w:t>
      </w:r>
      <w:r w:rsidR="009F6AC8" w:rsidRPr="001B27F8">
        <w:rPr>
          <w:rFonts w:ascii="Times New Roman" w:hAnsi="Times New Roman" w:cs="Times New Roman"/>
          <w:sz w:val="28"/>
          <w:szCs w:val="28"/>
        </w:rPr>
        <w:fldChar w:fldCharType="end"/>
      </w:r>
      <w:r w:rsidR="00F569FF" w:rsidRPr="001B27F8">
        <w:rPr>
          <w:rFonts w:ascii="Times New Roman" w:hAnsi="Times New Roman" w:cs="Times New Roman"/>
          <w:sz w:val="28"/>
          <w:szCs w:val="28"/>
        </w:rPr>
        <w:t xml:space="preserve">. </w:t>
      </w:r>
      <w:r w:rsidR="00E82208" w:rsidRPr="001B27F8">
        <w:rPr>
          <w:rFonts w:ascii="Times New Roman" w:hAnsi="Times New Roman" w:cs="Times New Roman"/>
          <w:sz w:val="28"/>
          <w:szCs w:val="28"/>
        </w:rPr>
        <w:t xml:space="preserve">Ряд </w:t>
      </w:r>
      <w:r w:rsidR="00347052" w:rsidRPr="001B27F8">
        <w:rPr>
          <w:rFonts w:ascii="Times New Roman" w:hAnsi="Times New Roman" w:cs="Times New Roman"/>
          <w:sz w:val="28"/>
          <w:szCs w:val="28"/>
        </w:rPr>
        <w:t xml:space="preserve">клинических </w:t>
      </w:r>
      <w:r w:rsidR="00E82208" w:rsidRPr="001B27F8">
        <w:rPr>
          <w:rFonts w:ascii="Times New Roman" w:hAnsi="Times New Roman" w:cs="Times New Roman"/>
          <w:sz w:val="28"/>
          <w:szCs w:val="28"/>
        </w:rPr>
        <w:t>испытаний показал</w:t>
      </w:r>
      <w:r w:rsidR="00806532" w:rsidRPr="001B27F8">
        <w:rPr>
          <w:rFonts w:ascii="Times New Roman" w:hAnsi="Times New Roman" w:cs="Times New Roman"/>
          <w:sz w:val="28"/>
          <w:szCs w:val="28"/>
        </w:rPr>
        <w:t>и</w:t>
      </w:r>
      <w:r w:rsidR="00E82208" w:rsidRPr="001B27F8">
        <w:rPr>
          <w:rFonts w:ascii="Times New Roman" w:hAnsi="Times New Roman" w:cs="Times New Roman"/>
          <w:sz w:val="28"/>
          <w:szCs w:val="28"/>
        </w:rPr>
        <w:t xml:space="preserve">, что добавление витамина </w:t>
      </w:r>
      <w:r w:rsidR="00452ACC">
        <w:rPr>
          <w:rFonts w:ascii="Times New Roman" w:hAnsi="Times New Roman" w:cs="Times New Roman"/>
          <w:sz w:val="28"/>
          <w:szCs w:val="28"/>
        </w:rPr>
        <w:t>Д</w:t>
      </w:r>
      <w:r w:rsidR="00E82208" w:rsidRPr="001B27F8">
        <w:rPr>
          <w:rFonts w:ascii="Times New Roman" w:hAnsi="Times New Roman" w:cs="Times New Roman"/>
          <w:sz w:val="28"/>
          <w:szCs w:val="28"/>
        </w:rPr>
        <w:t xml:space="preserve"> </w:t>
      </w:r>
      <w:r w:rsidR="00347052" w:rsidRPr="001B27F8">
        <w:rPr>
          <w:rFonts w:ascii="Times New Roman" w:hAnsi="Times New Roman" w:cs="Times New Roman"/>
          <w:sz w:val="28"/>
          <w:szCs w:val="28"/>
        </w:rPr>
        <w:t>игр</w:t>
      </w:r>
      <w:r w:rsidR="004D319D" w:rsidRPr="001B27F8">
        <w:rPr>
          <w:rFonts w:ascii="Times New Roman" w:hAnsi="Times New Roman" w:cs="Times New Roman"/>
          <w:sz w:val="28"/>
          <w:szCs w:val="28"/>
        </w:rPr>
        <w:t>а</w:t>
      </w:r>
      <w:r w:rsidR="00347052" w:rsidRPr="001B27F8">
        <w:rPr>
          <w:rFonts w:ascii="Times New Roman" w:hAnsi="Times New Roman" w:cs="Times New Roman"/>
          <w:sz w:val="28"/>
          <w:szCs w:val="28"/>
        </w:rPr>
        <w:t>ет важную</w:t>
      </w:r>
      <w:r w:rsidR="00E82208" w:rsidRPr="001B27F8">
        <w:rPr>
          <w:rFonts w:ascii="Times New Roman" w:hAnsi="Times New Roman" w:cs="Times New Roman"/>
          <w:sz w:val="28"/>
          <w:szCs w:val="28"/>
        </w:rPr>
        <w:t xml:space="preserve"> роль в профилактике </w:t>
      </w:r>
      <w:r w:rsidR="00347052" w:rsidRPr="001B27F8">
        <w:rPr>
          <w:rFonts w:ascii="Times New Roman" w:hAnsi="Times New Roman" w:cs="Times New Roman"/>
          <w:sz w:val="28"/>
          <w:szCs w:val="28"/>
        </w:rPr>
        <w:t xml:space="preserve">аллергического ринита, </w:t>
      </w:r>
      <w:r w:rsidR="00452ACC">
        <w:rPr>
          <w:rFonts w:ascii="Times New Roman" w:hAnsi="Times New Roman" w:cs="Times New Roman"/>
          <w:sz w:val="28"/>
          <w:szCs w:val="28"/>
        </w:rPr>
        <w:t>БА</w:t>
      </w:r>
      <w:r w:rsidR="00E82208" w:rsidRPr="001B27F8">
        <w:rPr>
          <w:rFonts w:ascii="Times New Roman" w:hAnsi="Times New Roman" w:cs="Times New Roman"/>
          <w:sz w:val="28"/>
          <w:szCs w:val="28"/>
        </w:rPr>
        <w:t xml:space="preserve"> и </w:t>
      </w:r>
      <w:r w:rsidR="00347052" w:rsidRPr="001B27F8">
        <w:rPr>
          <w:rFonts w:ascii="Times New Roman" w:hAnsi="Times New Roman" w:cs="Times New Roman"/>
          <w:sz w:val="28"/>
          <w:szCs w:val="28"/>
        </w:rPr>
        <w:t xml:space="preserve">других </w:t>
      </w:r>
      <w:r w:rsidR="00E82208" w:rsidRPr="001B27F8">
        <w:rPr>
          <w:rFonts w:ascii="Times New Roman" w:hAnsi="Times New Roman" w:cs="Times New Roman"/>
          <w:sz w:val="28"/>
          <w:szCs w:val="28"/>
        </w:rPr>
        <w:t>аллергических заболеваний</w:t>
      </w:r>
      <w:r w:rsidR="00D47081">
        <w:rPr>
          <w:rFonts w:ascii="Times New Roman" w:hAnsi="Times New Roman" w:cs="Times New Roman"/>
          <w:sz w:val="28"/>
          <w:szCs w:val="28"/>
        </w:rPr>
        <w:t xml:space="preserve"> </w:t>
      </w:r>
      <w:r w:rsidR="00D47081">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{"citationItems":[{"id":"ITEM-1","itemData":{"DOI":"10.3390/nu12061801","ISBN":"4871328120","ISSN":"20726643","PMID":"32560403","abstract":"Asthma and allergic rhinitis are the most common chronic childhood diseases with an increasing prevalence worldwide. There is an urgent need to look for methods of preventing allergic diseases from an early age. The relationship between vitamin D status and allergic diseases has been discussed in several studies recently. 25-hydroxyvitamin D (25(OH)D) is suggested to affect the development and/or severity of asthma and allergic rhinitis. Observational studies have seemed to confirm that vitamin D deficiency may contribute to an increase in allergy and asthma. Following interventional studies, however, have yielded ambiguous results. In this review, we describe recent findings regarding 25(OH)D impact on allergic diseases and provide a systematic analysis of the causes of great variability of the achieved results in different studies.","author":[{"dropping-particle":"","family":"Sikorska-Szaflik","given":"Hanna","non-dropping-particle":"","parse-names":false,"suffix":""},{"dropping-particle":"","family":"Sozańska","given":"Barbara","non-dropping-particle":"","parse-names":false,"suffix":""}],"container-title":"Nutrients","id":"ITEM-1","issue":"6","issued":{"date-parts":[["2020"]]},"page":"1-9","title":"The role of vitamin D in respiratory allergies prevention. Why the effect is so difficult to disentangle?","type":"article-journal","volume":"12"},"uris":["http://www.mendeley.com/documents/?uuid=5bd537a7-6249-4c0d-a291-15075f6396b1"]}],"mendeley":{"formattedCitation":"[90]","plainTextFormattedCitation":"[90]","previouslyFormattedCitation":"[90]"},"properties":{"noteIndex":0},"schema":"https://github.com/citation-style-language/schema/raw/master/csl-citation.json"}</w:instrText>
      </w:r>
      <w:r w:rsidR="00D47081">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[90]</w:t>
      </w:r>
      <w:r w:rsidR="00D47081">
        <w:rPr>
          <w:rFonts w:ascii="Times New Roman" w:hAnsi="Times New Roman" w:cs="Times New Roman"/>
          <w:sz w:val="28"/>
          <w:szCs w:val="28"/>
        </w:rPr>
        <w:fldChar w:fldCharType="end"/>
      </w:r>
      <w:r w:rsidR="00E82208" w:rsidRPr="001B27F8">
        <w:rPr>
          <w:rFonts w:ascii="Times New Roman" w:hAnsi="Times New Roman" w:cs="Times New Roman"/>
          <w:sz w:val="28"/>
          <w:szCs w:val="28"/>
        </w:rPr>
        <w:t>.</w:t>
      </w:r>
      <w:r w:rsidR="00CE1090" w:rsidRPr="001B27F8">
        <w:rPr>
          <w:rFonts w:ascii="Times New Roman" w:hAnsi="Times New Roman" w:cs="Times New Roman"/>
          <w:sz w:val="28"/>
          <w:szCs w:val="28"/>
        </w:rPr>
        <w:t xml:space="preserve"> </w:t>
      </w:r>
      <w:r w:rsidR="001409E7" w:rsidRPr="001B27F8">
        <w:rPr>
          <w:rFonts w:ascii="Times New Roman" w:hAnsi="Times New Roman" w:cs="Times New Roman"/>
          <w:sz w:val="28"/>
          <w:szCs w:val="28"/>
        </w:rPr>
        <w:t xml:space="preserve">Исследование эффективности применения витамина Д в качестве </w:t>
      </w:r>
      <w:r w:rsidR="00F9086D" w:rsidRPr="001B27F8">
        <w:rPr>
          <w:rFonts w:ascii="Times New Roman" w:hAnsi="Times New Roman" w:cs="Times New Roman"/>
          <w:sz w:val="28"/>
          <w:szCs w:val="28"/>
        </w:rPr>
        <w:t>адъюванта</w:t>
      </w:r>
      <w:r w:rsidR="001409E7" w:rsidRPr="001B27F8">
        <w:rPr>
          <w:rFonts w:ascii="Times New Roman" w:hAnsi="Times New Roman" w:cs="Times New Roman"/>
          <w:sz w:val="28"/>
          <w:szCs w:val="28"/>
        </w:rPr>
        <w:t xml:space="preserve"> в комплексе со СЛИТ </w:t>
      </w:r>
      <w:r w:rsidR="00973AE6" w:rsidRPr="001B27F8">
        <w:rPr>
          <w:rFonts w:ascii="Times New Roman" w:hAnsi="Times New Roman" w:cs="Times New Roman"/>
          <w:sz w:val="28"/>
          <w:szCs w:val="28"/>
        </w:rPr>
        <w:t>при пыльцевой и клещевой аллергии</w:t>
      </w:r>
      <w:r w:rsidR="001409E7" w:rsidRPr="001B27F8">
        <w:rPr>
          <w:rFonts w:ascii="Times New Roman" w:hAnsi="Times New Roman" w:cs="Times New Roman"/>
          <w:sz w:val="28"/>
          <w:szCs w:val="28"/>
        </w:rPr>
        <w:t>, продемонстрировало высокие показатели безопасности и эффективности. Пациенты ежедневно получавшие</w:t>
      </w:r>
      <w:r w:rsidR="00CE444D" w:rsidRPr="001B27F8">
        <w:rPr>
          <w:rFonts w:ascii="Times New Roman" w:hAnsi="Times New Roman" w:cs="Times New Roman"/>
          <w:sz w:val="28"/>
          <w:szCs w:val="28"/>
        </w:rPr>
        <w:t xml:space="preserve"> пе</w:t>
      </w:r>
      <w:r w:rsidR="001409E7" w:rsidRPr="001B27F8">
        <w:rPr>
          <w:rFonts w:ascii="Times New Roman" w:hAnsi="Times New Roman" w:cs="Times New Roman"/>
          <w:sz w:val="28"/>
          <w:szCs w:val="28"/>
        </w:rPr>
        <w:t xml:space="preserve">рорально витамин </w:t>
      </w:r>
      <w:r w:rsidR="00452ACC">
        <w:rPr>
          <w:rFonts w:ascii="Times New Roman" w:hAnsi="Times New Roman" w:cs="Times New Roman"/>
          <w:sz w:val="28"/>
          <w:szCs w:val="28"/>
        </w:rPr>
        <w:t>Д</w:t>
      </w:r>
      <w:r w:rsidR="00CE444D" w:rsidRPr="001B27F8">
        <w:rPr>
          <w:rFonts w:ascii="Times New Roman" w:hAnsi="Times New Roman" w:cs="Times New Roman"/>
          <w:sz w:val="28"/>
          <w:szCs w:val="28"/>
        </w:rPr>
        <w:t xml:space="preserve"> в течение 5 месяцев </w:t>
      </w:r>
      <w:r w:rsidR="001409E7" w:rsidRPr="001B27F8">
        <w:rPr>
          <w:rFonts w:ascii="Times New Roman" w:hAnsi="Times New Roman" w:cs="Times New Roman"/>
          <w:sz w:val="28"/>
          <w:szCs w:val="28"/>
        </w:rPr>
        <w:t>в комплексе</w:t>
      </w:r>
      <w:r w:rsidR="00CE444D" w:rsidRPr="001B27F8">
        <w:rPr>
          <w:rFonts w:ascii="Times New Roman" w:hAnsi="Times New Roman" w:cs="Times New Roman"/>
          <w:sz w:val="28"/>
          <w:szCs w:val="28"/>
        </w:rPr>
        <w:t xml:space="preserve"> с</w:t>
      </w:r>
      <w:r w:rsidR="001409E7" w:rsidRPr="001B27F8">
        <w:rPr>
          <w:rFonts w:ascii="Times New Roman" w:hAnsi="Times New Roman" w:cs="Times New Roman"/>
          <w:sz w:val="28"/>
          <w:szCs w:val="28"/>
        </w:rPr>
        <w:t>о</w:t>
      </w:r>
      <w:r w:rsidR="00CE444D" w:rsidRPr="001B27F8">
        <w:rPr>
          <w:rFonts w:ascii="Times New Roman" w:hAnsi="Times New Roman" w:cs="Times New Roman"/>
          <w:sz w:val="28"/>
          <w:szCs w:val="28"/>
        </w:rPr>
        <w:t xml:space="preserve"> </w:t>
      </w:r>
      <w:r w:rsidR="001409E7" w:rsidRPr="001B27F8">
        <w:rPr>
          <w:rFonts w:ascii="Times New Roman" w:hAnsi="Times New Roman" w:cs="Times New Roman"/>
          <w:sz w:val="28"/>
          <w:szCs w:val="28"/>
        </w:rPr>
        <w:t>СЛИТ</w:t>
      </w:r>
      <w:r w:rsidR="00CE444D" w:rsidRPr="001B27F8">
        <w:rPr>
          <w:rFonts w:ascii="Times New Roman" w:hAnsi="Times New Roman" w:cs="Times New Roman"/>
          <w:sz w:val="28"/>
          <w:szCs w:val="28"/>
        </w:rPr>
        <w:t xml:space="preserve">, </w:t>
      </w:r>
      <w:r w:rsidR="001409E7" w:rsidRPr="001B27F8">
        <w:rPr>
          <w:rFonts w:ascii="Times New Roman" w:hAnsi="Times New Roman" w:cs="Times New Roman"/>
          <w:sz w:val="28"/>
          <w:szCs w:val="28"/>
        </w:rPr>
        <w:t>показали</w:t>
      </w:r>
      <w:r w:rsidR="00CE444D" w:rsidRPr="001B27F8">
        <w:rPr>
          <w:rFonts w:ascii="Times New Roman" w:hAnsi="Times New Roman" w:cs="Times New Roman"/>
          <w:sz w:val="28"/>
          <w:szCs w:val="28"/>
        </w:rPr>
        <w:t xml:space="preserve"> значительное улучшение симптомов по сравнению с пациентами, получавшими только </w:t>
      </w:r>
      <w:r w:rsidR="001409E7" w:rsidRPr="001B27F8">
        <w:rPr>
          <w:rFonts w:ascii="Times New Roman" w:hAnsi="Times New Roman" w:cs="Times New Roman"/>
          <w:sz w:val="28"/>
          <w:szCs w:val="28"/>
        </w:rPr>
        <w:t xml:space="preserve">СЛИТ </w:t>
      </w:r>
      <w:r w:rsidR="00E006DB">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{"citationItems":[{"id":"ITEM-1","itemData":{"DOI":"10.1016/j.jaip.2016.07.020","ISSN":"22132198","PMID":"28065340","abstract":"Sublingual immunotherapy (SLIT) relies on high doses of allergens to treat patients with type I allergies. Although SLIT is commonly performed without any adjuvant or delivery system, allergen(s) could be further formulated with allergen-presentation platforms to better target oral dendritic cells eliciting regulatory immune responses. Improving the availability of allergens to the immune system should enhance SLIT efficacy, while allowing to decrease allergen dosing. Herein, we present an overview of adjuvants and vector systems that have been, or could be, considered as candidate allergen-presentation platforms for the sublingual route. Such platforms encompass adjuvants capable of stimulating allergen-specific TH1 and/or regulatory CD4+ T-cell responses, including 1,25-dihydroxy vitamin D3, glucocorticoids, Toll-like receptor ligands as well as selected bacterial probiotic strains. A limiting factor for SLIT efficacy is the number of dendritic cells capturing the allergens in the upper layers of oral tissues. Thus, adsorption or encapsulation of the allergen(s) within mucoadhesive particulate vector (or delivery) systems also has the potential to significantly enhance SLIT efficacy due to a facilitated allergen uptake by tolerogenic oral dendritic cells.","author":[{"dropping-particle":"","family":"Moingeon","given":"P.","non-dropping-particle":"","parse-names":false,"suffix":""},{"dropping-particle":"","family":"Lombardi","given":"V.","non-dropping-particle":"","parse-names":false,"suffix":""},{"dropping-particle":"","family":"Baron-Bodo","given":"V.","non-dropping-particle":"","parse-names":false,"suffix":""},{"dropping-particle":"","family":"Mascarell","given":"L.","non-dropping-particle":"","parse-names":false,"suffix":""}],"container-title":"Journal of Allergy and Clinical Immunology: In Practice","id":"ITEM-1","issue":"1","issued":{"date-parts":[["2017"]]},"page":"23-31","publisher":"Elsevier Inc","title":"Enhancing Allergen-Presentation Platforms for Sublingual Immunotherapy","type":"article-journal","volume":"5"},"uris":["http://www.mendeley.com/documents/?uuid=df10b961-1281-4be3-8d94-4ed88554f098"]}],"mendeley":{"formattedCitation":"[94]","plainTextFormattedCitation":"[94]","previouslyFormattedCitation":"[94]"},"properties":{"noteIndex":0},"schema":"https://github.com/citation-style-language/schema/raw/master/csl-citation.json"}</w:instrText>
      </w:r>
      <w:r w:rsidR="00E006DB">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[94]</w:t>
      </w:r>
      <w:r w:rsidR="00E006DB">
        <w:rPr>
          <w:rFonts w:ascii="Times New Roman" w:hAnsi="Times New Roman" w:cs="Times New Roman"/>
          <w:sz w:val="28"/>
          <w:szCs w:val="28"/>
        </w:rPr>
        <w:fldChar w:fldCharType="end"/>
      </w:r>
      <w:r w:rsidR="001409E7" w:rsidRPr="001B27F8">
        <w:rPr>
          <w:rFonts w:ascii="Times New Roman" w:hAnsi="Times New Roman" w:cs="Times New Roman"/>
          <w:sz w:val="28"/>
          <w:szCs w:val="28"/>
        </w:rPr>
        <w:t>.</w:t>
      </w:r>
    </w:p>
    <w:p w14:paraId="4D88EA39" w14:textId="125C94BD" w:rsidR="00E01074" w:rsidRPr="001B27F8" w:rsidRDefault="00912EC6" w:rsidP="001B27F8">
      <w:pPr>
        <w:tabs>
          <w:tab w:val="left" w:pos="851"/>
        </w:tabs>
        <w:spacing w:after="0" w:line="240" w:lineRule="auto"/>
        <w:ind w:firstLine="567"/>
        <w:jc w:val="both"/>
        <w:rPr>
          <w:rFonts w:ascii="Times New Roman" w:hAnsi="Times New Roman" w:cs="Times New Roman"/>
          <w:sz w:val="28"/>
          <w:szCs w:val="28"/>
        </w:rPr>
      </w:pPr>
      <w:r w:rsidRPr="001B27F8">
        <w:rPr>
          <w:rFonts w:ascii="Times New Roman" w:hAnsi="Times New Roman" w:cs="Times New Roman"/>
          <w:sz w:val="28"/>
          <w:szCs w:val="28"/>
        </w:rPr>
        <w:t>Современные</w:t>
      </w:r>
      <w:r w:rsidR="00E01074" w:rsidRPr="001B27F8">
        <w:rPr>
          <w:rFonts w:ascii="Times New Roman" w:hAnsi="Times New Roman" w:cs="Times New Roman"/>
          <w:sz w:val="28"/>
          <w:szCs w:val="28"/>
        </w:rPr>
        <w:t xml:space="preserve"> данные демонстрирует важную роль витамина </w:t>
      </w:r>
      <w:r w:rsidR="00452ACC">
        <w:rPr>
          <w:rFonts w:ascii="Times New Roman" w:hAnsi="Times New Roman" w:cs="Times New Roman"/>
          <w:sz w:val="28"/>
          <w:szCs w:val="28"/>
        </w:rPr>
        <w:t>Д</w:t>
      </w:r>
      <w:r w:rsidR="00E01074" w:rsidRPr="001B27F8">
        <w:rPr>
          <w:rFonts w:ascii="Times New Roman" w:hAnsi="Times New Roman" w:cs="Times New Roman"/>
          <w:sz w:val="28"/>
          <w:szCs w:val="28"/>
        </w:rPr>
        <w:t xml:space="preserve"> в патогенезе аллергии, влияние его дефицита на повышенный риск развития различных аллергических заболеваний, более тяжелое их течение и низкую эффективностью лечения</w:t>
      </w:r>
      <w:r w:rsidRPr="001B27F8">
        <w:rPr>
          <w:rFonts w:ascii="Times New Roman" w:hAnsi="Times New Roman" w:cs="Times New Roman"/>
          <w:sz w:val="28"/>
          <w:szCs w:val="28"/>
        </w:rPr>
        <w:t xml:space="preserve"> </w:t>
      </w:r>
      <w:r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ISSN":"2075-4728","author":[{"dropping-particle":"","family":"Майлян","given":"Э.А.","non-dropping-particle":"","parse-names":false,"suffix":""},{"dropping-particle":"","family":"Резниченко","given":"Н.А.","non-dropping-particle":"","parse-names":false,"suffix":""},{"dropping-particle":"","family":"Майлян","given":"Д.Э.","non-dropping-particle":"","parse-names":false,"suffix":""}],"container-title":"Научные ведомости Белгородского Государственного Университета. Серия: Медицина. Фармация","id":"ITEM-1","issue":"5 (254)","issued":{"date-parts":[["2017"]]},"page":"22-32","title":"Экстраскелетные эффекты витамина D: роль в патогенезе алергических заболеваний","type":"article-journal","volume":"37"},"uris":["http://www.mendeley.com/documents/?uuid=22fcd24b-9984-445f-b0c3-2650733d8eaf"]}],"mendeley":{"formattedCitation":"[95]","plainTextFormattedCitation":"[95]","previouslyFormattedCitation":"[95]"},"properties":{"noteIndex":0},"schema":"https://github.com/citation-style-language/schema/raw/master/csl-citation.json"}</w:instrText>
      </w:r>
      <w:r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[95]</w:t>
      </w:r>
      <w:r w:rsidRPr="001B27F8">
        <w:rPr>
          <w:rFonts w:ascii="Times New Roman" w:hAnsi="Times New Roman" w:cs="Times New Roman"/>
          <w:sz w:val="28"/>
          <w:szCs w:val="28"/>
        </w:rPr>
        <w:fldChar w:fldCharType="end"/>
      </w:r>
      <w:r w:rsidRPr="001B27F8">
        <w:rPr>
          <w:rFonts w:ascii="Times New Roman" w:hAnsi="Times New Roman" w:cs="Times New Roman"/>
          <w:sz w:val="28"/>
          <w:szCs w:val="28"/>
        </w:rPr>
        <w:t>.</w:t>
      </w:r>
      <w:r w:rsidR="00E01074" w:rsidRPr="001B27F8">
        <w:rPr>
          <w:rFonts w:ascii="Times New Roman" w:hAnsi="Times New Roman" w:cs="Times New Roman"/>
          <w:sz w:val="28"/>
          <w:szCs w:val="28"/>
        </w:rPr>
        <w:t xml:space="preserve"> Это свидетельствует о необходимости </w:t>
      </w:r>
      <w:r w:rsidR="00C455A6" w:rsidRPr="001B27F8">
        <w:rPr>
          <w:rFonts w:ascii="Times New Roman" w:hAnsi="Times New Roman" w:cs="Times New Roman"/>
          <w:sz w:val="28"/>
          <w:szCs w:val="28"/>
        </w:rPr>
        <w:t xml:space="preserve">детального изучения проблемы </w:t>
      </w:r>
      <w:r w:rsidR="00E01074" w:rsidRPr="001B27F8">
        <w:rPr>
          <w:rFonts w:ascii="Times New Roman" w:hAnsi="Times New Roman" w:cs="Times New Roman"/>
          <w:sz w:val="28"/>
          <w:szCs w:val="28"/>
        </w:rPr>
        <w:t xml:space="preserve">дефицита и недостаточности </w:t>
      </w:r>
      <w:r w:rsidR="00C455A6" w:rsidRPr="001B27F8">
        <w:rPr>
          <w:rFonts w:ascii="Times New Roman" w:hAnsi="Times New Roman" w:cs="Times New Roman"/>
          <w:sz w:val="28"/>
          <w:szCs w:val="28"/>
        </w:rPr>
        <w:t>витамина Д</w:t>
      </w:r>
      <w:r w:rsidR="00E01074" w:rsidRPr="001B27F8">
        <w:rPr>
          <w:rFonts w:ascii="Times New Roman" w:hAnsi="Times New Roman" w:cs="Times New Roman"/>
          <w:sz w:val="28"/>
          <w:szCs w:val="28"/>
        </w:rPr>
        <w:t xml:space="preserve"> при аллергической патологии, а также более широкого использования </w:t>
      </w:r>
      <w:r w:rsidR="00C455A6" w:rsidRPr="001B27F8">
        <w:rPr>
          <w:rFonts w:ascii="Times New Roman" w:hAnsi="Times New Roman" w:cs="Times New Roman"/>
          <w:sz w:val="28"/>
          <w:szCs w:val="28"/>
        </w:rPr>
        <w:t xml:space="preserve">комплексных </w:t>
      </w:r>
      <w:r w:rsidR="00E01074" w:rsidRPr="001B27F8">
        <w:rPr>
          <w:rFonts w:ascii="Times New Roman" w:hAnsi="Times New Roman" w:cs="Times New Roman"/>
          <w:sz w:val="28"/>
          <w:szCs w:val="28"/>
        </w:rPr>
        <w:t>методов</w:t>
      </w:r>
      <w:r w:rsidR="00973215" w:rsidRPr="001B27F8">
        <w:rPr>
          <w:rFonts w:ascii="Times New Roman" w:hAnsi="Times New Roman" w:cs="Times New Roman"/>
          <w:sz w:val="28"/>
          <w:szCs w:val="28"/>
        </w:rPr>
        <w:t>,</w:t>
      </w:r>
      <w:r w:rsidR="00E01074" w:rsidRPr="001B27F8">
        <w:rPr>
          <w:rFonts w:ascii="Times New Roman" w:hAnsi="Times New Roman" w:cs="Times New Roman"/>
          <w:sz w:val="28"/>
          <w:szCs w:val="28"/>
        </w:rPr>
        <w:t xml:space="preserve"> </w:t>
      </w:r>
      <w:r w:rsidR="00973215" w:rsidRPr="001B27F8">
        <w:rPr>
          <w:rFonts w:ascii="Times New Roman" w:hAnsi="Times New Roman" w:cs="Times New Roman"/>
          <w:sz w:val="28"/>
          <w:szCs w:val="28"/>
        </w:rPr>
        <w:t>сочетающих добавление витамина</w:t>
      </w:r>
      <w:r w:rsidR="00C455A6" w:rsidRPr="001B27F8">
        <w:rPr>
          <w:rFonts w:ascii="Times New Roman" w:hAnsi="Times New Roman" w:cs="Times New Roman"/>
          <w:sz w:val="28"/>
          <w:szCs w:val="28"/>
        </w:rPr>
        <w:t xml:space="preserve"> Д в схемы</w:t>
      </w:r>
      <w:r w:rsidR="00973215" w:rsidRPr="001B27F8">
        <w:rPr>
          <w:rFonts w:ascii="Times New Roman" w:hAnsi="Times New Roman" w:cs="Times New Roman"/>
          <w:sz w:val="28"/>
          <w:szCs w:val="28"/>
        </w:rPr>
        <w:t xml:space="preserve"> лечения АСИТ для достижения эфф</w:t>
      </w:r>
      <w:r w:rsidR="00C455A6" w:rsidRPr="001B27F8">
        <w:rPr>
          <w:rFonts w:ascii="Times New Roman" w:hAnsi="Times New Roman" w:cs="Times New Roman"/>
          <w:sz w:val="28"/>
          <w:szCs w:val="28"/>
        </w:rPr>
        <w:t>ективных результатов.</w:t>
      </w:r>
      <w:r w:rsidR="00E01074" w:rsidRPr="001B27F8">
        <w:rPr>
          <w:rFonts w:ascii="Times New Roman" w:hAnsi="Times New Roman" w:cs="Times New Roman"/>
          <w:sz w:val="28"/>
          <w:szCs w:val="28"/>
        </w:rPr>
        <w:t xml:space="preserve"> </w:t>
      </w:r>
    </w:p>
    <w:p w14:paraId="676B394D" w14:textId="77777777" w:rsidR="001409E7" w:rsidRPr="001B27F8" w:rsidRDefault="001409E7" w:rsidP="001B27F8">
      <w:pPr>
        <w:tabs>
          <w:tab w:val="left" w:pos="851"/>
        </w:tabs>
        <w:spacing w:after="0" w:line="240" w:lineRule="auto"/>
        <w:ind w:firstLine="567"/>
        <w:jc w:val="both"/>
        <w:rPr>
          <w:rFonts w:ascii="Times New Roman" w:hAnsi="Times New Roman" w:cs="Times New Roman"/>
          <w:sz w:val="28"/>
          <w:szCs w:val="28"/>
        </w:rPr>
      </w:pPr>
    </w:p>
    <w:p w14:paraId="1DE25E70" w14:textId="2C908084" w:rsidR="00584F10" w:rsidRPr="00B13410" w:rsidRDefault="00DA31C5" w:rsidP="00102E42">
      <w:pPr>
        <w:pStyle w:val="1"/>
        <w:numPr>
          <w:ilvl w:val="1"/>
          <w:numId w:val="2"/>
        </w:numPr>
        <w:tabs>
          <w:tab w:val="left" w:pos="1134"/>
        </w:tabs>
        <w:spacing w:before="0" w:line="240" w:lineRule="auto"/>
        <w:ind w:left="0" w:firstLine="567"/>
        <w:jc w:val="both"/>
        <w:rPr>
          <w:rFonts w:ascii="Times New Roman" w:hAnsi="Times New Roman" w:cs="Times New Roman"/>
          <w:b/>
          <w:color w:val="auto"/>
          <w:sz w:val="28"/>
          <w:szCs w:val="28"/>
        </w:rPr>
      </w:pPr>
      <w:bookmarkStart w:id="9" w:name="_Toc137904333"/>
      <w:r w:rsidRPr="00B13410">
        <w:rPr>
          <w:rStyle w:val="a4"/>
          <w:rFonts w:ascii="Times New Roman" w:hAnsi="Times New Roman" w:cs="Times New Roman"/>
          <w:bCs w:val="0"/>
          <w:i w:val="0"/>
          <w:iCs w:val="0"/>
          <w:color w:val="auto"/>
          <w:spacing w:val="0"/>
          <w:sz w:val="28"/>
          <w:szCs w:val="28"/>
        </w:rPr>
        <w:t>Инструмент мониторинга</w:t>
      </w:r>
      <w:r w:rsidR="005855C7" w:rsidRPr="00B13410">
        <w:rPr>
          <w:rStyle w:val="a4"/>
          <w:rFonts w:ascii="Times New Roman" w:hAnsi="Times New Roman" w:cs="Times New Roman"/>
          <w:bCs w:val="0"/>
          <w:i w:val="0"/>
          <w:iCs w:val="0"/>
          <w:color w:val="auto"/>
          <w:spacing w:val="0"/>
          <w:sz w:val="28"/>
          <w:szCs w:val="28"/>
        </w:rPr>
        <w:t xml:space="preserve"> клинической эффективности</w:t>
      </w:r>
      <w:r w:rsidR="005855C7" w:rsidRPr="00B13410">
        <w:rPr>
          <w:rStyle w:val="a4"/>
          <w:rFonts w:ascii="Times New Roman" w:hAnsi="Times New Roman" w:cs="Times New Roman"/>
          <w:b w:val="0"/>
          <w:bCs w:val="0"/>
          <w:i w:val="0"/>
          <w:iCs w:val="0"/>
          <w:color w:val="auto"/>
          <w:spacing w:val="0"/>
          <w:sz w:val="28"/>
          <w:szCs w:val="28"/>
        </w:rPr>
        <w:t xml:space="preserve"> </w:t>
      </w:r>
      <w:r w:rsidR="00CE1C22" w:rsidRPr="00B13410">
        <w:rPr>
          <w:rFonts w:ascii="Times New Roman" w:hAnsi="Times New Roman" w:cs="Times New Roman"/>
          <w:b/>
          <w:color w:val="auto"/>
          <w:sz w:val="28"/>
          <w:szCs w:val="28"/>
        </w:rPr>
        <w:t>аллерген-специфической иммунотерапии</w:t>
      </w:r>
      <w:bookmarkEnd w:id="9"/>
    </w:p>
    <w:p w14:paraId="476C73FD" w14:textId="02F090A6" w:rsidR="00FE0B3A" w:rsidRPr="001B27F8" w:rsidRDefault="008552BA" w:rsidP="001B27F8">
      <w:pPr>
        <w:tabs>
          <w:tab w:val="left" w:pos="851"/>
        </w:tabs>
        <w:spacing w:after="0" w:line="240" w:lineRule="auto"/>
        <w:ind w:firstLine="567"/>
        <w:jc w:val="both"/>
        <w:rPr>
          <w:rFonts w:ascii="Times New Roman" w:hAnsi="Times New Roman" w:cs="Times New Roman"/>
          <w:sz w:val="28"/>
          <w:szCs w:val="28"/>
        </w:rPr>
      </w:pPr>
      <w:r w:rsidRPr="001B27F8">
        <w:rPr>
          <w:rFonts w:ascii="Times New Roman" w:hAnsi="Times New Roman" w:cs="Times New Roman"/>
          <w:sz w:val="28"/>
          <w:szCs w:val="28"/>
        </w:rPr>
        <w:t>По данным международных рекомендаций Европейской академии аллергологии и клинической иммунологии (EAACI), для мониторинга эффективности АСИТ нужно использовать комбинированную оценку симптомов и приема лекарств как прост</w:t>
      </w:r>
      <w:r w:rsidR="00F64E86" w:rsidRPr="001B27F8">
        <w:rPr>
          <w:rFonts w:ascii="Times New Roman" w:hAnsi="Times New Roman" w:cs="Times New Roman"/>
          <w:sz w:val="28"/>
          <w:szCs w:val="28"/>
        </w:rPr>
        <w:t xml:space="preserve">ой и стандартизированный метод </w:t>
      </w:r>
      <w:r w:rsidR="005C5819"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{"citationItems":[{"id":"ITEM-1","itemData":{"DOI":"10.1111/all.12383","ISSN":"01054538","PMID":"24761804","abstract":"Background Allergen immunotherapy (AIT) has been thoroughly documented in randomized controlled trials (RCTs). It is the only immune-modifying and causal treatment available for patients suffering from IgE-mediated diseases such as allergic rhinoconjunctivitis, allergic asthma and insect sting allergy. However, there is a high degree of clinical and methodological heterogeneity among the endpoints in clinical studies on AIT, for both subcutaneous and sublingual immunotherapy (SCIT and SLIT). At present, there are no commonly accepted standards for defining the optimal outcome parameters to be used for both primary and secondary endpoints. Methods As elaborated by a Task Force (TF) of the European Academy of Allergy and Clinical Immunology (EAACI) Immunotherapy Interest Group, this Position Paper evaluates the currently used outcome parameters in different RCTs and also aims to provide recommendations for the optimal endpoints in future AIT trials for allergic rhinoconjunctivitis. Results Based on a thorough literature review, the TF members have outlined recommendations for nine domains of clinical outcome measures. As the primary outcome, the TF recommends a homogeneous combined symptom and medication score (CSMS) as a simple and standardized method that balances both symptoms and the need for antiallergic medication in an equally weighted manner. All outcomes, grouped into nine domains, are reviewed. Conclusion A standardized and globally harmonized method for analysing the clinical efficacy of AIT products in RCTs is required. The EAACI TF highlights the CSMS as the primary endpoint for future RCTs in AIT for allergic rhinoconjunctivitis. © 2014 John Wiley &amp; Sons A/S. Published by John Wiley &amp; Sons Ltd.","author":[{"dropping-particle":"","family":"Pfaar","given":"O.","non-dropping-particle":"","parse-names":false,"suffix":""},{"dropping-particle":"","family":"Demoly","given":"P.","non-dropping-particle":"","parse-names":false,"suffix":""},{"dropping-particle":"","family":"Gerth van Wijk","given":"R.","non-dropping-particle":"","parse-names":false,"suffix":""},{"dropping-particle":"","family":"Bonini","given":"S.","non-dropping-particle":"","parse-names":false,"suffix":""},{"dropping-particle":"","family":"Bousquet","given":"J.","non-dropping-particle":"","parse-names":false,"suffix":""},{"dropping-particle":"","family":"Canonica","given":"G. W.","non-dropping-particle":"","parse-names":false,"suffix":""},{"dropping-particle":"","family":"Durham","given":"S. R.","non-dropping-particle":"","parse-names":false,"suffix":""},{"dropping-particle":"","family":"Jacobsen","given":"L.","non-dropping-particle":"","parse-names":false,"suffix":""},{"dropping-particle":"","family":"Malling","given":"H. J.","non-dropping-particle":"","parse-names":false,"suffix":""},{"dropping-particle":"","family":"Mösges","given":"R.","non-dropping-particle":"","parse-names":false,"suffix":""},{"dropping-particle":"","family":"Papadopoulos","given":"N. G.","non-dropping-particle":"","parse-names":false,"suffix":""},{"dropping-particle":"","family":"Rak","given":"S.","non-dropping-particle":"","parse-names":false,"suffix":""},{"dropping-particle":"","family":"Rodriguez del Rio","given":"P.","non-dropping-particle":"","parse-names":false,"suffix":""},{"dropping-particle":"","family":"Valovirta","given":"E.","non-dropping-particle":"","parse-names":false,"suffix":""},{"dropping-particle":"","family":"Wahn","given":"U.","non-dropping-particle":"","parse-names":false,"suffix":""},{"dropping-particle":"","family":"Calderon","given":"M. A.","non-dropping-particle":"","parse-names":false,"suffix":""}],"container-title":"Allergy","id":"ITEM-1","issue":"7","issued":{"date-parts":[["2014","7"]]},"page":"854-867","title":"Recommendations for the standardization of clinical outcomes used in allergen immunotherapy trials for allergic rhinoconjunctivitis: an EAACI Position Paper","type":"article-journal","volume":"69"},"uris":["http://www.mendeley.com/documents/?uuid=541810a5-849f-4435-a25b-f87d4fae320f"]},{"id":"ITEM-2","itemData":{"DOI":"10.1016/j.jaci.2012.08.012","ISSN":"10976825","PMID":"23021885","abstract":"Background: Subcutaneous (SCIT) and sublingual (SLIT) immunotherapy are the 2 most prescribed routes for administering allergen-specific immunotherapy. They were shown to be effective in control of symptoms and in reducing rescue medication use in patients with allergic diseases, but their effectiveness has to be balanced against side effects. In recent years, SLIT has been increasingly prescribed, instead of SCIT, because of improved safety and easy administration. Objective: We assessed which route is the most effective in the treatment of patients with seasonal allergic rhinitis to grass pollen. Methods: An indirect meta-analysis-based comparison between SCIT and SLIT was performed. Treatment efficacy was determined as the standardized mean difference (SMD) in symptom and medication scores obtained with active treatment, SCIT or SLIT, compared with placebo. Studies were included if they were double-blind randomized controlled trials comparing SCIT or SLIT with placebo. Thirty-six randomized controlled trials (3014 patients; 2768 controls) were analyzed. Results: The overall effect size of SCIT for symptom score (SMD, -0.92; 95%CI, -1.26 to -0.58) was significantly higher than SLIT, both administered via drops (SMD, -0.25; 95% CI, -0.45 to -0.05) and tablets (SMD, -0.40; 95%CI, -0.54 to -0.27). Similar results were reported for medication score (SCIT: SMD, -0.58; 95% CI, -0.86 to -0.30. SLIT drops: SMD, -0.37; 95% CI, -0.74 to -0.00. SLIT tablets SMD, -0.30; 95% CI, -0.44 to -0.16). Conclusions: Our results provide indirect but solid evidence that SCIT is more effective than SLIT in controlling symptoms and in reducing the use of antiallergic medications in seasonal allergic rhinoconjuntivitis to grass pollen. © 2012 American Academy of Allergy, Asthma &amp; Immunology.","author":[{"dropping-particle":"","family":"Bona","given":"Danilo","non-dropping-particle":"Di","parse-names":false,"suffix":""},{"dropping-particle":"","family":"Plaia","given":"Antonella","non-dropping-particle":"","parse-names":false,"suffix":""},{"dropping-particle":"","family":"Leto-Barone","given":"Maria Stefania","non-dropping-particle":"","parse-names":false,"suffix":""},{"dropping-particle":"","family":"Piana","given":"Simona","non-dropping-particle":"La","parse-names":false,"suffix":""},{"dropping-particle":"","family":"Lorenzo","given":"Gabriele","non-dropping-particle":"Di","parse-names":false,"suffix":""}],"container-title":"Journal of Allergy and Clinical Immunology","id":"ITEM-2","issue":"5","issued":{"date-parts":[["2012"]]},"page":"1097-1107.e2","publisher":"Elsevier Ltd","title":"Efficacy of subcutaneous and sublingual immunotherapy with grass allergens for seasonal allergic rhinitis: A meta-analysis-based comparison","type":"article-journal","volume":"130"},"uris":["http://www.mendeley.com/documents/?uuid=67b6b4d5-8fcf-4676-8beb-82d06df05774"]}],"mendeley":{"formattedCitation":"[42,96]","plainTextFormattedCitation":"[42,96]","previouslyFormattedCitation":"[42,96]"},"properties":{"noteIndex":0},"schema":"https://github.com/citation-style-language/schema/raw/master/csl-citation.json"}</w:instrText>
      </w:r>
      <w:r w:rsidR="005C5819"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[42,96]</w:t>
      </w:r>
      <w:r w:rsidR="005C5819" w:rsidRPr="001B27F8">
        <w:rPr>
          <w:rFonts w:ascii="Times New Roman" w:hAnsi="Times New Roman" w:cs="Times New Roman"/>
          <w:sz w:val="28"/>
          <w:szCs w:val="28"/>
        </w:rPr>
        <w:fldChar w:fldCharType="end"/>
      </w:r>
      <w:r w:rsidRPr="001B27F8">
        <w:rPr>
          <w:rFonts w:ascii="Times New Roman" w:hAnsi="Times New Roman" w:cs="Times New Roman"/>
          <w:sz w:val="28"/>
          <w:szCs w:val="28"/>
        </w:rPr>
        <w:t>.</w:t>
      </w:r>
      <w:r w:rsidR="00467207">
        <w:rPr>
          <w:rFonts w:ascii="Times New Roman" w:hAnsi="Times New Roman" w:cs="Times New Roman"/>
          <w:sz w:val="28"/>
          <w:szCs w:val="28"/>
        </w:rPr>
        <w:t xml:space="preserve"> </w:t>
      </w:r>
      <w:r w:rsidR="00FE0B3A" w:rsidRPr="001B27F8">
        <w:rPr>
          <w:rFonts w:ascii="Times New Roman" w:hAnsi="Times New Roman" w:cs="Times New Roman"/>
          <w:sz w:val="28"/>
          <w:szCs w:val="28"/>
        </w:rPr>
        <w:t>В качестве критерия клинической эффективности оценивается тяжесть симптомов заболевания в период обострения</w:t>
      </w:r>
      <w:r w:rsidR="007177AD" w:rsidRPr="001B27F8">
        <w:rPr>
          <w:rFonts w:ascii="Times New Roman" w:hAnsi="Times New Roman" w:cs="Times New Roman"/>
          <w:sz w:val="28"/>
          <w:szCs w:val="28"/>
        </w:rPr>
        <w:t xml:space="preserve"> до и после АСИТ</w:t>
      </w:r>
      <w:r w:rsidR="00FE0B3A" w:rsidRPr="001B27F8">
        <w:rPr>
          <w:rFonts w:ascii="Times New Roman" w:hAnsi="Times New Roman" w:cs="Times New Roman"/>
          <w:sz w:val="28"/>
          <w:szCs w:val="28"/>
        </w:rPr>
        <w:t>. Для оцен</w:t>
      </w:r>
      <w:r w:rsidR="005866E7" w:rsidRPr="001B27F8">
        <w:rPr>
          <w:rFonts w:ascii="Times New Roman" w:hAnsi="Times New Roman" w:cs="Times New Roman"/>
          <w:sz w:val="28"/>
          <w:szCs w:val="28"/>
        </w:rPr>
        <w:t>к</w:t>
      </w:r>
      <w:r w:rsidR="00FE0B3A" w:rsidRPr="001B27F8">
        <w:rPr>
          <w:rFonts w:ascii="Times New Roman" w:hAnsi="Times New Roman" w:cs="Times New Roman"/>
          <w:sz w:val="28"/>
          <w:szCs w:val="28"/>
        </w:rPr>
        <w:t xml:space="preserve">и тяжести </w:t>
      </w:r>
      <w:r w:rsidR="007177AD" w:rsidRPr="001B27F8">
        <w:rPr>
          <w:rFonts w:ascii="Times New Roman" w:hAnsi="Times New Roman" w:cs="Times New Roman"/>
          <w:sz w:val="28"/>
          <w:szCs w:val="28"/>
        </w:rPr>
        <w:t>симптомов</w:t>
      </w:r>
      <w:r w:rsidR="00FE0B3A" w:rsidRPr="001B27F8">
        <w:rPr>
          <w:rFonts w:ascii="Times New Roman" w:hAnsi="Times New Roman" w:cs="Times New Roman"/>
          <w:sz w:val="28"/>
          <w:szCs w:val="28"/>
        </w:rPr>
        <w:t xml:space="preserve"> приняты такие клинические показатели как </w:t>
      </w:r>
      <w:r w:rsidR="006E15CB" w:rsidRPr="001B27F8">
        <w:rPr>
          <w:rFonts w:ascii="Times New Roman" w:hAnsi="Times New Roman" w:cs="Times New Roman"/>
          <w:sz w:val="28"/>
          <w:szCs w:val="28"/>
        </w:rPr>
        <w:t>зуд в носу, заложенность носа, водянистые/слизистые выделения из носа, чихание, зуд</w:t>
      </w:r>
      <w:r w:rsidR="007177AD" w:rsidRPr="001B27F8">
        <w:rPr>
          <w:rFonts w:ascii="Times New Roman" w:hAnsi="Times New Roman" w:cs="Times New Roman"/>
          <w:sz w:val="28"/>
          <w:szCs w:val="28"/>
        </w:rPr>
        <w:t xml:space="preserve"> в глаз</w:t>
      </w:r>
      <w:r w:rsidR="006E15CB" w:rsidRPr="001B27F8">
        <w:rPr>
          <w:rFonts w:ascii="Times New Roman" w:hAnsi="Times New Roman" w:cs="Times New Roman"/>
          <w:sz w:val="28"/>
          <w:szCs w:val="28"/>
        </w:rPr>
        <w:t>ах и слезотечение</w:t>
      </w:r>
      <w:r w:rsidR="00FE0B3A" w:rsidRPr="001B27F8">
        <w:rPr>
          <w:rFonts w:ascii="Times New Roman" w:hAnsi="Times New Roman" w:cs="Times New Roman"/>
          <w:sz w:val="28"/>
          <w:szCs w:val="28"/>
        </w:rPr>
        <w:t xml:space="preserve"> по четырех</w:t>
      </w:r>
      <w:r w:rsidR="006E15CB" w:rsidRPr="001B27F8">
        <w:rPr>
          <w:rFonts w:ascii="Times New Roman" w:hAnsi="Times New Roman" w:cs="Times New Roman"/>
          <w:sz w:val="28"/>
          <w:szCs w:val="28"/>
        </w:rPr>
        <w:t>-</w:t>
      </w:r>
      <w:r w:rsidR="00FE0B3A" w:rsidRPr="001B27F8">
        <w:rPr>
          <w:rFonts w:ascii="Times New Roman" w:hAnsi="Times New Roman" w:cs="Times New Roman"/>
          <w:sz w:val="28"/>
          <w:szCs w:val="28"/>
        </w:rPr>
        <w:t>балльной шкале.</w:t>
      </w:r>
      <w:r w:rsidR="00591B7F" w:rsidRPr="001B27F8">
        <w:rPr>
          <w:rFonts w:ascii="Times New Roman" w:hAnsi="Times New Roman" w:cs="Times New Roman"/>
          <w:sz w:val="28"/>
          <w:szCs w:val="28"/>
        </w:rPr>
        <w:t xml:space="preserve"> Максимальная оценка составляет 18 баллов, что оценивается как тяжелая степень проявлений</w:t>
      </w:r>
      <w:r w:rsidR="002F6422" w:rsidRPr="001B27F8">
        <w:rPr>
          <w:rFonts w:ascii="Times New Roman" w:hAnsi="Times New Roman" w:cs="Times New Roman"/>
          <w:sz w:val="28"/>
          <w:szCs w:val="28"/>
        </w:rPr>
        <w:t xml:space="preserve"> </w:t>
      </w:r>
      <w:r w:rsidR="006E446C">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10.5114/ada.2019.85365","ISSN":"1642-395X","author":[{"dropping-particle":"","family":"Bozek","given":"Andrzej","non-dropping-particle":"","parse-names":false,"suffix":""},{"dropping-particle":"","family":"Foks","given":"Aleksandra","non-dropping-particle":"","parse-names":false,"suffix":""},{"dropping-particle":"","family":"Trzaska","given":"Karolina","non-dropping-particle":"","parse-names":false,"suffix":""},{"dropping-particle":"","family":"Canonica","given":"Giorgio Walter","non-dropping-particle":"","parse-names":false,"suffix":""}],"container-title":"Advances in Dermatology and Allergology","id":"ITEM-1","issue":"6","issued":{"date-parts":[["2020"]]},"page":"943-947","title":"Long-term effects of allergen sublingual immunotherapy","type":"article-journal","volume":"37"},"uris":["http://www.mendeley.com/documents/?uuid=993922d7-7883-40fe-83b7-656949a74820"]},{"id":"ITEM-2","itemData":{"DOI":"10.1038/s41598-020-63087-4","ISSN":"20452322","PMID":"32269269","abstract":"Since the beneficial implementation of allergen specific subcutaneous immunotherapy (SCIT), there are only a few studies on the risk of SCIT-induced neosensitizations. In 51 patients, we retrospectively analyzed sIgE and sIgG patterns by a multiplex ELISA as well as demographic and clinical features before and after SCIT. 33 allergic patients, who only received symptomatic treatment, served as controls. In 12 of 51 SCIT-treated patients (24%), we found new sIgE against allergen components of the allergen source treated by SCIT; eight of them were adults. Among controls, no adult patient showed neosensitization to components of the primarily affected allergen source. Only two children of the control group were affected by neosensitization, which was limited to major allergen components and rarely accompanied by sIgG. In the SCIT-treated group, neosensitization affected major and minor allergen components, and was accompanied by a strong induction of sIgG against major components. A clear clinical predictor of neosensitization during SCIT was not found. Comparing symptom scores, patients seem to profit more from SCIT, if neosensitization remained absent. Patients undergoing SCIT might carry an enhanced risk of neosensitization towards formerly unrecognized allergen components. According to anamnestic data, these neosensitizations might be of clinical relevance - supporting attempts towards personalized recombinant vaccines.","author":[{"dropping-particle":"","family":"Gellrich","given":"Donata","non-dropping-particle":"","parse-names":false,"suffix":""},{"dropping-particle":"","family":"Eder","given":"Katharina","non-dropping-particle":"","parse-names":false,"suffix":""},{"dropping-particle":"","family":"Högerle","given":"Catalina","non-dropping-particle":"","parse-names":false,"suffix":""},{"dropping-particle":"","family":"Becker","given":"Sven","non-dropping-particle":"","parse-names":false,"suffix":""},{"dropping-particle":"","family":"Canis","given":"Martin","non-dropping-particle":"","parse-names":false,"suffix":""},{"dropping-particle":"","family":"Gröger","given":"Moritz","non-dropping-particle":"","parse-names":false,"suffix":""}],"container-title":"Scientific Reports","id":"ITEM-2","issue":"1","issued":{"date-parts":[["2020"]]},"page":"1-11","title":"De novo sensitization during subcutaneous allergen specific immunotherapy - an analysis of 51 cases of SCIT and 33 symptomatically treated controls","type":"article-journal","volume":"10"},"uris":["http://www.mendeley.com/documents/?uuid=a0a045f8-2110-4b05-aa0a-f86d55677fd5"]}],"mendeley":{"formattedCitation":"[97,98]","plainTextFormattedCitation":"[97,98]","previouslyFormattedCitation":"[97,98]"},"properties":{"noteIndex":0},"schema":"https://github.com/citation-style-language/schema/raw/master/csl-citation.json"}</w:instrText>
      </w:r>
      <w:r w:rsidR="006E446C">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[97,98]</w:t>
      </w:r>
      <w:r w:rsidR="006E446C">
        <w:rPr>
          <w:rFonts w:ascii="Times New Roman" w:hAnsi="Times New Roman" w:cs="Times New Roman"/>
          <w:sz w:val="28"/>
          <w:szCs w:val="28"/>
        </w:rPr>
        <w:fldChar w:fldCharType="end"/>
      </w:r>
      <w:r w:rsidR="00591B7F" w:rsidRPr="001B27F8">
        <w:rPr>
          <w:rFonts w:ascii="Times New Roman" w:hAnsi="Times New Roman" w:cs="Times New Roman"/>
          <w:sz w:val="28"/>
          <w:szCs w:val="28"/>
        </w:rPr>
        <w:t>.</w:t>
      </w:r>
      <w:r w:rsidR="0007459B">
        <w:rPr>
          <w:rFonts w:ascii="Times New Roman" w:hAnsi="Times New Roman" w:cs="Times New Roman"/>
          <w:sz w:val="28"/>
          <w:szCs w:val="28"/>
        </w:rPr>
        <w:t xml:space="preserve"> </w:t>
      </w:r>
      <w:r w:rsidR="00591B7F" w:rsidRPr="001B27F8">
        <w:rPr>
          <w:rFonts w:ascii="Times New Roman" w:hAnsi="Times New Roman" w:cs="Times New Roman"/>
          <w:sz w:val="28"/>
          <w:szCs w:val="28"/>
        </w:rPr>
        <w:t>Оценка приема медикаментов</w:t>
      </w:r>
      <w:r w:rsidR="0080066C" w:rsidRPr="001B27F8">
        <w:rPr>
          <w:rFonts w:ascii="Times New Roman" w:hAnsi="Times New Roman" w:cs="Times New Roman"/>
          <w:sz w:val="28"/>
          <w:szCs w:val="28"/>
        </w:rPr>
        <w:t>, по рекомендации ВОЗ,</w:t>
      </w:r>
      <w:r w:rsidR="00591B7F" w:rsidRPr="001B27F8">
        <w:rPr>
          <w:rFonts w:ascii="Times New Roman" w:hAnsi="Times New Roman" w:cs="Times New Roman"/>
          <w:sz w:val="28"/>
          <w:szCs w:val="28"/>
        </w:rPr>
        <w:t xml:space="preserve"> осуществлялась по кратности применения антигистаминных препаратов, топических ГКС и системных ГКС в неделю, в текущий сезон ц</w:t>
      </w:r>
      <w:r w:rsidR="002C295F" w:rsidRPr="001B27F8">
        <w:rPr>
          <w:rFonts w:ascii="Times New Roman" w:hAnsi="Times New Roman" w:cs="Times New Roman"/>
          <w:sz w:val="28"/>
          <w:szCs w:val="28"/>
        </w:rPr>
        <w:t>ветения до и после АСИТ</w:t>
      </w:r>
      <w:r w:rsidR="00C00568" w:rsidRPr="001B27F8">
        <w:rPr>
          <w:rFonts w:ascii="Times New Roman" w:hAnsi="Times New Roman" w:cs="Times New Roman"/>
          <w:sz w:val="28"/>
          <w:szCs w:val="28"/>
        </w:rPr>
        <w:t xml:space="preserve"> </w:t>
      </w:r>
      <w:r w:rsidR="00C00568"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{"citationItems":[{"id":"ITEM-1","itemData":{"DOI":"10.1111/all.12383","ISSN":"01054538","PMID":"24761804","abstract":"Background Allergen immunotherapy (AIT) has been thoroughly documented in randomized controlled trials (RCTs). It is the only immune-modifying and causal treatment available for patients suffering from IgE-mediated diseases such as allergic rhinoconjunctivitis, allergic asthma and insect sting allergy. However, there is a high degree of clinical and methodological heterogeneity among the endpoints in clinical studies on AIT, for both subcutaneous and sublingual immunotherapy (SCIT and SLIT). At present, there are no commonly accepted standards for defining the optimal outcome parameters to be used for both primary and secondary endpoints. Methods As elaborated by a Task Force (TF) of the European Academy of Allergy and Clinical Immunology (EAACI) Immunotherapy Interest Group, this Position Paper evaluates the currently used outcome parameters in different RCTs and also aims to provide recommendations for the optimal endpoints in future AIT trials for allergic rhinoconjunctivitis. Results Based on a thorough literature review, the TF members have outlined recommendations for nine domains of clinical outcome measures. As the primary outcome, the TF recommends a homogeneous combined symptom and medication score (CSMS) as a simple and standardized method that balances both symptoms and the need for antiallergic medication in an equally weighted manner. All outcomes, grouped into nine domains, are reviewed. Conclusion A standardized and globally harmonized method for analysing the clinical efficacy of AIT products in RCTs is required. The EAACI TF highlights the CSMS as the primary endpoint for future RCTs in AIT for allergic rhinoconjunctivitis. © 2014 John Wiley &amp; Sons A/S. Published by John Wiley &amp; Sons Ltd.","author":[{"dropping-particle":"","family":"Pfaar","given":"O.","non-dropping-particle":"","parse-names":false,"suffix":""},{"dropping-particle":"","family":"Demoly","given":"P.","non-dropping-particle":"","parse-names":false,"suffix":""},{"dropping-particle":"","family":"Gerth van Wijk","given":"R.","non-dropping-particle":"","parse-names":false,"suffix":""},{"dropping-particle":"","family":"Bonini","given":"S.","non-dropping-particle":"","parse-names":false,"suffix":""},{"dropping-particle":"","family":"Bousquet","given":"J.","non-dropping-particle":"","parse-names":false,"suffix":""},{"dropping-particle":"","family":"Canonica","given":"G. W.","non-dropping-particle":"","parse-names":false,"suffix":""},{"dropping-particle":"","family":"Durham","given":"S. R.","non-dropping-particle":"","parse-names":false,"suffix":""},{"dropping-particle":"","family":"Jacobsen","given":"L.","non-dropping-particle":"","parse-names":false,"suffix":""},{"dropping-particle":"","family":"Malling","given":"H. J.","non-dropping-particle":"","parse-names":false,"suffix":""},{"dropping-particle":"","family":"Mösges","given":"R.","non-dropping-particle":"","parse-names":false,"suffix":""},{"dropping-particle":"","family":"Papadopoulos","given":"N. G.","non-dropping-particle":"","parse-names":false,"suffix":""},{"dropping-particle":"","family":"Rak","given":"S.","non-dropping-particle":"","parse-names":false,"suffix":""},{"dropping-particle":"","family":"Rodriguez del Rio","given":"P.","non-dropping-particle":"","parse-names":false,"suffix":""},{"dropping-particle":"","family":"Valovirta","given":"E.","non-dropping-particle":"","parse-names":false,"suffix":""},{"dropping-particle":"","family":"Wahn","given":"U.","non-dropping-particle":"","parse-names":false,"suffix":""},{"dropping-particle":"","family":"Calderon","given":"M. A.","non-dropping-particle":"","parse-names":false,"suffix":""}],"container-title":"Allergy","id":"ITEM-1","issue":"7","issued":{"date-parts":[["2014","7"]]},"page":"854-867","title":"Recommendations for the standardization of clinical outcomes used in allergen immunotherapy trials for allergic rhinoconjunctivitis: an EAACI Position Paper","type":"article-journal","volume":"69"},"uris":["http://www.mendeley.com/documents/?uuid=541810a5-849f-4435-a25b-f87d4fae320f"]},{"id":"ITEM-2","itemData":{"DOI":"10.5114/ada.2019.85365","ISSN":"1642-395X","author":[{"dropping-particle":"","family":"Bozek","given":"Andrzej","non-dropping-particle":"","parse-names":false,"suffix":""},{"dropping-particle":"","family":"Foks","given":"Aleksandra","non-dropping-particle":"","parse-names":false,"suffix":""},{"dropping-particle":"","family":"Trzaska","given":"Karolina","non-dropping-particle":"","parse-names":false,"suffix":""},{"dropping-particle":"","family":"Canonica","given":"Giorgio Walter","non-dropping-particle":"","parse-names":false,"suffix":""}],"container-title":"Advances in Dermatology and Allergology","id":"ITEM-2","issue":"6","issued":{"date-parts":[["2020"]]},"page":"943-947","title":"Long-term effects of allergen sublingual immunotherapy","type":"article-journal","volume":"37"},"uris":["http://www.mendeley.com/documents/?uuid=993922d7-7883-40fe-83b7-656949a74820"]}],"mendeley":{"formattedCitation":"[42,97]","plainTextFormattedCitation":"[42,97]","previouslyFormattedCitation":"[42,97]"},"properties":{"noteIndex":0},"schema":"https://github.com/citation-style-language/schema/raw/master/csl-citation.json"}</w:instrText>
      </w:r>
      <w:r w:rsidR="00C00568"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[42,97]</w:t>
      </w:r>
      <w:r w:rsidR="00C00568" w:rsidRPr="001B27F8">
        <w:rPr>
          <w:rFonts w:ascii="Times New Roman" w:hAnsi="Times New Roman" w:cs="Times New Roman"/>
          <w:sz w:val="28"/>
          <w:szCs w:val="28"/>
        </w:rPr>
        <w:fldChar w:fldCharType="end"/>
      </w:r>
      <w:r w:rsidR="00B92597" w:rsidRPr="001B27F8">
        <w:rPr>
          <w:rFonts w:ascii="Times New Roman" w:hAnsi="Times New Roman" w:cs="Times New Roman"/>
          <w:sz w:val="28"/>
          <w:szCs w:val="28"/>
        </w:rPr>
        <w:t>.</w:t>
      </w:r>
    </w:p>
    <w:p w14:paraId="7283515C" w14:textId="4F46BC1B" w:rsidR="005205B7" w:rsidRPr="001B27F8" w:rsidRDefault="00CA6014" w:rsidP="001B27F8">
      <w:pPr>
        <w:tabs>
          <w:tab w:val="left" w:pos="851"/>
          <w:tab w:val="left" w:pos="993"/>
        </w:tabs>
        <w:spacing w:after="0" w:line="240" w:lineRule="auto"/>
        <w:ind w:firstLine="567"/>
        <w:jc w:val="both"/>
        <w:rPr>
          <w:rFonts w:ascii="Times New Roman" w:hAnsi="Times New Roman" w:cs="Times New Roman"/>
          <w:sz w:val="28"/>
          <w:szCs w:val="28"/>
        </w:rPr>
      </w:pPr>
      <w:r w:rsidRPr="001B27F8">
        <w:rPr>
          <w:rFonts w:ascii="Times New Roman" w:hAnsi="Times New Roman" w:cs="Times New Roman"/>
          <w:sz w:val="28"/>
          <w:szCs w:val="28"/>
        </w:rPr>
        <w:t>В</w:t>
      </w:r>
      <w:r w:rsidR="002C295F" w:rsidRPr="001B27F8">
        <w:rPr>
          <w:rFonts w:ascii="Times New Roman" w:hAnsi="Times New Roman" w:cs="Times New Roman"/>
          <w:sz w:val="28"/>
          <w:szCs w:val="28"/>
        </w:rPr>
        <w:t>ажным клиническим критерием мониторинга эффективности АСИТ являлся оценка к</w:t>
      </w:r>
      <w:r w:rsidR="005205B7" w:rsidRPr="001B27F8">
        <w:rPr>
          <w:rFonts w:ascii="Times New Roman" w:hAnsi="Times New Roman" w:cs="Times New Roman"/>
          <w:sz w:val="28"/>
          <w:szCs w:val="28"/>
        </w:rPr>
        <w:t>ачества жизни пациентов</w:t>
      </w:r>
      <w:r w:rsidR="007A5854" w:rsidRPr="001B27F8">
        <w:rPr>
          <w:rFonts w:ascii="Times New Roman" w:hAnsi="Times New Roman" w:cs="Times New Roman"/>
          <w:sz w:val="28"/>
          <w:szCs w:val="28"/>
        </w:rPr>
        <w:t xml:space="preserve"> </w:t>
      </w:r>
      <w:r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{"citationItems":[{"id":"ITEM-1","itemData":{"DOI":"10.14427/jipai.2015.4.10","author":[{"dropping-particle":"","family":"Коровкина","given":"Е С","non-dropping-particle":"","parse-names":false,"suffix":""},{"dropping-particle":"","family":"Воронцова","given":"И М","non-dropping-particle":"","parse-names":false,"suffix":""}],"container-title":"Иммунопатология, аллергология, инфектология","id":"ITEM-1","issued":{"date-parts":[["2015"]]},"page":"10-15","title":"Возможности оценки эффективности аллерген-специфической иммунотерапии","type":"article-journal","volume":"4"},"uris":["http://www.mendeley.com/documents/?uuid=c898addc-9e17-4352-a49f-57fd48c7cdbd"]}],"mendeley":{"formattedCitation":"[99]","plainTextFormattedCitation":"[99]","previouslyFormattedCitation":"[99]"},"properties":{"noteIndex":0},"schema":"https://github.com/citation-style-language/schema/raw/master/csl-citation.json"}</w:instrText>
      </w:r>
      <w:r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[99]</w:t>
      </w:r>
      <w:r w:rsidRPr="001B27F8">
        <w:rPr>
          <w:rFonts w:ascii="Times New Roman" w:hAnsi="Times New Roman" w:cs="Times New Roman"/>
          <w:sz w:val="28"/>
          <w:szCs w:val="28"/>
        </w:rPr>
        <w:fldChar w:fldCharType="end"/>
      </w:r>
      <w:r w:rsidR="002C295F" w:rsidRPr="001B27F8">
        <w:rPr>
          <w:rFonts w:ascii="Times New Roman" w:hAnsi="Times New Roman" w:cs="Times New Roman"/>
          <w:sz w:val="28"/>
          <w:szCs w:val="28"/>
        </w:rPr>
        <w:t xml:space="preserve">. </w:t>
      </w:r>
      <w:r w:rsidR="005205B7" w:rsidRPr="001B27F8">
        <w:rPr>
          <w:rFonts w:ascii="Times New Roman" w:hAnsi="Times New Roman" w:cs="Times New Roman"/>
          <w:sz w:val="28"/>
          <w:szCs w:val="28"/>
        </w:rPr>
        <w:t xml:space="preserve">Критериями и компонентами </w:t>
      </w:r>
      <w:r w:rsidR="0017046D" w:rsidRPr="001B27F8">
        <w:rPr>
          <w:rFonts w:ascii="Times New Roman" w:hAnsi="Times New Roman" w:cs="Times New Roman"/>
          <w:sz w:val="28"/>
          <w:szCs w:val="28"/>
        </w:rPr>
        <w:t>качества жизни</w:t>
      </w:r>
      <w:r w:rsidR="007A5854" w:rsidRPr="001B27F8">
        <w:rPr>
          <w:rFonts w:ascii="Times New Roman" w:hAnsi="Times New Roman" w:cs="Times New Roman"/>
          <w:sz w:val="28"/>
          <w:szCs w:val="28"/>
        </w:rPr>
        <w:t xml:space="preserve"> по данным экспертов ВОЗ </w:t>
      </w:r>
      <w:r w:rsidR="005205B7" w:rsidRPr="001B27F8">
        <w:rPr>
          <w:rFonts w:ascii="Times New Roman" w:hAnsi="Times New Roman" w:cs="Times New Roman"/>
          <w:sz w:val="28"/>
          <w:szCs w:val="28"/>
        </w:rPr>
        <w:t xml:space="preserve">являются: </w:t>
      </w:r>
      <w:r w:rsidR="0017046D" w:rsidRPr="001B27F8">
        <w:rPr>
          <w:rFonts w:ascii="Times New Roman" w:hAnsi="Times New Roman" w:cs="Times New Roman"/>
          <w:sz w:val="28"/>
          <w:szCs w:val="28"/>
        </w:rPr>
        <w:t xml:space="preserve">физические, психологические факторы, уровень независимости, </w:t>
      </w:r>
      <w:r w:rsidR="00E74F7F" w:rsidRPr="001B27F8">
        <w:rPr>
          <w:rFonts w:ascii="Times New Roman" w:hAnsi="Times New Roman" w:cs="Times New Roman"/>
          <w:sz w:val="28"/>
          <w:szCs w:val="28"/>
        </w:rPr>
        <w:t>общественная жизнь и окружающая среда</w:t>
      </w:r>
      <w:r w:rsidR="007A5854" w:rsidRPr="001B27F8">
        <w:rPr>
          <w:rFonts w:ascii="Times New Roman" w:hAnsi="Times New Roman" w:cs="Times New Roman"/>
          <w:sz w:val="28"/>
          <w:szCs w:val="28"/>
        </w:rPr>
        <w:t xml:space="preserve"> </w:t>
      </w:r>
      <w:r w:rsidR="007A5854"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{"citationItems":[{"id":"ITEM-1","itemData":{"author":[{"dropping-particle":"","family":"Козулина","given":"И.Е.","non-dropping-particle":"","parse-names":false,"suffix":""}],"container-title":"диссертация к.м.н.","id":"ITEM-1","issued":{"date-parts":[["2017"]]},"number-of-pages":"103","title":"Клиническая эффективность, безопасность и экономическая целесообразность сублингвального и подкожного методов аллерген-специфической иммунотерапии","type":"thesis"},"uris":["http://www.mendeley.com/documents/?uuid=c3725692-ee95-49b6-b8d5-8f0362da8952"]}],"mendeley":{"formattedCitation":"[32]","plainTextFormattedCitation":"[32]","previouslyFormattedCitation":"[32]"},"properties":{"noteIndex":0},"schema":"https://github.com/citation-style-language/schema/raw/master/csl-citation.json"}</w:instrText>
      </w:r>
      <w:r w:rsidR="007A5854"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[32]</w:t>
      </w:r>
      <w:r w:rsidR="007A5854" w:rsidRPr="001B27F8">
        <w:rPr>
          <w:rFonts w:ascii="Times New Roman" w:hAnsi="Times New Roman" w:cs="Times New Roman"/>
          <w:sz w:val="28"/>
          <w:szCs w:val="28"/>
        </w:rPr>
        <w:fldChar w:fldCharType="end"/>
      </w:r>
      <w:r w:rsidR="00E74F7F" w:rsidRPr="001B27F8">
        <w:rPr>
          <w:rFonts w:ascii="Times New Roman" w:hAnsi="Times New Roman" w:cs="Times New Roman"/>
          <w:sz w:val="28"/>
          <w:szCs w:val="28"/>
        </w:rPr>
        <w:t>. Ф</w:t>
      </w:r>
      <w:r w:rsidR="005205B7" w:rsidRPr="001B27F8">
        <w:rPr>
          <w:rFonts w:ascii="Times New Roman" w:hAnsi="Times New Roman" w:cs="Times New Roman"/>
          <w:sz w:val="28"/>
          <w:szCs w:val="28"/>
        </w:rPr>
        <w:t>изически</w:t>
      </w:r>
      <w:r w:rsidR="00E74F7F" w:rsidRPr="001B27F8">
        <w:rPr>
          <w:rFonts w:ascii="Times New Roman" w:hAnsi="Times New Roman" w:cs="Times New Roman"/>
          <w:sz w:val="28"/>
          <w:szCs w:val="28"/>
        </w:rPr>
        <w:t>й компонент включает оценку силы, энергии, усталости, боли</w:t>
      </w:r>
      <w:r w:rsidR="005205B7" w:rsidRPr="001B27F8">
        <w:rPr>
          <w:rFonts w:ascii="Times New Roman" w:hAnsi="Times New Roman" w:cs="Times New Roman"/>
          <w:sz w:val="28"/>
          <w:szCs w:val="28"/>
        </w:rPr>
        <w:t>, дискомфорт</w:t>
      </w:r>
      <w:r w:rsidR="00E74F7F" w:rsidRPr="001B27F8">
        <w:rPr>
          <w:rFonts w:ascii="Times New Roman" w:hAnsi="Times New Roman" w:cs="Times New Roman"/>
          <w:sz w:val="28"/>
          <w:szCs w:val="28"/>
        </w:rPr>
        <w:t>а, сна</w:t>
      </w:r>
      <w:r w:rsidR="005205B7" w:rsidRPr="001B27F8">
        <w:rPr>
          <w:rFonts w:ascii="Times New Roman" w:hAnsi="Times New Roman" w:cs="Times New Roman"/>
          <w:sz w:val="28"/>
          <w:szCs w:val="28"/>
        </w:rPr>
        <w:t>, отдых</w:t>
      </w:r>
      <w:r w:rsidR="00E74F7F" w:rsidRPr="001B27F8">
        <w:rPr>
          <w:rFonts w:ascii="Times New Roman" w:hAnsi="Times New Roman" w:cs="Times New Roman"/>
          <w:sz w:val="28"/>
          <w:szCs w:val="28"/>
        </w:rPr>
        <w:t xml:space="preserve">а; </w:t>
      </w:r>
      <w:r w:rsidR="005205B7" w:rsidRPr="001B27F8">
        <w:rPr>
          <w:rFonts w:ascii="Times New Roman" w:hAnsi="Times New Roman" w:cs="Times New Roman"/>
          <w:sz w:val="28"/>
          <w:szCs w:val="28"/>
        </w:rPr>
        <w:t>психологически</w:t>
      </w:r>
      <w:r w:rsidR="00E74F7F" w:rsidRPr="001B27F8">
        <w:rPr>
          <w:rFonts w:ascii="Times New Roman" w:hAnsi="Times New Roman" w:cs="Times New Roman"/>
          <w:sz w:val="28"/>
          <w:szCs w:val="28"/>
        </w:rPr>
        <w:t>й критерий подразумевает оценку положительных эмоций, мышления, запоминания, концентрации, самооценки, внешнего</w:t>
      </w:r>
      <w:r w:rsidR="005205B7" w:rsidRPr="001B27F8">
        <w:rPr>
          <w:rFonts w:ascii="Times New Roman" w:hAnsi="Times New Roman" w:cs="Times New Roman"/>
          <w:sz w:val="28"/>
          <w:szCs w:val="28"/>
        </w:rPr>
        <w:t xml:space="preserve"> вид</w:t>
      </w:r>
      <w:r w:rsidR="00E74F7F" w:rsidRPr="001B27F8">
        <w:rPr>
          <w:rFonts w:ascii="Times New Roman" w:hAnsi="Times New Roman" w:cs="Times New Roman"/>
          <w:sz w:val="28"/>
          <w:szCs w:val="28"/>
        </w:rPr>
        <w:t>а, негативных переживаний</w:t>
      </w:r>
      <w:r w:rsidR="005205B7" w:rsidRPr="001B27F8">
        <w:rPr>
          <w:rFonts w:ascii="Times New Roman" w:hAnsi="Times New Roman" w:cs="Times New Roman"/>
          <w:sz w:val="28"/>
          <w:szCs w:val="28"/>
        </w:rPr>
        <w:t>;</w:t>
      </w:r>
      <w:r w:rsidR="00E74F7F" w:rsidRPr="001B27F8">
        <w:rPr>
          <w:rFonts w:ascii="Times New Roman" w:hAnsi="Times New Roman" w:cs="Times New Roman"/>
          <w:sz w:val="28"/>
          <w:szCs w:val="28"/>
        </w:rPr>
        <w:t xml:space="preserve"> при оценке уровня</w:t>
      </w:r>
      <w:r w:rsidR="005205B7" w:rsidRPr="001B27F8">
        <w:rPr>
          <w:rFonts w:ascii="Times New Roman" w:hAnsi="Times New Roman" w:cs="Times New Roman"/>
          <w:sz w:val="28"/>
          <w:szCs w:val="28"/>
        </w:rPr>
        <w:t xml:space="preserve"> независимости</w:t>
      </w:r>
      <w:r w:rsidR="00E74F7F" w:rsidRPr="001B27F8">
        <w:rPr>
          <w:rFonts w:ascii="Times New Roman" w:hAnsi="Times New Roman" w:cs="Times New Roman"/>
          <w:sz w:val="28"/>
          <w:szCs w:val="28"/>
        </w:rPr>
        <w:t xml:space="preserve"> исследуют</w:t>
      </w:r>
      <w:r w:rsidR="005205B7" w:rsidRPr="001B27F8">
        <w:rPr>
          <w:rFonts w:ascii="Times New Roman" w:hAnsi="Times New Roman" w:cs="Times New Roman"/>
          <w:sz w:val="28"/>
          <w:szCs w:val="28"/>
        </w:rPr>
        <w:t xml:space="preserve"> </w:t>
      </w:r>
      <w:r w:rsidR="00E74F7F" w:rsidRPr="001B27F8">
        <w:rPr>
          <w:rFonts w:ascii="Times New Roman" w:hAnsi="Times New Roman" w:cs="Times New Roman"/>
          <w:sz w:val="28"/>
          <w:szCs w:val="28"/>
        </w:rPr>
        <w:t>повседневную</w:t>
      </w:r>
      <w:r w:rsidR="005205B7" w:rsidRPr="001B27F8">
        <w:rPr>
          <w:rFonts w:ascii="Times New Roman" w:hAnsi="Times New Roman" w:cs="Times New Roman"/>
          <w:sz w:val="28"/>
          <w:szCs w:val="28"/>
        </w:rPr>
        <w:t xml:space="preserve"> активность, работоспособность, зависимость от лечения и лекарств;</w:t>
      </w:r>
      <w:r w:rsidR="00E74F7F" w:rsidRPr="001B27F8">
        <w:rPr>
          <w:rFonts w:ascii="Times New Roman" w:hAnsi="Times New Roman" w:cs="Times New Roman"/>
          <w:sz w:val="28"/>
          <w:szCs w:val="28"/>
        </w:rPr>
        <w:t xml:space="preserve"> характеристика общественной жизни включает компонент оценки личных взаимоотношений</w:t>
      </w:r>
      <w:r w:rsidR="005205B7" w:rsidRPr="001B27F8">
        <w:rPr>
          <w:rFonts w:ascii="Times New Roman" w:hAnsi="Times New Roman" w:cs="Times New Roman"/>
          <w:sz w:val="28"/>
          <w:szCs w:val="28"/>
        </w:rPr>
        <w:t>, обществен</w:t>
      </w:r>
      <w:r w:rsidR="00E74F7F" w:rsidRPr="001B27F8">
        <w:rPr>
          <w:rFonts w:ascii="Times New Roman" w:hAnsi="Times New Roman" w:cs="Times New Roman"/>
          <w:sz w:val="28"/>
          <w:szCs w:val="28"/>
        </w:rPr>
        <w:t>ной ценности субъекта, сексуальной активности</w:t>
      </w:r>
      <w:r w:rsidR="005205B7" w:rsidRPr="001B27F8">
        <w:rPr>
          <w:rFonts w:ascii="Times New Roman" w:hAnsi="Times New Roman" w:cs="Times New Roman"/>
          <w:sz w:val="28"/>
          <w:szCs w:val="28"/>
        </w:rPr>
        <w:t>;</w:t>
      </w:r>
      <w:r w:rsidR="00E74F7F" w:rsidRPr="001B27F8">
        <w:rPr>
          <w:rFonts w:ascii="Times New Roman" w:hAnsi="Times New Roman" w:cs="Times New Roman"/>
          <w:sz w:val="28"/>
          <w:szCs w:val="28"/>
        </w:rPr>
        <w:t xml:space="preserve"> характеристика окружающей среды включает оценку благополучия, безопасности</w:t>
      </w:r>
      <w:r w:rsidR="005205B7" w:rsidRPr="001B27F8">
        <w:rPr>
          <w:rFonts w:ascii="Times New Roman" w:hAnsi="Times New Roman" w:cs="Times New Roman"/>
          <w:sz w:val="28"/>
          <w:szCs w:val="28"/>
        </w:rPr>
        <w:t>, быт</w:t>
      </w:r>
      <w:r w:rsidR="00E74F7F" w:rsidRPr="001B27F8">
        <w:rPr>
          <w:rFonts w:ascii="Times New Roman" w:hAnsi="Times New Roman" w:cs="Times New Roman"/>
          <w:sz w:val="28"/>
          <w:szCs w:val="28"/>
        </w:rPr>
        <w:t>а, обеспеченности, доступности и качества</w:t>
      </w:r>
      <w:r w:rsidR="005205B7" w:rsidRPr="001B27F8">
        <w:rPr>
          <w:rFonts w:ascii="Times New Roman" w:hAnsi="Times New Roman" w:cs="Times New Roman"/>
          <w:sz w:val="28"/>
          <w:szCs w:val="28"/>
        </w:rPr>
        <w:t xml:space="preserve"> медицинского и соци</w:t>
      </w:r>
      <w:r w:rsidR="00E74F7F" w:rsidRPr="001B27F8">
        <w:rPr>
          <w:rFonts w:ascii="Times New Roman" w:hAnsi="Times New Roman" w:cs="Times New Roman"/>
          <w:sz w:val="28"/>
          <w:szCs w:val="28"/>
        </w:rPr>
        <w:t>ального обеспечения, доступности информации, возможности</w:t>
      </w:r>
      <w:r w:rsidR="005205B7" w:rsidRPr="001B27F8">
        <w:rPr>
          <w:rFonts w:ascii="Times New Roman" w:hAnsi="Times New Roman" w:cs="Times New Roman"/>
          <w:sz w:val="28"/>
          <w:szCs w:val="28"/>
        </w:rPr>
        <w:t xml:space="preserve"> обучения и повышения квалификации, досуг</w:t>
      </w:r>
      <w:r w:rsidR="00E74F7F" w:rsidRPr="001B27F8">
        <w:rPr>
          <w:rFonts w:ascii="Times New Roman" w:hAnsi="Times New Roman" w:cs="Times New Roman"/>
          <w:sz w:val="28"/>
          <w:szCs w:val="28"/>
        </w:rPr>
        <w:t>а, экологии</w:t>
      </w:r>
      <w:r w:rsidR="005205B7" w:rsidRPr="001B27F8">
        <w:rPr>
          <w:rFonts w:ascii="Times New Roman" w:hAnsi="Times New Roman" w:cs="Times New Roman"/>
          <w:sz w:val="28"/>
          <w:szCs w:val="28"/>
        </w:rPr>
        <w:t xml:space="preserve"> </w:t>
      </w:r>
      <w:r w:rsidR="00E74F7F"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{"citationItems":[{"id":"ITEM-1","itemData":{"author":[{"dropping-particle":"","family":"Козулина","given":"И.Е.","non-dropping-particle":"","parse-names":false,"suffix":""}],"container-title":"диссертация к.м.н.","id":"ITEM-1","issued":{"date-parts":[["2017"]]},"number-of-pages":"103","title":"Клиническая эффективность, безопасность и экономическая целесообразность сублингвального и подкожного методов аллерген-специфической иммунотерапии","type":"thesis"},"uris":["http://www.mendeley.com/documents/?uuid=c3725692-ee95-49b6-b8d5-8f0362da8952"]},{"id":"ITEM-2","itemData":{"DOI":"10.1186/s12950-016-0134-3","ISSN":"14769255","abstract":"Background: The pathogenesis of non-allergic rhinitis (NAR) is still largely unknown. Furthermore, it is unclear whether there is a correlation between the effect of nasal glucocorticoids on nasal inflammation and on nasal symptoms and quality of life. Methods: In this pilot study we recruited 12 healthy subjects and 24 patients with recently diagnosed persistent NAR [12 untreated and 12 under regular treatment with nasal fluticasone furoate (two sprays of 27.5 μg each in each nostril once daily, total daily dose = 110 μg) for at least 20 days]. Each subject filled a mini rhinoconjunctivitis quality of life questionnaire (mini RQLQ). Nasal scrapings were obtained from each subject and used to prepare slides for Diff-Quik and immunocytochemical staining for inflammatory and epithelial cells count, MUC5AC expression and the general pro-inflammatory transcription factor nuclear factor kB (NF-kB) activation. Results: The nasal score of the mini RQLQ, the number of nasal inflammatory cells (neutrophils, eosinophils) and the number of goblet cells are significantly higher in untreated patients with persistent NAR compared with control subjects and treated NAR patients. The percentage of MUC5AC+ nasal epithelial cells is significantly increased in untreated patients with persistent NAR compared with the control subjects (41.8 ± 6.4 vs 22.3 ± 4.8, respectively; p = 0.0403) without significant differences between control subjects and patients with persistent NAR on regular fluticasone furoate treatment (33.9 ± 5.0 %; p = 0.0604) nor between the 2 groups of persistent NAR subjects (p = 0.3260). The number of cytosolic and/or nuclear p65+ nasal epithelial and inflammatory cells was not significantly different between the three groups. Conclusions: Patients with persistent untreated NAR, compared with normal control subjects and patients with persistent NAR under regular treatment with nasal fluticasone furoate by at least 20 days, have more nasal symptoms, worst quality of life and an increased number of nasal inflammatory cells (neutrophils, eosinophils), goblet cells and MUC5AC+ nasal epithelial cells. This nasal inflammation seems unrelated to NF-kB activation.","author":[{"dropping-particle":"","family":"Poletti","given":"Donatella","non-dropping-particle":"","parse-names":false,"suffix":""},{"dropping-particle":"","family":"Iannini","given":"Valeria","non-dropping-particle":"","parse-names":false,"suffix":""},{"dropping-particle":"","family":"Casolari","given":"Paolo","non-dropping-particle":"","parse-names":false,"suffix":""},{"dropping-particle":"","family":"Contoli","given":"Marco","non-dropping-particle":"","parse-names":false,"suffix":""},{"dropping-particle":"","family":"Papi","given":"Alberto","non-dropping-particle":"","parse-names":false,"suffix":""},{"dropping-particle":"","family":"Kirkham","given":"Paul","non-dropping-particle":"","parse-names":false,"suffix":""},{"dropping-particle":"","family":"Hansel","given":"Trevor T.","non-dropping-particle":"","parse-names":false,"suffix":""},{"dropping-particle":"","family":"Chung","given":"Kian Fan","non-dropping-particle":"","parse-names":false,"suffix":""},{"dropping-particle":"","family":"Barnes","given":"Peter J.","non-dropping-particle":"","parse-names":false,"suffix":""},{"dropping-particle":"","family":"Pastore","given":"Antonio","non-dropping-particle":"","parse-names":false,"suffix":""},{"dropping-particle":"","family":"Pelucchi","given":"Stefano","non-dropping-particle":"","parse-names":false,"suffix":""},{"dropping-particle":"","family":"Adcock","given":"Ian M.","non-dropping-particle":"","parse-names":false,"suffix":""},{"dropping-particle":"","family":"Caramori","given":"Gaetano","non-dropping-particle":"","parse-names":false,"suffix":""}],"container-title":"Journal of Inflammation (United Kingdom)","id":"ITEM-2","issue":"1","issued":{"date-parts":[["2016"]]},"page":"1-9","publisher":"Journal of Inflammation","title":"Nasal inflammation and its response to local glucocorticoid regular treatment in patients with persistent non-allergic rhinitis: A pilot study","type":"article-journal","volume":"13"},"uris":["http://www.mendeley.com/documents/?uuid=9e66df76-6d9e-40f5-a690-c3f483428e6e"]}],"mendeley":{"formattedCitation":"[32,100]","plainTextFormattedCitation":"[32,100]","previouslyFormattedCitation":"[32,100]"},"properties":{"noteIndex":0},"schema":"https://github.com/citation-style-language/schema/raw/master/csl-citation.json"}</w:instrText>
      </w:r>
      <w:r w:rsidR="00E74F7F"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[32,100]</w:t>
      </w:r>
      <w:r w:rsidR="00E74F7F" w:rsidRPr="001B27F8">
        <w:rPr>
          <w:rFonts w:ascii="Times New Roman" w:hAnsi="Times New Roman" w:cs="Times New Roman"/>
          <w:sz w:val="28"/>
          <w:szCs w:val="28"/>
        </w:rPr>
        <w:fldChar w:fldCharType="end"/>
      </w:r>
      <w:r w:rsidR="00E74F7F" w:rsidRPr="001B27F8">
        <w:rPr>
          <w:rFonts w:ascii="Times New Roman" w:hAnsi="Times New Roman" w:cs="Times New Roman"/>
          <w:sz w:val="28"/>
          <w:szCs w:val="28"/>
        </w:rPr>
        <w:t>.</w:t>
      </w:r>
    </w:p>
    <w:p w14:paraId="2A5E11B7" w14:textId="630742A0" w:rsidR="002C295F" w:rsidRPr="001B27F8" w:rsidRDefault="002C295F" w:rsidP="001B27F8">
      <w:pPr>
        <w:tabs>
          <w:tab w:val="left" w:pos="851"/>
        </w:tabs>
        <w:spacing w:after="0" w:line="240" w:lineRule="auto"/>
        <w:ind w:firstLine="567"/>
        <w:jc w:val="both"/>
        <w:rPr>
          <w:rFonts w:ascii="Times New Roman" w:hAnsi="Times New Roman" w:cs="Times New Roman"/>
          <w:sz w:val="28"/>
          <w:szCs w:val="28"/>
        </w:rPr>
      </w:pPr>
      <w:r w:rsidRPr="001B27F8">
        <w:rPr>
          <w:rFonts w:ascii="Times New Roman" w:hAnsi="Times New Roman" w:cs="Times New Roman"/>
          <w:sz w:val="28"/>
          <w:szCs w:val="28"/>
        </w:rPr>
        <w:t xml:space="preserve">Использование анкеты в исследовании фиксировало уменьшение выраженности назальных и конъюнктивальных симптомов, снижение кратности применения фармакотерапии, улучшение качества жизни, показана положительная динамика уже после первого курса АСИТ в сравнении в группой плацебо </w:t>
      </w:r>
      <w:r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{"citationItems":[{"id":"ITEM-1","itemData":{"DOI":"10.2500/aap.2020.41.200035","ISSN":"1088-5412","PMID":"32605697","abstract":"Background: The effect of prolonged allergen immunotherapy is still insufficiently known, especially in elderly patients. Objective: The effect after a 3-year course of injected allergen-specific immunotherapy (AIT) for grass pollen allergy in elderly patients with allergic rhinitis was observed. Methods: Thirty-eight elderly patients (mean ± standard deviation, 66.2 ± 2.7 years old) who received preseasonal injected AIT or placebo for grass pollen allergy were monitored for 3 years and compared with a placebo group. The combined symptom medication score (CSMS), serum level of immunoglobulin G4 (IgG4) to phleum pratense 5 (Phl p5) and quality of life were assessed immediately after AIT and 3 years later. Results: After AIT, the CSMS was significantly decreased from 2.15 (range, 1.27‐3.00) to 1.13 (range, 0.79‐1.36) (p = 0.03) and remained lower (1.41 ± 0.72 versus 2.41 ± 1.11) than that in the placebo group during the 3 years after AIT. Serum-specific IgG4 against increased during the course of AIT and remained at a high level during further observation. Quality of life, based on the Rhinoconjunctivitis Quality of Life Questionnaire, was significantly decreased in the patients who received AIT from 1.51 (95% confidence interval [CI], 1.21‐1.84) to 1.01 (95% CI, 0.93‐1.87) (p &lt; 0.05) and was decreased to 0.97‐1.26 (95% CI, 0.88‐1.82) during the 3 years after discontinuation of AIT. Conclusion: A prolonged positive effect after AIT for grass pollen allergy was observed in elderly patients with allergic rhinitis. Further trials are needed to confirm this effect.Clinical trial MC56871/12, &lt;ext-link xmlns:xlink=\"http://www.w3.org/1999/xlink\" ext-link-type=\"uri\" xlink:href=\"http://www.clinicaltrials.gov\"&gt;www.clinicaltrials.gov&lt;/ext-link&gt;.","author":[{"dropping-particle":"","family":"Bozek","given":"Andrzej","non-dropping-particle":"","parse-names":false,"suffix":""},{"dropping-particle":"","family":"Cudak","given":"Anna","non-dropping-particle":"","parse-names":false,"suffix":""},{"dropping-particle":"","family":"Walter Canonica","given":"Giorgio","non-dropping-particle":"","parse-names":false,"suffix":""}],"container-title":"Allergy and Asthma Proceedings","id":"ITEM-1","issue":"4","issued":{"date-parts":[["2020","7","1"]]},"page":"271-277","title":"Long-term efficacy of injected allergen immunotherapy for treatment of grass pollen allergy in elderly patients with allergic rhinitis","type":"article-journal","volume":"41"},"uris":["http://www.mendeley.com/documents/?uuid=da8143ad-3c88-4422-8ca2-dcb078fd8538"]},{"id":"ITEM-2","itemData":{"author":[{"dropping-particle":"","family":"Saltabayeva","given":"U","non-dropping-particle":"","parse-names":false,"suffix":""},{"dropping-particle":"","family":"Morenko","given":"M","non-dropping-particle":"","parse-names":false,"suffix":""},{"dropping-particle":"","family":"Garib","given":"V","non-dropping-particle":"","parse-names":false,"suffix":""},{"dropping-particle":"","family":"Nurzhanat","given":"H","non-dropping-particle":"","parse-names":false,"suffix":""}],"container-title":"Research journal of pharmaceutical biological and chemical sciences","id":"ITEM-2","issue":"4","issued":{"date-parts":[["2016"]]},"page":"2691-2697","title":"Comparative Effectiveness and Safety of Different Allergen-Specific Immunotherapy Types in Pollinosis","type":"article-journal","volume":"7"},"uris":["http://www.mendeley.com/documents/?uuid=07510740-02bd-4a0d-8b00-3e2a275002f0"]}],"mendeley":{"formattedCitation":"[101,102]","plainTextFormattedCitation":"[101,102]","previouslyFormattedCitation":"[101,102]"},"properties":{"noteIndex":0},"schema":"https://github.com/citation-style-language/schema/raw/master/csl-citation.json"}</w:instrText>
      </w:r>
      <w:r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[101,102]</w:t>
      </w:r>
      <w:r w:rsidRPr="001B27F8">
        <w:rPr>
          <w:rFonts w:ascii="Times New Roman" w:hAnsi="Times New Roman" w:cs="Times New Roman"/>
          <w:sz w:val="28"/>
          <w:szCs w:val="28"/>
        </w:rPr>
        <w:fldChar w:fldCharType="end"/>
      </w:r>
      <w:r w:rsidRPr="006D7C8A">
        <w:rPr>
          <w:rFonts w:ascii="Times New Roman" w:hAnsi="Times New Roman" w:cs="Times New Roman"/>
          <w:sz w:val="28"/>
          <w:szCs w:val="28"/>
        </w:rPr>
        <w:t xml:space="preserve">. </w:t>
      </w:r>
      <w:r w:rsidRPr="001B27F8">
        <w:rPr>
          <w:rFonts w:ascii="Times New Roman" w:hAnsi="Times New Roman" w:cs="Times New Roman"/>
          <w:sz w:val="28"/>
          <w:szCs w:val="28"/>
        </w:rPr>
        <w:t xml:space="preserve">Исследования показали, что 3-летний курс иммунотерапии обеспечивает дальнейшее </w:t>
      </w:r>
      <w:r w:rsidR="003D1FDD">
        <w:rPr>
          <w:rFonts w:ascii="Times New Roman" w:hAnsi="Times New Roman" w:cs="Times New Roman"/>
          <w:sz w:val="28"/>
          <w:szCs w:val="28"/>
        </w:rPr>
        <w:t>улучшение состояния</w:t>
      </w:r>
      <w:r w:rsidRPr="001B27F8">
        <w:rPr>
          <w:rFonts w:ascii="Times New Roman" w:hAnsi="Times New Roman" w:cs="Times New Roman"/>
          <w:sz w:val="28"/>
          <w:szCs w:val="28"/>
        </w:rPr>
        <w:t xml:space="preserve"> пациентов</w:t>
      </w:r>
      <w:r w:rsidR="00E91196">
        <w:rPr>
          <w:rFonts w:ascii="Times New Roman" w:hAnsi="Times New Roman" w:cs="Times New Roman"/>
          <w:sz w:val="28"/>
          <w:szCs w:val="28"/>
        </w:rPr>
        <w:t>, что выражалось в уменьшении</w:t>
      </w:r>
      <w:r w:rsidRPr="001B27F8">
        <w:rPr>
          <w:rFonts w:ascii="Times New Roman" w:hAnsi="Times New Roman" w:cs="Times New Roman"/>
          <w:sz w:val="28"/>
          <w:szCs w:val="28"/>
        </w:rPr>
        <w:t xml:space="preserve"> симптомов АР и</w:t>
      </w:r>
      <w:r w:rsidR="00E91196">
        <w:rPr>
          <w:rFonts w:ascii="Times New Roman" w:hAnsi="Times New Roman" w:cs="Times New Roman"/>
          <w:sz w:val="28"/>
          <w:szCs w:val="28"/>
        </w:rPr>
        <w:t xml:space="preserve"> повышении</w:t>
      </w:r>
      <w:r w:rsidRPr="001B27F8">
        <w:rPr>
          <w:rFonts w:ascii="Times New Roman" w:hAnsi="Times New Roman" w:cs="Times New Roman"/>
          <w:sz w:val="28"/>
          <w:szCs w:val="28"/>
        </w:rPr>
        <w:t xml:space="preserve"> качества жизни</w:t>
      </w:r>
      <w:r w:rsidR="000A5E68" w:rsidRPr="001B27F8">
        <w:rPr>
          <w:rFonts w:ascii="Times New Roman" w:hAnsi="Times New Roman" w:cs="Times New Roman"/>
          <w:sz w:val="28"/>
          <w:szCs w:val="28"/>
        </w:rPr>
        <w:t>, в сравнении с плацебо</w:t>
      </w:r>
      <w:r w:rsidRPr="006D7C8A">
        <w:rPr>
          <w:rFonts w:ascii="Times New Roman" w:hAnsi="Times New Roman" w:cs="Times New Roman"/>
          <w:sz w:val="28"/>
          <w:szCs w:val="28"/>
        </w:rPr>
        <w:t xml:space="preserve">. </w:t>
      </w:r>
      <w:r w:rsidRPr="001B27F8">
        <w:rPr>
          <w:rFonts w:ascii="Times New Roman" w:hAnsi="Times New Roman" w:cs="Times New Roman"/>
          <w:sz w:val="28"/>
          <w:szCs w:val="28"/>
        </w:rPr>
        <w:t>Продление курса иммунотерапии до 5 лет существенно не меняет эффекта от лечения</w:t>
      </w:r>
      <w:r w:rsidR="00F13736" w:rsidRPr="001B27F8">
        <w:rPr>
          <w:rFonts w:ascii="Times New Roman" w:hAnsi="Times New Roman" w:cs="Times New Roman"/>
          <w:sz w:val="28"/>
          <w:szCs w:val="28"/>
        </w:rPr>
        <w:t xml:space="preserve">, однако динамика улучшений сохранялась </w:t>
      </w:r>
      <w:r w:rsidR="0023088C">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{"citationItems":[{"id":"ITEM-1","itemData":{"DOI":"10.1080/21645515.2018.1496770","ISSN":"2164554X","PMID":"30183483","abstract":"Background: The prolonged effect of allergen immunotherapy is unknown, especially in older patients. Objective: The three-year effect of sublingual allergen-specific immunotherapy (AIT) to grass pollen on elderly patients with allergic rhinitis was analyzed. Methods: Thirty-eight elderly patients (63.18 ± 3.12 yrs.) underwent AIT to grass pollen, were monitored for three years and were compared to a placebo group. AIT was performed with the use of an oral Staloral 300 SR grass extract (Stallergens Greer, London, UK) or a placebo. Symptoms and medication scores, represented by the average adjusted symptom score (AAdSS), the serum level of IgG4 to Phl p5 and the quality of life were assessed immediately after AIT and three years later. Results: After AIT, the AAdSS was significantly decreased and remained lower than in the placebo group during the three years after AIT. Serum-specific IgG4 against Phl p5 increased during the AIT trial in the study group. For the three years of observation after AIT, there were no significant changes in specific IgG4 levels against the analyzed allergens in comparison to the results immediately after AIT. The quality of life, based on the Rhinoconjunctivitis Quality of Life Questionnaire, was significantly decreased in patients who received AIT, from 1.83 (95%CI: 1.45–1.96) to 0.74 (95%CI: 0.39–1.92) (p &lt; 0.05) to 0.82 (95%CI: 0.45– 1.04) three years after AIT. Conclusion: A prolonged positive effect after AIT to grass pollen was observed in elderly patients with allergic rhinitis. Further trials are needed to confirm this effect.","author":[{"dropping-particle":"","family":"Bozek","given":"Andrzej","non-dropping-particle":"","parse-names":false,"suffix":""},{"dropping-particle":"","family":"Jąkalski","given":"Marek","non-dropping-particle":"","parse-names":false,"suffix":""},{"dropping-particle":"","family":"Jonska–Golus","given":"Monika","non-dropping-particle":"","parse-names":false,"suffix":""},{"dropping-particle":"","family":"Filipowska-Gronska","given":"Agata","non-dropping-particle":"","parse-names":false,"suffix":""},{"dropping-particle":"","family":"Jarząb","given":"Jerzy","non-dropping-particle":"","parse-names":false,"suffix":""},{"dropping-particle":"","family":"Walter Canonica","given":"Giorgio","non-dropping-particle":"","parse-names":false,"suffix":""}],"container-title":"Human Vaccines and Immunotherapeutics","id":"ITEM-1","issue":"12","issued":{"date-parts":[["2018"]]},"page":"2842-2847","publisher":"Taylor &amp; Francis","title":"Prolonged effect of allergen sublingual immunotherapy to grass pollen","type":"article-journal","volume":"14"},"uris":["http://www.mendeley.com/documents/?uuid=c01ce500-0e9a-435d-8c18-992f59b7d99f"]},{"id":"ITEM-2","itemData":{"DOI":"10.2500/aap.2020.41.200035","ISSN":"1088-5412","PMID":"32605697","abstract":"Background: The effect of prolonged allergen immunotherapy is still insufficiently known, especially in elderly patients. Objective: The effect after a 3-year course of injected allergen-specific immunotherapy (AIT) for grass pollen allergy in elderly patients with allergic rhinitis was observed. Methods: Thirty-eight elderly patients (mean ± standard deviation, 66.2 ± 2.7 years old) who received preseasonal injected AIT or placebo for grass pollen allergy were monitored for 3 years and compared with a placebo group. The combined symptom medication score (CSMS), serum level of immunoglobulin G4 (IgG4) to phleum pratense 5 (Phl p5) and quality of life were assessed immediately after AIT and 3 years later. Results: After AIT, the CSMS was significantly decreased from 2.15 (range, 1.27‐3.00) to 1.13 (range, 0.79‐1.36) (p = 0.03) and remained lower (1.41 ± 0.72 versus 2.41 ± 1.11) than that in the placebo group during the 3 years after AIT. Serum-specific IgG4 against increased during the course of AIT and remained at a high level during further observation. Quality of life, based on the Rhinoconjunctivitis Quality of Life Questionnaire, was significantly decreased in the patients who received AIT from 1.51 (95% confidence interval [CI], 1.21‐1.84) to 1.01 (95% CI, 0.93‐1.87) (p &lt; 0.05) and was decreased to 0.97‐1.26 (95% CI, 0.88‐1.82) during the 3 years after discontinuation of AIT. Conclusion: A prolonged positive effect after AIT for grass pollen allergy was observed in elderly patients with allergic rhinitis. Further trials are needed to confirm this effect.Clinical trial MC56871/12, &lt;ext-link xmlns:xlink=\"http://www.w3.org/1999/xlink\" ext-link-type=\"uri\" xlink:href=\"http://www.clinicaltrials.gov\"&gt;www.clinicaltrials.gov&lt;/ext-link&gt;.","author":[{"dropping-particle":"","family":"Bozek","given":"Andrzej","non-dropping-particle":"","parse-names":false,"suffix":""},{"dropping-particle":"","family":"Cudak","given":"Anna","non-dropping-particle":"","parse-names":false,"suffix":""},{"dropping-particle":"","family":"Walter Canonica","given":"Giorgio","non-dropping-particle":"","parse-names":false,"suffix":""}],"container-title":"Allergy and Asthma Proceedings","id":"ITEM-2","issue":"4","issued":{"date-parts":[["2020","7","1"]]},"page":"271-277","title":"Long-term efficacy of injected allergen immunotherapy for treatment of grass pollen allergy in elderly patients with allergic rhinitis","type":"article-journal","volume":"41"},"uris":["http://www.mendeley.com/documents/?uuid=da8143ad-3c88-4422-8ca2-dcb078fd8538"]}],"mendeley":{"formattedCitation":"[101,103]","plainTextFormattedCitation":"[101,103]","previouslyFormattedCitation":"[101,103]"},"properties":{"noteIndex":0},"schema":"https://github.com/citation-style-language/schema/raw/master/csl-citation.json"}</w:instrText>
      </w:r>
      <w:r w:rsidR="0023088C">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[101,103]</w:t>
      </w:r>
      <w:r w:rsidR="0023088C">
        <w:rPr>
          <w:rFonts w:ascii="Times New Roman" w:hAnsi="Times New Roman" w:cs="Times New Roman"/>
          <w:sz w:val="28"/>
          <w:szCs w:val="28"/>
        </w:rPr>
        <w:fldChar w:fldCharType="end"/>
      </w:r>
      <w:r w:rsidRPr="001B27F8">
        <w:rPr>
          <w:rFonts w:ascii="Times New Roman" w:hAnsi="Times New Roman" w:cs="Times New Roman"/>
          <w:sz w:val="28"/>
          <w:szCs w:val="28"/>
        </w:rPr>
        <w:t>.</w:t>
      </w:r>
    </w:p>
    <w:p w14:paraId="75DA5F9C" w14:textId="4DC54F4C" w:rsidR="002C295F" w:rsidRPr="001B27F8" w:rsidRDefault="002C295F" w:rsidP="001B27F8">
      <w:pPr>
        <w:tabs>
          <w:tab w:val="left" w:pos="851"/>
        </w:tabs>
        <w:spacing w:after="0" w:line="240" w:lineRule="auto"/>
        <w:ind w:firstLine="567"/>
        <w:jc w:val="both"/>
        <w:rPr>
          <w:rFonts w:ascii="Times New Roman" w:hAnsi="Times New Roman" w:cs="Times New Roman"/>
          <w:sz w:val="28"/>
          <w:szCs w:val="28"/>
        </w:rPr>
      </w:pPr>
      <w:r w:rsidRPr="001B27F8">
        <w:rPr>
          <w:rFonts w:ascii="Times New Roman" w:hAnsi="Times New Roman" w:cs="Times New Roman"/>
          <w:sz w:val="28"/>
          <w:szCs w:val="28"/>
        </w:rPr>
        <w:t xml:space="preserve">Долгосрочное исследование АСИТ при аллергии на пыльцу у взрослых продемонстрировало эффективность через 10–20 лет после завершения терапии. Результаты показали, что эффективность АСИТ сохраняется на почти постоянном и хорошем уровне в течение 20 лет после завершения терапии </w:t>
      </w:r>
      <w:r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{"citationItems":[{"id":"ITEM-1","itemData":{"DOI":"10.5114/ada.2017.72462","ISSN":"1642395X","abstract":"Introduction: It is valuable to determine the long-term efficacy of allergen-specific immunotherapy (SIT) and whether it can cure allergy. Aim: For this study, patients were prospectively observed for 20 years after completion of SIT to determine its effectiveness. Material and methods: A total of 1006 patients who underwent SIT for pollen allergy were observed for 20 years to assess the efficacy of SIT. The rhinitis symptom score (RSS) and asthma symptom score (ASS) were measured after SIT completion. The possibility of allergy cure was estimated based on three sets of criteria: group A - neither symptoms nor intake of medication during the analysis period, group B - no symptoms during the analysis period (but possible medication intake), and group C - at most one mild symptom during the analysis period. Results: After SIT, approximately 25% of patients showed complete relief of allergy symptoms and had no need for symptomatic drug treatment during the pollen season. The level of effectiveness of SIT was similar throughout the treatment period. During the observation period after SIT, RSS ranged from 1.51 to 1.82, and ASS ranged from 1.22 to 1.29. The treatment effect at 10 and 20 years after SIT was comparable, regardless of whether criterion A or B was used. However, the effect of SIT using criterion C was lower than those using criteria A and B for the analyzed time points. Conclusions: For this study cohort, SIT had a long-term effect that did not depend significantly on the duration of immunotherapy against pollen.","author":[{"dropping-particle":"","family":"Bozek","given":"Andrzej","non-dropping-particle":"","parse-names":false,"suffix":""},{"dropping-particle":"","family":"Krupa-Borek","given":"Izabella","non-dropping-particle":"","parse-names":false,"suffix":""},{"dropping-particle":"","family":"Jarzab","given":"Jerzy","non-dropping-particle":"","parse-names":false,"suffix":""}],"container-title":"Postepy Dermatologii i Alergologii","id":"ITEM-1","issue":"6","issued":{"date-parts":[["2017"]]},"page":"561-565","title":"Twenty years' observation of subcutaneous pollen allergoid immunotherapy efficacy in adults","type":"article-journal","volume":"34"},"uris":["http://www.mendeley.com/documents/?uuid=a4ae0905-e793-4aa2-ad89-b47e33b144bc"]}],"mendeley":{"formattedCitation":"[104]","plainTextFormattedCitation":"[104]","previouslyFormattedCitation":"[104]"},"properties":{"noteIndex":0},"schema":"https://github.com/citation-style-language/schema/raw/master/csl-citation.json"}</w:instrText>
      </w:r>
      <w:r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[104]</w:t>
      </w:r>
      <w:r w:rsidRPr="001B27F8">
        <w:rPr>
          <w:rFonts w:ascii="Times New Roman" w:hAnsi="Times New Roman" w:cs="Times New Roman"/>
          <w:sz w:val="28"/>
          <w:szCs w:val="28"/>
        </w:rPr>
        <w:fldChar w:fldCharType="end"/>
      </w:r>
      <w:r w:rsidRPr="001B27F8">
        <w:rPr>
          <w:rFonts w:ascii="Times New Roman" w:hAnsi="Times New Roman" w:cs="Times New Roman"/>
          <w:sz w:val="28"/>
          <w:szCs w:val="28"/>
        </w:rPr>
        <w:t>.</w:t>
      </w:r>
    </w:p>
    <w:p w14:paraId="1D2BB29B" w14:textId="771E275F" w:rsidR="00B50E92" w:rsidRPr="001B27F8" w:rsidRDefault="00B50E92" w:rsidP="001B27F8">
      <w:pPr>
        <w:tabs>
          <w:tab w:val="left" w:pos="851"/>
        </w:tabs>
        <w:spacing w:after="0" w:line="240" w:lineRule="auto"/>
        <w:ind w:firstLine="567"/>
        <w:jc w:val="both"/>
        <w:rPr>
          <w:rFonts w:ascii="Times New Roman" w:hAnsi="Times New Roman" w:cs="Times New Roman"/>
          <w:sz w:val="28"/>
          <w:szCs w:val="28"/>
        </w:rPr>
      </w:pPr>
      <w:r w:rsidRPr="001B27F8">
        <w:rPr>
          <w:rFonts w:ascii="Times New Roman" w:hAnsi="Times New Roman" w:cs="Times New Roman"/>
          <w:sz w:val="28"/>
          <w:szCs w:val="28"/>
        </w:rPr>
        <w:t>Таким образом, результаты современных клинических исследований</w:t>
      </w:r>
      <w:r w:rsidR="005205B7" w:rsidRPr="001B27F8">
        <w:rPr>
          <w:rFonts w:ascii="Times New Roman" w:hAnsi="Times New Roman" w:cs="Times New Roman"/>
          <w:sz w:val="28"/>
          <w:szCs w:val="28"/>
        </w:rPr>
        <w:t xml:space="preserve"> </w:t>
      </w:r>
      <w:r w:rsidR="005A3F5F" w:rsidRPr="001B27F8">
        <w:rPr>
          <w:rFonts w:ascii="Times New Roman" w:hAnsi="Times New Roman" w:cs="Times New Roman"/>
          <w:sz w:val="28"/>
          <w:szCs w:val="28"/>
        </w:rPr>
        <w:t>доказали состоятельность применения шкалы оценки симптомов аллергического ринита, приема медикаментов и качества жизни</w:t>
      </w:r>
      <w:r w:rsidRPr="001B27F8">
        <w:rPr>
          <w:rFonts w:ascii="Times New Roman" w:hAnsi="Times New Roman" w:cs="Times New Roman"/>
          <w:sz w:val="28"/>
          <w:szCs w:val="28"/>
        </w:rPr>
        <w:t>, как важного интеграл</w:t>
      </w:r>
      <w:r w:rsidR="005A3F5F" w:rsidRPr="001B27F8">
        <w:rPr>
          <w:rFonts w:ascii="Times New Roman" w:hAnsi="Times New Roman" w:cs="Times New Roman"/>
          <w:sz w:val="28"/>
          <w:szCs w:val="28"/>
        </w:rPr>
        <w:t xml:space="preserve">ьного показателя, позволяющего </w:t>
      </w:r>
      <w:r w:rsidRPr="001B27F8">
        <w:rPr>
          <w:rFonts w:ascii="Times New Roman" w:hAnsi="Times New Roman" w:cs="Times New Roman"/>
          <w:sz w:val="28"/>
          <w:szCs w:val="28"/>
        </w:rPr>
        <w:t xml:space="preserve">оценивать тяжесть </w:t>
      </w:r>
      <w:r w:rsidR="005A3F5F" w:rsidRPr="001B27F8">
        <w:rPr>
          <w:rFonts w:ascii="Times New Roman" w:hAnsi="Times New Roman" w:cs="Times New Roman"/>
          <w:sz w:val="28"/>
          <w:szCs w:val="28"/>
        </w:rPr>
        <w:t>заболевания, степень его</w:t>
      </w:r>
      <w:r w:rsidRPr="001B27F8">
        <w:rPr>
          <w:rFonts w:ascii="Times New Roman" w:hAnsi="Times New Roman" w:cs="Times New Roman"/>
          <w:sz w:val="28"/>
          <w:szCs w:val="28"/>
        </w:rPr>
        <w:t xml:space="preserve"> влияния на важнейшие компоненты жизнедеятельности, а </w:t>
      </w:r>
      <w:r w:rsidR="005A3F5F" w:rsidRPr="001B27F8">
        <w:rPr>
          <w:rFonts w:ascii="Times New Roman" w:hAnsi="Times New Roman" w:cs="Times New Roman"/>
          <w:sz w:val="28"/>
          <w:szCs w:val="28"/>
        </w:rPr>
        <w:t>также</w:t>
      </w:r>
      <w:r w:rsidRPr="001B27F8">
        <w:rPr>
          <w:rFonts w:ascii="Times New Roman" w:hAnsi="Times New Roman" w:cs="Times New Roman"/>
          <w:sz w:val="28"/>
          <w:szCs w:val="28"/>
        </w:rPr>
        <w:t xml:space="preserve"> </w:t>
      </w:r>
      <w:r w:rsidR="005A3F5F" w:rsidRPr="001B27F8">
        <w:rPr>
          <w:rFonts w:ascii="Times New Roman" w:hAnsi="Times New Roman" w:cs="Times New Roman"/>
          <w:sz w:val="28"/>
          <w:szCs w:val="28"/>
        </w:rPr>
        <w:t>служить надежным инструментом мониторинга эффективности</w:t>
      </w:r>
      <w:r w:rsidRPr="001B27F8">
        <w:rPr>
          <w:rFonts w:ascii="Times New Roman" w:hAnsi="Times New Roman" w:cs="Times New Roman"/>
          <w:sz w:val="28"/>
          <w:szCs w:val="28"/>
        </w:rPr>
        <w:t xml:space="preserve"> АСИТ </w:t>
      </w:r>
      <w:r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{"citationItems":[{"id":"ITEM-1","itemData":{"author":[{"dropping-particle":"","family":"Козулина","given":"И.Е.","non-dropping-particle":"","parse-names":false,"suffix":""}],"container-title":"диссертация к.м.н.","id":"ITEM-1","issued":{"date-parts":[["2017"]]},"number-of-pages":"103","title":"Клиническая эффективность, безопасность и экономическая целесообразность сублингвального и подкожного методов аллерген-специфической иммунотерапии","type":"thesis"},"uris":["http://www.mendeley.com/documents/?uuid=c3725692-ee95-49b6-b8d5-8f0362da8952"]}],"mendeley":{"formattedCitation":"[32]","plainTextFormattedCitation":"[32]","previouslyFormattedCitation":"[32]"},"properties":{"noteIndex":0},"schema":"https://github.com/citation-style-language/schema/raw/master/csl-citation.json"}</w:instrText>
      </w:r>
      <w:r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[32]</w:t>
      </w:r>
      <w:r w:rsidRPr="001B27F8">
        <w:rPr>
          <w:rFonts w:ascii="Times New Roman" w:hAnsi="Times New Roman" w:cs="Times New Roman"/>
          <w:sz w:val="28"/>
          <w:szCs w:val="28"/>
        </w:rPr>
        <w:fldChar w:fldCharType="end"/>
      </w:r>
      <w:r w:rsidR="005C5819" w:rsidRPr="001B27F8">
        <w:rPr>
          <w:rFonts w:ascii="Times New Roman" w:hAnsi="Times New Roman" w:cs="Times New Roman"/>
          <w:sz w:val="28"/>
          <w:szCs w:val="28"/>
        </w:rPr>
        <w:t>.</w:t>
      </w:r>
    </w:p>
    <w:p w14:paraId="182EE8B3" w14:textId="77777777" w:rsidR="00CC5087" w:rsidRPr="001B27F8" w:rsidRDefault="00CC5087" w:rsidP="001B27F8">
      <w:pPr>
        <w:tabs>
          <w:tab w:val="left" w:pos="851"/>
        </w:tabs>
        <w:spacing w:after="0" w:line="240" w:lineRule="auto"/>
        <w:ind w:firstLine="567"/>
        <w:jc w:val="both"/>
        <w:rPr>
          <w:rFonts w:ascii="Times New Roman" w:hAnsi="Times New Roman" w:cs="Times New Roman"/>
          <w:sz w:val="28"/>
          <w:szCs w:val="28"/>
        </w:rPr>
      </w:pPr>
    </w:p>
    <w:p w14:paraId="182D176E" w14:textId="6E8350CE" w:rsidR="00DA31C5" w:rsidRPr="00B13410" w:rsidRDefault="00DA31C5" w:rsidP="00102E42">
      <w:pPr>
        <w:pStyle w:val="1"/>
        <w:numPr>
          <w:ilvl w:val="1"/>
          <w:numId w:val="2"/>
        </w:numPr>
        <w:tabs>
          <w:tab w:val="left" w:pos="1134"/>
        </w:tabs>
        <w:spacing w:before="0" w:line="240" w:lineRule="auto"/>
        <w:ind w:left="0" w:firstLine="567"/>
        <w:jc w:val="both"/>
        <w:rPr>
          <w:rFonts w:ascii="Times New Roman" w:hAnsi="Times New Roman" w:cs="Times New Roman"/>
          <w:b/>
          <w:color w:val="auto"/>
          <w:sz w:val="28"/>
          <w:szCs w:val="28"/>
        </w:rPr>
      </w:pPr>
      <w:bookmarkStart w:id="10" w:name="_Toc137904334"/>
      <w:r w:rsidRPr="00B13410">
        <w:rPr>
          <w:rFonts w:ascii="Times New Roman" w:hAnsi="Times New Roman" w:cs="Times New Roman"/>
          <w:b/>
          <w:color w:val="auto"/>
          <w:sz w:val="28"/>
          <w:szCs w:val="28"/>
        </w:rPr>
        <w:t>Биомаркеры</w:t>
      </w:r>
      <w:r w:rsidR="005B6195" w:rsidRPr="00B13410">
        <w:rPr>
          <w:rFonts w:ascii="Times New Roman" w:hAnsi="Times New Roman" w:cs="Times New Roman"/>
          <w:b/>
          <w:color w:val="auto"/>
          <w:sz w:val="28"/>
          <w:szCs w:val="28"/>
        </w:rPr>
        <w:t xml:space="preserve"> эффективности аллерген-специфической иммунотерапии</w:t>
      </w:r>
      <w:bookmarkEnd w:id="10"/>
    </w:p>
    <w:p w14:paraId="10ABB3BE" w14:textId="1A83B306" w:rsidR="00E4585E" w:rsidRPr="001B27F8" w:rsidRDefault="00E4585E" w:rsidP="001B27F8">
      <w:pPr>
        <w:tabs>
          <w:tab w:val="left" w:pos="851"/>
        </w:tabs>
        <w:spacing w:after="0" w:line="240" w:lineRule="auto"/>
        <w:ind w:firstLine="567"/>
        <w:jc w:val="both"/>
        <w:rPr>
          <w:rFonts w:ascii="Times New Roman" w:hAnsi="Times New Roman" w:cs="Times New Roman"/>
          <w:sz w:val="28"/>
          <w:szCs w:val="28"/>
        </w:rPr>
      </w:pPr>
      <w:r w:rsidRPr="001B27F8">
        <w:rPr>
          <w:rFonts w:ascii="Times New Roman" w:hAnsi="Times New Roman" w:cs="Times New Roman"/>
          <w:sz w:val="28"/>
          <w:szCs w:val="28"/>
        </w:rPr>
        <w:t xml:space="preserve">Согласно меморандуму Европейской академии аллергии и клинической иммунологии (EAACI) от 2017 года, общий ИГЕ, специфический ИГЕ и </w:t>
      </w:r>
      <w:r w:rsidR="001B4A3A">
        <w:rPr>
          <w:rFonts w:ascii="Times New Roman" w:hAnsi="Times New Roman" w:cs="Times New Roman"/>
          <w:sz w:val="28"/>
          <w:szCs w:val="28"/>
        </w:rPr>
        <w:t>эозинофильный катионный белок (</w:t>
      </w:r>
      <w:r w:rsidRPr="001B27F8">
        <w:rPr>
          <w:rFonts w:ascii="Times New Roman" w:hAnsi="Times New Roman" w:cs="Times New Roman"/>
          <w:sz w:val="28"/>
          <w:szCs w:val="28"/>
        </w:rPr>
        <w:t>ЭКБ</w:t>
      </w:r>
      <w:r w:rsidR="001B4A3A">
        <w:rPr>
          <w:rFonts w:ascii="Times New Roman" w:hAnsi="Times New Roman" w:cs="Times New Roman"/>
          <w:sz w:val="28"/>
          <w:szCs w:val="28"/>
        </w:rPr>
        <w:t>)</w:t>
      </w:r>
      <w:r w:rsidRPr="001B27F8">
        <w:rPr>
          <w:rFonts w:ascii="Times New Roman" w:hAnsi="Times New Roman" w:cs="Times New Roman"/>
          <w:sz w:val="28"/>
          <w:szCs w:val="28"/>
        </w:rPr>
        <w:t xml:space="preserve"> были определены как </w:t>
      </w:r>
      <w:r w:rsidR="008B32C9">
        <w:rPr>
          <w:rFonts w:ascii="Times New Roman" w:hAnsi="Times New Roman" w:cs="Times New Roman"/>
          <w:sz w:val="28"/>
          <w:szCs w:val="28"/>
        </w:rPr>
        <w:t xml:space="preserve">лабораторные </w:t>
      </w:r>
      <w:r w:rsidRPr="001B27F8">
        <w:rPr>
          <w:rFonts w:ascii="Times New Roman" w:hAnsi="Times New Roman" w:cs="Times New Roman"/>
          <w:sz w:val="28"/>
          <w:szCs w:val="28"/>
        </w:rPr>
        <w:t>биомаркеры для мониторинга клинической эффективности АСИТ</w:t>
      </w:r>
      <w:r w:rsidR="005F3FFF" w:rsidRPr="001B27F8">
        <w:rPr>
          <w:rFonts w:ascii="Times New Roman" w:hAnsi="Times New Roman" w:cs="Times New Roman"/>
          <w:sz w:val="28"/>
          <w:szCs w:val="28"/>
        </w:rPr>
        <w:t xml:space="preserve"> (рисунок 2)</w:t>
      </w:r>
      <w:r w:rsidRPr="001B27F8">
        <w:rPr>
          <w:rFonts w:ascii="Times New Roman" w:hAnsi="Times New Roman" w:cs="Times New Roman"/>
          <w:sz w:val="28"/>
          <w:szCs w:val="28"/>
        </w:rPr>
        <w:t xml:space="preserve"> </w:t>
      </w:r>
      <w:r w:rsidRPr="001B27F8">
        <w:rPr>
          <w:rFonts w:ascii="Times New Roman" w:hAnsi="Times New Roman" w:cs="Times New Roman"/>
          <w:sz w:val="28"/>
          <w:szCs w:val="28"/>
        </w:rPr>
        <w:fldChar w:fldCharType="begin" w:fldLock="1"/>
      </w:r>
      <w:r w:rsidR="00332566">
        <w:rPr>
          <w:rFonts w:ascii="Times New Roman" w:hAnsi="Times New Roman" w:cs="Times New Roman"/>
          <w:sz w:val="28"/>
          <w:szCs w:val="28"/>
        </w:rPr>
        <w:instrText>ADDIN CSL_CITATION {"citationItems":[{"id":"ITEM-1","itemData":{"DOI":"10.1111/pai.13189","ISSN":"0905-6157","PMID":"32436290","abstract":"Allergen immunotherapy is a cornerstone in the treatment of allergic children. The clinical efficiency relies on a well-defined immunologic mechanism promoting regulatory T cells and downplaying the immune response induced by allergens. Clinical indications have been well documented for respiratory allergy in the presence of rhinitis and/or allergic asthma, to pollens and dust mites. Patients who have had an anaphylactic reaction to hymenoptera venom are also good candidates for allergen immunotherapy. Administration of allergen is currently mostly either by subcutaneous injections or by sublingual administration. Both methods have been extensively studied and have pros and cons. Specifically in children, the choice of the method of administration according to the patient's profile is important. Although allergen immunotherapy is widely used, there is a need for improvement. More particularly, biomarkers for prediction of the success of the treatments are needed. The strength and efficiency of the immune response may also be boosted by the use of better adjuvants. Finally, novel formulations might be more efficient and might improve the patient's adherence to the treatment. This user's guide reviews current knowledge and aims to provide clinical guidance to healthcare professionals taking care of children undergoing allergen immunotherapy.","author":[{"dropping-particle":"","family":"Alvaro‐Lozano","given":"Montserrat","non-dropping-particle":"","parse-names":false,"suffix":""},{"dropping-particle":"","family":"Akdis","given":"Cezmi A.","non-dropping-particle":"","parse-names":false,"suffix":""},{"dropping-particle":"","family":"Akdis","given":"Mubeccel","non-dropping-particle":"","parse-names":false,"suffix":""},{"dropping-particle":"","family":"Alviani","given":"Cherry","non-dropping-particle":"","parse-names":false,"suffix":""},{"dropping-particle":"","family":"Angier","given":"Elisabeth","non-dropping-particle":"","parse-names":false,"suffix":""},{"dropping-particle":"","family":"Arasi","given":"Stefania","non-dropping-particle":"","parse-names":false,"suffix":""},{"dropping-particle":"","family":"Arzt‐Gradwohl","given":"Lisa","non-dropping-particle":"","parse-names":false,"suffix":""},{"dropping-particle":"","family":"Barber","given":"Domingo","non-dropping-particle":"","parse-names":false,"suffix":""},{"dropping-particle":"","family":"Bazire","given":"Raphaëlle","non-dropping-particle":"","parse-names":false,"suffix":""},{"dropping-particle":"","family":"Cavkaytar","given":"Ozlem","non-dropping-particle":"","parse-names":false,"suffix":""},{"dropping-particle":"","family":"Comberiati","given":"Pasquale","non-dropping-particle":"","parse-names":false,"suffix":""},{"dropping-particle":"","family":"Dramburg","given":"Stephanie","non-dropping-particle":"","parse-names":false,"suffix":""},{"dropping-particle":"","family":"Durham","given":"Stephen R.","non-dropping-particle":"","parse-names":false,"suffix":""},{"dropping-particle":"","family":"Eifan","given":"Aarif O.","non-dropping-particle":"","parse-names":false,"suffix":""},{"dropping-particle":"","family":"Forchert","given":"Leandra","non-dropping-particle":"","parse-names":false,"suffix":""},{"dropping-particle":"","family":"Halken","given":"Susanne","non-dropping-particle":"","parse-names":false,"suffix":""},{"dropping-particle":"","family":"Kirtland","given":"Max","non-dropping-particle":"","parse-names":false,"suffix":""},{"dropping-particle":"","family":"Kucuksezer","given":"Umut C.","non-dropping-particle":"","parse-names":false,"suffix":""},{"dropping-particle":"","family":"Layhadi","given":"Janice A.","non-dropping-particle":"","parse-names":false,"suffix":""},{"dropping-particle":"","family":"Matricardi","given":"Paolo Maria","non-dropping-particle":"","parse-names":false,"suffix":""},{"dropping-particle":"","family":"Muraro","given":"Antonella","non-dropping-particle":"","parse-names":false,"suffix":""},{"dropping-particle":"","family":"Ozdemir","given":"Cevdet","non-dropping-particle":"","parse-names":false,"suffix":""},{"dropping-particle":"","family":"Pajno","given":"Giovanni Battista","non-dropping-particle":"","parse-names":false,"suffix":""},{"dropping-particle":"","family":"Pfaar","given":"Oliver","non-dropping-particle":"","parse-names":false,"suffix":""},{"dropping-particle":"","family":"Potapova","given":"Ekaterina","non-dropping-particle":"","parse-names":false,"suffix":""},{"dropping-particle":"","family":"Riggioni","given":"Carmen","non-dropping-particle":"","parse-names":false,"suffix":""},{"dropping-particle":"","family":"Roberts","given":"Graham","non-dropping-particle":"","parse-names":false,"suffix":""},{"dropping-particle":"","family":"Rodríguez del Río","given":"Pablo","non-dropping-particle":"","parse-names":false,"suffix":""},{"dropping-particle":"","family":"Shamji","given":"Mohamed H.","non-dropping-particle":"","parse-names":false,"suffix":""},{"dropping-particle":"","family":"Sturm","given":"Gunter J.","non-dropping-particle":"","parse-names":false,"suffix":""},{"dropping-particle":"","family":"Vazquez‐Ortiz","given":"Marta","non-dropping-particle":"","parse-names":false,"suffix":""}],"container-title":"Pediatric Allergy and Immunology","id":"ITEM-1","issue":"S25","issued":{"date-parts":[["2020","5","21"]]},"page":"1-101","title":"Allergen Immunotherapy in Children User’s Guide","type":"article-journal","volume":"31"},"uris":["http://www.mendeley.com/documents/?uuid=ca9495e6-cc60-4ddc-8eb8-7a57257599f0"]}],"mendeley":{"formattedCitation":"[105]","plainTextFormattedCitation":"[105]","previouslyFormattedCitation":"[105]"},"properties":{"noteIndex":0},"schema":"https://github.com/citation-style-language/schema/raw/master/csl-citation.json"}</w:instrText>
      </w:r>
      <w:r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[105]</w:t>
      </w:r>
      <w:r w:rsidRPr="001B27F8">
        <w:rPr>
          <w:rFonts w:ascii="Times New Roman" w:hAnsi="Times New Roman" w:cs="Times New Roman"/>
          <w:sz w:val="28"/>
          <w:szCs w:val="28"/>
        </w:rPr>
        <w:fldChar w:fldCharType="end"/>
      </w:r>
      <w:r w:rsidRPr="001B27F8">
        <w:rPr>
          <w:rFonts w:ascii="Times New Roman" w:hAnsi="Times New Roman" w:cs="Times New Roman"/>
          <w:sz w:val="28"/>
          <w:szCs w:val="28"/>
        </w:rPr>
        <w:t>.</w:t>
      </w:r>
    </w:p>
    <w:p w14:paraId="1ED9EB49" w14:textId="77777777" w:rsidR="00B17C3D" w:rsidRPr="001B27F8" w:rsidRDefault="00B17C3D" w:rsidP="001B27F8">
      <w:pPr>
        <w:tabs>
          <w:tab w:val="left" w:pos="851"/>
        </w:tabs>
        <w:spacing w:after="0" w:line="240" w:lineRule="auto"/>
        <w:ind w:firstLine="567"/>
        <w:jc w:val="both"/>
        <w:rPr>
          <w:rFonts w:ascii="Times New Roman" w:hAnsi="Times New Roman" w:cs="Times New Roman"/>
          <w:sz w:val="28"/>
          <w:szCs w:val="28"/>
        </w:rPr>
      </w:pPr>
    </w:p>
    <w:p w14:paraId="6A818921" w14:textId="53D5E3D7" w:rsidR="00754332" w:rsidRPr="001B27F8" w:rsidRDefault="00754332" w:rsidP="00545CD6">
      <w:pPr>
        <w:tabs>
          <w:tab w:val="left" w:pos="851"/>
        </w:tabs>
        <w:spacing w:after="0" w:line="240" w:lineRule="auto"/>
        <w:jc w:val="center"/>
        <w:rPr>
          <w:rFonts w:ascii="Times New Roman" w:hAnsi="Times New Roman" w:cs="Times New Roman"/>
          <w:b/>
          <w:sz w:val="28"/>
          <w:szCs w:val="28"/>
        </w:rPr>
      </w:pPr>
      <w:r w:rsidRPr="001B27F8">
        <w:rPr>
          <w:rFonts w:ascii="Times New Roman" w:hAnsi="Times New Roman" w:cs="Times New Roman"/>
          <w:noProof/>
          <w:sz w:val="28"/>
          <w:szCs w:val="28"/>
          <w:lang w:eastAsia="ru-RU"/>
        </w:rPr>
        <w:drawing>
          <wp:inline distT="0" distB="0" distL="0" distR="0" wp14:anchorId="4F92808D" wp14:editId="29E5E174">
            <wp:extent cx="4544356" cy="2541069"/>
            <wp:effectExtent l="0" t="0" r="889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3462" t="9041" r="9088" b="58900"/>
                    <a:stretch/>
                  </pic:blipFill>
                  <pic:spPr bwMode="auto">
                    <a:xfrm>
                      <a:off x="0" y="0"/>
                      <a:ext cx="4561409" cy="2550605"/>
                    </a:xfrm>
                    <a:prstGeom prst="rect">
                      <a:avLst/>
                    </a:prstGeom>
                    <a:ln>
                      <a:noFill/>
                    </a:ln>
                    <a:extLst>
                      <a:ext uri="{53640926-AAD7-44D8-BBD7-CCE9431645EC}">
                        <a14:shadowObscured xmlns:a14="http://schemas.microsoft.com/office/drawing/2010/main"/>
                      </a:ext>
                    </a:extLst>
                  </pic:spPr>
                </pic:pic>
              </a:graphicData>
            </a:graphic>
          </wp:inline>
        </w:drawing>
      </w:r>
    </w:p>
    <w:p w14:paraId="19D95587" w14:textId="77777777" w:rsidR="00CB40A2" w:rsidRPr="001B27F8" w:rsidRDefault="00CB40A2" w:rsidP="001B27F8">
      <w:pPr>
        <w:tabs>
          <w:tab w:val="left" w:pos="851"/>
        </w:tabs>
        <w:spacing w:after="0" w:line="240" w:lineRule="auto"/>
        <w:ind w:firstLine="567"/>
        <w:jc w:val="both"/>
        <w:rPr>
          <w:rFonts w:ascii="Times New Roman" w:hAnsi="Times New Roman" w:cs="Times New Roman"/>
          <w:sz w:val="28"/>
          <w:szCs w:val="28"/>
        </w:rPr>
      </w:pPr>
    </w:p>
    <w:p w14:paraId="0F2CBDE1" w14:textId="7CD796EF" w:rsidR="00782EBE" w:rsidRPr="00332566" w:rsidRDefault="00782EBE" w:rsidP="00545CD6">
      <w:pPr>
        <w:tabs>
          <w:tab w:val="left" w:pos="851"/>
        </w:tabs>
        <w:spacing w:after="0" w:line="240" w:lineRule="auto"/>
        <w:jc w:val="center"/>
        <w:rPr>
          <w:rFonts w:ascii="Times New Roman" w:hAnsi="Times New Roman" w:cs="Times New Roman"/>
          <w:sz w:val="28"/>
          <w:szCs w:val="28"/>
        </w:rPr>
      </w:pPr>
      <w:r w:rsidRPr="001B27F8">
        <w:rPr>
          <w:rFonts w:ascii="Times New Roman" w:hAnsi="Times New Roman" w:cs="Times New Roman"/>
          <w:sz w:val="28"/>
          <w:szCs w:val="28"/>
        </w:rPr>
        <w:t>Рисунок</w:t>
      </w:r>
      <w:r w:rsidR="001F703A" w:rsidRPr="001B27F8">
        <w:rPr>
          <w:rFonts w:ascii="Times New Roman" w:hAnsi="Times New Roman" w:cs="Times New Roman"/>
          <w:sz w:val="28"/>
          <w:szCs w:val="28"/>
        </w:rPr>
        <w:t xml:space="preserve"> 2</w:t>
      </w:r>
      <w:r w:rsidR="00F90485" w:rsidRPr="001B27F8">
        <w:rPr>
          <w:rFonts w:ascii="Times New Roman" w:hAnsi="Times New Roman" w:cs="Times New Roman"/>
          <w:sz w:val="28"/>
          <w:szCs w:val="28"/>
        </w:rPr>
        <w:t xml:space="preserve"> </w:t>
      </w:r>
      <w:r w:rsidR="00F30B73">
        <w:t>–</w:t>
      </w:r>
      <w:r w:rsidRPr="001B27F8">
        <w:rPr>
          <w:rFonts w:ascii="Times New Roman" w:hAnsi="Times New Roman" w:cs="Times New Roman"/>
          <w:sz w:val="28"/>
          <w:szCs w:val="28"/>
        </w:rPr>
        <w:t xml:space="preserve"> Критерии эффективности АСИТ</w:t>
      </w:r>
      <w:r w:rsidR="00332566">
        <w:rPr>
          <w:rFonts w:ascii="Times New Roman" w:hAnsi="Times New Roman" w:cs="Times New Roman"/>
          <w:sz w:val="28"/>
          <w:szCs w:val="28"/>
          <w:lang w:val="en-US"/>
        </w:rPr>
        <w:t xml:space="preserve"> </w:t>
      </w:r>
    </w:p>
    <w:p w14:paraId="2FA01746" w14:textId="77777777" w:rsidR="00CB40A2" w:rsidRPr="001B27F8" w:rsidRDefault="00CB40A2" w:rsidP="001B27F8">
      <w:pPr>
        <w:tabs>
          <w:tab w:val="left" w:pos="851"/>
        </w:tabs>
        <w:spacing w:after="0" w:line="240" w:lineRule="auto"/>
        <w:ind w:firstLine="567"/>
        <w:jc w:val="both"/>
        <w:rPr>
          <w:rFonts w:ascii="Times New Roman" w:hAnsi="Times New Roman" w:cs="Times New Roman"/>
          <w:sz w:val="28"/>
          <w:szCs w:val="28"/>
        </w:rPr>
      </w:pPr>
    </w:p>
    <w:p w14:paraId="26AA8090" w14:textId="3DCD46CE" w:rsidR="00964210" w:rsidRPr="00144946" w:rsidRDefault="005F0CC0" w:rsidP="00102E42">
      <w:pPr>
        <w:pStyle w:val="3"/>
        <w:numPr>
          <w:ilvl w:val="2"/>
          <w:numId w:val="2"/>
        </w:numPr>
        <w:tabs>
          <w:tab w:val="left" w:pos="1276"/>
        </w:tabs>
        <w:spacing w:line="240" w:lineRule="auto"/>
        <w:ind w:left="0" w:firstLine="567"/>
        <w:jc w:val="both"/>
        <w:rPr>
          <w:rStyle w:val="a4"/>
          <w:rFonts w:ascii="Times New Roman" w:hAnsi="Times New Roman" w:cs="Times New Roman"/>
          <w:b w:val="0"/>
          <w:bCs w:val="0"/>
          <w:iCs w:val="0"/>
          <w:color w:val="auto"/>
          <w:spacing w:val="0"/>
          <w:sz w:val="28"/>
          <w:szCs w:val="28"/>
        </w:rPr>
      </w:pPr>
      <w:bookmarkStart w:id="11" w:name="_Toc137904335"/>
      <w:r w:rsidRPr="00E33ACA">
        <w:rPr>
          <w:rStyle w:val="a4"/>
          <w:rFonts w:ascii="Times New Roman" w:hAnsi="Times New Roman" w:cs="Times New Roman"/>
          <w:b w:val="0"/>
          <w:bCs w:val="0"/>
          <w:iCs w:val="0"/>
          <w:color w:val="auto"/>
          <w:spacing w:val="0"/>
          <w:sz w:val="28"/>
          <w:szCs w:val="28"/>
        </w:rPr>
        <w:t xml:space="preserve"> </w:t>
      </w:r>
      <w:r w:rsidR="00964210" w:rsidRPr="00144946">
        <w:rPr>
          <w:rStyle w:val="a4"/>
          <w:rFonts w:ascii="Times New Roman" w:hAnsi="Times New Roman" w:cs="Times New Roman"/>
          <w:b w:val="0"/>
          <w:bCs w:val="0"/>
          <w:iCs w:val="0"/>
          <w:color w:val="auto"/>
          <w:spacing w:val="0"/>
          <w:sz w:val="28"/>
          <w:szCs w:val="28"/>
        </w:rPr>
        <w:t>Общий иммуноглобулин Е</w:t>
      </w:r>
      <w:bookmarkEnd w:id="11"/>
    </w:p>
    <w:p w14:paraId="75C6AB97" w14:textId="2ECAA0B4" w:rsidR="005E4BB7" w:rsidRPr="001B27F8" w:rsidRDefault="00F46538" w:rsidP="001B27F8">
      <w:pPr>
        <w:tabs>
          <w:tab w:val="left" w:pos="851"/>
        </w:tabs>
        <w:spacing w:after="0" w:line="240" w:lineRule="auto"/>
        <w:ind w:firstLine="567"/>
        <w:jc w:val="both"/>
        <w:rPr>
          <w:rStyle w:val="fontstyle01"/>
          <w:color w:val="auto"/>
        </w:rPr>
      </w:pPr>
      <w:r w:rsidRPr="001B27F8">
        <w:rPr>
          <w:rStyle w:val="fontstyle01"/>
          <w:color w:val="auto"/>
        </w:rPr>
        <w:t>На сегодняшний день общий ИГЕ</w:t>
      </w:r>
      <w:r w:rsidR="00E4585E" w:rsidRPr="001B27F8">
        <w:rPr>
          <w:rStyle w:val="fontstyle01"/>
          <w:color w:val="auto"/>
        </w:rPr>
        <w:t xml:space="preserve"> </w:t>
      </w:r>
      <w:r w:rsidRPr="001B27F8">
        <w:rPr>
          <w:rStyle w:val="fontstyle01"/>
          <w:color w:val="auto"/>
        </w:rPr>
        <w:t>остается сильным предиктором</w:t>
      </w:r>
      <w:r w:rsidR="005615B3" w:rsidRPr="001B27F8">
        <w:rPr>
          <w:rStyle w:val="fontstyle01"/>
          <w:color w:val="auto"/>
        </w:rPr>
        <w:t xml:space="preserve"> аллергического ринита</w:t>
      </w:r>
      <w:r w:rsidR="00877D24" w:rsidRPr="00877D24">
        <w:rPr>
          <w:rStyle w:val="fontstyle01"/>
          <w:color w:val="auto"/>
        </w:rPr>
        <w:t xml:space="preserve"> </w:t>
      </w:r>
      <w:r w:rsidR="00877D24">
        <w:rPr>
          <w:rStyle w:val="fontstyle01"/>
          <w:color w:val="auto"/>
        </w:rPr>
        <w:fldChar w:fldCharType="begin" w:fldLock="1"/>
      </w:r>
      <w:r w:rsidR="00A02E0E">
        <w:rPr>
          <w:rStyle w:val="fontstyle01"/>
          <w:color w:val="auto"/>
        </w:rPr>
        <w:instrText>ADDIN CSL_CITATION {"citationItems":[{"id":"ITEM-1","itemData":{"DOI":"10.12932/AP0739","ISSN":"22288694","abstract":"Background: Eosinophil cationic protein (ECP) is present in eosinophil granules. It has been associated with eosinophil-associated disorders. Objective: We compared serum ECP levels in allergic and non-allergic rhinitis patients and evaluated the association with the eosinophil count and the total IgE level. Method: We retrospectively reviewed medical records and categorized enrolled patients into the allergic (AR) and non-allergic rhinitis (NAR) groups. ECP, eosinophil count, and total IgE levels were reviewed in both groups. The association between ECP and the eosinophil count and total IgE level was further evaluated according to commonly detected specific antigens. Results: Six hundred and ten adults were included in the study. In the AR group (n=349), the median age was 27.0(23.0-42.0) years and the female:male ratio was 0.26:1. In the NAR group (n=261), the median age was 32.0(24.0-45.5) years and the female:male ratio was 0.33:1. We found that ECP (AR: 18.8(9.9-31.4), NAR: 14.8(8.2-24.9), p=0.003), eosinophil count (AR: 191.0(112.0-308.5), NAR: 149.0(91.0-249.0), p=0.002) and total IgE (AR: 166.0(58.4-422.5), NAR: 68.8(24.5-141.0), p&lt;0.001) were higher in AR than in NAR patients. The ECP level was associated with the eosinophil count in both the AR (p&lt;0.001) and NAR groups (p&lt;0.001). A significant correlation between the ECP level and eosinophil count was demonstrated in AR patients who were skin test positive against house dust mite, animal and pollen allergens. Conclusions: We suggest that ECP could be an important mediator in the pathogenesis of AR. The level of serum ECP was positively correlated with eosinophilia in AR patients regardless of the type of allergen sensitization. However, further study is warranted to verify the role of ECP in the clinical management of allergic rhinitis.","author":[{"dropping-particle":"","family":"Min","given":"Hyun Jin","non-dropping-particle":"","parse-names":false,"suffix":""},{"dropping-particle":"","family":"Hong","given":"Young Ho","non-dropping-particle":"","parse-names":false,"suffix":""},{"dropping-particle":"","family":"Yang","given":"Hoon Shik","non-dropping-particle":"","parse-names":false,"suffix":""},{"dropping-particle":"","family":"Kim","given":"Kyung Soo","non-dropping-particle":"","parse-names":false,"suffix":""}],"container-title":"Asian Pacific Journal of Allergy and Immunology","id":"ITEM-1","issue":"4","issued":{"date-parts":[["2016"]]},"page":"290-294","title":"The correlation of serum eosinophil cationic protein level with eosinophil count, and total IgE level in Korean adult allergic rhinitis patients","type":"article-journal","volume":"34"},"uris":["http://www.mendeley.com/documents/?uuid=942e0c57-fe64-47b4-8b36-c6957f80f7fd"]}],"mendeley":{"formattedCitation":"[106]","plainTextFormattedCitation":"[106]","previouslyFormattedCitation":"[106]"},"properties":{"noteIndex":0},"schema":"https://github.com/citation-style-language/schema/raw/master/csl-citation.json"}</w:instrText>
      </w:r>
      <w:r w:rsidR="00877D24">
        <w:rPr>
          <w:rStyle w:val="fontstyle01"/>
          <w:color w:val="auto"/>
        </w:rPr>
        <w:fldChar w:fldCharType="separate"/>
      </w:r>
      <w:r w:rsidR="00332566" w:rsidRPr="00332566">
        <w:rPr>
          <w:rStyle w:val="fontstyle01"/>
          <w:noProof/>
          <w:color w:val="auto"/>
        </w:rPr>
        <w:t>[106]</w:t>
      </w:r>
      <w:r w:rsidR="00877D24">
        <w:rPr>
          <w:rStyle w:val="fontstyle01"/>
          <w:color w:val="auto"/>
        </w:rPr>
        <w:fldChar w:fldCharType="end"/>
      </w:r>
      <w:r w:rsidR="005615B3" w:rsidRPr="001B27F8">
        <w:rPr>
          <w:rStyle w:val="fontstyle01"/>
          <w:color w:val="auto"/>
        </w:rPr>
        <w:t>.</w:t>
      </w:r>
      <w:r w:rsidRPr="001B27F8">
        <w:rPr>
          <w:rStyle w:val="fontstyle01"/>
          <w:color w:val="auto"/>
        </w:rPr>
        <w:t xml:space="preserve"> </w:t>
      </w:r>
      <w:r w:rsidR="00E4585E" w:rsidRPr="001B27F8">
        <w:rPr>
          <w:rStyle w:val="fontstyle01"/>
          <w:color w:val="auto"/>
        </w:rPr>
        <w:t xml:space="preserve">Исследованиями подтверждена </w:t>
      </w:r>
      <w:r w:rsidR="005131FD" w:rsidRPr="001B27F8">
        <w:rPr>
          <w:rStyle w:val="fontstyle01"/>
          <w:color w:val="auto"/>
        </w:rPr>
        <w:t>хорошая</w:t>
      </w:r>
      <w:r w:rsidR="00E4585E" w:rsidRPr="001B27F8">
        <w:rPr>
          <w:rStyle w:val="fontstyle01"/>
          <w:color w:val="auto"/>
        </w:rPr>
        <w:t xml:space="preserve"> </w:t>
      </w:r>
      <w:r w:rsidR="005131FD" w:rsidRPr="001B27F8">
        <w:rPr>
          <w:rStyle w:val="fontstyle01"/>
          <w:color w:val="auto"/>
        </w:rPr>
        <w:t>прогностическая</w:t>
      </w:r>
      <w:r w:rsidR="00E4585E" w:rsidRPr="001B27F8">
        <w:rPr>
          <w:rStyle w:val="fontstyle01"/>
          <w:color w:val="auto"/>
        </w:rPr>
        <w:t xml:space="preserve"> ценность общего ИГЕ в качестве диагностического критерия эффективности АСИТ</w:t>
      </w:r>
      <w:r w:rsidR="005E4BB7" w:rsidRPr="001B27F8">
        <w:rPr>
          <w:rStyle w:val="fontstyle01"/>
          <w:color w:val="auto"/>
        </w:rPr>
        <w:t xml:space="preserve"> при аллергическом рините</w:t>
      </w:r>
      <w:r w:rsidR="002C791C" w:rsidRPr="001B27F8">
        <w:rPr>
          <w:rStyle w:val="fontstyle01"/>
          <w:color w:val="auto"/>
        </w:rPr>
        <w:t xml:space="preserve"> </w:t>
      </w:r>
      <w:r w:rsidR="002C791C" w:rsidRPr="001B27F8">
        <w:rPr>
          <w:rStyle w:val="fontstyle01"/>
          <w:color w:val="auto"/>
        </w:rPr>
        <w:fldChar w:fldCharType="begin" w:fldLock="1"/>
      </w:r>
      <w:r w:rsidR="00A02E0E">
        <w:rPr>
          <w:rStyle w:val="fontstyle01"/>
          <w:color w:val="auto"/>
        </w:rPr>
        <w:instrText>ADDIN CSL_CITATION {"citationItems":[{"id":"ITEM-1","itemData":{"abstract":"19 years, is effective against seasonal AR, as well as perennial AR, and its efficacy is supported by several systematic reviews. 9 Compared with sublingual immunotherapy (SLIT), another mode of AIT, SCIT has been found to be more efficacious and to introduce fewer safety concerns. 9 Notwithstanding, there are several unmet needs in SCIT, es-pecially for clinical predictors and laboratory biomarkers of ef-ficacy. 10 In addition, the efficacy of SCIT would be unlikely to be identical in geographically different regions. Therefore, in a ret-rospective cohort covering 12 years, we sought to investigate clinical outcomes and prognostic factors of SCIT in Korean adults with AR. MATERIALS AND METHODS Study design and population This retrospective cohort study analyzed 304 patients who vis-ited a university hospital from 2000 to 2012 and received SCIT with HDM with or without pollen allergens for AR for more than 1 year, but less than 7 years. The diagnosis of AR was made according to clinical symptoms, physical examination, and a skin prick test (SPT). All patients were sensitized to HDM (Dermatophagoides pter-onyssinus [Dp] and Dermatophagoides farinae [Df]) allergens (Allergopharma Joachim Ganzer KG, Reinbek, Germany) on a SPT and/or had serum specific immunoglobulin E (IgE) levels higher than 0.35 kU/L. With respect to pollens, tree (Alder, Birch, Hazel, Beech, and Oak), grass (Orchard, Rye, Bermuda, Timothy, Kentucky, and Meadow), and weed (Ragweed and Mugwort) were considered combined causative allergens of AR according to seasonal variations in rhinitis symptoms and SPT results. Positivity to allergens on SPTs was determined when the size of wheals caused by an allergen was greater than or equal to the size of wheals induced by histamine. We measured serum total and specific IgE levels to the allergens using the Im-munoCAP system (Thermo-Fisher, Uppsala, Sweden). A cutoff value of 0.35 kU/L for specific IgE was regarded as a positive re-sult (class 1, 0.35-0.7 kU/L; class 2, 0.7-3.5 kU/L; class 3, 3.5-17.5 kU/L; class 4, 17.5-50 kU/L; class 5, 50-100 kU/L; and class 6, &gt;100 kU/L). Patients who were sensitized only to animal dander, mold, or pollen and who were not sensitized to HDM in SPT were ex-cluded. Patients with asthma were also excluded in the present study. Symptom severity was classified according to medica-tion use: patients prescribed only 1 antihistamine were consid-ered as having mild AR; those prescribed only 1 intranasal ste-roid without …","author":[{"dropping-particle":"","family":"Lee","given":"Ji-ho","non-dropping-particle":"","parse-names":false,"suffix":""},{"dropping-particle":"","family":"Kim","given":"Su-chin","non-dropping-particle":"","parse-names":false,"suffix":""},{"dropping-particle":"","family":"Choi","given":"Hyunna","non-dropping-particle":"","parse-names":false,"suffix":""},{"dropping-particle":"","family":"Jung","given":"Chang-gyu","non-dropping-particle":"","parse-names":false,"suffix":""},{"dropping-particle":"","family":"Ban","given":"Ga-young","non-dropping-particle":"","parse-names":false,"suffix":""},{"dropping-particle":"","family":"Shin","given":"Yoo Seob","non-dropping-particle":"","parse-names":false,"suffix":""},{"dropping-particle":"","family":"Nahm","given":"Dong-ho","non-dropping-particle":"","parse-names":false,"suffix":""},{"dropping-particle":"","family":"Park","given":"Hae-sim","non-dropping-particle":"","parse-names":false,"suffix":""},{"dropping-particle":"","family":"Ye","given":"Young-min","non-dropping-particle":"","parse-names":false,"suffix":""}],"container-title":"Allergy Asthma Immunol Res","id":"ITEM-1","issue":"1","issued":{"date-parts":[["2018"]]},"page":"18-24","title":"A Retrospective Study of Clinical Response Predictors in Subcutaneous Allergen Immunotherapy With House Dust Mites for Allergic Rhinitis","type":"article-journal","volume":"10"},"uris":["http://www.mendeley.com/documents/?uuid=c2bdd48a-73af-4793-ab94-720a8f8c5ea6"]}],"mendeley":{"formattedCitation":"[107]","plainTextFormattedCitation":"[107]","previouslyFormattedCitation":"[107]"},"properties":{"noteIndex":0},"schema":"https://github.com/citation-style-language/schema/raw/master/csl-citation.json"}</w:instrText>
      </w:r>
      <w:r w:rsidR="002C791C" w:rsidRPr="001B27F8">
        <w:rPr>
          <w:rStyle w:val="fontstyle01"/>
          <w:color w:val="auto"/>
        </w:rPr>
        <w:fldChar w:fldCharType="separate"/>
      </w:r>
      <w:r w:rsidR="00332566" w:rsidRPr="00332566">
        <w:rPr>
          <w:rStyle w:val="fontstyle01"/>
          <w:noProof/>
          <w:color w:val="auto"/>
        </w:rPr>
        <w:t>[107]</w:t>
      </w:r>
      <w:r w:rsidR="002C791C" w:rsidRPr="001B27F8">
        <w:rPr>
          <w:rStyle w:val="fontstyle01"/>
          <w:color w:val="auto"/>
        </w:rPr>
        <w:fldChar w:fldCharType="end"/>
      </w:r>
      <w:r w:rsidR="00E4585E" w:rsidRPr="001B27F8">
        <w:rPr>
          <w:rStyle w:val="fontstyle01"/>
          <w:color w:val="auto"/>
        </w:rPr>
        <w:t>.</w:t>
      </w:r>
      <w:r w:rsidR="00AD1A65" w:rsidRPr="001B27F8">
        <w:rPr>
          <w:rStyle w:val="fontstyle01"/>
          <w:color w:val="auto"/>
        </w:rPr>
        <w:t xml:space="preserve"> </w:t>
      </w:r>
      <w:r w:rsidR="00D0251D" w:rsidRPr="001B27F8">
        <w:rPr>
          <w:rStyle w:val="fontstyle01"/>
          <w:color w:val="auto"/>
        </w:rPr>
        <w:t xml:space="preserve">При проведении корреляционного анализа выявлена обратная связь между эффективностью АСИТ и уровнем общего </w:t>
      </w:r>
      <w:r w:rsidR="00656494" w:rsidRPr="001B27F8">
        <w:rPr>
          <w:rStyle w:val="fontstyle01"/>
          <w:color w:val="auto"/>
        </w:rPr>
        <w:t>ИГЕ</w:t>
      </w:r>
      <w:r w:rsidR="00D0251D" w:rsidRPr="001B27F8">
        <w:rPr>
          <w:rStyle w:val="fontstyle01"/>
          <w:color w:val="auto"/>
        </w:rPr>
        <w:t xml:space="preserve"> в сыворотке крови у пациентов с АР. </w:t>
      </w:r>
      <w:r w:rsidR="00845219" w:rsidRPr="001B27F8">
        <w:rPr>
          <w:rStyle w:val="fontstyle01"/>
          <w:color w:val="auto"/>
        </w:rPr>
        <w:t xml:space="preserve">В исследовании Салтабаевой У.Ш. </w:t>
      </w:r>
      <w:r w:rsidR="00793A61" w:rsidRPr="001B27F8">
        <w:rPr>
          <w:rStyle w:val="fontstyle01"/>
          <w:color w:val="auto"/>
        </w:rPr>
        <w:t xml:space="preserve">2019 года, </w:t>
      </w:r>
      <w:r w:rsidR="00845219" w:rsidRPr="001B27F8">
        <w:rPr>
          <w:rStyle w:val="fontstyle01"/>
          <w:color w:val="auto"/>
        </w:rPr>
        <w:t xml:space="preserve">на фоне СЛИТ наблюдалось более значительное снижение общего ИГЕ, в сравнении с ПКИТ </w:t>
      </w:r>
      <w:r w:rsidR="00845219" w:rsidRPr="001B27F8">
        <w:rPr>
          <w:rStyle w:val="fontstyle01"/>
          <w:color w:val="auto"/>
        </w:rPr>
        <w:fldChar w:fldCharType="begin" w:fldLock="1"/>
      </w:r>
      <w:r w:rsidR="00A02E0E">
        <w:rPr>
          <w:rStyle w:val="fontstyle01"/>
          <w:color w:val="auto"/>
        </w:rPr>
        <w:instrText>ADDIN CSL_CITATION {"citationItems":[{"id":"ITEM-1","itemData":{"author":[{"dropping-particle":"","family":"Салтабаева","given":"У.Ш.","non-dropping-particle":"","parse-names":false,"suffix":""},{"dropping-particle":"","family":"Моренко","given":"М.А.","non-dropping-particle":"","parse-names":false,"suffix":""},{"dropping-particle":"","family":"Розенсон","given":"Р.И.","non-dropping-particle":"","parse-names":false,"suffix":""},{"dropping-particle":"","family":"Аманкулова","given":"А.А.","non-dropping-particle":"","parse-names":false,"suffix":""},{"dropping-particle":"","family":"Беспалько","given":"А.Б.","non-dropping-particle":"","parse-names":false,"suffix":""}],"container-title":"Валеология: денсаулық - ауру - сауықтыру","id":"ITEM-1","issue":"2","issued":{"date-parts":[["2019"]]},"page":"42-45","title":"Иммунологическая эффективность видов аллерген специфической иммунотерапии при поллинозе","type":"article-journal"},"uris":["http://www.mendeley.com/documents/?uuid=5ff7b492-a49a-4b85-b679-c53b4f9c66b7"]}],"mendeley":{"formattedCitation":"[108]","plainTextFormattedCitation":"[108]","previouslyFormattedCitation":"[108]"},"properties":{"noteIndex":0},"schema":"https://github.com/citation-style-language/schema/raw/master/csl-citation.json"}</w:instrText>
      </w:r>
      <w:r w:rsidR="00845219" w:rsidRPr="001B27F8">
        <w:rPr>
          <w:rStyle w:val="fontstyle01"/>
          <w:color w:val="auto"/>
        </w:rPr>
        <w:fldChar w:fldCharType="separate"/>
      </w:r>
      <w:r w:rsidR="00332566" w:rsidRPr="00332566">
        <w:rPr>
          <w:rStyle w:val="fontstyle01"/>
          <w:noProof/>
          <w:color w:val="auto"/>
        </w:rPr>
        <w:t>[108]</w:t>
      </w:r>
      <w:r w:rsidR="00845219" w:rsidRPr="001B27F8">
        <w:rPr>
          <w:rStyle w:val="fontstyle01"/>
          <w:color w:val="auto"/>
        </w:rPr>
        <w:fldChar w:fldCharType="end"/>
      </w:r>
      <w:r w:rsidR="00D0251D" w:rsidRPr="001B27F8">
        <w:rPr>
          <w:rStyle w:val="fontstyle01"/>
          <w:color w:val="auto"/>
        </w:rPr>
        <w:t>.</w:t>
      </w:r>
      <w:r w:rsidR="008D6003" w:rsidRPr="001B27F8">
        <w:rPr>
          <w:rStyle w:val="fontstyle01"/>
          <w:color w:val="auto"/>
        </w:rPr>
        <w:t xml:space="preserve"> При этом наблюдалась дальнейшая динамика снижения общего ИГЕ в течение последующих курсов АСИТ.</w:t>
      </w:r>
    </w:p>
    <w:p w14:paraId="3003F224" w14:textId="279BA00F" w:rsidR="00445B65" w:rsidRPr="001B27F8" w:rsidRDefault="00526939" w:rsidP="001B27F8">
      <w:pPr>
        <w:tabs>
          <w:tab w:val="left" w:pos="851"/>
        </w:tabs>
        <w:spacing w:after="0" w:line="240" w:lineRule="auto"/>
        <w:ind w:firstLine="567"/>
        <w:jc w:val="both"/>
        <w:rPr>
          <w:rStyle w:val="fontstyle01"/>
          <w:color w:val="auto"/>
        </w:rPr>
      </w:pPr>
      <w:r w:rsidRPr="001B27F8">
        <w:rPr>
          <w:rStyle w:val="fontstyle01"/>
          <w:color w:val="auto"/>
        </w:rPr>
        <w:t>Значение общего ИГЕ может значительно варьировать в зависимости от сезонности обострения заболевания. Как показали исследования, наивысшие уровни общего ИГЕ наблюдаются в период обострения</w:t>
      </w:r>
      <w:r w:rsidR="00445B65" w:rsidRPr="001B27F8">
        <w:rPr>
          <w:rStyle w:val="fontstyle01"/>
          <w:color w:val="auto"/>
        </w:rPr>
        <w:t xml:space="preserve"> АР, что наиболее характерно</w:t>
      </w:r>
      <w:r w:rsidRPr="001B27F8">
        <w:rPr>
          <w:rStyle w:val="fontstyle01"/>
          <w:color w:val="auto"/>
        </w:rPr>
        <w:t xml:space="preserve"> для сезонного АР</w:t>
      </w:r>
      <w:r w:rsidR="00716CB8" w:rsidRPr="001B27F8">
        <w:rPr>
          <w:rStyle w:val="fontstyle01"/>
          <w:color w:val="auto"/>
        </w:rPr>
        <w:t xml:space="preserve"> </w:t>
      </w:r>
      <w:r w:rsidR="004C35AF" w:rsidRPr="001B27F8">
        <w:rPr>
          <w:rStyle w:val="fontstyle01"/>
          <w:color w:val="auto"/>
        </w:rPr>
        <w:fldChar w:fldCharType="begin" w:fldLock="1"/>
      </w:r>
      <w:r w:rsidR="00A02E0E">
        <w:rPr>
          <w:rStyle w:val="fontstyle01"/>
          <w:color w:val="auto"/>
        </w:rPr>
        <w:instrText>ADDIN CSL_CITATION {"citationItems":[{"id":"ITEM-1","itemData":{"DOI":"10.1177/1753465812468500","ISBN":"7217534658","ISSN":"17534666","PMID":"23197073","abstract":"The objective of this study was to investigate the correlation of symptoms in patients with presumed allergic rhinitis on the basis of their medical history and physical examination with the levels of total immunoglobulin E (IgE) and specific IgE, and to question the necessity of these tests in diagnosis. The records of 295 patients, who had at least two complaints of nasal itching, nasal obstruction, runny discharge and sneezing, and/or presumed as allergic rhinitis on physical examination findings were retrospectively screened. The correlation between the levels of IgE, specific inhalant IgE, and food-specific serum IgE were evaluated in these patients. A total of 70 cases (23.7%) were determined to have a total value of IgE under 20 U/ml, 113 cases (38.3%) with IgE values between 20 U/ml and 100 U/ml, and 100 cases with IgE values above 100 U/ml. Results of total IgE could not be obtained in 12 (4.06%) patients. Dermatophagoides farinae was the most common allergy in this group with 74 (68.5%) cases. The determination of IgE in allergic rhinitis is a supportive method. However, it cannot be recommended for routine use because of the time loss and high cost. © 2012, SAGE Publications. All rights reserved.","author":[{"dropping-particle":"","family":"Karli","given":"Rifat","non-dropping-particle":"","parse-names":false,"suffix":""},{"dropping-particle":"","family":"Balbaloglu","given":"Evrim","non-dropping-particle":"","parse-names":false,"suffix":""},{"dropping-particle":"","family":"Uzun","given":"Lokman","non-dropping-particle":"","parse-names":false,"suffix":""},{"dropping-particle":"","family":"Çınar","given":"Fikret","non-dropping-particle":"","parse-names":false,"suffix":""},{"dropping-particle":"","family":"Uğur","given":"Mehmet Birol","non-dropping-particle":"","parse-names":false,"suffix":""}],"container-title":"Therapeutic Advances in Respiratory Disease","id":"ITEM-1","issue":"2","issued":{"date-parts":[["2013"]]},"page":"75-79","title":"Correlation of symptoms with total IgE and specific IgE levels in patients presenting with allergic rhinitis","type":"article-journal","volume":"7"},"uris":["http://www.mendeley.com/documents/?uuid=0215916d-b4a1-4ee7-b5e0-180616dc5471"]}],"mendeley":{"formattedCitation":"[109]","plainTextFormattedCitation":"[109]","previouslyFormattedCitation":"[109]"},"properties":{"noteIndex":0},"schema":"https://github.com/citation-style-language/schema/raw/master/csl-citation.json"}</w:instrText>
      </w:r>
      <w:r w:rsidR="004C35AF" w:rsidRPr="001B27F8">
        <w:rPr>
          <w:rStyle w:val="fontstyle01"/>
          <w:color w:val="auto"/>
        </w:rPr>
        <w:fldChar w:fldCharType="separate"/>
      </w:r>
      <w:r w:rsidR="00332566" w:rsidRPr="00332566">
        <w:rPr>
          <w:rStyle w:val="fontstyle01"/>
          <w:noProof/>
          <w:color w:val="auto"/>
        </w:rPr>
        <w:t>[109]</w:t>
      </w:r>
      <w:r w:rsidR="004C35AF" w:rsidRPr="001B27F8">
        <w:rPr>
          <w:rStyle w:val="fontstyle01"/>
          <w:color w:val="auto"/>
        </w:rPr>
        <w:fldChar w:fldCharType="end"/>
      </w:r>
      <w:r w:rsidRPr="001B27F8">
        <w:rPr>
          <w:rStyle w:val="fontstyle01"/>
          <w:color w:val="auto"/>
        </w:rPr>
        <w:t xml:space="preserve">. </w:t>
      </w:r>
      <w:r w:rsidR="00445B65" w:rsidRPr="001B27F8">
        <w:rPr>
          <w:rStyle w:val="fontstyle01"/>
          <w:color w:val="auto"/>
        </w:rPr>
        <w:t xml:space="preserve">Однако, другие исследования продемонстрировали иные результаты, при которых более низкие уровни общего </w:t>
      </w:r>
      <w:r w:rsidR="00656494" w:rsidRPr="001B27F8">
        <w:rPr>
          <w:rStyle w:val="fontstyle01"/>
          <w:color w:val="auto"/>
        </w:rPr>
        <w:t>ИГЕ</w:t>
      </w:r>
      <w:r w:rsidR="00445B65" w:rsidRPr="001B27F8">
        <w:rPr>
          <w:rStyle w:val="fontstyle01"/>
          <w:color w:val="auto"/>
        </w:rPr>
        <w:t xml:space="preserve"> было обнаружены в течение сезона </w:t>
      </w:r>
      <w:r w:rsidR="004F1279" w:rsidRPr="001B27F8">
        <w:rPr>
          <w:rStyle w:val="fontstyle01"/>
          <w:color w:val="auto"/>
        </w:rPr>
        <w:t xml:space="preserve">цветения </w:t>
      </w:r>
      <w:r w:rsidR="00445B65" w:rsidRPr="001B27F8">
        <w:rPr>
          <w:rStyle w:val="fontstyle01"/>
          <w:color w:val="auto"/>
        </w:rPr>
        <w:t xml:space="preserve">пыльцы, а самые высокие значения общего ИГЕ наблюдались </w:t>
      </w:r>
      <w:r w:rsidR="004F1279" w:rsidRPr="001B27F8">
        <w:rPr>
          <w:rStyle w:val="fontstyle01"/>
          <w:color w:val="auto"/>
        </w:rPr>
        <w:t>через 3-4 месяца после сезона пыльцы</w:t>
      </w:r>
      <w:r w:rsidR="00445B65" w:rsidRPr="001B27F8">
        <w:rPr>
          <w:rStyle w:val="fontstyle01"/>
          <w:color w:val="auto"/>
        </w:rPr>
        <w:t xml:space="preserve">. </w:t>
      </w:r>
      <w:r w:rsidR="00571747" w:rsidRPr="001B27F8">
        <w:rPr>
          <w:rStyle w:val="fontstyle01"/>
          <w:color w:val="auto"/>
        </w:rPr>
        <w:t xml:space="preserve">Данное явление объясняется тем, что выработка общего </w:t>
      </w:r>
      <w:r w:rsidR="00656494" w:rsidRPr="001B27F8">
        <w:rPr>
          <w:rStyle w:val="fontstyle01"/>
          <w:color w:val="auto"/>
        </w:rPr>
        <w:t>ИГЕ</w:t>
      </w:r>
      <w:r w:rsidR="00571747" w:rsidRPr="001B27F8">
        <w:rPr>
          <w:rStyle w:val="fontstyle01"/>
          <w:color w:val="auto"/>
        </w:rPr>
        <w:t xml:space="preserve"> инициируется в течение сезона цветения, что начинается с увеличения выработки В-клеток, которые затем созревают в плазматические клетки, и лишь спустя несколько месяцев после первоначального воздействия аллергена в крови определяются высокие уровни общего </w:t>
      </w:r>
      <w:r w:rsidR="00656494" w:rsidRPr="001B27F8">
        <w:rPr>
          <w:rStyle w:val="fontstyle01"/>
          <w:color w:val="auto"/>
        </w:rPr>
        <w:t>ИГЕ</w:t>
      </w:r>
      <w:r w:rsidR="00571747" w:rsidRPr="001B27F8">
        <w:rPr>
          <w:rStyle w:val="fontstyle01"/>
          <w:color w:val="auto"/>
        </w:rPr>
        <w:t xml:space="preserve"> </w:t>
      </w:r>
      <w:r w:rsidR="00571747" w:rsidRPr="001B27F8">
        <w:rPr>
          <w:rStyle w:val="fontstyle01"/>
          <w:color w:val="auto"/>
        </w:rPr>
        <w:fldChar w:fldCharType="begin" w:fldLock="1"/>
      </w:r>
      <w:r w:rsidR="00A02E0E">
        <w:rPr>
          <w:rStyle w:val="fontstyle01"/>
          <w:color w:val="auto"/>
        </w:rPr>
        <w:instrText>ADDIN CSL_CITATION {"citationItems":[{"id":"ITEM-1","itemData":{"DOI":"10.1111/sji.12270","ISSN":"13653083","PMID":"25620574","abstract":"The inter- and intra-individual variability and seasonal variation of IgE, and high (FcεRI)- and low-affinity (CD23) IgE receptor expression in blood of seasonal allergic rhinitis (SAR) subjects, is not well studied. Thirty-two otherwise healthy subjects with a history of SAR to birch pollen and a positive skin prick test to birch pollen were sampled three times out of the pollen season and three times during the pollen season. FcεRI and CD23 expressions were analysed using flow cytometry. Total IgE was analysed using ImmunoCAP® and free IgE was analysed with a novel customised research assay using an IgG-FcεRI-chimera protein coupled to ImmunoCAP as capture reagent, ImmunoCAP-specific IgE conjugate and ImmunoCAP IgE calibrators. The performance of the free IgE assay was compared well with the reference ImmunoCAP total IgE assay. The working range of the assay was 0.35-200 kU/l IgE. FcεRI expression on basophils and CD23 expression on B cells showed low intrasubject variability both in and out of the pollen season (&lt;10% CV). There was a small seasonal difference with lower total IgE levels (120 versus 128 kU/l; P = 0.004) and FcεRI expression (283 versus 325 mean fluorescence intensity (MFI); P &lt; 0.001) during the pollen season. IgE, FcεRI expression and CD23 expression fulfilled biomarker and assay requirements of variability, and allergen exposure affected the biomarkers only to a minor degree. The free IgE assay may be used for measurement of free IgE levels in patients after anti-IgE antibody treatment.","author":[{"dropping-particle":"","family":"Carlsson","given":"M.","non-dropping-particle":"","parse-names":false,"suffix":""},{"dropping-particle":"","family":"Thorell","given":"L.","non-dropping-particle":"","parse-names":false,"suffix":""},{"dropping-particle":"","family":"Sjölander","given":"A.","non-dropping-particle":"","parse-names":false,"suffix":""},{"dropping-particle":"","family":"Larsson-Faria","given":"S.","non-dropping-particle":"","parse-names":false,"suffix":""}],"container-title":"Scandinavian Journal of Immunology","id":"ITEM-1","issue":"4","issued":{"date-parts":[["2015"]]},"page":"240-248","title":"Variability of total and free IgE levels and IgE receptor expression in allergic subjects in and out of Pollen Season","type":"article-journal","volume":"81"},"uris":["http://www.mendeley.com/documents/?uuid=badf3c66-224f-4944-9f3d-be7b1cdfe78a"]}],"mendeley":{"formattedCitation":"[110]","plainTextFormattedCitation":"[110]","previouslyFormattedCitation":"[110]"},"properties":{"noteIndex":0},"schema":"https://github.com/citation-style-language/schema/raw/master/csl-citation.json"}</w:instrText>
      </w:r>
      <w:r w:rsidR="00571747" w:rsidRPr="001B27F8">
        <w:rPr>
          <w:rStyle w:val="fontstyle01"/>
          <w:color w:val="auto"/>
        </w:rPr>
        <w:fldChar w:fldCharType="separate"/>
      </w:r>
      <w:r w:rsidR="00332566" w:rsidRPr="00332566">
        <w:rPr>
          <w:rStyle w:val="fontstyle01"/>
          <w:noProof/>
          <w:color w:val="auto"/>
        </w:rPr>
        <w:t>[110]</w:t>
      </w:r>
      <w:r w:rsidR="00571747" w:rsidRPr="001B27F8">
        <w:rPr>
          <w:rStyle w:val="fontstyle01"/>
          <w:color w:val="auto"/>
        </w:rPr>
        <w:fldChar w:fldCharType="end"/>
      </w:r>
      <w:r w:rsidR="00445B65" w:rsidRPr="001B27F8">
        <w:rPr>
          <w:rStyle w:val="fontstyle01"/>
          <w:color w:val="auto"/>
        </w:rPr>
        <w:t xml:space="preserve">. </w:t>
      </w:r>
    </w:p>
    <w:p w14:paraId="2D953B7C" w14:textId="3EBCABCF" w:rsidR="00365ED3" w:rsidRPr="001B27F8" w:rsidRDefault="00365ED3" w:rsidP="001B27F8">
      <w:pPr>
        <w:tabs>
          <w:tab w:val="left" w:pos="851"/>
        </w:tabs>
        <w:spacing w:after="0" w:line="240" w:lineRule="auto"/>
        <w:ind w:firstLine="567"/>
        <w:jc w:val="both"/>
        <w:rPr>
          <w:rStyle w:val="fontstyle01"/>
          <w:color w:val="auto"/>
        </w:rPr>
      </w:pPr>
      <w:r w:rsidRPr="001B27F8">
        <w:rPr>
          <w:rStyle w:val="fontstyle01"/>
          <w:color w:val="auto"/>
        </w:rPr>
        <w:t xml:space="preserve">Повышение уровня общего </w:t>
      </w:r>
      <w:r w:rsidRPr="001B27F8">
        <w:rPr>
          <w:rStyle w:val="fontstyle01"/>
          <w:color w:val="auto"/>
          <w:lang w:val="en-US"/>
        </w:rPr>
        <w:t>IgE</w:t>
      </w:r>
      <w:r w:rsidRPr="001B27F8">
        <w:rPr>
          <w:rStyle w:val="fontstyle01"/>
          <w:color w:val="auto"/>
        </w:rPr>
        <w:t xml:space="preserve"> означает, что у пациента имеется аллергическая болезнь, но не детализирует специфичность аллергена, вызвавшего сенсибилизацию организма. По мнению некоторых авторов, повышение общего </w:t>
      </w:r>
      <w:r w:rsidR="001B4A3A" w:rsidRPr="001B27F8">
        <w:rPr>
          <w:rStyle w:val="fontstyle01"/>
          <w:color w:val="auto"/>
        </w:rPr>
        <w:t>ИГЕ</w:t>
      </w:r>
      <w:r w:rsidRPr="001B27F8">
        <w:rPr>
          <w:rStyle w:val="fontstyle01"/>
          <w:color w:val="auto"/>
        </w:rPr>
        <w:t xml:space="preserve"> может быть связано не только с аллергической болезнью, но также с паразитарной инфекцией, вирусной инфекцией, системным воспалительным заболеванием, развитием некоторых опухолей и</w:t>
      </w:r>
      <w:r w:rsidR="00D069C0">
        <w:rPr>
          <w:rStyle w:val="fontstyle01"/>
          <w:color w:val="auto"/>
        </w:rPr>
        <w:t xml:space="preserve"> некоторых других заболеваниях</w:t>
      </w:r>
      <w:r w:rsidRPr="001B27F8">
        <w:rPr>
          <w:rStyle w:val="fontstyle01"/>
          <w:color w:val="auto"/>
        </w:rPr>
        <w:t>. Именно поэтому назначение общего ИГЕ информативно в комплексе с определением специфического ИГЕ</w:t>
      </w:r>
      <w:r w:rsidR="00D069C0">
        <w:rPr>
          <w:rStyle w:val="fontstyle01"/>
          <w:color w:val="auto"/>
        </w:rPr>
        <w:t xml:space="preserve"> </w:t>
      </w:r>
      <w:r w:rsidR="00D069C0">
        <w:rPr>
          <w:rStyle w:val="fontstyle01"/>
          <w:color w:val="auto"/>
        </w:rPr>
        <w:fldChar w:fldCharType="begin" w:fldLock="1"/>
      </w:r>
      <w:r w:rsidR="00A02E0E">
        <w:rPr>
          <w:rStyle w:val="fontstyle01"/>
          <w:color w:val="auto"/>
        </w:rPr>
        <w:instrText>ADDIN CSL_CITATION {"citationItems":[{"id":"ITEM-1","itemData":{"author":[{"dropping-particle":"","family":"Сновская","given":"М.А.","non-dropping-particle":"","parse-names":false,"suffix":""}],"container-title":"диссертация к.м.н.","id":"ITEM-1","issued":{"date-parts":[["2015"]]},"number-of-pages":"158","title":"Иммунные маркеры эффективности аллерген- специфической иммунотерапии у детей с перекрестной аллергией","type":"thesis"},"uris":["http://www.mendeley.com/documents/?uuid=5bf08c6d-1083-4b7f-8321-63b128d681a3"]},{"id":"ITEM-2","itemData":{"DOI":"10.1111/sji.12270","ISSN":"13653083","PMID":"25620574","abstract":"The inter- and intra-individual variability and seasonal variation of IgE, and high (FcεRI)- and low-affinity (CD23) IgE receptor expression in blood of seasonal allergic rhinitis (SAR) subjects, is not well studied. Thirty-two otherwise healthy subjects with a history of SAR to birch pollen and a positive skin prick test to birch pollen were sampled three times out of the pollen season and three times during the pollen season. FcεRI and CD23 expressions were analysed using flow cytometry. Total IgE was analysed using ImmunoCAP® and free IgE was analysed with a novel customised research assay using an IgG-FcεRI-chimera protein coupled to ImmunoCAP as capture reagent, ImmunoCAP-specific IgE conjugate and ImmunoCAP IgE calibrators. The performance of the free IgE assay was compared well with the reference ImmunoCAP total IgE assay. The working range of the assay was 0.35-200 kU/l IgE. FcεRI expression on basophils and CD23 expression on B cells showed low intrasubject variability both in and out of the pollen season (&lt;10% CV). There was a small seasonal difference with lower total IgE levels (120 versus 128 kU/l; P = 0.004) and FcεRI expression (283 versus 325 mean fluorescence intensity (MFI); P &lt; 0.001) during the pollen season. IgE, FcεRI expression and CD23 expression fulfilled biomarker and assay requirements of variability, and allergen exposure affected the biomarkers only to a minor degree. The free IgE assay may be used for measurement of free IgE levels in patients after anti-IgE antibody treatment.","author":[{"dropping-particle":"","family":"Carlsson","given":"M.","non-dropping-particle":"","parse-names":false,"suffix":""},{"dropping-particle":"","family":"Thorell","given":"L.","non-dropping-particle":"","parse-names":false,"suffix":""},{"dropping-particle":"","family":"Sjölander","given":"A.","non-dropping-particle":"","parse-names":false,"suffix":""},{"dropping-particle":"","family":"Larsson-Faria","given":"S.","non-dropping-particle":"","parse-names":false,"suffix":""}],"container-title":"Scandinavian Journal of Immunology","id":"ITEM-2","issue":"4","issued":{"date-parts":[["2015"]]},"page":"240-248","title":"Variability of total and free IgE levels and IgE receptor expression in allergic subjects in and out of Pollen Season","type":"article-journal","volume":"81"},"uris":["http://www.mendeley.com/documents/?uuid=badf3c66-224f-4944-9f3d-be7b1cdfe78a"]}],"mendeley":{"formattedCitation":"[110,111]","plainTextFormattedCitation":"[110,111]","previouslyFormattedCitation":"[110,111]"},"properties":{"noteIndex":0},"schema":"https://github.com/citation-style-language/schema/raw/master/csl-citation.json"}</w:instrText>
      </w:r>
      <w:r w:rsidR="00D069C0">
        <w:rPr>
          <w:rStyle w:val="fontstyle01"/>
          <w:color w:val="auto"/>
        </w:rPr>
        <w:fldChar w:fldCharType="separate"/>
      </w:r>
      <w:r w:rsidR="00332566" w:rsidRPr="00332566">
        <w:rPr>
          <w:rStyle w:val="fontstyle01"/>
          <w:noProof/>
          <w:color w:val="auto"/>
        </w:rPr>
        <w:t>[110,111]</w:t>
      </w:r>
      <w:r w:rsidR="00D069C0">
        <w:rPr>
          <w:rStyle w:val="fontstyle01"/>
          <w:color w:val="auto"/>
        </w:rPr>
        <w:fldChar w:fldCharType="end"/>
      </w:r>
      <w:r w:rsidRPr="001B27F8">
        <w:rPr>
          <w:rStyle w:val="fontstyle01"/>
          <w:color w:val="auto"/>
        </w:rPr>
        <w:t xml:space="preserve">. </w:t>
      </w:r>
    </w:p>
    <w:p w14:paraId="464C7130" w14:textId="352F2D05" w:rsidR="005F7152" w:rsidRPr="001B27F8" w:rsidRDefault="005F7152" w:rsidP="001B27F8">
      <w:pPr>
        <w:tabs>
          <w:tab w:val="left" w:pos="851"/>
        </w:tabs>
        <w:spacing w:after="0" w:line="240" w:lineRule="auto"/>
        <w:ind w:firstLine="567"/>
        <w:jc w:val="both"/>
        <w:rPr>
          <w:rStyle w:val="fontstyle01"/>
          <w:color w:val="auto"/>
        </w:rPr>
      </w:pPr>
      <w:r w:rsidRPr="001B27F8">
        <w:rPr>
          <w:rStyle w:val="fontstyle01"/>
          <w:color w:val="auto"/>
        </w:rPr>
        <w:t xml:space="preserve">Отношение специфического </w:t>
      </w:r>
      <w:r w:rsidR="001B4A3A" w:rsidRPr="001B27F8">
        <w:rPr>
          <w:rStyle w:val="fontstyle01"/>
          <w:color w:val="auto"/>
        </w:rPr>
        <w:t>ИГЕ</w:t>
      </w:r>
      <w:r w:rsidRPr="001B27F8">
        <w:rPr>
          <w:rStyle w:val="fontstyle01"/>
          <w:color w:val="auto"/>
        </w:rPr>
        <w:t xml:space="preserve"> к общему </w:t>
      </w:r>
      <w:r w:rsidR="001B4A3A" w:rsidRPr="001B27F8">
        <w:rPr>
          <w:rStyle w:val="fontstyle01"/>
          <w:color w:val="auto"/>
        </w:rPr>
        <w:t>ИГЕ</w:t>
      </w:r>
      <w:r w:rsidRPr="001B27F8">
        <w:rPr>
          <w:rStyle w:val="fontstyle01"/>
          <w:color w:val="auto"/>
        </w:rPr>
        <w:t xml:space="preserve"> достоверно коррелируют с клиническими ответами на АСИТ. Возможный механизм заключается в том, что индукция регуляторных Т-клеток, </w:t>
      </w:r>
      <w:r w:rsidR="004F69AA" w:rsidRPr="001B27F8">
        <w:rPr>
          <w:rStyle w:val="fontstyle01"/>
          <w:color w:val="auto"/>
        </w:rPr>
        <w:t>способствует подавлению</w:t>
      </w:r>
      <w:r w:rsidRPr="001B27F8">
        <w:rPr>
          <w:rStyle w:val="fontstyle01"/>
          <w:color w:val="auto"/>
        </w:rPr>
        <w:t xml:space="preserve"> </w:t>
      </w:r>
      <w:r w:rsidRPr="001B27F8">
        <w:rPr>
          <w:rStyle w:val="fontstyle01"/>
          <w:color w:val="auto"/>
          <w:lang w:val="en-US"/>
        </w:rPr>
        <w:t>IgE</w:t>
      </w:r>
      <w:r w:rsidRPr="001B27F8">
        <w:rPr>
          <w:rStyle w:val="fontstyle01"/>
          <w:color w:val="auto"/>
        </w:rPr>
        <w:t>-реакции на соответствующие аллергены во время</w:t>
      </w:r>
      <w:r w:rsidR="004F69AA" w:rsidRPr="001B27F8">
        <w:rPr>
          <w:rStyle w:val="fontstyle01"/>
          <w:color w:val="auto"/>
        </w:rPr>
        <w:t xml:space="preserve"> проведения</w:t>
      </w:r>
      <w:r w:rsidRPr="001B27F8">
        <w:rPr>
          <w:rStyle w:val="fontstyle01"/>
          <w:color w:val="auto"/>
        </w:rPr>
        <w:t xml:space="preserve"> АСИТ, что приводит к общему снижению аллергенного воспаления </w:t>
      </w:r>
      <w:r w:rsidRPr="001B27F8">
        <w:rPr>
          <w:rStyle w:val="fontstyle01"/>
          <w:color w:val="auto"/>
        </w:rPr>
        <w:fldChar w:fldCharType="begin" w:fldLock="1"/>
      </w:r>
      <w:r w:rsidR="00A02E0E">
        <w:rPr>
          <w:rStyle w:val="fontstyle01"/>
          <w:color w:val="auto"/>
        </w:rPr>
        <w:instrText>ADDIN CSL_CITATION {"citationItems":[{"id":"ITEM-1","itemData":{"abstract":"19 years, is effective against seasonal AR, as well as perennial AR, and its efficacy is supported by several systematic reviews. 9 Compared with sublingual immunotherapy (SLIT), another mode of AIT, SCIT has been found to be more efficacious and to introduce fewer safety concerns. 9 Notwithstanding, there are several unmet needs in SCIT, es-pecially for clinical predictors and laboratory biomarkers of ef-ficacy. 10 In addition, the efficacy of SCIT would be unlikely to be identical in geographically different regions. Therefore, in a ret-rospective cohort covering 12 years, we sought to investigate clinical outcomes and prognostic factors of SCIT in Korean adults with AR. MATERIALS AND METHODS Study design and population This retrospective cohort study analyzed 304 patients who vis-ited a university hospital from 2000 to 2012 and received SCIT with HDM with or without pollen allergens for AR for more than 1 year, but less than 7 years. The diagnosis of AR was made according to clinical symptoms, physical examination, and a skin prick test (SPT). All patients were sensitized to HDM (Dermatophagoides pter-onyssinus [Dp] and Dermatophagoides farinae [Df]) allergens (Allergopharma Joachim Ganzer KG, Reinbek, Germany) on a SPT and/or had serum specific immunoglobulin E (IgE) levels higher than 0.35 kU/L. With respect to pollens, tree (Alder, Birch, Hazel, Beech, and Oak), grass (Orchard, Rye, Bermuda, Timothy, Kentucky, and Meadow), and weed (Ragweed and Mugwort) were considered combined causative allergens of AR according to seasonal variations in rhinitis symptoms and SPT results. Positivity to allergens on SPTs was determined when the size of wheals caused by an allergen was greater than or equal to the size of wheals induced by histamine. We measured serum total and specific IgE levels to the allergens using the Im-munoCAP system (Thermo-Fisher, Uppsala, Sweden). A cutoff value of 0.35 kU/L for specific IgE was regarded as a positive re-sult (class 1, 0.35-0.7 kU/L; class 2, 0.7-3.5 kU/L; class 3, 3.5-17.5 kU/L; class 4, 17.5-50 kU/L; class 5, 50-100 kU/L; and class 6, &gt;100 kU/L). Patients who were sensitized only to animal dander, mold, or pollen and who were not sensitized to HDM in SPT were ex-cluded. Patients with asthma were also excluded in the present study. Symptom severity was classified according to medica-tion use: patients prescribed only 1 antihistamine were consid-ered as having mild AR; those prescribed only 1 intranasal ste-roid without …","author":[{"dropping-particle":"","family":"Lee","given":"Ji-ho","non-dropping-particle":"","parse-names":false,"suffix":""},{"dropping-particle":"","family":"Kim","given":"Su-chin","non-dropping-particle":"","parse-names":false,"suffix":""},{"dropping-particle":"","family":"Choi","given":"Hyunna","non-dropping-particle":"","parse-names":false,"suffix":""},{"dropping-particle":"","family":"Jung","given":"Chang-gyu","non-dropping-particle":"","parse-names":false,"suffix":""},{"dropping-particle":"","family":"Ban","given":"Ga-young","non-dropping-particle":"","parse-names":false,"suffix":""},{"dropping-particle":"","family":"Shin","given":"Yoo Seob","non-dropping-particle":"","parse-names":false,"suffix":""},{"dropping-particle":"","family":"Nahm","given":"Dong-ho","non-dropping-particle":"","parse-names":false,"suffix":""},{"dropping-particle":"","family":"Park","given":"Hae-sim","non-dropping-particle":"","parse-names":false,"suffix":""},{"dropping-particle":"","family":"Ye","given":"Young-min","non-dropping-particle":"","parse-names":false,"suffix":""}],"container-title":"Allergy Asthma Immunol Res","id":"ITEM-1","issue":"1","issued":{"date-parts":[["2018"]]},"page":"18-24","title":"A Retrospective Study of Clinical Response Predictors in Subcutaneous Allergen Immunotherapy With House Dust Mites for Allergic Rhinitis","type":"article-journal","volume":"10"},"uris":["http://www.mendeley.com/documents/?uuid=c2bdd48a-73af-4793-ab94-720a8f8c5ea6"]}],"mendeley":{"formattedCitation":"[107]","plainTextFormattedCitation":"[107]","previouslyFormattedCitation":"[107]"},"properties":{"noteIndex":0},"schema":"https://github.com/citation-style-language/schema/raw/master/csl-citation.json"}</w:instrText>
      </w:r>
      <w:r w:rsidRPr="001B27F8">
        <w:rPr>
          <w:rStyle w:val="fontstyle01"/>
          <w:color w:val="auto"/>
        </w:rPr>
        <w:fldChar w:fldCharType="separate"/>
      </w:r>
      <w:r w:rsidR="00332566" w:rsidRPr="00332566">
        <w:rPr>
          <w:rStyle w:val="fontstyle01"/>
          <w:noProof/>
          <w:color w:val="auto"/>
        </w:rPr>
        <w:t>[107]</w:t>
      </w:r>
      <w:r w:rsidRPr="001B27F8">
        <w:rPr>
          <w:rStyle w:val="fontstyle01"/>
          <w:color w:val="auto"/>
        </w:rPr>
        <w:fldChar w:fldCharType="end"/>
      </w:r>
      <w:r w:rsidR="00523D5F" w:rsidRPr="001B27F8">
        <w:rPr>
          <w:rStyle w:val="fontstyle01"/>
          <w:color w:val="auto"/>
        </w:rPr>
        <w:t>.</w:t>
      </w:r>
    </w:p>
    <w:p w14:paraId="2342216F" w14:textId="2408CD88" w:rsidR="004F69AA" w:rsidRPr="001B27F8" w:rsidRDefault="004F69AA" w:rsidP="001B27F8">
      <w:pPr>
        <w:tabs>
          <w:tab w:val="left" w:pos="851"/>
        </w:tabs>
        <w:spacing w:after="0" w:line="240" w:lineRule="auto"/>
        <w:ind w:firstLine="567"/>
        <w:jc w:val="both"/>
        <w:rPr>
          <w:rStyle w:val="fontstyle01"/>
          <w:color w:val="auto"/>
        </w:rPr>
      </w:pPr>
      <w:r w:rsidRPr="001B27F8">
        <w:rPr>
          <w:rStyle w:val="fontstyle01"/>
          <w:color w:val="auto"/>
        </w:rPr>
        <w:t xml:space="preserve">Таким образом, мониторинг динамики отношения общего и специфического ИГЕ в процессе лечения является неотъемлемым критерием эффективность проводимой АСИТ. </w:t>
      </w:r>
    </w:p>
    <w:p w14:paraId="00C19827" w14:textId="77777777" w:rsidR="007F7872" w:rsidRPr="001B27F8" w:rsidRDefault="007F7872" w:rsidP="001B27F8">
      <w:pPr>
        <w:tabs>
          <w:tab w:val="left" w:pos="851"/>
        </w:tabs>
        <w:spacing w:after="0" w:line="240" w:lineRule="auto"/>
        <w:ind w:firstLine="567"/>
        <w:jc w:val="both"/>
        <w:rPr>
          <w:rStyle w:val="fontstyle01"/>
          <w:color w:val="auto"/>
        </w:rPr>
      </w:pPr>
    </w:p>
    <w:p w14:paraId="67057739" w14:textId="21415FC0" w:rsidR="00E4585E" w:rsidRPr="00144946" w:rsidRDefault="005F0CC0" w:rsidP="00102E42">
      <w:pPr>
        <w:pStyle w:val="3"/>
        <w:numPr>
          <w:ilvl w:val="2"/>
          <w:numId w:val="2"/>
        </w:numPr>
        <w:tabs>
          <w:tab w:val="left" w:pos="851"/>
          <w:tab w:val="left" w:pos="1276"/>
        </w:tabs>
        <w:spacing w:line="240" w:lineRule="auto"/>
        <w:ind w:left="0" w:firstLine="567"/>
        <w:jc w:val="both"/>
        <w:rPr>
          <w:rStyle w:val="a4"/>
          <w:rFonts w:ascii="Times New Roman" w:hAnsi="Times New Roman" w:cs="Times New Roman"/>
          <w:b w:val="0"/>
          <w:bCs w:val="0"/>
          <w:iCs w:val="0"/>
          <w:color w:val="auto"/>
          <w:spacing w:val="0"/>
          <w:sz w:val="28"/>
          <w:szCs w:val="28"/>
        </w:rPr>
      </w:pPr>
      <w:bookmarkStart w:id="12" w:name="_Toc137904336"/>
      <w:r w:rsidRPr="00E33ACA">
        <w:rPr>
          <w:rStyle w:val="a4"/>
          <w:rFonts w:ascii="Times New Roman" w:hAnsi="Times New Roman" w:cs="Times New Roman"/>
          <w:b w:val="0"/>
          <w:bCs w:val="0"/>
          <w:iCs w:val="0"/>
          <w:color w:val="auto"/>
          <w:spacing w:val="0"/>
          <w:sz w:val="28"/>
          <w:szCs w:val="28"/>
        </w:rPr>
        <w:t xml:space="preserve"> </w:t>
      </w:r>
      <w:r w:rsidR="00E4585E" w:rsidRPr="00144946">
        <w:rPr>
          <w:rStyle w:val="a4"/>
          <w:rFonts w:ascii="Times New Roman" w:hAnsi="Times New Roman" w:cs="Times New Roman"/>
          <w:b w:val="0"/>
          <w:bCs w:val="0"/>
          <w:iCs w:val="0"/>
          <w:color w:val="auto"/>
          <w:spacing w:val="0"/>
          <w:sz w:val="28"/>
          <w:szCs w:val="28"/>
        </w:rPr>
        <w:t>Эозинофильный катионный белок</w:t>
      </w:r>
      <w:bookmarkEnd w:id="12"/>
    </w:p>
    <w:p w14:paraId="7F2B227C" w14:textId="6244DED1" w:rsidR="0003687D" w:rsidRPr="001B27F8" w:rsidRDefault="00B24E84" w:rsidP="001B27F8">
      <w:pPr>
        <w:tabs>
          <w:tab w:val="left" w:pos="851"/>
        </w:tabs>
        <w:spacing w:after="0" w:line="240" w:lineRule="auto"/>
        <w:ind w:firstLine="567"/>
        <w:jc w:val="both"/>
        <w:rPr>
          <w:rFonts w:ascii="Times New Roman" w:hAnsi="Times New Roman" w:cs="Times New Roman"/>
          <w:sz w:val="28"/>
          <w:szCs w:val="28"/>
        </w:rPr>
      </w:pPr>
      <w:r w:rsidRPr="001B27F8">
        <w:rPr>
          <w:rFonts w:ascii="Times New Roman" w:hAnsi="Times New Roman" w:cs="Times New Roman"/>
          <w:sz w:val="28"/>
          <w:szCs w:val="28"/>
        </w:rPr>
        <w:t xml:space="preserve">В течение многих лет уровень ЭКБ в сыворотке крови был использован в качестве маркера различных атопических заболеваний. </w:t>
      </w:r>
      <w:r w:rsidR="00701127" w:rsidRPr="001B27F8">
        <w:rPr>
          <w:rFonts w:ascii="Times New Roman" w:hAnsi="Times New Roman" w:cs="Times New Roman"/>
          <w:sz w:val="28"/>
          <w:szCs w:val="28"/>
        </w:rPr>
        <w:t>На сегодняшний день</w:t>
      </w:r>
      <w:r w:rsidR="00BF42D1" w:rsidRPr="001B27F8">
        <w:rPr>
          <w:rFonts w:ascii="Times New Roman" w:hAnsi="Times New Roman" w:cs="Times New Roman"/>
          <w:sz w:val="28"/>
          <w:szCs w:val="28"/>
        </w:rPr>
        <w:t xml:space="preserve"> хорошо изучена диагностическая значимость ЭКБ при бронхиальной астме, аллергическом рините, атопическом дерматите и пищевой аллергия </w:t>
      </w:r>
      <w:r w:rsidR="00BF42D1" w:rsidRPr="001B27F8">
        <w:rPr>
          <w:rFonts w:ascii="Times New Roman" w:hAnsi="Times New Roman" w:cs="Times New Roman"/>
          <w:sz w:val="28"/>
          <w:szCs w:val="28"/>
        </w:rPr>
        <w:fldChar w:fldCharType="begin" w:fldLock="1"/>
      </w:r>
      <w:r w:rsidR="00A02E0E">
        <w:rPr>
          <w:rFonts w:ascii="Times New Roman" w:hAnsi="Times New Roman" w:cs="Times New Roman"/>
          <w:sz w:val="28"/>
          <w:szCs w:val="28"/>
        </w:rPr>
        <w:instrText>ADDIN CSL_CITATION {"citationItems":[{"id":"ITEM-1","itemData":{"DOI":"10.20953/1817-7646-2019-5-71-77","ISSN":"18177646","abstract":"Active investigation of the pathogenesis of allergic disease in the past decade resulted in the development of new methods of diagnosis, monitoring, and control of the inflammatory process. Eosinophil cationic protein (ECP) is one of the active markers of inflammation produced by eosinophils. Mechanisms of eosinophil degranulation differ in IgE-dependent and IgE-independent allergic and inflammatory disorders. Elevated levels of ECP in body fluids or substances (such as blood, feces, breast milk, bronchoalveolar fluid, etc.) are associated with the cytolysis of eosinophils and may indirectly indicate the affected site. Disagreement between the ECP level and other allergy markers indicates possible involvement of this protein in all types of immune reactions. Presumably, strong correlation between ECP and total immunoglobulin E levels suggests a typical allergic reaction (atopy). No association between these parameters may indicate a non-allergic, autoimmune inflammatory process or atypical allergy. This manuscript describes many examples of ECP use in the diagnosis of various disease; there is some heterogeneity and controversy in conclusions about expediency of ECP measurement. Nevertheless, we believe that controversial issues about the diagnostic value of ECP should be addressed from the point of view of the pathogenesis of allergic and inflammatory diseases and taking into account the existing mechanism of eosinophil degranulation.","author":[{"dropping-particle":"","family":"Абдуллаева","given":"Г.Д.","non-dropping-particle":"","parse-names":false,"suffix":""},{"dropping-particle":"","family":"Аминова","given":"А.И.","non-dropping-particle":"","parse-names":false,"suffix":""},{"dropping-particle":"","family":"Юдина","given":"Ю.В.","non-dropping-particle":"","parse-names":false,"suffix":""},{"dropping-particle":"","family":"Продеус","given":"А.П.","non-dropping-particle":"","parse-names":false,"suffix":""},{"dropping-particle":"","family":"Ерюшова","given":"Т.Ю.","non-dropping-particle":"","parse-names":false,"suffix":""},{"dropping-particle":"","family":"Гумбатова","given":"З.Ф.","non-dropping-particle":"","parse-names":false,"suffix":""}],"container-title":"Вопросы практической педиатрии","id":"ITEM-1","issue":"5","issued":{"date-parts":[["2019"]]},"page":"71-77","title":"Эозинофильный катионный белок – спорные вопросы диагностической ценности при аллергических заболеваниях","type":"article-journal","volume":"14"},"uris":["http://www.mendeley.com/documents/?uuid=9d92425d-e213-4b61-9786-3e691ac9ef99"]}],"mendeley":{"formattedCitation":"[112]","plainTextFormattedCitation":"[112]","previouslyFormattedCitation":"[112]"},"properties":{"noteIndex":0},"schema":"https://github.com/citation-style-language/schema/raw/master/csl-citation.json"}</w:instrText>
      </w:r>
      <w:r w:rsidR="00BF42D1" w:rsidRPr="001B27F8">
        <w:rPr>
          <w:rFonts w:ascii="Times New Roman" w:hAnsi="Times New Roman" w:cs="Times New Roman"/>
          <w:sz w:val="28"/>
          <w:szCs w:val="28"/>
        </w:rPr>
        <w:fldChar w:fldCharType="separate"/>
      </w:r>
      <w:r w:rsidR="00332566" w:rsidRPr="00332566">
        <w:rPr>
          <w:rFonts w:ascii="Times New Roman" w:hAnsi="Times New Roman" w:cs="Times New Roman"/>
          <w:noProof/>
          <w:sz w:val="28"/>
          <w:szCs w:val="28"/>
        </w:rPr>
        <w:t>[112]</w:t>
      </w:r>
      <w:r w:rsidR="00BF42D1" w:rsidRPr="001B27F8">
        <w:rPr>
          <w:rFonts w:ascii="Times New Roman" w:hAnsi="Times New Roman" w:cs="Times New Roman"/>
          <w:sz w:val="28"/>
          <w:szCs w:val="28"/>
        </w:rPr>
        <w:fldChar w:fldCharType="end"/>
      </w:r>
      <w:r w:rsidR="00701127" w:rsidRPr="001B27F8">
        <w:rPr>
          <w:rFonts w:ascii="Times New Roman" w:hAnsi="Times New Roman" w:cs="Times New Roman"/>
          <w:sz w:val="28"/>
          <w:szCs w:val="28"/>
        </w:rPr>
        <w:t>.</w:t>
      </w:r>
      <w:r w:rsidR="0007459B">
        <w:rPr>
          <w:rFonts w:ascii="Times New Roman" w:hAnsi="Times New Roman" w:cs="Times New Roman"/>
          <w:sz w:val="28"/>
          <w:szCs w:val="28"/>
        </w:rPr>
        <w:t xml:space="preserve"> </w:t>
      </w:r>
    </w:p>
    <w:p w14:paraId="1E1ECE35" w14:textId="7CD449BA" w:rsidR="0003687D" w:rsidRPr="001B27F8" w:rsidRDefault="0003687D" w:rsidP="001B27F8">
      <w:pPr>
        <w:tabs>
          <w:tab w:val="left" w:pos="851"/>
        </w:tabs>
        <w:spacing w:after="0" w:line="240" w:lineRule="auto"/>
        <w:ind w:firstLine="567"/>
        <w:jc w:val="both"/>
        <w:rPr>
          <w:rStyle w:val="fontstyle01"/>
          <w:color w:val="auto"/>
        </w:rPr>
      </w:pPr>
      <w:r w:rsidRPr="001B27F8">
        <w:rPr>
          <w:rStyle w:val="fontstyle01"/>
          <w:color w:val="auto"/>
        </w:rPr>
        <w:t>Было высказано предположение,</w:t>
      </w:r>
      <w:r w:rsidR="00EC0274" w:rsidRPr="001B27F8">
        <w:rPr>
          <w:rStyle w:val="fontstyle01"/>
          <w:color w:val="auto"/>
        </w:rPr>
        <w:t xml:space="preserve"> обосновывающее механизм участия ЭКБ при АР, при котором </w:t>
      </w:r>
      <w:r w:rsidRPr="001B27F8">
        <w:rPr>
          <w:rStyle w:val="fontstyle01"/>
          <w:color w:val="auto"/>
        </w:rPr>
        <w:t xml:space="preserve">из эозинофилов высвобождаются целые гранулы, а затем содержимое гранул вытесняется в ответ на стимуляцию цистеинил-лейкотриенами. Поскольку лейкотриен С4 широко распространен при заболеваниях верхних дыхательных путей, особенно при аллергическом рините. Данное предположение объясняет эффективность антилейкотриеновой терапии при аллергическом рините </w:t>
      </w:r>
      <w:r w:rsidRPr="001B27F8">
        <w:rPr>
          <w:rStyle w:val="fontstyle01"/>
          <w:color w:val="auto"/>
        </w:rPr>
        <w:fldChar w:fldCharType="begin" w:fldLock="1"/>
      </w:r>
      <w:r w:rsidR="00A02E0E">
        <w:rPr>
          <w:rStyle w:val="fontstyle01"/>
          <w:color w:val="auto"/>
        </w:rPr>
        <w:instrText>ADDIN CSL_CITATION {"citationItems":[{"id":"ITEM-1","itemData":{"DOI":"10.1097/ACI.0b013e32834eccaf","ISSN":"15284050","PMID":"22157160","abstract":"Purpose of review: Eosinophil granulocyte myeloid cells are increased in atopic and nonatopic rhinitis, chronic rhinosinusitis (CRS) and atopic keratoconjunctivitis, diseases of the upper respiratory tract. Eosinophils contain several basic granule proteins, the best known being the eosinophil cationic protein (ECP). ECP is a cytotoxic, profibrotic ribonuclease, which is found deposited in these eosinophil-related diseases and is often used in parallel with blood eosinophilia to monitor those diseases. The contribution of eosinophils and their granule proteins to disease pathogenesis have been debated; recent findings might bring these cells to the center of attention. Recent findings: Novel mediators of atopic disease, interleukin-17 (IL-17) and IL-33 have been found in the upper respiratory tract. These cytokines stimulate eosinophils to survival and degranulation, IL-17 via granulocytemacrophage colony-stimulating factor (GM-CSF), and IL-33 directly. Transforming growth factor (TGF)-β has been found in CRS and atopic keratoconjunctivitis mucosa, its production possibly stimulated by ECP. ECP is detected in nasal mucosa of local allergic reactions, entopy, in rhinitis and CRS. ECP might be released from freely circulating eosinophil granules or in association with eosinophil mitochondrial DNA, both means of release for pathogen defence. Summary: Novel evidence suggests that eosinophils and ECP might have new prominent roles in development of diseases of the upper respiratory tract. © 2012 Wolters Kluwer Health.","author":[{"dropping-particle":"","family":"Bystrom","given":"Jonas","non-dropping-particle":"","parse-names":false,"suffix":""},{"dropping-particle":"","family":"Patel","given":"Smita Y.","non-dropping-particle":"","parse-names":false,"suffix":""},{"dropping-particle":"","family":"Amin","given":"Kawa","non-dropping-particle":"","parse-names":false,"suffix":""},{"dropping-particle":"","family":"Bishop-Bailey","given":"David","non-dropping-particle":"","parse-names":false,"suffix":""}],"container-title":"Current Opinion in Allergy and Clinical Immunology","id":"ITEM-1","issue":"1","issued":{"date-parts":[["2012"]]},"page":"18-23","title":"Dissecting the role of eosinophil cationic protein in upper airway disease","type":"article-journal","volume":"12"},"uris":["http://www.mendeley.com/documents/?uuid=b40b0284-c2c1-48dd-bb2b-37569eee7236"]}],"mendeley":{"formattedCitation":"[113]","plainTextFormattedCitation":"[113]","previouslyFormattedCitation":"[113]"},"properties":{"noteIndex":0},"schema":"https://github.com/citation-style-language/schema/raw/master/csl-citation.json"}</w:instrText>
      </w:r>
      <w:r w:rsidRPr="001B27F8">
        <w:rPr>
          <w:rStyle w:val="fontstyle01"/>
          <w:color w:val="auto"/>
        </w:rPr>
        <w:fldChar w:fldCharType="separate"/>
      </w:r>
      <w:r w:rsidR="00332566" w:rsidRPr="00332566">
        <w:rPr>
          <w:rStyle w:val="fontstyle01"/>
          <w:noProof/>
          <w:color w:val="auto"/>
        </w:rPr>
        <w:t>[113]</w:t>
      </w:r>
      <w:r w:rsidRPr="001B27F8">
        <w:rPr>
          <w:rStyle w:val="fontstyle01"/>
          <w:color w:val="auto"/>
        </w:rPr>
        <w:fldChar w:fldCharType="end"/>
      </w:r>
      <w:r w:rsidRPr="001B27F8">
        <w:rPr>
          <w:rStyle w:val="fontstyle01"/>
          <w:color w:val="auto"/>
        </w:rPr>
        <w:t>.</w:t>
      </w:r>
    </w:p>
    <w:p w14:paraId="5B180DEE" w14:textId="37D92FDE" w:rsidR="00B24E84" w:rsidRPr="001B27F8" w:rsidRDefault="00B24E84" w:rsidP="001B27F8">
      <w:pPr>
        <w:tabs>
          <w:tab w:val="left" w:pos="851"/>
        </w:tabs>
        <w:spacing w:after="0" w:line="240" w:lineRule="auto"/>
        <w:ind w:firstLine="567"/>
        <w:jc w:val="both"/>
        <w:rPr>
          <w:rStyle w:val="fontstyle01"/>
          <w:color w:val="auto"/>
        </w:rPr>
      </w:pPr>
      <w:r w:rsidRPr="001B27F8">
        <w:rPr>
          <w:rFonts w:ascii="Times New Roman" w:hAnsi="Times New Roman" w:cs="Times New Roman"/>
          <w:sz w:val="28"/>
          <w:szCs w:val="28"/>
        </w:rPr>
        <w:t xml:space="preserve">Исследования корреляции между ЭКБ и АР показали наличие связи между </w:t>
      </w:r>
      <w:r w:rsidR="00701127" w:rsidRPr="001B27F8">
        <w:rPr>
          <w:rFonts w:ascii="Times New Roman" w:hAnsi="Times New Roman" w:cs="Times New Roman"/>
          <w:sz w:val="28"/>
          <w:szCs w:val="28"/>
        </w:rPr>
        <w:t xml:space="preserve">высокой </w:t>
      </w:r>
      <w:r w:rsidRPr="001B27F8">
        <w:rPr>
          <w:rFonts w:ascii="Times New Roman" w:hAnsi="Times New Roman" w:cs="Times New Roman"/>
          <w:sz w:val="28"/>
          <w:szCs w:val="28"/>
        </w:rPr>
        <w:t xml:space="preserve">концентрацией ЭКБ в сыворотке крови и </w:t>
      </w:r>
      <w:r w:rsidR="00701127" w:rsidRPr="001B27F8">
        <w:rPr>
          <w:rFonts w:ascii="Times New Roman" w:hAnsi="Times New Roman" w:cs="Times New Roman"/>
          <w:sz w:val="28"/>
          <w:szCs w:val="28"/>
        </w:rPr>
        <w:t>развитием АР</w:t>
      </w:r>
      <w:r w:rsidRPr="001B27F8">
        <w:rPr>
          <w:rFonts w:ascii="Times New Roman" w:hAnsi="Times New Roman" w:cs="Times New Roman"/>
          <w:sz w:val="28"/>
          <w:szCs w:val="28"/>
        </w:rPr>
        <w:t xml:space="preserve">. </w:t>
      </w:r>
      <w:r w:rsidR="00E44D10" w:rsidRPr="001B27F8">
        <w:rPr>
          <w:rStyle w:val="fontstyle01"/>
          <w:color w:val="auto"/>
        </w:rPr>
        <w:t>И на сегодняшний день</w:t>
      </w:r>
      <w:r w:rsidRPr="001B27F8">
        <w:rPr>
          <w:rStyle w:val="fontstyle01"/>
          <w:color w:val="auto"/>
        </w:rPr>
        <w:t xml:space="preserve">, </w:t>
      </w:r>
      <w:r w:rsidR="00F46538" w:rsidRPr="001B27F8">
        <w:rPr>
          <w:rStyle w:val="fontstyle01"/>
          <w:color w:val="auto"/>
        </w:rPr>
        <w:t xml:space="preserve">ЭКБ </w:t>
      </w:r>
      <w:r w:rsidRPr="001B27F8">
        <w:rPr>
          <w:rStyle w:val="fontstyle01"/>
          <w:color w:val="auto"/>
        </w:rPr>
        <w:t>по-прежнему остается</w:t>
      </w:r>
      <w:r w:rsidR="00F46538" w:rsidRPr="001B27F8">
        <w:rPr>
          <w:rStyle w:val="fontstyle01"/>
          <w:color w:val="auto"/>
        </w:rPr>
        <w:t xml:space="preserve"> сильным</w:t>
      </w:r>
      <w:r w:rsidR="005F749D" w:rsidRPr="001B27F8">
        <w:rPr>
          <w:rStyle w:val="fontstyle01"/>
          <w:color w:val="auto"/>
        </w:rPr>
        <w:t xml:space="preserve"> предиктором</w:t>
      </w:r>
      <w:r w:rsidR="00F46538" w:rsidRPr="001B27F8">
        <w:rPr>
          <w:rStyle w:val="fontstyle01"/>
          <w:color w:val="auto"/>
        </w:rPr>
        <w:t xml:space="preserve"> аллергического ринита.</w:t>
      </w:r>
      <w:r w:rsidR="005F749D" w:rsidRPr="001B27F8">
        <w:rPr>
          <w:rStyle w:val="fontstyle01"/>
          <w:color w:val="auto"/>
        </w:rPr>
        <w:t xml:space="preserve"> </w:t>
      </w:r>
      <w:r w:rsidR="00B47E6D" w:rsidRPr="001B27F8">
        <w:rPr>
          <w:rStyle w:val="fontstyle01"/>
          <w:color w:val="auto"/>
        </w:rPr>
        <w:t xml:space="preserve">Определение ЭКБ в сыворотке крови используется в качестве диагностического маркера у взрослых пациентов с АР </w:t>
      </w:r>
      <w:r w:rsidR="00B47E6D" w:rsidRPr="001B27F8">
        <w:rPr>
          <w:rStyle w:val="fontstyle01"/>
          <w:color w:val="auto"/>
        </w:rPr>
        <w:fldChar w:fldCharType="begin" w:fldLock="1"/>
      </w:r>
      <w:r w:rsidR="00A02E0E">
        <w:rPr>
          <w:rStyle w:val="fontstyle01"/>
          <w:color w:val="auto"/>
        </w:rPr>
        <w:instrText>ADDIN CSL_CITATION {"citationItems":[{"id":"ITEM-1","itemData":{"DOI":"10.12932/AP0739","ISSN":"22288694","abstract":"Background: Eosinophil cationic protein (ECP) is present in eosinophil granules. It has been associated with eosinophil-associated disorders. Objective: We compared serum ECP levels in allergic and non-allergic rhinitis patients and evaluated the association with the eosinophil count and the total IgE level. Method: We retrospectively reviewed medical records and categorized enrolled patients into the allergic (AR) and non-allergic rhinitis (NAR) groups. ECP, eosinophil count, and total IgE levels were reviewed in both groups. The association between ECP and the eosinophil count and total IgE level was further evaluated according to commonly detected specific antigens. Results: Six hundred and ten adults were included in the study. In the AR group (n=349), the median age was 27.0(23.0-42.0) years and the female:male ratio was 0.26:1. In the NAR group (n=261), the median age was 32.0(24.0-45.5) years and the female:male ratio was 0.33:1. We found that ECP (AR: 18.8(9.9-31.4), NAR: 14.8(8.2-24.9), p=0.003), eosinophil count (AR: 191.0(112.0-308.5), NAR: 149.0(91.0-249.0), p=0.002) and total IgE (AR: 166.0(58.4-422.5), NAR: 68.8(24.5-141.0), p&lt;0.001) were higher in AR than in NAR patients. The ECP level was associated with the eosinophil count in both the AR (p&lt;0.001) and NAR groups (p&lt;0.001). A significant correlation between the ECP level and eosinophil count was demonstrated in AR patients who were skin test positive against house dust mite, animal and pollen allergens. Conclusions: We suggest that ECP could be an important mediator in the pathogenesis of AR. The level of serum ECP was positively correlated with eosinophilia in AR patients regardless of the type of allergen sensitization. However, further study is warranted to verify the role of ECP in the clinical management of allergic rhinitis.","author":[{"dropping-particle":"","family":"Min","given":"Hyun Jin","non-dropping-particle":"","parse-names":false,"suffix":""},{"dropping-particle":"","family":"Hong","given":"Young Ho","non-dropping-particle":"","parse-names":false,"suffix":""},{"dropping-particle":"","family":"Yang","given":"Hoon Shik","non-dropping-particle":"","parse-names":false,"suffix":""},{"dropping-particle":"","family":"Kim","given":"Kyung Soo","non-dropping-particle":"","parse-names":false,"suffix":""}],"container-title":"Asian Pacific Journal of Allergy and Immunology","id":"ITEM-1","issue":"4","issued":{"date-parts":[["2016"]]},"page":"290-294","title":"The correlation of serum eosinophil cationic protein level with eosinophil count, and total IgE level in Korean adult allergic rhinitis patients","type":"article-journal","volume":"34"},"uris":["http://www.mendeley.com/documents/?uuid=942e0c57-fe64-47b4-8b36-c6957f80f7fd"]}],"mendeley":{"formattedCitation":"[106]","plainTextFormattedCitation":"[106]","previouslyFormattedCitation":"[106]"},"properties":{"noteIndex":0},"schema":"https://github.com/citation-style-language/schema/raw/master/csl-citation.json"}</w:instrText>
      </w:r>
      <w:r w:rsidR="00B47E6D" w:rsidRPr="001B27F8">
        <w:rPr>
          <w:rStyle w:val="fontstyle01"/>
          <w:color w:val="auto"/>
        </w:rPr>
        <w:fldChar w:fldCharType="separate"/>
      </w:r>
      <w:r w:rsidR="00332566" w:rsidRPr="00332566">
        <w:rPr>
          <w:rStyle w:val="fontstyle01"/>
          <w:noProof/>
          <w:color w:val="auto"/>
        </w:rPr>
        <w:t>[106]</w:t>
      </w:r>
      <w:r w:rsidR="00B47E6D" w:rsidRPr="001B27F8">
        <w:rPr>
          <w:rStyle w:val="fontstyle01"/>
          <w:color w:val="auto"/>
        </w:rPr>
        <w:fldChar w:fldCharType="end"/>
      </w:r>
      <w:r w:rsidR="00B47E6D" w:rsidRPr="001B27F8">
        <w:rPr>
          <w:rStyle w:val="fontstyle01"/>
          <w:color w:val="auto"/>
        </w:rPr>
        <w:t>.</w:t>
      </w:r>
    </w:p>
    <w:p w14:paraId="1D32C556" w14:textId="69D8F4F3" w:rsidR="00DA6141" w:rsidRPr="001B27F8" w:rsidRDefault="008B0406" w:rsidP="001B27F8">
      <w:pPr>
        <w:tabs>
          <w:tab w:val="left" w:pos="851"/>
        </w:tabs>
        <w:spacing w:after="0" w:line="240" w:lineRule="auto"/>
        <w:ind w:firstLine="567"/>
        <w:jc w:val="both"/>
        <w:rPr>
          <w:rStyle w:val="fontstyle01"/>
          <w:color w:val="auto"/>
        </w:rPr>
      </w:pPr>
      <w:r>
        <w:rPr>
          <w:rFonts w:ascii="Times New Roman" w:hAnsi="Times New Roman" w:cs="Times New Roman"/>
          <w:sz w:val="28"/>
          <w:szCs w:val="28"/>
        </w:rPr>
        <w:t>В исследовании Абдуллаевой</w:t>
      </w:r>
      <w:r w:rsidRPr="008B0406">
        <w:rPr>
          <w:rFonts w:ascii="Times New Roman" w:hAnsi="Times New Roman" w:cs="Times New Roman"/>
          <w:sz w:val="28"/>
          <w:szCs w:val="28"/>
        </w:rPr>
        <w:t xml:space="preserve"> 2019</w:t>
      </w:r>
      <w:r>
        <w:rPr>
          <w:rFonts w:ascii="Times New Roman" w:hAnsi="Times New Roman" w:cs="Times New Roman"/>
          <w:sz w:val="28"/>
          <w:szCs w:val="28"/>
        </w:rPr>
        <w:t xml:space="preserve"> года</w:t>
      </w:r>
      <w:r w:rsidRPr="008B0406">
        <w:rPr>
          <w:rFonts w:ascii="Times New Roman" w:hAnsi="Times New Roman" w:cs="Times New Roman"/>
          <w:sz w:val="28"/>
          <w:szCs w:val="28"/>
        </w:rPr>
        <w:t xml:space="preserve"> </w:t>
      </w:r>
      <w:r w:rsidR="00E96741">
        <w:rPr>
          <w:rFonts w:ascii="Times New Roman" w:hAnsi="Times New Roman" w:cs="Times New Roman"/>
          <w:sz w:val="28"/>
          <w:szCs w:val="28"/>
        </w:rPr>
        <w:t>показано</w:t>
      </w:r>
      <w:r w:rsidR="004A2521" w:rsidRPr="001B27F8">
        <w:rPr>
          <w:rFonts w:ascii="Times New Roman" w:hAnsi="Times New Roman" w:cs="Times New Roman"/>
          <w:sz w:val="28"/>
          <w:szCs w:val="28"/>
        </w:rPr>
        <w:t xml:space="preserve">, что концентрация ЭКБ в сыворотке крови </w:t>
      </w:r>
      <w:r w:rsidR="004475CD" w:rsidRPr="001B27F8">
        <w:rPr>
          <w:rFonts w:ascii="Times New Roman" w:hAnsi="Times New Roman" w:cs="Times New Roman"/>
          <w:sz w:val="28"/>
          <w:szCs w:val="28"/>
        </w:rPr>
        <w:t xml:space="preserve">может </w:t>
      </w:r>
      <w:r w:rsidR="004A2521" w:rsidRPr="001B27F8">
        <w:rPr>
          <w:rFonts w:ascii="Times New Roman" w:hAnsi="Times New Roman" w:cs="Times New Roman"/>
          <w:sz w:val="28"/>
          <w:szCs w:val="28"/>
        </w:rPr>
        <w:t>варьирова</w:t>
      </w:r>
      <w:r w:rsidR="004475CD" w:rsidRPr="001B27F8">
        <w:rPr>
          <w:rFonts w:ascii="Times New Roman" w:hAnsi="Times New Roman" w:cs="Times New Roman"/>
          <w:sz w:val="28"/>
          <w:szCs w:val="28"/>
        </w:rPr>
        <w:t>ть</w:t>
      </w:r>
      <w:r w:rsidR="00A97611">
        <w:rPr>
          <w:rFonts w:ascii="Times New Roman" w:hAnsi="Times New Roman" w:cs="Times New Roman"/>
          <w:sz w:val="28"/>
          <w:szCs w:val="28"/>
        </w:rPr>
        <w:t>ся</w:t>
      </w:r>
      <w:r w:rsidR="004A2521" w:rsidRPr="001B27F8">
        <w:rPr>
          <w:rFonts w:ascii="Times New Roman" w:hAnsi="Times New Roman" w:cs="Times New Roman"/>
          <w:sz w:val="28"/>
          <w:szCs w:val="28"/>
        </w:rPr>
        <w:t xml:space="preserve"> в зависимости от типа аллергенов. Наиболее высокие уровни наблюдались </w:t>
      </w:r>
      <w:r w:rsidR="004475CD" w:rsidRPr="001B27F8">
        <w:rPr>
          <w:rFonts w:ascii="Times New Roman" w:hAnsi="Times New Roman" w:cs="Times New Roman"/>
          <w:sz w:val="28"/>
          <w:szCs w:val="28"/>
        </w:rPr>
        <w:t xml:space="preserve">при аллергическом рините </w:t>
      </w:r>
      <w:r w:rsidR="004A2521" w:rsidRPr="001B27F8">
        <w:rPr>
          <w:rFonts w:ascii="Times New Roman" w:hAnsi="Times New Roman" w:cs="Times New Roman"/>
          <w:sz w:val="28"/>
          <w:szCs w:val="28"/>
        </w:rPr>
        <w:t>с сенсибилизацией к клещам домашней пыли и шерсти животных, то ест</w:t>
      </w:r>
      <w:r w:rsidR="00E85A83" w:rsidRPr="001B27F8">
        <w:rPr>
          <w:rFonts w:ascii="Times New Roman" w:hAnsi="Times New Roman" w:cs="Times New Roman"/>
          <w:sz w:val="28"/>
          <w:szCs w:val="28"/>
        </w:rPr>
        <w:t>ь при персистенции воздействия</w:t>
      </w:r>
      <w:r w:rsidR="004A2521" w:rsidRPr="001B27F8">
        <w:rPr>
          <w:rFonts w:ascii="Times New Roman" w:hAnsi="Times New Roman" w:cs="Times New Roman"/>
          <w:sz w:val="28"/>
          <w:szCs w:val="28"/>
        </w:rPr>
        <w:t xml:space="preserve"> аллергенов</w:t>
      </w:r>
      <w:r w:rsidR="00E85A83" w:rsidRPr="001B27F8">
        <w:rPr>
          <w:rFonts w:ascii="Times New Roman" w:hAnsi="Times New Roman" w:cs="Times New Roman"/>
          <w:sz w:val="28"/>
          <w:szCs w:val="28"/>
        </w:rPr>
        <w:t xml:space="preserve"> </w:t>
      </w:r>
      <w:r w:rsidR="00E85A83" w:rsidRPr="001B27F8">
        <w:rPr>
          <w:rFonts w:ascii="Times New Roman" w:hAnsi="Times New Roman" w:cs="Times New Roman"/>
          <w:sz w:val="28"/>
          <w:szCs w:val="28"/>
        </w:rPr>
        <w:fldChar w:fldCharType="begin" w:fldLock="1"/>
      </w:r>
      <w:r w:rsidR="00A02E0E">
        <w:rPr>
          <w:rFonts w:ascii="Times New Roman" w:hAnsi="Times New Roman" w:cs="Times New Roman"/>
          <w:sz w:val="28"/>
          <w:szCs w:val="28"/>
        </w:rPr>
        <w:instrText>ADDIN CSL_CITATION {"citationItems":[{"id":"ITEM-1","itemData":{"DOI":"10.20953/1817-7646-2019-5-71-77","ISSN":"18177646","abstract":"Active investigation of the pathogenesis of allergic disease in the past decade resulted in the development of new methods of diagnosis, monitoring, and control of the inflammatory process. Eosinophil cationic protein (ECP) is one of the active markers of inflammation produced by eosinophils. Mechanisms of eosinophil degranulation differ in IgE-dependent and IgE-independent allergic and inflammatory disorders. Elevated levels of ECP in body fluids or substances (such as blood, feces, breast milk, bronchoalveolar fluid, etc.) are associated with the cytolysis of eosinophils and may indirectly indicate the affected site. Disagreement between the ECP level and other allergy markers indicates possible involvement of this protein in all types of immune reactions. Presumably, strong correlation between ECP and total immunoglobulin E levels suggests a typical allergic reaction (atopy). No association between these parameters may indicate a non-allergic, autoimmune inflammatory process or atypical allergy. This manuscript describes many examples of ECP use in the diagnosis of various disease; there is some heterogeneity and controversy in conclusions about expediency of ECP measurement. Nevertheless, we believe that controversial issues about the diagnostic value of ECP should be addressed from the point of view of the pathogenesis of allergic and inflammatory diseases and taking into account the existing mechanism of eosinophil degranulation.","author":[{"dropping-particle":"","family":"Абдуллаева","given":"Г.Д.","non-dropping-particle":"","parse-names":false,"suffix":""},{"dropping-particle":"","family":"Аминова","given":"А.И.","non-dropping-particle":"","parse-names":false,"suffix":""},{"dropping-particle":"","family":"Юдина","given":"Ю.В.","non-dropping-particle":"","parse-names":false,"suffix":""},{"dropping-particle":"","family":"Продеус","given":"А.П.","non-dropping-particle":"","parse-names":false,"suffix":""},{"dropping-particle":"","family":"Ерюшова","given":"Т.Ю.","non-dropping-particle":"","parse-names":false,"suffix":""},{"dropping-particle":"","family":"Гумбатова","given":"З.Ф.","non-dropping-particle":"","parse-names":false,"suffix":""}],"container-title":"Вопросы практической педиатрии","id":"ITEM-1","issue":"5","issued":{"date-parts":[["2019"]]},"page":"71-77","title":"Эозинофильный катионный белок – спорные вопросы диагностической ценности при аллергических заболеваниях","type":"article-journal","volume":"14"},"uris":["http://www.mendeley.com/documents/?uuid=9d92425d-e213-4b61-9786-3e691ac9ef99"]}],"mendeley":{"formattedCitation":"[112]","plainTextFormattedCitation":"[112]","previouslyFormattedCitation":"[112]"},"properties":{"noteIndex":0},"schema":"https://github.com/citation-style-language/schema/raw/master/csl-citation.json"}</w:instrText>
      </w:r>
      <w:r w:rsidR="00E85A83" w:rsidRPr="001B27F8">
        <w:rPr>
          <w:rFonts w:ascii="Times New Roman" w:hAnsi="Times New Roman" w:cs="Times New Roman"/>
          <w:sz w:val="28"/>
          <w:szCs w:val="28"/>
        </w:rPr>
        <w:fldChar w:fldCharType="separate"/>
      </w:r>
      <w:r w:rsidR="00332566" w:rsidRPr="00332566">
        <w:rPr>
          <w:rFonts w:ascii="Times New Roman" w:hAnsi="Times New Roman" w:cs="Times New Roman"/>
          <w:noProof/>
          <w:sz w:val="28"/>
          <w:szCs w:val="28"/>
        </w:rPr>
        <w:t>[112]</w:t>
      </w:r>
      <w:r w:rsidR="00E85A83" w:rsidRPr="001B27F8">
        <w:rPr>
          <w:rFonts w:ascii="Times New Roman" w:hAnsi="Times New Roman" w:cs="Times New Roman"/>
          <w:sz w:val="28"/>
          <w:szCs w:val="28"/>
        </w:rPr>
        <w:fldChar w:fldCharType="end"/>
      </w:r>
      <w:r w:rsidR="004A2521" w:rsidRPr="001B27F8">
        <w:rPr>
          <w:rFonts w:ascii="Times New Roman" w:hAnsi="Times New Roman" w:cs="Times New Roman"/>
          <w:sz w:val="28"/>
          <w:szCs w:val="28"/>
        </w:rPr>
        <w:t xml:space="preserve">. А при пыльцевой аллергии более низкий уровень ЭКБ в крови объясняется сезонностью аллергенного влияния. </w:t>
      </w:r>
      <w:r w:rsidR="00DA6141" w:rsidRPr="001B27F8">
        <w:rPr>
          <w:rFonts w:ascii="Times New Roman" w:hAnsi="Times New Roman" w:cs="Times New Roman"/>
          <w:sz w:val="28"/>
          <w:szCs w:val="28"/>
        </w:rPr>
        <w:t>В исследованиях, проведенных на пациентах с аллергическим ринитом, была</w:t>
      </w:r>
      <w:r w:rsidR="00035B63" w:rsidRPr="001B27F8">
        <w:rPr>
          <w:rFonts w:ascii="Times New Roman" w:hAnsi="Times New Roman" w:cs="Times New Roman"/>
          <w:sz w:val="28"/>
          <w:szCs w:val="28"/>
        </w:rPr>
        <w:t xml:space="preserve"> также</w:t>
      </w:r>
      <w:r w:rsidR="00DA6141" w:rsidRPr="001B27F8">
        <w:rPr>
          <w:rFonts w:ascii="Times New Roman" w:hAnsi="Times New Roman" w:cs="Times New Roman"/>
          <w:sz w:val="28"/>
          <w:szCs w:val="28"/>
        </w:rPr>
        <w:t xml:space="preserve"> выявлена </w:t>
      </w:r>
      <w:r w:rsidR="00DA6141" w:rsidRPr="001B27F8">
        <w:rPr>
          <w:rStyle w:val="fontstyle01"/>
          <w:color w:val="auto"/>
        </w:rPr>
        <w:t xml:space="preserve">значительная </w:t>
      </w:r>
      <w:r w:rsidR="00DA6141" w:rsidRPr="001B27F8">
        <w:rPr>
          <w:rFonts w:ascii="Times New Roman" w:hAnsi="Times New Roman" w:cs="Times New Roman"/>
          <w:sz w:val="28"/>
          <w:szCs w:val="28"/>
        </w:rPr>
        <w:t xml:space="preserve">положительная корреляция между количеством сывороточного ЭКБ и </w:t>
      </w:r>
      <w:r w:rsidR="00DA6141" w:rsidRPr="001B27F8">
        <w:rPr>
          <w:rStyle w:val="fontstyle01"/>
          <w:color w:val="auto"/>
        </w:rPr>
        <w:t>общего ИГЕ</w:t>
      </w:r>
      <w:r w:rsidR="00DA6141" w:rsidRPr="001B27F8">
        <w:rPr>
          <w:rFonts w:ascii="Times New Roman" w:hAnsi="Times New Roman" w:cs="Times New Roman"/>
          <w:sz w:val="28"/>
          <w:szCs w:val="28"/>
        </w:rPr>
        <w:t xml:space="preserve"> в группах исследования с установленной аллергией к пыльце растений, собач</w:t>
      </w:r>
      <w:r w:rsidR="00232274" w:rsidRPr="001B27F8">
        <w:rPr>
          <w:rFonts w:ascii="Times New Roman" w:hAnsi="Times New Roman" w:cs="Times New Roman"/>
          <w:sz w:val="28"/>
          <w:szCs w:val="28"/>
        </w:rPr>
        <w:t>ей шерсти и домашней пыли</w:t>
      </w:r>
      <w:r w:rsidR="00DA6141" w:rsidRPr="001B27F8">
        <w:rPr>
          <w:rFonts w:ascii="Times New Roman" w:hAnsi="Times New Roman" w:cs="Times New Roman"/>
          <w:sz w:val="28"/>
          <w:szCs w:val="28"/>
        </w:rPr>
        <w:t xml:space="preserve"> </w:t>
      </w:r>
      <w:r w:rsidR="00DA6141" w:rsidRPr="001B27F8">
        <w:rPr>
          <w:rStyle w:val="fontstyle01"/>
          <w:color w:val="auto"/>
          <w:lang w:val="en-US"/>
        </w:rPr>
        <w:fldChar w:fldCharType="begin" w:fldLock="1"/>
      </w:r>
      <w:r w:rsidR="00A02E0E">
        <w:rPr>
          <w:rStyle w:val="fontstyle01"/>
          <w:color w:val="auto"/>
          <w:lang w:val="en-US"/>
        </w:rPr>
        <w:instrText>ADDIN</w:instrText>
      </w:r>
      <w:r w:rsidR="00A02E0E" w:rsidRPr="004028FD">
        <w:rPr>
          <w:rStyle w:val="fontstyle01"/>
          <w:color w:val="auto"/>
        </w:rPr>
        <w:instrText xml:space="preserve"> </w:instrText>
      </w:r>
      <w:r w:rsidR="00A02E0E">
        <w:rPr>
          <w:rStyle w:val="fontstyle01"/>
          <w:color w:val="auto"/>
          <w:lang w:val="en-US"/>
        </w:rPr>
        <w:instrText>CSL</w:instrText>
      </w:r>
      <w:r w:rsidR="00A02E0E" w:rsidRPr="004028FD">
        <w:rPr>
          <w:rStyle w:val="fontstyle01"/>
          <w:color w:val="auto"/>
        </w:rPr>
        <w:instrText>_</w:instrText>
      </w:r>
      <w:r w:rsidR="00A02E0E">
        <w:rPr>
          <w:rStyle w:val="fontstyle01"/>
          <w:color w:val="auto"/>
          <w:lang w:val="en-US"/>
        </w:rPr>
        <w:instrText>CITATION</w:instrText>
      </w:r>
      <w:r w:rsidR="00A02E0E" w:rsidRPr="004028FD">
        <w:rPr>
          <w:rStyle w:val="fontstyle01"/>
          <w:color w:val="auto"/>
        </w:rPr>
        <w:instrText xml:space="preserve"> {"</w:instrText>
      </w:r>
      <w:r w:rsidR="00A02E0E">
        <w:rPr>
          <w:rStyle w:val="fontstyle01"/>
          <w:color w:val="auto"/>
          <w:lang w:val="en-US"/>
        </w:rPr>
        <w:instrText>citationItems</w:instrText>
      </w:r>
      <w:r w:rsidR="00A02E0E" w:rsidRPr="004028FD">
        <w:rPr>
          <w:rStyle w:val="fontstyle01"/>
          <w:color w:val="auto"/>
        </w:rPr>
        <w:instrText>":[{"</w:instrText>
      </w:r>
      <w:r w:rsidR="00A02E0E">
        <w:rPr>
          <w:rStyle w:val="fontstyle01"/>
          <w:color w:val="auto"/>
          <w:lang w:val="en-US"/>
        </w:rPr>
        <w:instrText>id</w:instrText>
      </w:r>
      <w:r w:rsidR="00A02E0E" w:rsidRPr="004028FD">
        <w:rPr>
          <w:rStyle w:val="fontstyle01"/>
          <w:color w:val="auto"/>
        </w:rPr>
        <w:instrText>":"</w:instrText>
      </w:r>
      <w:r w:rsidR="00A02E0E">
        <w:rPr>
          <w:rStyle w:val="fontstyle01"/>
          <w:color w:val="auto"/>
          <w:lang w:val="en-US"/>
        </w:rPr>
        <w:instrText>ITEM</w:instrText>
      </w:r>
      <w:r w:rsidR="00A02E0E" w:rsidRPr="004028FD">
        <w:rPr>
          <w:rStyle w:val="fontstyle01"/>
          <w:color w:val="auto"/>
        </w:rPr>
        <w:instrText>-1","</w:instrText>
      </w:r>
      <w:r w:rsidR="00A02E0E">
        <w:rPr>
          <w:rStyle w:val="fontstyle01"/>
          <w:color w:val="auto"/>
          <w:lang w:val="en-US"/>
        </w:rPr>
        <w:instrText>itemData</w:instrText>
      </w:r>
      <w:r w:rsidR="00A02E0E" w:rsidRPr="004028FD">
        <w:rPr>
          <w:rStyle w:val="fontstyle01"/>
          <w:color w:val="auto"/>
        </w:rPr>
        <w:instrText>":{"</w:instrText>
      </w:r>
      <w:r w:rsidR="00A02E0E">
        <w:rPr>
          <w:rStyle w:val="fontstyle01"/>
          <w:color w:val="auto"/>
          <w:lang w:val="en-US"/>
        </w:rPr>
        <w:instrText>DOI</w:instrText>
      </w:r>
      <w:r w:rsidR="00A02E0E" w:rsidRPr="004028FD">
        <w:rPr>
          <w:rStyle w:val="fontstyle01"/>
          <w:color w:val="auto"/>
        </w:rPr>
        <w:instrText>":"10.12932/</w:instrText>
      </w:r>
      <w:r w:rsidR="00A02E0E">
        <w:rPr>
          <w:rStyle w:val="fontstyle01"/>
          <w:color w:val="auto"/>
          <w:lang w:val="en-US"/>
        </w:rPr>
        <w:instrText>AP</w:instrText>
      </w:r>
      <w:r w:rsidR="00A02E0E" w:rsidRPr="004028FD">
        <w:rPr>
          <w:rStyle w:val="fontstyle01"/>
          <w:color w:val="auto"/>
        </w:rPr>
        <w:instrText>0739","</w:instrText>
      </w:r>
      <w:r w:rsidR="00A02E0E">
        <w:rPr>
          <w:rStyle w:val="fontstyle01"/>
          <w:color w:val="auto"/>
          <w:lang w:val="en-US"/>
        </w:rPr>
        <w:instrText>ISSN</w:instrText>
      </w:r>
      <w:r w:rsidR="00A02E0E" w:rsidRPr="004028FD">
        <w:rPr>
          <w:rStyle w:val="fontstyle01"/>
          <w:color w:val="auto"/>
        </w:rPr>
        <w:instrText>":"22288694","</w:instrText>
      </w:r>
      <w:r w:rsidR="00A02E0E">
        <w:rPr>
          <w:rStyle w:val="fontstyle01"/>
          <w:color w:val="auto"/>
          <w:lang w:val="en-US"/>
        </w:rPr>
        <w:instrText>abstract</w:instrText>
      </w:r>
      <w:r w:rsidR="00A02E0E" w:rsidRPr="004028FD">
        <w:rPr>
          <w:rStyle w:val="fontstyle01"/>
          <w:color w:val="auto"/>
        </w:rPr>
        <w:instrText>":"</w:instrText>
      </w:r>
      <w:r w:rsidR="00A02E0E">
        <w:rPr>
          <w:rStyle w:val="fontstyle01"/>
          <w:color w:val="auto"/>
          <w:lang w:val="en-US"/>
        </w:rPr>
        <w:instrText>Background</w:instrText>
      </w:r>
      <w:r w:rsidR="00A02E0E" w:rsidRPr="004028FD">
        <w:rPr>
          <w:rStyle w:val="fontstyle01"/>
          <w:color w:val="auto"/>
        </w:rPr>
        <w:instrText xml:space="preserve">: </w:instrText>
      </w:r>
      <w:r w:rsidR="00A02E0E">
        <w:rPr>
          <w:rStyle w:val="fontstyle01"/>
          <w:color w:val="auto"/>
          <w:lang w:val="en-US"/>
        </w:rPr>
        <w:instrText>Eosinophil</w:instrText>
      </w:r>
      <w:r w:rsidR="00A02E0E" w:rsidRPr="004028FD">
        <w:rPr>
          <w:rStyle w:val="fontstyle01"/>
          <w:color w:val="auto"/>
        </w:rPr>
        <w:instrText xml:space="preserve"> </w:instrText>
      </w:r>
      <w:r w:rsidR="00A02E0E">
        <w:rPr>
          <w:rStyle w:val="fontstyle01"/>
          <w:color w:val="auto"/>
          <w:lang w:val="en-US"/>
        </w:rPr>
        <w:instrText>cationic</w:instrText>
      </w:r>
      <w:r w:rsidR="00A02E0E" w:rsidRPr="004028FD">
        <w:rPr>
          <w:rStyle w:val="fontstyle01"/>
          <w:color w:val="auto"/>
        </w:rPr>
        <w:instrText xml:space="preserve"> </w:instrText>
      </w:r>
      <w:r w:rsidR="00A02E0E">
        <w:rPr>
          <w:rStyle w:val="fontstyle01"/>
          <w:color w:val="auto"/>
          <w:lang w:val="en-US"/>
        </w:rPr>
        <w:instrText>protein</w:instrText>
      </w:r>
      <w:r w:rsidR="00A02E0E" w:rsidRPr="004028FD">
        <w:rPr>
          <w:rStyle w:val="fontstyle01"/>
          <w:color w:val="auto"/>
        </w:rPr>
        <w:instrText xml:space="preserve"> (</w:instrText>
      </w:r>
      <w:r w:rsidR="00A02E0E">
        <w:rPr>
          <w:rStyle w:val="fontstyle01"/>
          <w:color w:val="auto"/>
          <w:lang w:val="en-US"/>
        </w:rPr>
        <w:instrText>ECP</w:instrText>
      </w:r>
      <w:r w:rsidR="00A02E0E" w:rsidRPr="004028FD">
        <w:rPr>
          <w:rStyle w:val="fontstyle01"/>
          <w:color w:val="auto"/>
        </w:rPr>
        <w:instrText xml:space="preserve">) </w:instrText>
      </w:r>
      <w:r w:rsidR="00A02E0E">
        <w:rPr>
          <w:rStyle w:val="fontstyle01"/>
          <w:color w:val="auto"/>
          <w:lang w:val="en-US"/>
        </w:rPr>
        <w:instrText>is</w:instrText>
      </w:r>
      <w:r w:rsidR="00A02E0E" w:rsidRPr="004028FD">
        <w:rPr>
          <w:rStyle w:val="fontstyle01"/>
          <w:color w:val="auto"/>
        </w:rPr>
        <w:instrText xml:space="preserve"> </w:instrText>
      </w:r>
      <w:r w:rsidR="00A02E0E">
        <w:rPr>
          <w:rStyle w:val="fontstyle01"/>
          <w:color w:val="auto"/>
          <w:lang w:val="en-US"/>
        </w:rPr>
        <w:instrText>present</w:instrText>
      </w:r>
      <w:r w:rsidR="00A02E0E" w:rsidRPr="004028FD">
        <w:rPr>
          <w:rStyle w:val="fontstyle01"/>
          <w:color w:val="auto"/>
        </w:rPr>
        <w:instrText xml:space="preserve"> </w:instrText>
      </w:r>
      <w:r w:rsidR="00A02E0E">
        <w:rPr>
          <w:rStyle w:val="fontstyle01"/>
          <w:color w:val="auto"/>
          <w:lang w:val="en-US"/>
        </w:rPr>
        <w:instrText>in</w:instrText>
      </w:r>
      <w:r w:rsidR="00A02E0E" w:rsidRPr="004028FD">
        <w:rPr>
          <w:rStyle w:val="fontstyle01"/>
          <w:color w:val="auto"/>
        </w:rPr>
        <w:instrText xml:space="preserve"> </w:instrText>
      </w:r>
      <w:r w:rsidR="00A02E0E">
        <w:rPr>
          <w:rStyle w:val="fontstyle01"/>
          <w:color w:val="auto"/>
          <w:lang w:val="en-US"/>
        </w:rPr>
        <w:instrText>eosinophil</w:instrText>
      </w:r>
      <w:r w:rsidR="00A02E0E" w:rsidRPr="004028FD">
        <w:rPr>
          <w:rStyle w:val="fontstyle01"/>
          <w:color w:val="auto"/>
        </w:rPr>
        <w:instrText xml:space="preserve"> </w:instrText>
      </w:r>
      <w:r w:rsidR="00A02E0E">
        <w:rPr>
          <w:rStyle w:val="fontstyle01"/>
          <w:color w:val="auto"/>
          <w:lang w:val="en-US"/>
        </w:rPr>
        <w:instrText>granules</w:instrText>
      </w:r>
      <w:r w:rsidR="00A02E0E" w:rsidRPr="004028FD">
        <w:rPr>
          <w:rStyle w:val="fontstyle01"/>
          <w:color w:val="auto"/>
        </w:rPr>
        <w:instrText xml:space="preserve">. </w:instrText>
      </w:r>
      <w:r w:rsidR="00A02E0E">
        <w:rPr>
          <w:rStyle w:val="fontstyle01"/>
          <w:color w:val="auto"/>
          <w:lang w:val="en-US"/>
        </w:rPr>
        <w:instrText>It</w:instrText>
      </w:r>
      <w:r w:rsidR="00A02E0E" w:rsidRPr="004028FD">
        <w:rPr>
          <w:rStyle w:val="fontstyle01"/>
          <w:color w:val="auto"/>
        </w:rPr>
        <w:instrText xml:space="preserve"> </w:instrText>
      </w:r>
      <w:r w:rsidR="00A02E0E">
        <w:rPr>
          <w:rStyle w:val="fontstyle01"/>
          <w:color w:val="auto"/>
          <w:lang w:val="en-US"/>
        </w:rPr>
        <w:instrText>has</w:instrText>
      </w:r>
      <w:r w:rsidR="00A02E0E" w:rsidRPr="004028FD">
        <w:rPr>
          <w:rStyle w:val="fontstyle01"/>
          <w:color w:val="auto"/>
        </w:rPr>
        <w:instrText xml:space="preserve"> </w:instrText>
      </w:r>
      <w:r w:rsidR="00A02E0E">
        <w:rPr>
          <w:rStyle w:val="fontstyle01"/>
          <w:color w:val="auto"/>
          <w:lang w:val="en-US"/>
        </w:rPr>
        <w:instrText>been</w:instrText>
      </w:r>
      <w:r w:rsidR="00A02E0E" w:rsidRPr="004028FD">
        <w:rPr>
          <w:rStyle w:val="fontstyle01"/>
          <w:color w:val="auto"/>
        </w:rPr>
        <w:instrText xml:space="preserve"> </w:instrText>
      </w:r>
      <w:r w:rsidR="00A02E0E">
        <w:rPr>
          <w:rStyle w:val="fontstyle01"/>
          <w:color w:val="auto"/>
          <w:lang w:val="en-US"/>
        </w:rPr>
        <w:instrText>associated</w:instrText>
      </w:r>
      <w:r w:rsidR="00A02E0E" w:rsidRPr="004028FD">
        <w:rPr>
          <w:rStyle w:val="fontstyle01"/>
          <w:color w:val="auto"/>
        </w:rPr>
        <w:instrText xml:space="preserve"> </w:instrText>
      </w:r>
      <w:r w:rsidR="00A02E0E">
        <w:rPr>
          <w:rStyle w:val="fontstyle01"/>
          <w:color w:val="auto"/>
          <w:lang w:val="en-US"/>
        </w:rPr>
        <w:instrText>with</w:instrText>
      </w:r>
      <w:r w:rsidR="00A02E0E" w:rsidRPr="004028FD">
        <w:rPr>
          <w:rStyle w:val="fontstyle01"/>
          <w:color w:val="auto"/>
        </w:rPr>
        <w:instrText xml:space="preserve"> </w:instrText>
      </w:r>
      <w:r w:rsidR="00A02E0E">
        <w:rPr>
          <w:rStyle w:val="fontstyle01"/>
          <w:color w:val="auto"/>
          <w:lang w:val="en-US"/>
        </w:rPr>
        <w:instrText>eosinophil</w:instrText>
      </w:r>
      <w:r w:rsidR="00A02E0E" w:rsidRPr="004028FD">
        <w:rPr>
          <w:rStyle w:val="fontstyle01"/>
          <w:color w:val="auto"/>
        </w:rPr>
        <w:instrText>-</w:instrText>
      </w:r>
      <w:r w:rsidR="00A02E0E">
        <w:rPr>
          <w:rStyle w:val="fontstyle01"/>
          <w:color w:val="auto"/>
          <w:lang w:val="en-US"/>
        </w:rPr>
        <w:instrText>associated</w:instrText>
      </w:r>
      <w:r w:rsidR="00A02E0E" w:rsidRPr="004028FD">
        <w:rPr>
          <w:rStyle w:val="fontstyle01"/>
          <w:color w:val="auto"/>
        </w:rPr>
        <w:instrText xml:space="preserve"> </w:instrText>
      </w:r>
      <w:r w:rsidR="00A02E0E">
        <w:rPr>
          <w:rStyle w:val="fontstyle01"/>
          <w:color w:val="auto"/>
          <w:lang w:val="en-US"/>
        </w:rPr>
        <w:instrText>disorders</w:instrText>
      </w:r>
      <w:r w:rsidR="00A02E0E" w:rsidRPr="004028FD">
        <w:rPr>
          <w:rStyle w:val="fontstyle01"/>
          <w:color w:val="auto"/>
        </w:rPr>
        <w:instrText xml:space="preserve">. </w:instrText>
      </w:r>
      <w:r w:rsidR="00A02E0E">
        <w:rPr>
          <w:rStyle w:val="fontstyle01"/>
          <w:color w:val="auto"/>
          <w:lang w:val="en-US"/>
        </w:rPr>
        <w:instrText>Objective</w:instrText>
      </w:r>
      <w:r w:rsidR="00A02E0E" w:rsidRPr="004028FD">
        <w:rPr>
          <w:rStyle w:val="fontstyle01"/>
          <w:color w:val="auto"/>
        </w:rPr>
        <w:instrText xml:space="preserve">: </w:instrText>
      </w:r>
      <w:r w:rsidR="00A02E0E">
        <w:rPr>
          <w:rStyle w:val="fontstyle01"/>
          <w:color w:val="auto"/>
          <w:lang w:val="en-US"/>
        </w:rPr>
        <w:instrText>We</w:instrText>
      </w:r>
      <w:r w:rsidR="00A02E0E" w:rsidRPr="004028FD">
        <w:rPr>
          <w:rStyle w:val="fontstyle01"/>
          <w:color w:val="auto"/>
        </w:rPr>
        <w:instrText xml:space="preserve"> </w:instrText>
      </w:r>
      <w:r w:rsidR="00A02E0E">
        <w:rPr>
          <w:rStyle w:val="fontstyle01"/>
          <w:color w:val="auto"/>
          <w:lang w:val="en-US"/>
        </w:rPr>
        <w:instrText>compared</w:instrText>
      </w:r>
      <w:r w:rsidR="00A02E0E" w:rsidRPr="004028FD">
        <w:rPr>
          <w:rStyle w:val="fontstyle01"/>
          <w:color w:val="auto"/>
        </w:rPr>
        <w:instrText xml:space="preserve"> </w:instrText>
      </w:r>
      <w:r w:rsidR="00A02E0E">
        <w:rPr>
          <w:rStyle w:val="fontstyle01"/>
          <w:color w:val="auto"/>
          <w:lang w:val="en-US"/>
        </w:rPr>
        <w:instrText>serum</w:instrText>
      </w:r>
      <w:r w:rsidR="00A02E0E" w:rsidRPr="004028FD">
        <w:rPr>
          <w:rStyle w:val="fontstyle01"/>
          <w:color w:val="auto"/>
        </w:rPr>
        <w:instrText xml:space="preserve"> </w:instrText>
      </w:r>
      <w:r w:rsidR="00A02E0E">
        <w:rPr>
          <w:rStyle w:val="fontstyle01"/>
          <w:color w:val="auto"/>
          <w:lang w:val="en-US"/>
        </w:rPr>
        <w:instrText>ECP</w:instrText>
      </w:r>
      <w:r w:rsidR="00A02E0E" w:rsidRPr="004028FD">
        <w:rPr>
          <w:rStyle w:val="fontstyle01"/>
          <w:color w:val="auto"/>
        </w:rPr>
        <w:instrText xml:space="preserve"> </w:instrText>
      </w:r>
      <w:r w:rsidR="00A02E0E">
        <w:rPr>
          <w:rStyle w:val="fontstyle01"/>
          <w:color w:val="auto"/>
          <w:lang w:val="en-US"/>
        </w:rPr>
        <w:instrText>levels</w:instrText>
      </w:r>
      <w:r w:rsidR="00A02E0E" w:rsidRPr="004028FD">
        <w:rPr>
          <w:rStyle w:val="fontstyle01"/>
          <w:color w:val="auto"/>
        </w:rPr>
        <w:instrText xml:space="preserve"> </w:instrText>
      </w:r>
      <w:r w:rsidR="00A02E0E">
        <w:rPr>
          <w:rStyle w:val="fontstyle01"/>
          <w:color w:val="auto"/>
          <w:lang w:val="en-US"/>
        </w:rPr>
        <w:instrText>in</w:instrText>
      </w:r>
      <w:r w:rsidR="00A02E0E" w:rsidRPr="004028FD">
        <w:rPr>
          <w:rStyle w:val="fontstyle01"/>
          <w:color w:val="auto"/>
        </w:rPr>
        <w:instrText xml:space="preserve"> </w:instrText>
      </w:r>
      <w:r w:rsidR="00A02E0E">
        <w:rPr>
          <w:rStyle w:val="fontstyle01"/>
          <w:color w:val="auto"/>
          <w:lang w:val="en-US"/>
        </w:rPr>
        <w:instrText>allergic</w:instrText>
      </w:r>
      <w:r w:rsidR="00A02E0E" w:rsidRPr="004028FD">
        <w:rPr>
          <w:rStyle w:val="fontstyle01"/>
          <w:color w:val="auto"/>
        </w:rPr>
        <w:instrText xml:space="preserve"> </w:instrText>
      </w:r>
      <w:r w:rsidR="00A02E0E">
        <w:rPr>
          <w:rStyle w:val="fontstyle01"/>
          <w:color w:val="auto"/>
          <w:lang w:val="en-US"/>
        </w:rPr>
        <w:instrText>and</w:instrText>
      </w:r>
      <w:r w:rsidR="00A02E0E" w:rsidRPr="004028FD">
        <w:rPr>
          <w:rStyle w:val="fontstyle01"/>
          <w:color w:val="auto"/>
        </w:rPr>
        <w:instrText xml:space="preserve"> </w:instrText>
      </w:r>
      <w:r w:rsidR="00A02E0E">
        <w:rPr>
          <w:rStyle w:val="fontstyle01"/>
          <w:color w:val="auto"/>
          <w:lang w:val="en-US"/>
        </w:rPr>
        <w:instrText>non</w:instrText>
      </w:r>
      <w:r w:rsidR="00A02E0E" w:rsidRPr="004028FD">
        <w:rPr>
          <w:rStyle w:val="fontstyle01"/>
          <w:color w:val="auto"/>
        </w:rPr>
        <w:instrText>-</w:instrText>
      </w:r>
      <w:r w:rsidR="00A02E0E">
        <w:rPr>
          <w:rStyle w:val="fontstyle01"/>
          <w:color w:val="auto"/>
          <w:lang w:val="en-US"/>
        </w:rPr>
        <w:instrText>allergic</w:instrText>
      </w:r>
      <w:r w:rsidR="00A02E0E" w:rsidRPr="004028FD">
        <w:rPr>
          <w:rStyle w:val="fontstyle01"/>
          <w:color w:val="auto"/>
        </w:rPr>
        <w:instrText xml:space="preserve"> </w:instrText>
      </w:r>
      <w:r w:rsidR="00A02E0E">
        <w:rPr>
          <w:rStyle w:val="fontstyle01"/>
          <w:color w:val="auto"/>
          <w:lang w:val="en-US"/>
        </w:rPr>
        <w:instrText>rhinitis</w:instrText>
      </w:r>
      <w:r w:rsidR="00A02E0E" w:rsidRPr="004028FD">
        <w:rPr>
          <w:rStyle w:val="fontstyle01"/>
          <w:color w:val="auto"/>
        </w:rPr>
        <w:instrText xml:space="preserve"> </w:instrText>
      </w:r>
      <w:r w:rsidR="00A02E0E">
        <w:rPr>
          <w:rStyle w:val="fontstyle01"/>
          <w:color w:val="auto"/>
          <w:lang w:val="en-US"/>
        </w:rPr>
        <w:instrText>patients</w:instrText>
      </w:r>
      <w:r w:rsidR="00A02E0E" w:rsidRPr="004028FD">
        <w:rPr>
          <w:rStyle w:val="fontstyle01"/>
          <w:color w:val="auto"/>
        </w:rPr>
        <w:instrText xml:space="preserve"> </w:instrText>
      </w:r>
      <w:r w:rsidR="00A02E0E">
        <w:rPr>
          <w:rStyle w:val="fontstyle01"/>
          <w:color w:val="auto"/>
          <w:lang w:val="en-US"/>
        </w:rPr>
        <w:instrText>and</w:instrText>
      </w:r>
      <w:r w:rsidR="00A02E0E" w:rsidRPr="004028FD">
        <w:rPr>
          <w:rStyle w:val="fontstyle01"/>
          <w:color w:val="auto"/>
        </w:rPr>
        <w:instrText xml:space="preserve"> </w:instrText>
      </w:r>
      <w:r w:rsidR="00A02E0E">
        <w:rPr>
          <w:rStyle w:val="fontstyle01"/>
          <w:color w:val="auto"/>
          <w:lang w:val="en-US"/>
        </w:rPr>
        <w:instrText>evaluated</w:instrText>
      </w:r>
      <w:r w:rsidR="00A02E0E" w:rsidRPr="004028FD">
        <w:rPr>
          <w:rStyle w:val="fontstyle01"/>
          <w:color w:val="auto"/>
        </w:rPr>
        <w:instrText xml:space="preserve"> </w:instrText>
      </w:r>
      <w:r w:rsidR="00A02E0E">
        <w:rPr>
          <w:rStyle w:val="fontstyle01"/>
          <w:color w:val="auto"/>
          <w:lang w:val="en-US"/>
        </w:rPr>
        <w:instrText>the</w:instrText>
      </w:r>
      <w:r w:rsidR="00A02E0E" w:rsidRPr="004028FD">
        <w:rPr>
          <w:rStyle w:val="fontstyle01"/>
          <w:color w:val="auto"/>
        </w:rPr>
        <w:instrText xml:space="preserve"> </w:instrText>
      </w:r>
      <w:r w:rsidR="00A02E0E">
        <w:rPr>
          <w:rStyle w:val="fontstyle01"/>
          <w:color w:val="auto"/>
          <w:lang w:val="en-US"/>
        </w:rPr>
        <w:instrText>association</w:instrText>
      </w:r>
      <w:r w:rsidR="00A02E0E" w:rsidRPr="004028FD">
        <w:rPr>
          <w:rStyle w:val="fontstyle01"/>
          <w:color w:val="auto"/>
        </w:rPr>
        <w:instrText xml:space="preserve"> </w:instrText>
      </w:r>
      <w:r w:rsidR="00A02E0E">
        <w:rPr>
          <w:rStyle w:val="fontstyle01"/>
          <w:color w:val="auto"/>
          <w:lang w:val="en-US"/>
        </w:rPr>
        <w:instrText>with</w:instrText>
      </w:r>
      <w:r w:rsidR="00A02E0E" w:rsidRPr="004028FD">
        <w:rPr>
          <w:rStyle w:val="fontstyle01"/>
          <w:color w:val="auto"/>
        </w:rPr>
        <w:instrText xml:space="preserve"> </w:instrText>
      </w:r>
      <w:r w:rsidR="00A02E0E">
        <w:rPr>
          <w:rStyle w:val="fontstyle01"/>
          <w:color w:val="auto"/>
          <w:lang w:val="en-US"/>
        </w:rPr>
        <w:instrText>the</w:instrText>
      </w:r>
      <w:r w:rsidR="00A02E0E" w:rsidRPr="004028FD">
        <w:rPr>
          <w:rStyle w:val="fontstyle01"/>
          <w:color w:val="auto"/>
        </w:rPr>
        <w:instrText xml:space="preserve"> </w:instrText>
      </w:r>
      <w:r w:rsidR="00A02E0E">
        <w:rPr>
          <w:rStyle w:val="fontstyle01"/>
          <w:color w:val="auto"/>
          <w:lang w:val="en-US"/>
        </w:rPr>
        <w:instrText>eosinophil</w:instrText>
      </w:r>
      <w:r w:rsidR="00A02E0E" w:rsidRPr="004028FD">
        <w:rPr>
          <w:rStyle w:val="fontstyle01"/>
          <w:color w:val="auto"/>
        </w:rPr>
        <w:instrText xml:space="preserve"> </w:instrText>
      </w:r>
      <w:r w:rsidR="00A02E0E">
        <w:rPr>
          <w:rStyle w:val="fontstyle01"/>
          <w:color w:val="auto"/>
          <w:lang w:val="en-US"/>
        </w:rPr>
        <w:instrText>count</w:instrText>
      </w:r>
      <w:r w:rsidR="00A02E0E" w:rsidRPr="004028FD">
        <w:rPr>
          <w:rStyle w:val="fontstyle01"/>
          <w:color w:val="auto"/>
        </w:rPr>
        <w:instrText xml:space="preserve"> </w:instrText>
      </w:r>
      <w:r w:rsidR="00A02E0E">
        <w:rPr>
          <w:rStyle w:val="fontstyle01"/>
          <w:color w:val="auto"/>
          <w:lang w:val="en-US"/>
        </w:rPr>
        <w:instrText>and</w:instrText>
      </w:r>
      <w:r w:rsidR="00A02E0E" w:rsidRPr="004028FD">
        <w:rPr>
          <w:rStyle w:val="fontstyle01"/>
          <w:color w:val="auto"/>
        </w:rPr>
        <w:instrText xml:space="preserve"> </w:instrText>
      </w:r>
      <w:r w:rsidR="00A02E0E">
        <w:rPr>
          <w:rStyle w:val="fontstyle01"/>
          <w:color w:val="auto"/>
          <w:lang w:val="en-US"/>
        </w:rPr>
        <w:instrText>the</w:instrText>
      </w:r>
      <w:r w:rsidR="00A02E0E" w:rsidRPr="004028FD">
        <w:rPr>
          <w:rStyle w:val="fontstyle01"/>
          <w:color w:val="auto"/>
        </w:rPr>
        <w:instrText xml:space="preserve"> </w:instrText>
      </w:r>
      <w:r w:rsidR="00A02E0E">
        <w:rPr>
          <w:rStyle w:val="fontstyle01"/>
          <w:color w:val="auto"/>
          <w:lang w:val="en-US"/>
        </w:rPr>
        <w:instrText>total</w:instrText>
      </w:r>
      <w:r w:rsidR="00A02E0E" w:rsidRPr="004028FD">
        <w:rPr>
          <w:rStyle w:val="fontstyle01"/>
          <w:color w:val="auto"/>
        </w:rPr>
        <w:instrText xml:space="preserve"> </w:instrText>
      </w:r>
      <w:r w:rsidR="00A02E0E">
        <w:rPr>
          <w:rStyle w:val="fontstyle01"/>
          <w:color w:val="auto"/>
          <w:lang w:val="en-US"/>
        </w:rPr>
        <w:instrText>IgE</w:instrText>
      </w:r>
      <w:r w:rsidR="00A02E0E" w:rsidRPr="004028FD">
        <w:rPr>
          <w:rStyle w:val="fontstyle01"/>
          <w:color w:val="auto"/>
        </w:rPr>
        <w:instrText xml:space="preserve"> </w:instrText>
      </w:r>
      <w:r w:rsidR="00A02E0E">
        <w:rPr>
          <w:rStyle w:val="fontstyle01"/>
          <w:color w:val="auto"/>
          <w:lang w:val="en-US"/>
        </w:rPr>
        <w:instrText>level</w:instrText>
      </w:r>
      <w:r w:rsidR="00A02E0E" w:rsidRPr="004028FD">
        <w:rPr>
          <w:rStyle w:val="fontstyle01"/>
          <w:color w:val="auto"/>
        </w:rPr>
        <w:instrText xml:space="preserve">. </w:instrText>
      </w:r>
      <w:r w:rsidR="00A02E0E">
        <w:rPr>
          <w:rStyle w:val="fontstyle01"/>
          <w:color w:val="auto"/>
          <w:lang w:val="en-US"/>
        </w:rPr>
        <w:instrText>Method</w:instrText>
      </w:r>
      <w:r w:rsidR="00A02E0E" w:rsidRPr="004028FD">
        <w:rPr>
          <w:rStyle w:val="fontstyle01"/>
          <w:color w:val="auto"/>
        </w:rPr>
        <w:instrText xml:space="preserve">: </w:instrText>
      </w:r>
      <w:r w:rsidR="00A02E0E">
        <w:rPr>
          <w:rStyle w:val="fontstyle01"/>
          <w:color w:val="auto"/>
          <w:lang w:val="en-US"/>
        </w:rPr>
        <w:instrText>We</w:instrText>
      </w:r>
      <w:r w:rsidR="00A02E0E" w:rsidRPr="004028FD">
        <w:rPr>
          <w:rStyle w:val="fontstyle01"/>
          <w:color w:val="auto"/>
        </w:rPr>
        <w:instrText xml:space="preserve"> </w:instrText>
      </w:r>
      <w:r w:rsidR="00A02E0E">
        <w:rPr>
          <w:rStyle w:val="fontstyle01"/>
          <w:color w:val="auto"/>
          <w:lang w:val="en-US"/>
        </w:rPr>
        <w:instrText>retrospectively</w:instrText>
      </w:r>
      <w:r w:rsidR="00A02E0E" w:rsidRPr="004028FD">
        <w:rPr>
          <w:rStyle w:val="fontstyle01"/>
          <w:color w:val="auto"/>
        </w:rPr>
        <w:instrText xml:space="preserve"> </w:instrText>
      </w:r>
      <w:r w:rsidR="00A02E0E">
        <w:rPr>
          <w:rStyle w:val="fontstyle01"/>
          <w:color w:val="auto"/>
          <w:lang w:val="en-US"/>
        </w:rPr>
        <w:instrText>reviewed</w:instrText>
      </w:r>
      <w:r w:rsidR="00A02E0E" w:rsidRPr="004028FD">
        <w:rPr>
          <w:rStyle w:val="fontstyle01"/>
          <w:color w:val="auto"/>
        </w:rPr>
        <w:instrText xml:space="preserve"> </w:instrText>
      </w:r>
      <w:r w:rsidR="00A02E0E">
        <w:rPr>
          <w:rStyle w:val="fontstyle01"/>
          <w:color w:val="auto"/>
          <w:lang w:val="en-US"/>
        </w:rPr>
        <w:instrText>medical</w:instrText>
      </w:r>
      <w:r w:rsidR="00A02E0E" w:rsidRPr="004028FD">
        <w:rPr>
          <w:rStyle w:val="fontstyle01"/>
          <w:color w:val="auto"/>
        </w:rPr>
        <w:instrText xml:space="preserve"> </w:instrText>
      </w:r>
      <w:r w:rsidR="00A02E0E">
        <w:rPr>
          <w:rStyle w:val="fontstyle01"/>
          <w:color w:val="auto"/>
          <w:lang w:val="en-US"/>
        </w:rPr>
        <w:instrText>records</w:instrText>
      </w:r>
      <w:r w:rsidR="00A02E0E" w:rsidRPr="004028FD">
        <w:rPr>
          <w:rStyle w:val="fontstyle01"/>
          <w:color w:val="auto"/>
        </w:rPr>
        <w:instrText xml:space="preserve"> </w:instrText>
      </w:r>
      <w:r w:rsidR="00A02E0E">
        <w:rPr>
          <w:rStyle w:val="fontstyle01"/>
          <w:color w:val="auto"/>
          <w:lang w:val="en-US"/>
        </w:rPr>
        <w:instrText>and</w:instrText>
      </w:r>
      <w:r w:rsidR="00A02E0E" w:rsidRPr="004028FD">
        <w:rPr>
          <w:rStyle w:val="fontstyle01"/>
          <w:color w:val="auto"/>
        </w:rPr>
        <w:instrText xml:space="preserve"> </w:instrText>
      </w:r>
      <w:r w:rsidR="00A02E0E">
        <w:rPr>
          <w:rStyle w:val="fontstyle01"/>
          <w:color w:val="auto"/>
          <w:lang w:val="en-US"/>
        </w:rPr>
        <w:instrText>categorized</w:instrText>
      </w:r>
      <w:r w:rsidR="00A02E0E" w:rsidRPr="004028FD">
        <w:rPr>
          <w:rStyle w:val="fontstyle01"/>
          <w:color w:val="auto"/>
        </w:rPr>
        <w:instrText xml:space="preserve"> </w:instrText>
      </w:r>
      <w:r w:rsidR="00A02E0E">
        <w:rPr>
          <w:rStyle w:val="fontstyle01"/>
          <w:color w:val="auto"/>
          <w:lang w:val="en-US"/>
        </w:rPr>
        <w:instrText>enrolled</w:instrText>
      </w:r>
      <w:r w:rsidR="00A02E0E" w:rsidRPr="004028FD">
        <w:rPr>
          <w:rStyle w:val="fontstyle01"/>
          <w:color w:val="auto"/>
        </w:rPr>
        <w:instrText xml:space="preserve"> </w:instrText>
      </w:r>
      <w:r w:rsidR="00A02E0E">
        <w:rPr>
          <w:rStyle w:val="fontstyle01"/>
          <w:color w:val="auto"/>
          <w:lang w:val="en-US"/>
        </w:rPr>
        <w:instrText>patients</w:instrText>
      </w:r>
      <w:r w:rsidR="00A02E0E" w:rsidRPr="004028FD">
        <w:rPr>
          <w:rStyle w:val="fontstyle01"/>
          <w:color w:val="auto"/>
        </w:rPr>
        <w:instrText xml:space="preserve"> </w:instrText>
      </w:r>
      <w:r w:rsidR="00A02E0E">
        <w:rPr>
          <w:rStyle w:val="fontstyle01"/>
          <w:color w:val="auto"/>
          <w:lang w:val="en-US"/>
        </w:rPr>
        <w:instrText>into</w:instrText>
      </w:r>
      <w:r w:rsidR="00A02E0E" w:rsidRPr="004028FD">
        <w:rPr>
          <w:rStyle w:val="fontstyle01"/>
          <w:color w:val="auto"/>
        </w:rPr>
        <w:instrText xml:space="preserve"> </w:instrText>
      </w:r>
      <w:r w:rsidR="00A02E0E">
        <w:rPr>
          <w:rStyle w:val="fontstyle01"/>
          <w:color w:val="auto"/>
          <w:lang w:val="en-US"/>
        </w:rPr>
        <w:instrText>the</w:instrText>
      </w:r>
      <w:r w:rsidR="00A02E0E" w:rsidRPr="004028FD">
        <w:rPr>
          <w:rStyle w:val="fontstyle01"/>
          <w:color w:val="auto"/>
        </w:rPr>
        <w:instrText xml:space="preserve"> </w:instrText>
      </w:r>
      <w:r w:rsidR="00A02E0E">
        <w:rPr>
          <w:rStyle w:val="fontstyle01"/>
          <w:color w:val="auto"/>
          <w:lang w:val="en-US"/>
        </w:rPr>
        <w:instrText>allergic</w:instrText>
      </w:r>
      <w:r w:rsidR="00A02E0E" w:rsidRPr="004028FD">
        <w:rPr>
          <w:rStyle w:val="fontstyle01"/>
          <w:color w:val="auto"/>
        </w:rPr>
        <w:instrText xml:space="preserve"> (</w:instrText>
      </w:r>
      <w:r w:rsidR="00A02E0E">
        <w:rPr>
          <w:rStyle w:val="fontstyle01"/>
          <w:color w:val="auto"/>
          <w:lang w:val="en-US"/>
        </w:rPr>
        <w:instrText>AR</w:instrText>
      </w:r>
      <w:r w:rsidR="00A02E0E" w:rsidRPr="004028FD">
        <w:rPr>
          <w:rStyle w:val="fontstyle01"/>
          <w:color w:val="auto"/>
        </w:rPr>
        <w:instrText xml:space="preserve">) </w:instrText>
      </w:r>
      <w:r w:rsidR="00A02E0E">
        <w:rPr>
          <w:rStyle w:val="fontstyle01"/>
          <w:color w:val="auto"/>
          <w:lang w:val="en-US"/>
        </w:rPr>
        <w:instrText>and</w:instrText>
      </w:r>
      <w:r w:rsidR="00A02E0E" w:rsidRPr="004028FD">
        <w:rPr>
          <w:rStyle w:val="fontstyle01"/>
          <w:color w:val="auto"/>
        </w:rPr>
        <w:instrText xml:space="preserve"> </w:instrText>
      </w:r>
      <w:r w:rsidR="00A02E0E">
        <w:rPr>
          <w:rStyle w:val="fontstyle01"/>
          <w:color w:val="auto"/>
          <w:lang w:val="en-US"/>
        </w:rPr>
        <w:instrText>non</w:instrText>
      </w:r>
      <w:r w:rsidR="00A02E0E" w:rsidRPr="004028FD">
        <w:rPr>
          <w:rStyle w:val="fontstyle01"/>
          <w:color w:val="auto"/>
        </w:rPr>
        <w:instrText>-</w:instrText>
      </w:r>
      <w:r w:rsidR="00A02E0E">
        <w:rPr>
          <w:rStyle w:val="fontstyle01"/>
          <w:color w:val="auto"/>
          <w:lang w:val="en-US"/>
        </w:rPr>
        <w:instrText>allergic</w:instrText>
      </w:r>
      <w:r w:rsidR="00A02E0E" w:rsidRPr="004028FD">
        <w:rPr>
          <w:rStyle w:val="fontstyle01"/>
          <w:color w:val="auto"/>
        </w:rPr>
        <w:instrText xml:space="preserve"> </w:instrText>
      </w:r>
      <w:r w:rsidR="00A02E0E">
        <w:rPr>
          <w:rStyle w:val="fontstyle01"/>
          <w:color w:val="auto"/>
          <w:lang w:val="en-US"/>
        </w:rPr>
        <w:instrText>rhinitis</w:instrText>
      </w:r>
      <w:r w:rsidR="00A02E0E" w:rsidRPr="004028FD">
        <w:rPr>
          <w:rStyle w:val="fontstyle01"/>
          <w:color w:val="auto"/>
        </w:rPr>
        <w:instrText xml:space="preserve"> (</w:instrText>
      </w:r>
      <w:r w:rsidR="00A02E0E">
        <w:rPr>
          <w:rStyle w:val="fontstyle01"/>
          <w:color w:val="auto"/>
          <w:lang w:val="en-US"/>
        </w:rPr>
        <w:instrText>NAR</w:instrText>
      </w:r>
      <w:r w:rsidR="00A02E0E" w:rsidRPr="004028FD">
        <w:rPr>
          <w:rStyle w:val="fontstyle01"/>
          <w:color w:val="auto"/>
        </w:rPr>
        <w:instrText xml:space="preserve">) </w:instrText>
      </w:r>
      <w:r w:rsidR="00A02E0E">
        <w:rPr>
          <w:rStyle w:val="fontstyle01"/>
          <w:color w:val="auto"/>
          <w:lang w:val="en-US"/>
        </w:rPr>
        <w:instrText>groups</w:instrText>
      </w:r>
      <w:r w:rsidR="00A02E0E" w:rsidRPr="004028FD">
        <w:rPr>
          <w:rStyle w:val="fontstyle01"/>
          <w:color w:val="auto"/>
        </w:rPr>
        <w:instrText xml:space="preserve">. </w:instrText>
      </w:r>
      <w:r w:rsidR="00A02E0E">
        <w:rPr>
          <w:rStyle w:val="fontstyle01"/>
          <w:color w:val="auto"/>
          <w:lang w:val="en-US"/>
        </w:rPr>
        <w:instrText>ECP</w:instrText>
      </w:r>
      <w:r w:rsidR="00A02E0E" w:rsidRPr="004028FD">
        <w:rPr>
          <w:rStyle w:val="fontstyle01"/>
          <w:color w:val="auto"/>
        </w:rPr>
        <w:instrText xml:space="preserve">, </w:instrText>
      </w:r>
      <w:r w:rsidR="00A02E0E">
        <w:rPr>
          <w:rStyle w:val="fontstyle01"/>
          <w:color w:val="auto"/>
          <w:lang w:val="en-US"/>
        </w:rPr>
        <w:instrText>eosinophil</w:instrText>
      </w:r>
      <w:r w:rsidR="00A02E0E" w:rsidRPr="004028FD">
        <w:rPr>
          <w:rStyle w:val="fontstyle01"/>
          <w:color w:val="auto"/>
        </w:rPr>
        <w:instrText xml:space="preserve"> </w:instrText>
      </w:r>
      <w:r w:rsidR="00A02E0E">
        <w:rPr>
          <w:rStyle w:val="fontstyle01"/>
          <w:color w:val="auto"/>
          <w:lang w:val="en-US"/>
        </w:rPr>
        <w:instrText>count</w:instrText>
      </w:r>
      <w:r w:rsidR="00A02E0E" w:rsidRPr="004028FD">
        <w:rPr>
          <w:rStyle w:val="fontstyle01"/>
          <w:color w:val="auto"/>
        </w:rPr>
        <w:instrText xml:space="preserve">, </w:instrText>
      </w:r>
      <w:r w:rsidR="00A02E0E">
        <w:rPr>
          <w:rStyle w:val="fontstyle01"/>
          <w:color w:val="auto"/>
          <w:lang w:val="en-US"/>
        </w:rPr>
        <w:instrText>and</w:instrText>
      </w:r>
      <w:r w:rsidR="00A02E0E" w:rsidRPr="004028FD">
        <w:rPr>
          <w:rStyle w:val="fontstyle01"/>
          <w:color w:val="auto"/>
        </w:rPr>
        <w:instrText xml:space="preserve"> </w:instrText>
      </w:r>
      <w:r w:rsidR="00A02E0E">
        <w:rPr>
          <w:rStyle w:val="fontstyle01"/>
          <w:color w:val="auto"/>
          <w:lang w:val="en-US"/>
        </w:rPr>
        <w:instrText>total</w:instrText>
      </w:r>
      <w:r w:rsidR="00A02E0E" w:rsidRPr="004028FD">
        <w:rPr>
          <w:rStyle w:val="fontstyle01"/>
          <w:color w:val="auto"/>
        </w:rPr>
        <w:instrText xml:space="preserve"> </w:instrText>
      </w:r>
      <w:r w:rsidR="00A02E0E">
        <w:rPr>
          <w:rStyle w:val="fontstyle01"/>
          <w:color w:val="auto"/>
          <w:lang w:val="en-US"/>
        </w:rPr>
        <w:instrText>IgE</w:instrText>
      </w:r>
      <w:r w:rsidR="00A02E0E" w:rsidRPr="004028FD">
        <w:rPr>
          <w:rStyle w:val="fontstyle01"/>
          <w:color w:val="auto"/>
        </w:rPr>
        <w:instrText xml:space="preserve"> </w:instrText>
      </w:r>
      <w:r w:rsidR="00A02E0E">
        <w:rPr>
          <w:rStyle w:val="fontstyle01"/>
          <w:color w:val="auto"/>
          <w:lang w:val="en-US"/>
        </w:rPr>
        <w:instrText>levels</w:instrText>
      </w:r>
      <w:r w:rsidR="00A02E0E" w:rsidRPr="004028FD">
        <w:rPr>
          <w:rStyle w:val="fontstyle01"/>
          <w:color w:val="auto"/>
        </w:rPr>
        <w:instrText xml:space="preserve"> </w:instrText>
      </w:r>
      <w:r w:rsidR="00A02E0E">
        <w:rPr>
          <w:rStyle w:val="fontstyle01"/>
          <w:color w:val="auto"/>
          <w:lang w:val="en-US"/>
        </w:rPr>
        <w:instrText>were</w:instrText>
      </w:r>
      <w:r w:rsidR="00A02E0E" w:rsidRPr="004028FD">
        <w:rPr>
          <w:rStyle w:val="fontstyle01"/>
          <w:color w:val="auto"/>
        </w:rPr>
        <w:instrText xml:space="preserve"> </w:instrText>
      </w:r>
      <w:r w:rsidR="00A02E0E">
        <w:rPr>
          <w:rStyle w:val="fontstyle01"/>
          <w:color w:val="auto"/>
          <w:lang w:val="en-US"/>
        </w:rPr>
        <w:instrText>reviewed</w:instrText>
      </w:r>
      <w:r w:rsidR="00A02E0E" w:rsidRPr="004028FD">
        <w:rPr>
          <w:rStyle w:val="fontstyle01"/>
          <w:color w:val="auto"/>
        </w:rPr>
        <w:instrText xml:space="preserve"> </w:instrText>
      </w:r>
      <w:r w:rsidR="00A02E0E">
        <w:rPr>
          <w:rStyle w:val="fontstyle01"/>
          <w:color w:val="auto"/>
          <w:lang w:val="en-US"/>
        </w:rPr>
        <w:instrText>in</w:instrText>
      </w:r>
      <w:r w:rsidR="00A02E0E" w:rsidRPr="004028FD">
        <w:rPr>
          <w:rStyle w:val="fontstyle01"/>
          <w:color w:val="auto"/>
        </w:rPr>
        <w:instrText xml:space="preserve"> </w:instrText>
      </w:r>
      <w:r w:rsidR="00A02E0E">
        <w:rPr>
          <w:rStyle w:val="fontstyle01"/>
          <w:color w:val="auto"/>
          <w:lang w:val="en-US"/>
        </w:rPr>
        <w:instrText>both</w:instrText>
      </w:r>
      <w:r w:rsidR="00A02E0E" w:rsidRPr="004028FD">
        <w:rPr>
          <w:rStyle w:val="fontstyle01"/>
          <w:color w:val="auto"/>
        </w:rPr>
        <w:instrText xml:space="preserve"> </w:instrText>
      </w:r>
      <w:r w:rsidR="00A02E0E">
        <w:rPr>
          <w:rStyle w:val="fontstyle01"/>
          <w:color w:val="auto"/>
          <w:lang w:val="en-US"/>
        </w:rPr>
        <w:instrText>groups</w:instrText>
      </w:r>
      <w:r w:rsidR="00A02E0E" w:rsidRPr="004028FD">
        <w:rPr>
          <w:rStyle w:val="fontstyle01"/>
          <w:color w:val="auto"/>
        </w:rPr>
        <w:instrText xml:space="preserve">. </w:instrText>
      </w:r>
      <w:r w:rsidR="00A02E0E">
        <w:rPr>
          <w:rStyle w:val="fontstyle01"/>
          <w:color w:val="auto"/>
          <w:lang w:val="en-US"/>
        </w:rPr>
        <w:instrText>The</w:instrText>
      </w:r>
      <w:r w:rsidR="00A02E0E" w:rsidRPr="004028FD">
        <w:rPr>
          <w:rStyle w:val="fontstyle01"/>
          <w:color w:val="auto"/>
        </w:rPr>
        <w:instrText xml:space="preserve"> </w:instrText>
      </w:r>
      <w:r w:rsidR="00A02E0E">
        <w:rPr>
          <w:rStyle w:val="fontstyle01"/>
          <w:color w:val="auto"/>
          <w:lang w:val="en-US"/>
        </w:rPr>
        <w:instrText>association</w:instrText>
      </w:r>
      <w:r w:rsidR="00A02E0E" w:rsidRPr="004028FD">
        <w:rPr>
          <w:rStyle w:val="fontstyle01"/>
          <w:color w:val="auto"/>
        </w:rPr>
        <w:instrText xml:space="preserve"> </w:instrText>
      </w:r>
      <w:r w:rsidR="00A02E0E">
        <w:rPr>
          <w:rStyle w:val="fontstyle01"/>
          <w:color w:val="auto"/>
          <w:lang w:val="en-US"/>
        </w:rPr>
        <w:instrText>between</w:instrText>
      </w:r>
      <w:r w:rsidR="00A02E0E" w:rsidRPr="004028FD">
        <w:rPr>
          <w:rStyle w:val="fontstyle01"/>
          <w:color w:val="auto"/>
        </w:rPr>
        <w:instrText xml:space="preserve"> </w:instrText>
      </w:r>
      <w:r w:rsidR="00A02E0E">
        <w:rPr>
          <w:rStyle w:val="fontstyle01"/>
          <w:color w:val="auto"/>
          <w:lang w:val="en-US"/>
        </w:rPr>
        <w:instrText>ECP</w:instrText>
      </w:r>
      <w:r w:rsidR="00A02E0E" w:rsidRPr="004028FD">
        <w:rPr>
          <w:rStyle w:val="fontstyle01"/>
          <w:color w:val="auto"/>
        </w:rPr>
        <w:instrText xml:space="preserve"> </w:instrText>
      </w:r>
      <w:r w:rsidR="00A02E0E">
        <w:rPr>
          <w:rStyle w:val="fontstyle01"/>
          <w:color w:val="auto"/>
          <w:lang w:val="en-US"/>
        </w:rPr>
        <w:instrText>and</w:instrText>
      </w:r>
      <w:r w:rsidR="00A02E0E" w:rsidRPr="004028FD">
        <w:rPr>
          <w:rStyle w:val="fontstyle01"/>
          <w:color w:val="auto"/>
        </w:rPr>
        <w:instrText xml:space="preserve"> </w:instrText>
      </w:r>
      <w:r w:rsidR="00A02E0E">
        <w:rPr>
          <w:rStyle w:val="fontstyle01"/>
          <w:color w:val="auto"/>
          <w:lang w:val="en-US"/>
        </w:rPr>
        <w:instrText>the</w:instrText>
      </w:r>
      <w:r w:rsidR="00A02E0E" w:rsidRPr="004028FD">
        <w:rPr>
          <w:rStyle w:val="fontstyle01"/>
          <w:color w:val="auto"/>
        </w:rPr>
        <w:instrText xml:space="preserve"> </w:instrText>
      </w:r>
      <w:r w:rsidR="00A02E0E">
        <w:rPr>
          <w:rStyle w:val="fontstyle01"/>
          <w:color w:val="auto"/>
          <w:lang w:val="en-US"/>
        </w:rPr>
        <w:instrText>eosinophil</w:instrText>
      </w:r>
      <w:r w:rsidR="00A02E0E" w:rsidRPr="004028FD">
        <w:rPr>
          <w:rStyle w:val="fontstyle01"/>
          <w:color w:val="auto"/>
        </w:rPr>
        <w:instrText xml:space="preserve"> </w:instrText>
      </w:r>
      <w:r w:rsidR="00A02E0E">
        <w:rPr>
          <w:rStyle w:val="fontstyle01"/>
          <w:color w:val="auto"/>
          <w:lang w:val="en-US"/>
        </w:rPr>
        <w:instrText>count</w:instrText>
      </w:r>
      <w:r w:rsidR="00A02E0E" w:rsidRPr="004028FD">
        <w:rPr>
          <w:rStyle w:val="fontstyle01"/>
          <w:color w:val="auto"/>
        </w:rPr>
        <w:instrText xml:space="preserve"> </w:instrText>
      </w:r>
      <w:r w:rsidR="00A02E0E">
        <w:rPr>
          <w:rStyle w:val="fontstyle01"/>
          <w:color w:val="auto"/>
          <w:lang w:val="en-US"/>
        </w:rPr>
        <w:instrText>and</w:instrText>
      </w:r>
      <w:r w:rsidR="00A02E0E" w:rsidRPr="004028FD">
        <w:rPr>
          <w:rStyle w:val="fontstyle01"/>
          <w:color w:val="auto"/>
        </w:rPr>
        <w:instrText xml:space="preserve"> </w:instrText>
      </w:r>
      <w:r w:rsidR="00A02E0E">
        <w:rPr>
          <w:rStyle w:val="fontstyle01"/>
          <w:color w:val="auto"/>
          <w:lang w:val="en-US"/>
        </w:rPr>
        <w:instrText>total</w:instrText>
      </w:r>
      <w:r w:rsidR="00A02E0E" w:rsidRPr="004028FD">
        <w:rPr>
          <w:rStyle w:val="fontstyle01"/>
          <w:color w:val="auto"/>
        </w:rPr>
        <w:instrText xml:space="preserve"> </w:instrText>
      </w:r>
      <w:r w:rsidR="00A02E0E">
        <w:rPr>
          <w:rStyle w:val="fontstyle01"/>
          <w:color w:val="auto"/>
          <w:lang w:val="en-US"/>
        </w:rPr>
        <w:instrText>IgE</w:instrText>
      </w:r>
      <w:r w:rsidR="00A02E0E" w:rsidRPr="004028FD">
        <w:rPr>
          <w:rStyle w:val="fontstyle01"/>
          <w:color w:val="auto"/>
        </w:rPr>
        <w:instrText xml:space="preserve"> </w:instrText>
      </w:r>
      <w:r w:rsidR="00A02E0E">
        <w:rPr>
          <w:rStyle w:val="fontstyle01"/>
          <w:color w:val="auto"/>
          <w:lang w:val="en-US"/>
        </w:rPr>
        <w:instrText>level</w:instrText>
      </w:r>
      <w:r w:rsidR="00A02E0E" w:rsidRPr="004028FD">
        <w:rPr>
          <w:rStyle w:val="fontstyle01"/>
          <w:color w:val="auto"/>
        </w:rPr>
        <w:instrText xml:space="preserve"> </w:instrText>
      </w:r>
      <w:r w:rsidR="00A02E0E">
        <w:rPr>
          <w:rStyle w:val="fontstyle01"/>
          <w:color w:val="auto"/>
          <w:lang w:val="en-US"/>
        </w:rPr>
        <w:instrText>was</w:instrText>
      </w:r>
      <w:r w:rsidR="00A02E0E" w:rsidRPr="004028FD">
        <w:rPr>
          <w:rStyle w:val="fontstyle01"/>
          <w:color w:val="auto"/>
        </w:rPr>
        <w:instrText xml:space="preserve"> </w:instrText>
      </w:r>
      <w:r w:rsidR="00A02E0E">
        <w:rPr>
          <w:rStyle w:val="fontstyle01"/>
          <w:color w:val="auto"/>
          <w:lang w:val="en-US"/>
        </w:rPr>
        <w:instrText>further</w:instrText>
      </w:r>
      <w:r w:rsidR="00A02E0E" w:rsidRPr="004028FD">
        <w:rPr>
          <w:rStyle w:val="fontstyle01"/>
          <w:color w:val="auto"/>
        </w:rPr>
        <w:instrText xml:space="preserve"> </w:instrText>
      </w:r>
      <w:r w:rsidR="00A02E0E">
        <w:rPr>
          <w:rStyle w:val="fontstyle01"/>
          <w:color w:val="auto"/>
          <w:lang w:val="en-US"/>
        </w:rPr>
        <w:instrText>evaluated</w:instrText>
      </w:r>
      <w:r w:rsidR="00A02E0E" w:rsidRPr="004028FD">
        <w:rPr>
          <w:rStyle w:val="fontstyle01"/>
          <w:color w:val="auto"/>
        </w:rPr>
        <w:instrText xml:space="preserve"> </w:instrText>
      </w:r>
      <w:r w:rsidR="00A02E0E">
        <w:rPr>
          <w:rStyle w:val="fontstyle01"/>
          <w:color w:val="auto"/>
          <w:lang w:val="en-US"/>
        </w:rPr>
        <w:instrText>according</w:instrText>
      </w:r>
      <w:r w:rsidR="00A02E0E" w:rsidRPr="004028FD">
        <w:rPr>
          <w:rStyle w:val="fontstyle01"/>
          <w:color w:val="auto"/>
        </w:rPr>
        <w:instrText xml:space="preserve"> </w:instrText>
      </w:r>
      <w:r w:rsidR="00A02E0E">
        <w:rPr>
          <w:rStyle w:val="fontstyle01"/>
          <w:color w:val="auto"/>
          <w:lang w:val="en-US"/>
        </w:rPr>
        <w:instrText>to</w:instrText>
      </w:r>
      <w:r w:rsidR="00A02E0E" w:rsidRPr="004028FD">
        <w:rPr>
          <w:rStyle w:val="fontstyle01"/>
          <w:color w:val="auto"/>
        </w:rPr>
        <w:instrText xml:space="preserve"> </w:instrText>
      </w:r>
      <w:r w:rsidR="00A02E0E">
        <w:rPr>
          <w:rStyle w:val="fontstyle01"/>
          <w:color w:val="auto"/>
          <w:lang w:val="en-US"/>
        </w:rPr>
        <w:instrText>commonly</w:instrText>
      </w:r>
      <w:r w:rsidR="00A02E0E" w:rsidRPr="004028FD">
        <w:rPr>
          <w:rStyle w:val="fontstyle01"/>
          <w:color w:val="auto"/>
        </w:rPr>
        <w:instrText xml:space="preserve"> </w:instrText>
      </w:r>
      <w:r w:rsidR="00A02E0E">
        <w:rPr>
          <w:rStyle w:val="fontstyle01"/>
          <w:color w:val="auto"/>
          <w:lang w:val="en-US"/>
        </w:rPr>
        <w:instrText>detected</w:instrText>
      </w:r>
      <w:r w:rsidR="00A02E0E" w:rsidRPr="004028FD">
        <w:rPr>
          <w:rStyle w:val="fontstyle01"/>
          <w:color w:val="auto"/>
        </w:rPr>
        <w:instrText xml:space="preserve"> </w:instrText>
      </w:r>
      <w:r w:rsidR="00A02E0E">
        <w:rPr>
          <w:rStyle w:val="fontstyle01"/>
          <w:color w:val="auto"/>
          <w:lang w:val="en-US"/>
        </w:rPr>
        <w:instrText>specific</w:instrText>
      </w:r>
      <w:r w:rsidR="00A02E0E" w:rsidRPr="004028FD">
        <w:rPr>
          <w:rStyle w:val="fontstyle01"/>
          <w:color w:val="auto"/>
        </w:rPr>
        <w:instrText xml:space="preserve"> </w:instrText>
      </w:r>
      <w:r w:rsidR="00A02E0E">
        <w:rPr>
          <w:rStyle w:val="fontstyle01"/>
          <w:color w:val="auto"/>
          <w:lang w:val="en-US"/>
        </w:rPr>
        <w:instrText>antigens</w:instrText>
      </w:r>
      <w:r w:rsidR="00A02E0E" w:rsidRPr="004028FD">
        <w:rPr>
          <w:rStyle w:val="fontstyle01"/>
          <w:color w:val="auto"/>
        </w:rPr>
        <w:instrText xml:space="preserve">. </w:instrText>
      </w:r>
      <w:r w:rsidR="00A02E0E">
        <w:rPr>
          <w:rStyle w:val="fontstyle01"/>
          <w:color w:val="auto"/>
          <w:lang w:val="en-US"/>
        </w:rPr>
        <w:instrText>Results</w:instrText>
      </w:r>
      <w:r w:rsidR="00A02E0E" w:rsidRPr="004028FD">
        <w:rPr>
          <w:rStyle w:val="fontstyle01"/>
          <w:color w:val="auto"/>
        </w:rPr>
        <w:instrText xml:space="preserve">: </w:instrText>
      </w:r>
      <w:r w:rsidR="00A02E0E">
        <w:rPr>
          <w:rStyle w:val="fontstyle01"/>
          <w:color w:val="auto"/>
          <w:lang w:val="en-US"/>
        </w:rPr>
        <w:instrText>Six</w:instrText>
      </w:r>
      <w:r w:rsidR="00A02E0E" w:rsidRPr="004028FD">
        <w:rPr>
          <w:rStyle w:val="fontstyle01"/>
          <w:color w:val="auto"/>
        </w:rPr>
        <w:instrText xml:space="preserve"> </w:instrText>
      </w:r>
      <w:r w:rsidR="00A02E0E">
        <w:rPr>
          <w:rStyle w:val="fontstyle01"/>
          <w:color w:val="auto"/>
          <w:lang w:val="en-US"/>
        </w:rPr>
        <w:instrText>hundred</w:instrText>
      </w:r>
      <w:r w:rsidR="00A02E0E" w:rsidRPr="004028FD">
        <w:rPr>
          <w:rStyle w:val="fontstyle01"/>
          <w:color w:val="auto"/>
        </w:rPr>
        <w:instrText xml:space="preserve"> </w:instrText>
      </w:r>
      <w:r w:rsidR="00A02E0E">
        <w:rPr>
          <w:rStyle w:val="fontstyle01"/>
          <w:color w:val="auto"/>
          <w:lang w:val="en-US"/>
        </w:rPr>
        <w:instrText>and</w:instrText>
      </w:r>
      <w:r w:rsidR="00A02E0E" w:rsidRPr="004028FD">
        <w:rPr>
          <w:rStyle w:val="fontstyle01"/>
          <w:color w:val="auto"/>
        </w:rPr>
        <w:instrText xml:space="preserve"> </w:instrText>
      </w:r>
      <w:r w:rsidR="00A02E0E">
        <w:rPr>
          <w:rStyle w:val="fontstyle01"/>
          <w:color w:val="auto"/>
          <w:lang w:val="en-US"/>
        </w:rPr>
        <w:instrText>ten</w:instrText>
      </w:r>
      <w:r w:rsidR="00A02E0E" w:rsidRPr="004028FD">
        <w:rPr>
          <w:rStyle w:val="fontstyle01"/>
          <w:color w:val="auto"/>
        </w:rPr>
        <w:instrText xml:space="preserve"> </w:instrText>
      </w:r>
      <w:r w:rsidR="00A02E0E">
        <w:rPr>
          <w:rStyle w:val="fontstyle01"/>
          <w:color w:val="auto"/>
          <w:lang w:val="en-US"/>
        </w:rPr>
        <w:instrText>adults</w:instrText>
      </w:r>
      <w:r w:rsidR="00A02E0E" w:rsidRPr="004028FD">
        <w:rPr>
          <w:rStyle w:val="fontstyle01"/>
          <w:color w:val="auto"/>
        </w:rPr>
        <w:instrText xml:space="preserve"> </w:instrText>
      </w:r>
      <w:r w:rsidR="00A02E0E">
        <w:rPr>
          <w:rStyle w:val="fontstyle01"/>
          <w:color w:val="auto"/>
          <w:lang w:val="en-US"/>
        </w:rPr>
        <w:instrText>were</w:instrText>
      </w:r>
      <w:r w:rsidR="00A02E0E" w:rsidRPr="004028FD">
        <w:rPr>
          <w:rStyle w:val="fontstyle01"/>
          <w:color w:val="auto"/>
        </w:rPr>
        <w:instrText xml:space="preserve"> </w:instrText>
      </w:r>
      <w:r w:rsidR="00A02E0E">
        <w:rPr>
          <w:rStyle w:val="fontstyle01"/>
          <w:color w:val="auto"/>
          <w:lang w:val="en-US"/>
        </w:rPr>
        <w:instrText>included</w:instrText>
      </w:r>
      <w:r w:rsidR="00A02E0E" w:rsidRPr="004028FD">
        <w:rPr>
          <w:rStyle w:val="fontstyle01"/>
          <w:color w:val="auto"/>
        </w:rPr>
        <w:instrText xml:space="preserve"> </w:instrText>
      </w:r>
      <w:r w:rsidR="00A02E0E">
        <w:rPr>
          <w:rStyle w:val="fontstyle01"/>
          <w:color w:val="auto"/>
          <w:lang w:val="en-US"/>
        </w:rPr>
        <w:instrText>in</w:instrText>
      </w:r>
      <w:r w:rsidR="00A02E0E" w:rsidRPr="004028FD">
        <w:rPr>
          <w:rStyle w:val="fontstyle01"/>
          <w:color w:val="auto"/>
        </w:rPr>
        <w:instrText xml:space="preserve"> </w:instrText>
      </w:r>
      <w:r w:rsidR="00A02E0E">
        <w:rPr>
          <w:rStyle w:val="fontstyle01"/>
          <w:color w:val="auto"/>
          <w:lang w:val="en-US"/>
        </w:rPr>
        <w:instrText>the</w:instrText>
      </w:r>
      <w:r w:rsidR="00A02E0E" w:rsidRPr="004028FD">
        <w:rPr>
          <w:rStyle w:val="fontstyle01"/>
          <w:color w:val="auto"/>
        </w:rPr>
        <w:instrText xml:space="preserve"> </w:instrText>
      </w:r>
      <w:r w:rsidR="00A02E0E">
        <w:rPr>
          <w:rStyle w:val="fontstyle01"/>
          <w:color w:val="auto"/>
          <w:lang w:val="en-US"/>
        </w:rPr>
        <w:instrText>study</w:instrText>
      </w:r>
      <w:r w:rsidR="00A02E0E" w:rsidRPr="004028FD">
        <w:rPr>
          <w:rStyle w:val="fontstyle01"/>
          <w:color w:val="auto"/>
        </w:rPr>
        <w:instrText xml:space="preserve">. </w:instrText>
      </w:r>
      <w:r w:rsidR="00A02E0E">
        <w:rPr>
          <w:rStyle w:val="fontstyle01"/>
          <w:color w:val="auto"/>
          <w:lang w:val="en-US"/>
        </w:rPr>
        <w:instrText>In</w:instrText>
      </w:r>
      <w:r w:rsidR="00A02E0E" w:rsidRPr="004028FD">
        <w:rPr>
          <w:rStyle w:val="fontstyle01"/>
          <w:color w:val="auto"/>
        </w:rPr>
        <w:instrText xml:space="preserve"> </w:instrText>
      </w:r>
      <w:r w:rsidR="00A02E0E">
        <w:rPr>
          <w:rStyle w:val="fontstyle01"/>
          <w:color w:val="auto"/>
          <w:lang w:val="en-US"/>
        </w:rPr>
        <w:instrText>the</w:instrText>
      </w:r>
      <w:r w:rsidR="00A02E0E" w:rsidRPr="004028FD">
        <w:rPr>
          <w:rStyle w:val="fontstyle01"/>
          <w:color w:val="auto"/>
        </w:rPr>
        <w:instrText xml:space="preserve"> </w:instrText>
      </w:r>
      <w:r w:rsidR="00A02E0E">
        <w:rPr>
          <w:rStyle w:val="fontstyle01"/>
          <w:color w:val="auto"/>
          <w:lang w:val="en-US"/>
        </w:rPr>
        <w:instrText>AR</w:instrText>
      </w:r>
      <w:r w:rsidR="00A02E0E" w:rsidRPr="004028FD">
        <w:rPr>
          <w:rStyle w:val="fontstyle01"/>
          <w:color w:val="auto"/>
        </w:rPr>
        <w:instrText xml:space="preserve"> </w:instrText>
      </w:r>
      <w:r w:rsidR="00A02E0E">
        <w:rPr>
          <w:rStyle w:val="fontstyle01"/>
          <w:color w:val="auto"/>
          <w:lang w:val="en-US"/>
        </w:rPr>
        <w:instrText>group</w:instrText>
      </w:r>
      <w:r w:rsidR="00A02E0E" w:rsidRPr="004028FD">
        <w:rPr>
          <w:rStyle w:val="fontstyle01"/>
          <w:color w:val="auto"/>
        </w:rPr>
        <w:instrText xml:space="preserve"> (</w:instrText>
      </w:r>
      <w:r w:rsidR="00A02E0E">
        <w:rPr>
          <w:rStyle w:val="fontstyle01"/>
          <w:color w:val="auto"/>
          <w:lang w:val="en-US"/>
        </w:rPr>
        <w:instrText>n</w:instrText>
      </w:r>
      <w:r w:rsidR="00A02E0E" w:rsidRPr="004028FD">
        <w:rPr>
          <w:rStyle w:val="fontstyle01"/>
          <w:color w:val="auto"/>
        </w:rPr>
        <w:instrText xml:space="preserve">=349), </w:instrText>
      </w:r>
      <w:r w:rsidR="00A02E0E">
        <w:rPr>
          <w:rStyle w:val="fontstyle01"/>
          <w:color w:val="auto"/>
          <w:lang w:val="en-US"/>
        </w:rPr>
        <w:instrText>the</w:instrText>
      </w:r>
      <w:r w:rsidR="00A02E0E" w:rsidRPr="004028FD">
        <w:rPr>
          <w:rStyle w:val="fontstyle01"/>
          <w:color w:val="auto"/>
        </w:rPr>
        <w:instrText xml:space="preserve"> </w:instrText>
      </w:r>
      <w:r w:rsidR="00A02E0E">
        <w:rPr>
          <w:rStyle w:val="fontstyle01"/>
          <w:color w:val="auto"/>
          <w:lang w:val="en-US"/>
        </w:rPr>
        <w:instrText>median</w:instrText>
      </w:r>
      <w:r w:rsidR="00A02E0E" w:rsidRPr="004028FD">
        <w:rPr>
          <w:rStyle w:val="fontstyle01"/>
          <w:color w:val="auto"/>
        </w:rPr>
        <w:instrText xml:space="preserve"> </w:instrText>
      </w:r>
      <w:r w:rsidR="00A02E0E">
        <w:rPr>
          <w:rStyle w:val="fontstyle01"/>
          <w:color w:val="auto"/>
          <w:lang w:val="en-US"/>
        </w:rPr>
        <w:instrText>age</w:instrText>
      </w:r>
      <w:r w:rsidR="00A02E0E" w:rsidRPr="004028FD">
        <w:rPr>
          <w:rStyle w:val="fontstyle01"/>
          <w:color w:val="auto"/>
        </w:rPr>
        <w:instrText xml:space="preserve"> </w:instrText>
      </w:r>
      <w:r w:rsidR="00A02E0E">
        <w:rPr>
          <w:rStyle w:val="fontstyle01"/>
          <w:color w:val="auto"/>
          <w:lang w:val="en-US"/>
        </w:rPr>
        <w:instrText>was</w:instrText>
      </w:r>
      <w:r w:rsidR="00A02E0E" w:rsidRPr="004028FD">
        <w:rPr>
          <w:rStyle w:val="fontstyle01"/>
          <w:color w:val="auto"/>
        </w:rPr>
        <w:instrText xml:space="preserve"> 27.0(23.0-42.0) </w:instrText>
      </w:r>
      <w:r w:rsidR="00A02E0E">
        <w:rPr>
          <w:rStyle w:val="fontstyle01"/>
          <w:color w:val="auto"/>
          <w:lang w:val="en-US"/>
        </w:rPr>
        <w:instrText>years</w:instrText>
      </w:r>
      <w:r w:rsidR="00A02E0E" w:rsidRPr="004028FD">
        <w:rPr>
          <w:rStyle w:val="fontstyle01"/>
          <w:color w:val="auto"/>
        </w:rPr>
        <w:instrText xml:space="preserve"> </w:instrText>
      </w:r>
      <w:r w:rsidR="00A02E0E">
        <w:rPr>
          <w:rStyle w:val="fontstyle01"/>
          <w:color w:val="auto"/>
          <w:lang w:val="en-US"/>
        </w:rPr>
        <w:instrText>and</w:instrText>
      </w:r>
      <w:r w:rsidR="00A02E0E" w:rsidRPr="004028FD">
        <w:rPr>
          <w:rStyle w:val="fontstyle01"/>
          <w:color w:val="auto"/>
        </w:rPr>
        <w:instrText xml:space="preserve"> </w:instrText>
      </w:r>
      <w:r w:rsidR="00A02E0E">
        <w:rPr>
          <w:rStyle w:val="fontstyle01"/>
          <w:color w:val="auto"/>
          <w:lang w:val="en-US"/>
        </w:rPr>
        <w:instrText>the</w:instrText>
      </w:r>
      <w:r w:rsidR="00A02E0E" w:rsidRPr="004028FD">
        <w:rPr>
          <w:rStyle w:val="fontstyle01"/>
          <w:color w:val="auto"/>
        </w:rPr>
        <w:instrText xml:space="preserve"> </w:instrText>
      </w:r>
      <w:r w:rsidR="00A02E0E">
        <w:rPr>
          <w:rStyle w:val="fontstyle01"/>
          <w:color w:val="auto"/>
          <w:lang w:val="en-US"/>
        </w:rPr>
        <w:instrText>female</w:instrText>
      </w:r>
      <w:r w:rsidR="00A02E0E" w:rsidRPr="004028FD">
        <w:rPr>
          <w:rStyle w:val="fontstyle01"/>
          <w:color w:val="auto"/>
        </w:rPr>
        <w:instrText>:</w:instrText>
      </w:r>
      <w:r w:rsidR="00A02E0E">
        <w:rPr>
          <w:rStyle w:val="fontstyle01"/>
          <w:color w:val="auto"/>
          <w:lang w:val="en-US"/>
        </w:rPr>
        <w:instrText>male</w:instrText>
      </w:r>
      <w:r w:rsidR="00A02E0E" w:rsidRPr="004028FD">
        <w:rPr>
          <w:rStyle w:val="fontstyle01"/>
          <w:color w:val="auto"/>
        </w:rPr>
        <w:instrText xml:space="preserve"> </w:instrText>
      </w:r>
      <w:r w:rsidR="00A02E0E">
        <w:rPr>
          <w:rStyle w:val="fontstyle01"/>
          <w:color w:val="auto"/>
          <w:lang w:val="en-US"/>
        </w:rPr>
        <w:instrText>ratio</w:instrText>
      </w:r>
      <w:r w:rsidR="00A02E0E" w:rsidRPr="004028FD">
        <w:rPr>
          <w:rStyle w:val="fontstyle01"/>
          <w:color w:val="auto"/>
        </w:rPr>
        <w:instrText xml:space="preserve"> </w:instrText>
      </w:r>
      <w:r w:rsidR="00A02E0E">
        <w:rPr>
          <w:rStyle w:val="fontstyle01"/>
          <w:color w:val="auto"/>
          <w:lang w:val="en-US"/>
        </w:rPr>
        <w:instrText>was</w:instrText>
      </w:r>
      <w:r w:rsidR="00A02E0E" w:rsidRPr="004028FD">
        <w:rPr>
          <w:rStyle w:val="fontstyle01"/>
          <w:color w:val="auto"/>
        </w:rPr>
        <w:instrText xml:space="preserve"> 0.26:1. </w:instrText>
      </w:r>
      <w:r w:rsidR="00A02E0E">
        <w:rPr>
          <w:rStyle w:val="fontstyle01"/>
          <w:color w:val="auto"/>
          <w:lang w:val="en-US"/>
        </w:rPr>
        <w:instrText>In</w:instrText>
      </w:r>
      <w:r w:rsidR="00A02E0E" w:rsidRPr="004028FD">
        <w:rPr>
          <w:rStyle w:val="fontstyle01"/>
          <w:color w:val="auto"/>
        </w:rPr>
        <w:instrText xml:space="preserve"> </w:instrText>
      </w:r>
      <w:r w:rsidR="00A02E0E">
        <w:rPr>
          <w:rStyle w:val="fontstyle01"/>
          <w:color w:val="auto"/>
          <w:lang w:val="en-US"/>
        </w:rPr>
        <w:instrText>the</w:instrText>
      </w:r>
      <w:r w:rsidR="00A02E0E" w:rsidRPr="004028FD">
        <w:rPr>
          <w:rStyle w:val="fontstyle01"/>
          <w:color w:val="auto"/>
        </w:rPr>
        <w:instrText xml:space="preserve"> </w:instrText>
      </w:r>
      <w:r w:rsidR="00A02E0E">
        <w:rPr>
          <w:rStyle w:val="fontstyle01"/>
          <w:color w:val="auto"/>
          <w:lang w:val="en-US"/>
        </w:rPr>
        <w:instrText>NAR</w:instrText>
      </w:r>
      <w:r w:rsidR="00A02E0E" w:rsidRPr="004028FD">
        <w:rPr>
          <w:rStyle w:val="fontstyle01"/>
          <w:color w:val="auto"/>
        </w:rPr>
        <w:instrText xml:space="preserve"> </w:instrText>
      </w:r>
      <w:r w:rsidR="00A02E0E">
        <w:rPr>
          <w:rStyle w:val="fontstyle01"/>
          <w:color w:val="auto"/>
          <w:lang w:val="en-US"/>
        </w:rPr>
        <w:instrText>group</w:instrText>
      </w:r>
      <w:r w:rsidR="00A02E0E" w:rsidRPr="004028FD">
        <w:rPr>
          <w:rStyle w:val="fontstyle01"/>
          <w:color w:val="auto"/>
        </w:rPr>
        <w:instrText xml:space="preserve"> (</w:instrText>
      </w:r>
      <w:r w:rsidR="00A02E0E">
        <w:rPr>
          <w:rStyle w:val="fontstyle01"/>
          <w:color w:val="auto"/>
          <w:lang w:val="en-US"/>
        </w:rPr>
        <w:instrText>n</w:instrText>
      </w:r>
      <w:r w:rsidR="00A02E0E" w:rsidRPr="004028FD">
        <w:rPr>
          <w:rStyle w:val="fontstyle01"/>
          <w:color w:val="auto"/>
        </w:rPr>
        <w:instrText xml:space="preserve">=261), </w:instrText>
      </w:r>
      <w:r w:rsidR="00A02E0E">
        <w:rPr>
          <w:rStyle w:val="fontstyle01"/>
          <w:color w:val="auto"/>
          <w:lang w:val="en-US"/>
        </w:rPr>
        <w:instrText>the</w:instrText>
      </w:r>
      <w:r w:rsidR="00A02E0E" w:rsidRPr="004028FD">
        <w:rPr>
          <w:rStyle w:val="fontstyle01"/>
          <w:color w:val="auto"/>
        </w:rPr>
        <w:instrText xml:space="preserve"> </w:instrText>
      </w:r>
      <w:r w:rsidR="00A02E0E">
        <w:rPr>
          <w:rStyle w:val="fontstyle01"/>
          <w:color w:val="auto"/>
          <w:lang w:val="en-US"/>
        </w:rPr>
        <w:instrText>median</w:instrText>
      </w:r>
      <w:r w:rsidR="00A02E0E" w:rsidRPr="004028FD">
        <w:rPr>
          <w:rStyle w:val="fontstyle01"/>
          <w:color w:val="auto"/>
        </w:rPr>
        <w:instrText xml:space="preserve"> </w:instrText>
      </w:r>
      <w:r w:rsidR="00A02E0E">
        <w:rPr>
          <w:rStyle w:val="fontstyle01"/>
          <w:color w:val="auto"/>
          <w:lang w:val="en-US"/>
        </w:rPr>
        <w:instrText>age</w:instrText>
      </w:r>
      <w:r w:rsidR="00A02E0E" w:rsidRPr="004028FD">
        <w:rPr>
          <w:rStyle w:val="fontstyle01"/>
          <w:color w:val="auto"/>
        </w:rPr>
        <w:instrText xml:space="preserve"> </w:instrText>
      </w:r>
      <w:r w:rsidR="00A02E0E">
        <w:rPr>
          <w:rStyle w:val="fontstyle01"/>
          <w:color w:val="auto"/>
          <w:lang w:val="en-US"/>
        </w:rPr>
        <w:instrText>was</w:instrText>
      </w:r>
      <w:r w:rsidR="00A02E0E" w:rsidRPr="004028FD">
        <w:rPr>
          <w:rStyle w:val="fontstyle01"/>
          <w:color w:val="auto"/>
        </w:rPr>
        <w:instrText xml:space="preserve"> 32.0(24.0-45.5) </w:instrText>
      </w:r>
      <w:r w:rsidR="00A02E0E">
        <w:rPr>
          <w:rStyle w:val="fontstyle01"/>
          <w:color w:val="auto"/>
          <w:lang w:val="en-US"/>
        </w:rPr>
        <w:instrText>years</w:instrText>
      </w:r>
      <w:r w:rsidR="00A02E0E" w:rsidRPr="004028FD">
        <w:rPr>
          <w:rStyle w:val="fontstyle01"/>
          <w:color w:val="auto"/>
        </w:rPr>
        <w:instrText xml:space="preserve"> </w:instrText>
      </w:r>
      <w:r w:rsidR="00A02E0E">
        <w:rPr>
          <w:rStyle w:val="fontstyle01"/>
          <w:color w:val="auto"/>
          <w:lang w:val="en-US"/>
        </w:rPr>
        <w:instrText>and</w:instrText>
      </w:r>
      <w:r w:rsidR="00A02E0E" w:rsidRPr="004028FD">
        <w:rPr>
          <w:rStyle w:val="fontstyle01"/>
          <w:color w:val="auto"/>
        </w:rPr>
        <w:instrText xml:space="preserve"> </w:instrText>
      </w:r>
      <w:r w:rsidR="00A02E0E">
        <w:rPr>
          <w:rStyle w:val="fontstyle01"/>
          <w:color w:val="auto"/>
          <w:lang w:val="en-US"/>
        </w:rPr>
        <w:instrText>the</w:instrText>
      </w:r>
      <w:r w:rsidR="00A02E0E" w:rsidRPr="004028FD">
        <w:rPr>
          <w:rStyle w:val="fontstyle01"/>
          <w:color w:val="auto"/>
        </w:rPr>
        <w:instrText xml:space="preserve"> </w:instrText>
      </w:r>
      <w:r w:rsidR="00A02E0E">
        <w:rPr>
          <w:rStyle w:val="fontstyle01"/>
          <w:color w:val="auto"/>
          <w:lang w:val="en-US"/>
        </w:rPr>
        <w:instrText>female</w:instrText>
      </w:r>
      <w:r w:rsidR="00A02E0E" w:rsidRPr="004028FD">
        <w:rPr>
          <w:rStyle w:val="fontstyle01"/>
          <w:color w:val="auto"/>
        </w:rPr>
        <w:instrText>:</w:instrText>
      </w:r>
      <w:r w:rsidR="00A02E0E">
        <w:rPr>
          <w:rStyle w:val="fontstyle01"/>
          <w:color w:val="auto"/>
          <w:lang w:val="en-US"/>
        </w:rPr>
        <w:instrText>male</w:instrText>
      </w:r>
      <w:r w:rsidR="00A02E0E" w:rsidRPr="004028FD">
        <w:rPr>
          <w:rStyle w:val="fontstyle01"/>
          <w:color w:val="auto"/>
        </w:rPr>
        <w:instrText xml:space="preserve"> </w:instrText>
      </w:r>
      <w:r w:rsidR="00A02E0E">
        <w:rPr>
          <w:rStyle w:val="fontstyle01"/>
          <w:color w:val="auto"/>
          <w:lang w:val="en-US"/>
        </w:rPr>
        <w:instrText>ratio</w:instrText>
      </w:r>
      <w:r w:rsidR="00A02E0E" w:rsidRPr="004028FD">
        <w:rPr>
          <w:rStyle w:val="fontstyle01"/>
          <w:color w:val="auto"/>
        </w:rPr>
        <w:instrText xml:space="preserve"> </w:instrText>
      </w:r>
      <w:r w:rsidR="00A02E0E">
        <w:rPr>
          <w:rStyle w:val="fontstyle01"/>
          <w:color w:val="auto"/>
          <w:lang w:val="en-US"/>
        </w:rPr>
        <w:instrText>was</w:instrText>
      </w:r>
      <w:r w:rsidR="00A02E0E" w:rsidRPr="004028FD">
        <w:rPr>
          <w:rStyle w:val="fontstyle01"/>
          <w:color w:val="auto"/>
        </w:rPr>
        <w:instrText xml:space="preserve"> 0.33:1. </w:instrText>
      </w:r>
      <w:r w:rsidR="00A02E0E">
        <w:rPr>
          <w:rStyle w:val="fontstyle01"/>
          <w:color w:val="auto"/>
          <w:lang w:val="en-US"/>
        </w:rPr>
        <w:instrText>We</w:instrText>
      </w:r>
      <w:r w:rsidR="00A02E0E" w:rsidRPr="004028FD">
        <w:rPr>
          <w:rStyle w:val="fontstyle01"/>
          <w:color w:val="auto"/>
        </w:rPr>
        <w:instrText xml:space="preserve"> </w:instrText>
      </w:r>
      <w:r w:rsidR="00A02E0E">
        <w:rPr>
          <w:rStyle w:val="fontstyle01"/>
          <w:color w:val="auto"/>
          <w:lang w:val="en-US"/>
        </w:rPr>
        <w:instrText>found</w:instrText>
      </w:r>
      <w:r w:rsidR="00A02E0E" w:rsidRPr="004028FD">
        <w:rPr>
          <w:rStyle w:val="fontstyle01"/>
          <w:color w:val="auto"/>
        </w:rPr>
        <w:instrText xml:space="preserve"> </w:instrText>
      </w:r>
      <w:r w:rsidR="00A02E0E">
        <w:rPr>
          <w:rStyle w:val="fontstyle01"/>
          <w:color w:val="auto"/>
          <w:lang w:val="en-US"/>
        </w:rPr>
        <w:instrText>that</w:instrText>
      </w:r>
      <w:r w:rsidR="00A02E0E" w:rsidRPr="004028FD">
        <w:rPr>
          <w:rStyle w:val="fontstyle01"/>
          <w:color w:val="auto"/>
        </w:rPr>
        <w:instrText xml:space="preserve"> </w:instrText>
      </w:r>
      <w:r w:rsidR="00A02E0E">
        <w:rPr>
          <w:rStyle w:val="fontstyle01"/>
          <w:color w:val="auto"/>
          <w:lang w:val="en-US"/>
        </w:rPr>
        <w:instrText>ECP</w:instrText>
      </w:r>
      <w:r w:rsidR="00A02E0E" w:rsidRPr="004028FD">
        <w:rPr>
          <w:rStyle w:val="fontstyle01"/>
          <w:color w:val="auto"/>
        </w:rPr>
        <w:instrText xml:space="preserve"> (</w:instrText>
      </w:r>
      <w:r w:rsidR="00A02E0E">
        <w:rPr>
          <w:rStyle w:val="fontstyle01"/>
          <w:color w:val="auto"/>
          <w:lang w:val="en-US"/>
        </w:rPr>
        <w:instrText>AR</w:instrText>
      </w:r>
      <w:r w:rsidR="00A02E0E" w:rsidRPr="004028FD">
        <w:rPr>
          <w:rStyle w:val="fontstyle01"/>
          <w:color w:val="auto"/>
        </w:rPr>
        <w:instrText xml:space="preserve">: 18.8(9.9-31.4), </w:instrText>
      </w:r>
      <w:r w:rsidR="00A02E0E">
        <w:rPr>
          <w:rStyle w:val="fontstyle01"/>
          <w:color w:val="auto"/>
          <w:lang w:val="en-US"/>
        </w:rPr>
        <w:instrText>NAR</w:instrText>
      </w:r>
      <w:r w:rsidR="00A02E0E" w:rsidRPr="004028FD">
        <w:rPr>
          <w:rStyle w:val="fontstyle01"/>
          <w:color w:val="auto"/>
        </w:rPr>
        <w:instrText xml:space="preserve">: 14.8(8.2-24.9), </w:instrText>
      </w:r>
      <w:r w:rsidR="00A02E0E">
        <w:rPr>
          <w:rStyle w:val="fontstyle01"/>
          <w:color w:val="auto"/>
          <w:lang w:val="en-US"/>
        </w:rPr>
        <w:instrText>p</w:instrText>
      </w:r>
      <w:r w:rsidR="00A02E0E" w:rsidRPr="004028FD">
        <w:rPr>
          <w:rStyle w:val="fontstyle01"/>
          <w:color w:val="auto"/>
        </w:rPr>
        <w:instrText xml:space="preserve">=0.003), </w:instrText>
      </w:r>
      <w:r w:rsidR="00A02E0E">
        <w:rPr>
          <w:rStyle w:val="fontstyle01"/>
          <w:color w:val="auto"/>
          <w:lang w:val="en-US"/>
        </w:rPr>
        <w:instrText>eosinophil</w:instrText>
      </w:r>
      <w:r w:rsidR="00A02E0E" w:rsidRPr="004028FD">
        <w:rPr>
          <w:rStyle w:val="fontstyle01"/>
          <w:color w:val="auto"/>
        </w:rPr>
        <w:instrText xml:space="preserve"> </w:instrText>
      </w:r>
      <w:r w:rsidR="00A02E0E">
        <w:rPr>
          <w:rStyle w:val="fontstyle01"/>
          <w:color w:val="auto"/>
          <w:lang w:val="en-US"/>
        </w:rPr>
        <w:instrText>count</w:instrText>
      </w:r>
      <w:r w:rsidR="00A02E0E" w:rsidRPr="004028FD">
        <w:rPr>
          <w:rStyle w:val="fontstyle01"/>
          <w:color w:val="auto"/>
        </w:rPr>
        <w:instrText xml:space="preserve"> (</w:instrText>
      </w:r>
      <w:r w:rsidR="00A02E0E">
        <w:rPr>
          <w:rStyle w:val="fontstyle01"/>
          <w:color w:val="auto"/>
          <w:lang w:val="en-US"/>
        </w:rPr>
        <w:instrText>AR</w:instrText>
      </w:r>
      <w:r w:rsidR="00A02E0E" w:rsidRPr="004028FD">
        <w:rPr>
          <w:rStyle w:val="fontstyle01"/>
          <w:color w:val="auto"/>
        </w:rPr>
        <w:instrText xml:space="preserve">: 191.0(112.0-308.5), </w:instrText>
      </w:r>
      <w:r w:rsidR="00A02E0E">
        <w:rPr>
          <w:rStyle w:val="fontstyle01"/>
          <w:color w:val="auto"/>
          <w:lang w:val="en-US"/>
        </w:rPr>
        <w:instrText>NAR</w:instrText>
      </w:r>
      <w:r w:rsidR="00A02E0E" w:rsidRPr="004028FD">
        <w:rPr>
          <w:rStyle w:val="fontstyle01"/>
          <w:color w:val="auto"/>
        </w:rPr>
        <w:instrText xml:space="preserve">: 149.0(91.0-249.0), </w:instrText>
      </w:r>
      <w:r w:rsidR="00A02E0E">
        <w:rPr>
          <w:rStyle w:val="fontstyle01"/>
          <w:color w:val="auto"/>
          <w:lang w:val="en-US"/>
        </w:rPr>
        <w:instrText>p</w:instrText>
      </w:r>
      <w:r w:rsidR="00A02E0E" w:rsidRPr="004028FD">
        <w:rPr>
          <w:rStyle w:val="fontstyle01"/>
          <w:color w:val="auto"/>
        </w:rPr>
        <w:instrText xml:space="preserve">=0.002) </w:instrText>
      </w:r>
      <w:r w:rsidR="00A02E0E">
        <w:rPr>
          <w:rStyle w:val="fontstyle01"/>
          <w:color w:val="auto"/>
          <w:lang w:val="en-US"/>
        </w:rPr>
        <w:instrText>and</w:instrText>
      </w:r>
      <w:r w:rsidR="00A02E0E" w:rsidRPr="004028FD">
        <w:rPr>
          <w:rStyle w:val="fontstyle01"/>
          <w:color w:val="auto"/>
        </w:rPr>
        <w:instrText xml:space="preserve"> </w:instrText>
      </w:r>
      <w:r w:rsidR="00A02E0E">
        <w:rPr>
          <w:rStyle w:val="fontstyle01"/>
          <w:color w:val="auto"/>
          <w:lang w:val="en-US"/>
        </w:rPr>
        <w:instrText>total</w:instrText>
      </w:r>
      <w:r w:rsidR="00A02E0E" w:rsidRPr="004028FD">
        <w:rPr>
          <w:rStyle w:val="fontstyle01"/>
          <w:color w:val="auto"/>
        </w:rPr>
        <w:instrText xml:space="preserve"> </w:instrText>
      </w:r>
      <w:r w:rsidR="00A02E0E">
        <w:rPr>
          <w:rStyle w:val="fontstyle01"/>
          <w:color w:val="auto"/>
          <w:lang w:val="en-US"/>
        </w:rPr>
        <w:instrText>IgE (AR: 166.0(58.4-422.5), NAR: 68.8(24.5-141.0), p&lt;0.001) were higher in AR than in NAR patients. The ECP level was associated with the eosinophil count in both the AR (p&lt;0.001) and NAR groups (p&lt;0.001). A significant correlation between the ECP level and eosinophil count was demonstrated in AR patients who were skin test positive against house dust mite, animal and pollen allergens</w:instrText>
      </w:r>
      <w:r w:rsidR="00A02E0E" w:rsidRPr="00D15FC8">
        <w:rPr>
          <w:rStyle w:val="fontstyle01"/>
          <w:color w:val="auto"/>
        </w:rPr>
        <w:instrText xml:space="preserve">. </w:instrText>
      </w:r>
      <w:r w:rsidR="00A02E0E">
        <w:rPr>
          <w:rStyle w:val="fontstyle01"/>
          <w:color w:val="auto"/>
          <w:lang w:val="en-US"/>
        </w:rPr>
        <w:instrText>Conclusions</w:instrText>
      </w:r>
      <w:r w:rsidR="00A02E0E" w:rsidRPr="00D15FC8">
        <w:rPr>
          <w:rStyle w:val="fontstyle01"/>
          <w:color w:val="auto"/>
        </w:rPr>
        <w:instrText xml:space="preserve">: </w:instrText>
      </w:r>
      <w:r w:rsidR="00A02E0E">
        <w:rPr>
          <w:rStyle w:val="fontstyle01"/>
          <w:color w:val="auto"/>
          <w:lang w:val="en-US"/>
        </w:rPr>
        <w:instrText>We</w:instrText>
      </w:r>
      <w:r w:rsidR="00A02E0E" w:rsidRPr="00D15FC8">
        <w:rPr>
          <w:rStyle w:val="fontstyle01"/>
          <w:color w:val="auto"/>
        </w:rPr>
        <w:instrText xml:space="preserve"> </w:instrText>
      </w:r>
      <w:r w:rsidR="00A02E0E">
        <w:rPr>
          <w:rStyle w:val="fontstyle01"/>
          <w:color w:val="auto"/>
          <w:lang w:val="en-US"/>
        </w:rPr>
        <w:instrText>suggest</w:instrText>
      </w:r>
      <w:r w:rsidR="00A02E0E" w:rsidRPr="00D15FC8">
        <w:rPr>
          <w:rStyle w:val="fontstyle01"/>
          <w:color w:val="auto"/>
        </w:rPr>
        <w:instrText xml:space="preserve"> </w:instrText>
      </w:r>
      <w:r w:rsidR="00A02E0E">
        <w:rPr>
          <w:rStyle w:val="fontstyle01"/>
          <w:color w:val="auto"/>
          <w:lang w:val="en-US"/>
        </w:rPr>
        <w:instrText>that</w:instrText>
      </w:r>
      <w:r w:rsidR="00A02E0E" w:rsidRPr="00D15FC8">
        <w:rPr>
          <w:rStyle w:val="fontstyle01"/>
          <w:color w:val="auto"/>
        </w:rPr>
        <w:instrText xml:space="preserve"> </w:instrText>
      </w:r>
      <w:r w:rsidR="00A02E0E">
        <w:rPr>
          <w:rStyle w:val="fontstyle01"/>
          <w:color w:val="auto"/>
          <w:lang w:val="en-US"/>
        </w:rPr>
        <w:instrText>ECP</w:instrText>
      </w:r>
      <w:r w:rsidR="00A02E0E" w:rsidRPr="00D15FC8">
        <w:rPr>
          <w:rStyle w:val="fontstyle01"/>
          <w:color w:val="auto"/>
        </w:rPr>
        <w:instrText xml:space="preserve"> </w:instrText>
      </w:r>
      <w:r w:rsidR="00A02E0E">
        <w:rPr>
          <w:rStyle w:val="fontstyle01"/>
          <w:color w:val="auto"/>
          <w:lang w:val="en-US"/>
        </w:rPr>
        <w:instrText>could</w:instrText>
      </w:r>
      <w:r w:rsidR="00A02E0E" w:rsidRPr="00D15FC8">
        <w:rPr>
          <w:rStyle w:val="fontstyle01"/>
          <w:color w:val="auto"/>
        </w:rPr>
        <w:instrText xml:space="preserve"> </w:instrText>
      </w:r>
      <w:r w:rsidR="00A02E0E">
        <w:rPr>
          <w:rStyle w:val="fontstyle01"/>
          <w:color w:val="auto"/>
          <w:lang w:val="en-US"/>
        </w:rPr>
        <w:instrText>be</w:instrText>
      </w:r>
      <w:r w:rsidR="00A02E0E" w:rsidRPr="00D15FC8">
        <w:rPr>
          <w:rStyle w:val="fontstyle01"/>
          <w:color w:val="auto"/>
        </w:rPr>
        <w:instrText xml:space="preserve"> </w:instrText>
      </w:r>
      <w:r w:rsidR="00A02E0E">
        <w:rPr>
          <w:rStyle w:val="fontstyle01"/>
          <w:color w:val="auto"/>
          <w:lang w:val="en-US"/>
        </w:rPr>
        <w:instrText>an</w:instrText>
      </w:r>
      <w:r w:rsidR="00A02E0E" w:rsidRPr="00D15FC8">
        <w:rPr>
          <w:rStyle w:val="fontstyle01"/>
          <w:color w:val="auto"/>
        </w:rPr>
        <w:instrText xml:space="preserve"> </w:instrText>
      </w:r>
      <w:r w:rsidR="00A02E0E">
        <w:rPr>
          <w:rStyle w:val="fontstyle01"/>
          <w:color w:val="auto"/>
          <w:lang w:val="en-US"/>
        </w:rPr>
        <w:instrText>important</w:instrText>
      </w:r>
      <w:r w:rsidR="00A02E0E" w:rsidRPr="00D15FC8">
        <w:rPr>
          <w:rStyle w:val="fontstyle01"/>
          <w:color w:val="auto"/>
        </w:rPr>
        <w:instrText xml:space="preserve"> </w:instrText>
      </w:r>
      <w:r w:rsidR="00A02E0E">
        <w:rPr>
          <w:rStyle w:val="fontstyle01"/>
          <w:color w:val="auto"/>
          <w:lang w:val="en-US"/>
        </w:rPr>
        <w:instrText>mediator</w:instrText>
      </w:r>
      <w:r w:rsidR="00A02E0E" w:rsidRPr="00D15FC8">
        <w:rPr>
          <w:rStyle w:val="fontstyle01"/>
          <w:color w:val="auto"/>
        </w:rPr>
        <w:instrText xml:space="preserve"> </w:instrText>
      </w:r>
      <w:r w:rsidR="00A02E0E">
        <w:rPr>
          <w:rStyle w:val="fontstyle01"/>
          <w:color w:val="auto"/>
          <w:lang w:val="en-US"/>
        </w:rPr>
        <w:instrText>in</w:instrText>
      </w:r>
      <w:r w:rsidR="00A02E0E" w:rsidRPr="00D15FC8">
        <w:rPr>
          <w:rStyle w:val="fontstyle01"/>
          <w:color w:val="auto"/>
        </w:rPr>
        <w:instrText xml:space="preserve"> </w:instrText>
      </w:r>
      <w:r w:rsidR="00A02E0E">
        <w:rPr>
          <w:rStyle w:val="fontstyle01"/>
          <w:color w:val="auto"/>
          <w:lang w:val="en-US"/>
        </w:rPr>
        <w:instrText>the</w:instrText>
      </w:r>
      <w:r w:rsidR="00A02E0E" w:rsidRPr="00D15FC8">
        <w:rPr>
          <w:rStyle w:val="fontstyle01"/>
          <w:color w:val="auto"/>
        </w:rPr>
        <w:instrText xml:space="preserve"> </w:instrText>
      </w:r>
      <w:r w:rsidR="00A02E0E">
        <w:rPr>
          <w:rStyle w:val="fontstyle01"/>
          <w:color w:val="auto"/>
          <w:lang w:val="en-US"/>
        </w:rPr>
        <w:instrText>pathogenesis</w:instrText>
      </w:r>
      <w:r w:rsidR="00A02E0E" w:rsidRPr="00D15FC8">
        <w:rPr>
          <w:rStyle w:val="fontstyle01"/>
          <w:color w:val="auto"/>
        </w:rPr>
        <w:instrText xml:space="preserve"> </w:instrText>
      </w:r>
      <w:r w:rsidR="00A02E0E">
        <w:rPr>
          <w:rStyle w:val="fontstyle01"/>
          <w:color w:val="auto"/>
          <w:lang w:val="en-US"/>
        </w:rPr>
        <w:instrText>of</w:instrText>
      </w:r>
      <w:r w:rsidR="00A02E0E" w:rsidRPr="00D15FC8">
        <w:rPr>
          <w:rStyle w:val="fontstyle01"/>
          <w:color w:val="auto"/>
        </w:rPr>
        <w:instrText xml:space="preserve"> </w:instrText>
      </w:r>
      <w:r w:rsidR="00A02E0E">
        <w:rPr>
          <w:rStyle w:val="fontstyle01"/>
          <w:color w:val="auto"/>
          <w:lang w:val="en-US"/>
        </w:rPr>
        <w:instrText>AR</w:instrText>
      </w:r>
      <w:r w:rsidR="00A02E0E" w:rsidRPr="00D15FC8">
        <w:rPr>
          <w:rStyle w:val="fontstyle01"/>
          <w:color w:val="auto"/>
        </w:rPr>
        <w:instrText xml:space="preserve">. </w:instrText>
      </w:r>
      <w:r w:rsidR="00A02E0E">
        <w:rPr>
          <w:rStyle w:val="fontstyle01"/>
          <w:color w:val="auto"/>
          <w:lang w:val="en-US"/>
        </w:rPr>
        <w:instrText>The</w:instrText>
      </w:r>
      <w:r w:rsidR="00A02E0E" w:rsidRPr="00D15FC8">
        <w:rPr>
          <w:rStyle w:val="fontstyle01"/>
          <w:color w:val="auto"/>
        </w:rPr>
        <w:instrText xml:space="preserve"> </w:instrText>
      </w:r>
      <w:r w:rsidR="00A02E0E">
        <w:rPr>
          <w:rStyle w:val="fontstyle01"/>
          <w:color w:val="auto"/>
          <w:lang w:val="en-US"/>
        </w:rPr>
        <w:instrText>level</w:instrText>
      </w:r>
      <w:r w:rsidR="00A02E0E" w:rsidRPr="00D15FC8">
        <w:rPr>
          <w:rStyle w:val="fontstyle01"/>
          <w:color w:val="auto"/>
        </w:rPr>
        <w:instrText xml:space="preserve"> </w:instrText>
      </w:r>
      <w:r w:rsidR="00A02E0E">
        <w:rPr>
          <w:rStyle w:val="fontstyle01"/>
          <w:color w:val="auto"/>
          <w:lang w:val="en-US"/>
        </w:rPr>
        <w:instrText>of</w:instrText>
      </w:r>
      <w:r w:rsidR="00A02E0E" w:rsidRPr="00D15FC8">
        <w:rPr>
          <w:rStyle w:val="fontstyle01"/>
          <w:color w:val="auto"/>
        </w:rPr>
        <w:instrText xml:space="preserve"> </w:instrText>
      </w:r>
      <w:r w:rsidR="00A02E0E">
        <w:rPr>
          <w:rStyle w:val="fontstyle01"/>
          <w:color w:val="auto"/>
          <w:lang w:val="en-US"/>
        </w:rPr>
        <w:instrText>serum</w:instrText>
      </w:r>
      <w:r w:rsidR="00A02E0E" w:rsidRPr="00D15FC8">
        <w:rPr>
          <w:rStyle w:val="fontstyle01"/>
          <w:color w:val="auto"/>
        </w:rPr>
        <w:instrText xml:space="preserve"> </w:instrText>
      </w:r>
      <w:r w:rsidR="00A02E0E">
        <w:rPr>
          <w:rStyle w:val="fontstyle01"/>
          <w:color w:val="auto"/>
          <w:lang w:val="en-US"/>
        </w:rPr>
        <w:instrText>ECP</w:instrText>
      </w:r>
      <w:r w:rsidR="00A02E0E" w:rsidRPr="00D15FC8">
        <w:rPr>
          <w:rStyle w:val="fontstyle01"/>
          <w:color w:val="auto"/>
        </w:rPr>
        <w:instrText xml:space="preserve"> </w:instrText>
      </w:r>
      <w:r w:rsidR="00A02E0E">
        <w:rPr>
          <w:rStyle w:val="fontstyle01"/>
          <w:color w:val="auto"/>
          <w:lang w:val="en-US"/>
        </w:rPr>
        <w:instrText>was</w:instrText>
      </w:r>
      <w:r w:rsidR="00A02E0E" w:rsidRPr="00D15FC8">
        <w:rPr>
          <w:rStyle w:val="fontstyle01"/>
          <w:color w:val="auto"/>
        </w:rPr>
        <w:instrText xml:space="preserve"> </w:instrText>
      </w:r>
      <w:r w:rsidR="00A02E0E">
        <w:rPr>
          <w:rStyle w:val="fontstyle01"/>
          <w:color w:val="auto"/>
          <w:lang w:val="en-US"/>
        </w:rPr>
        <w:instrText>positively</w:instrText>
      </w:r>
      <w:r w:rsidR="00A02E0E" w:rsidRPr="00D15FC8">
        <w:rPr>
          <w:rStyle w:val="fontstyle01"/>
          <w:color w:val="auto"/>
        </w:rPr>
        <w:instrText xml:space="preserve"> </w:instrText>
      </w:r>
      <w:r w:rsidR="00A02E0E">
        <w:rPr>
          <w:rStyle w:val="fontstyle01"/>
          <w:color w:val="auto"/>
          <w:lang w:val="en-US"/>
        </w:rPr>
        <w:instrText>correlated</w:instrText>
      </w:r>
      <w:r w:rsidR="00A02E0E" w:rsidRPr="00D15FC8">
        <w:rPr>
          <w:rStyle w:val="fontstyle01"/>
          <w:color w:val="auto"/>
        </w:rPr>
        <w:instrText xml:space="preserve"> </w:instrText>
      </w:r>
      <w:r w:rsidR="00A02E0E">
        <w:rPr>
          <w:rStyle w:val="fontstyle01"/>
          <w:color w:val="auto"/>
          <w:lang w:val="en-US"/>
        </w:rPr>
        <w:instrText>with</w:instrText>
      </w:r>
      <w:r w:rsidR="00A02E0E" w:rsidRPr="00D15FC8">
        <w:rPr>
          <w:rStyle w:val="fontstyle01"/>
          <w:color w:val="auto"/>
        </w:rPr>
        <w:instrText xml:space="preserve"> </w:instrText>
      </w:r>
      <w:r w:rsidR="00A02E0E">
        <w:rPr>
          <w:rStyle w:val="fontstyle01"/>
          <w:color w:val="auto"/>
          <w:lang w:val="en-US"/>
        </w:rPr>
        <w:instrText>eosinophilia</w:instrText>
      </w:r>
      <w:r w:rsidR="00A02E0E" w:rsidRPr="00D15FC8">
        <w:rPr>
          <w:rStyle w:val="fontstyle01"/>
          <w:color w:val="auto"/>
        </w:rPr>
        <w:instrText xml:space="preserve"> </w:instrText>
      </w:r>
      <w:r w:rsidR="00A02E0E">
        <w:rPr>
          <w:rStyle w:val="fontstyle01"/>
          <w:color w:val="auto"/>
          <w:lang w:val="en-US"/>
        </w:rPr>
        <w:instrText>in</w:instrText>
      </w:r>
      <w:r w:rsidR="00A02E0E" w:rsidRPr="00D15FC8">
        <w:rPr>
          <w:rStyle w:val="fontstyle01"/>
          <w:color w:val="auto"/>
        </w:rPr>
        <w:instrText xml:space="preserve"> </w:instrText>
      </w:r>
      <w:r w:rsidR="00A02E0E">
        <w:rPr>
          <w:rStyle w:val="fontstyle01"/>
          <w:color w:val="auto"/>
          <w:lang w:val="en-US"/>
        </w:rPr>
        <w:instrText>AR</w:instrText>
      </w:r>
      <w:r w:rsidR="00A02E0E" w:rsidRPr="00D15FC8">
        <w:rPr>
          <w:rStyle w:val="fontstyle01"/>
          <w:color w:val="auto"/>
        </w:rPr>
        <w:instrText xml:space="preserve"> </w:instrText>
      </w:r>
      <w:r w:rsidR="00A02E0E">
        <w:rPr>
          <w:rStyle w:val="fontstyle01"/>
          <w:color w:val="auto"/>
          <w:lang w:val="en-US"/>
        </w:rPr>
        <w:instrText>patients</w:instrText>
      </w:r>
      <w:r w:rsidR="00A02E0E" w:rsidRPr="00D15FC8">
        <w:rPr>
          <w:rStyle w:val="fontstyle01"/>
          <w:color w:val="auto"/>
        </w:rPr>
        <w:instrText xml:space="preserve"> </w:instrText>
      </w:r>
      <w:r w:rsidR="00A02E0E">
        <w:rPr>
          <w:rStyle w:val="fontstyle01"/>
          <w:color w:val="auto"/>
          <w:lang w:val="en-US"/>
        </w:rPr>
        <w:instrText>regardless</w:instrText>
      </w:r>
      <w:r w:rsidR="00A02E0E" w:rsidRPr="00D15FC8">
        <w:rPr>
          <w:rStyle w:val="fontstyle01"/>
          <w:color w:val="auto"/>
        </w:rPr>
        <w:instrText xml:space="preserve"> </w:instrText>
      </w:r>
      <w:r w:rsidR="00A02E0E">
        <w:rPr>
          <w:rStyle w:val="fontstyle01"/>
          <w:color w:val="auto"/>
          <w:lang w:val="en-US"/>
        </w:rPr>
        <w:instrText>of</w:instrText>
      </w:r>
      <w:r w:rsidR="00A02E0E" w:rsidRPr="00D15FC8">
        <w:rPr>
          <w:rStyle w:val="fontstyle01"/>
          <w:color w:val="auto"/>
        </w:rPr>
        <w:instrText xml:space="preserve"> </w:instrText>
      </w:r>
      <w:r w:rsidR="00A02E0E">
        <w:rPr>
          <w:rStyle w:val="fontstyle01"/>
          <w:color w:val="auto"/>
          <w:lang w:val="en-US"/>
        </w:rPr>
        <w:instrText>the</w:instrText>
      </w:r>
      <w:r w:rsidR="00A02E0E" w:rsidRPr="00D15FC8">
        <w:rPr>
          <w:rStyle w:val="fontstyle01"/>
          <w:color w:val="auto"/>
        </w:rPr>
        <w:instrText xml:space="preserve"> </w:instrText>
      </w:r>
      <w:r w:rsidR="00A02E0E">
        <w:rPr>
          <w:rStyle w:val="fontstyle01"/>
          <w:color w:val="auto"/>
          <w:lang w:val="en-US"/>
        </w:rPr>
        <w:instrText>type</w:instrText>
      </w:r>
      <w:r w:rsidR="00A02E0E" w:rsidRPr="00D15FC8">
        <w:rPr>
          <w:rStyle w:val="fontstyle01"/>
          <w:color w:val="auto"/>
        </w:rPr>
        <w:instrText xml:space="preserve"> </w:instrText>
      </w:r>
      <w:r w:rsidR="00A02E0E">
        <w:rPr>
          <w:rStyle w:val="fontstyle01"/>
          <w:color w:val="auto"/>
          <w:lang w:val="en-US"/>
        </w:rPr>
        <w:instrText>of</w:instrText>
      </w:r>
      <w:r w:rsidR="00A02E0E" w:rsidRPr="00D15FC8">
        <w:rPr>
          <w:rStyle w:val="fontstyle01"/>
          <w:color w:val="auto"/>
        </w:rPr>
        <w:instrText xml:space="preserve"> </w:instrText>
      </w:r>
      <w:r w:rsidR="00A02E0E">
        <w:rPr>
          <w:rStyle w:val="fontstyle01"/>
          <w:color w:val="auto"/>
          <w:lang w:val="en-US"/>
        </w:rPr>
        <w:instrText>allergen</w:instrText>
      </w:r>
      <w:r w:rsidR="00A02E0E" w:rsidRPr="00D15FC8">
        <w:rPr>
          <w:rStyle w:val="fontstyle01"/>
          <w:color w:val="auto"/>
        </w:rPr>
        <w:instrText xml:space="preserve"> </w:instrText>
      </w:r>
      <w:r w:rsidR="00A02E0E">
        <w:rPr>
          <w:rStyle w:val="fontstyle01"/>
          <w:color w:val="auto"/>
          <w:lang w:val="en-US"/>
        </w:rPr>
        <w:instrText>sensitization</w:instrText>
      </w:r>
      <w:r w:rsidR="00A02E0E" w:rsidRPr="00D15FC8">
        <w:rPr>
          <w:rStyle w:val="fontstyle01"/>
          <w:color w:val="auto"/>
        </w:rPr>
        <w:instrText xml:space="preserve">. </w:instrText>
      </w:r>
      <w:r w:rsidR="00A02E0E">
        <w:rPr>
          <w:rStyle w:val="fontstyle01"/>
          <w:color w:val="auto"/>
          <w:lang w:val="en-US"/>
        </w:rPr>
        <w:instrText>However</w:instrText>
      </w:r>
      <w:r w:rsidR="00A02E0E" w:rsidRPr="00D15FC8">
        <w:rPr>
          <w:rStyle w:val="fontstyle01"/>
          <w:color w:val="auto"/>
        </w:rPr>
        <w:instrText xml:space="preserve">, </w:instrText>
      </w:r>
      <w:r w:rsidR="00A02E0E">
        <w:rPr>
          <w:rStyle w:val="fontstyle01"/>
          <w:color w:val="auto"/>
          <w:lang w:val="en-US"/>
        </w:rPr>
        <w:instrText>further</w:instrText>
      </w:r>
      <w:r w:rsidR="00A02E0E" w:rsidRPr="00D15FC8">
        <w:rPr>
          <w:rStyle w:val="fontstyle01"/>
          <w:color w:val="auto"/>
        </w:rPr>
        <w:instrText xml:space="preserve"> </w:instrText>
      </w:r>
      <w:r w:rsidR="00A02E0E">
        <w:rPr>
          <w:rStyle w:val="fontstyle01"/>
          <w:color w:val="auto"/>
          <w:lang w:val="en-US"/>
        </w:rPr>
        <w:instrText>study</w:instrText>
      </w:r>
      <w:r w:rsidR="00A02E0E" w:rsidRPr="00D15FC8">
        <w:rPr>
          <w:rStyle w:val="fontstyle01"/>
          <w:color w:val="auto"/>
        </w:rPr>
        <w:instrText xml:space="preserve"> </w:instrText>
      </w:r>
      <w:r w:rsidR="00A02E0E">
        <w:rPr>
          <w:rStyle w:val="fontstyle01"/>
          <w:color w:val="auto"/>
          <w:lang w:val="en-US"/>
        </w:rPr>
        <w:instrText>is</w:instrText>
      </w:r>
      <w:r w:rsidR="00A02E0E" w:rsidRPr="00D15FC8">
        <w:rPr>
          <w:rStyle w:val="fontstyle01"/>
          <w:color w:val="auto"/>
        </w:rPr>
        <w:instrText xml:space="preserve"> </w:instrText>
      </w:r>
      <w:r w:rsidR="00A02E0E">
        <w:rPr>
          <w:rStyle w:val="fontstyle01"/>
          <w:color w:val="auto"/>
          <w:lang w:val="en-US"/>
        </w:rPr>
        <w:instrText>warranted</w:instrText>
      </w:r>
      <w:r w:rsidR="00A02E0E" w:rsidRPr="00D15FC8">
        <w:rPr>
          <w:rStyle w:val="fontstyle01"/>
          <w:color w:val="auto"/>
        </w:rPr>
        <w:instrText xml:space="preserve"> </w:instrText>
      </w:r>
      <w:r w:rsidR="00A02E0E">
        <w:rPr>
          <w:rStyle w:val="fontstyle01"/>
          <w:color w:val="auto"/>
          <w:lang w:val="en-US"/>
        </w:rPr>
        <w:instrText>to</w:instrText>
      </w:r>
      <w:r w:rsidR="00A02E0E" w:rsidRPr="00D15FC8">
        <w:rPr>
          <w:rStyle w:val="fontstyle01"/>
          <w:color w:val="auto"/>
        </w:rPr>
        <w:instrText xml:space="preserve"> </w:instrText>
      </w:r>
      <w:r w:rsidR="00A02E0E">
        <w:rPr>
          <w:rStyle w:val="fontstyle01"/>
          <w:color w:val="auto"/>
          <w:lang w:val="en-US"/>
        </w:rPr>
        <w:instrText>verify</w:instrText>
      </w:r>
      <w:r w:rsidR="00A02E0E" w:rsidRPr="00D15FC8">
        <w:rPr>
          <w:rStyle w:val="fontstyle01"/>
          <w:color w:val="auto"/>
        </w:rPr>
        <w:instrText xml:space="preserve"> </w:instrText>
      </w:r>
      <w:r w:rsidR="00A02E0E">
        <w:rPr>
          <w:rStyle w:val="fontstyle01"/>
          <w:color w:val="auto"/>
          <w:lang w:val="en-US"/>
        </w:rPr>
        <w:instrText>the</w:instrText>
      </w:r>
      <w:r w:rsidR="00A02E0E" w:rsidRPr="00D15FC8">
        <w:rPr>
          <w:rStyle w:val="fontstyle01"/>
          <w:color w:val="auto"/>
        </w:rPr>
        <w:instrText xml:space="preserve"> </w:instrText>
      </w:r>
      <w:r w:rsidR="00A02E0E">
        <w:rPr>
          <w:rStyle w:val="fontstyle01"/>
          <w:color w:val="auto"/>
          <w:lang w:val="en-US"/>
        </w:rPr>
        <w:instrText>role</w:instrText>
      </w:r>
      <w:r w:rsidR="00A02E0E" w:rsidRPr="00D15FC8">
        <w:rPr>
          <w:rStyle w:val="fontstyle01"/>
          <w:color w:val="auto"/>
        </w:rPr>
        <w:instrText xml:space="preserve"> </w:instrText>
      </w:r>
      <w:r w:rsidR="00A02E0E">
        <w:rPr>
          <w:rStyle w:val="fontstyle01"/>
          <w:color w:val="auto"/>
          <w:lang w:val="en-US"/>
        </w:rPr>
        <w:instrText>of</w:instrText>
      </w:r>
      <w:r w:rsidR="00A02E0E" w:rsidRPr="00D15FC8">
        <w:rPr>
          <w:rStyle w:val="fontstyle01"/>
          <w:color w:val="auto"/>
        </w:rPr>
        <w:instrText xml:space="preserve"> </w:instrText>
      </w:r>
      <w:r w:rsidR="00A02E0E">
        <w:rPr>
          <w:rStyle w:val="fontstyle01"/>
          <w:color w:val="auto"/>
          <w:lang w:val="en-US"/>
        </w:rPr>
        <w:instrText>ECP</w:instrText>
      </w:r>
      <w:r w:rsidR="00A02E0E" w:rsidRPr="00D15FC8">
        <w:rPr>
          <w:rStyle w:val="fontstyle01"/>
          <w:color w:val="auto"/>
        </w:rPr>
        <w:instrText xml:space="preserve"> </w:instrText>
      </w:r>
      <w:r w:rsidR="00A02E0E">
        <w:rPr>
          <w:rStyle w:val="fontstyle01"/>
          <w:color w:val="auto"/>
          <w:lang w:val="en-US"/>
        </w:rPr>
        <w:instrText>in</w:instrText>
      </w:r>
      <w:r w:rsidR="00A02E0E" w:rsidRPr="00D15FC8">
        <w:rPr>
          <w:rStyle w:val="fontstyle01"/>
          <w:color w:val="auto"/>
        </w:rPr>
        <w:instrText xml:space="preserve"> </w:instrText>
      </w:r>
      <w:r w:rsidR="00A02E0E">
        <w:rPr>
          <w:rStyle w:val="fontstyle01"/>
          <w:color w:val="auto"/>
          <w:lang w:val="en-US"/>
        </w:rPr>
        <w:instrText>the</w:instrText>
      </w:r>
      <w:r w:rsidR="00A02E0E" w:rsidRPr="00D15FC8">
        <w:rPr>
          <w:rStyle w:val="fontstyle01"/>
          <w:color w:val="auto"/>
        </w:rPr>
        <w:instrText xml:space="preserve"> </w:instrText>
      </w:r>
      <w:r w:rsidR="00A02E0E">
        <w:rPr>
          <w:rStyle w:val="fontstyle01"/>
          <w:color w:val="auto"/>
          <w:lang w:val="en-US"/>
        </w:rPr>
        <w:instrText>clinical</w:instrText>
      </w:r>
      <w:r w:rsidR="00A02E0E" w:rsidRPr="00D15FC8">
        <w:rPr>
          <w:rStyle w:val="fontstyle01"/>
          <w:color w:val="auto"/>
        </w:rPr>
        <w:instrText xml:space="preserve"> </w:instrText>
      </w:r>
      <w:r w:rsidR="00A02E0E">
        <w:rPr>
          <w:rStyle w:val="fontstyle01"/>
          <w:color w:val="auto"/>
          <w:lang w:val="en-US"/>
        </w:rPr>
        <w:instrText>management</w:instrText>
      </w:r>
      <w:r w:rsidR="00A02E0E" w:rsidRPr="00D15FC8">
        <w:rPr>
          <w:rStyle w:val="fontstyle01"/>
          <w:color w:val="auto"/>
        </w:rPr>
        <w:instrText xml:space="preserve"> </w:instrText>
      </w:r>
      <w:r w:rsidR="00A02E0E">
        <w:rPr>
          <w:rStyle w:val="fontstyle01"/>
          <w:color w:val="auto"/>
          <w:lang w:val="en-US"/>
        </w:rPr>
        <w:instrText>of</w:instrText>
      </w:r>
      <w:r w:rsidR="00A02E0E" w:rsidRPr="00D15FC8">
        <w:rPr>
          <w:rStyle w:val="fontstyle01"/>
          <w:color w:val="auto"/>
        </w:rPr>
        <w:instrText xml:space="preserve"> </w:instrText>
      </w:r>
      <w:r w:rsidR="00A02E0E">
        <w:rPr>
          <w:rStyle w:val="fontstyle01"/>
          <w:color w:val="auto"/>
          <w:lang w:val="en-US"/>
        </w:rPr>
        <w:instrText>allergic</w:instrText>
      </w:r>
      <w:r w:rsidR="00A02E0E" w:rsidRPr="00D15FC8">
        <w:rPr>
          <w:rStyle w:val="fontstyle01"/>
          <w:color w:val="auto"/>
        </w:rPr>
        <w:instrText xml:space="preserve"> </w:instrText>
      </w:r>
      <w:r w:rsidR="00A02E0E">
        <w:rPr>
          <w:rStyle w:val="fontstyle01"/>
          <w:color w:val="auto"/>
          <w:lang w:val="en-US"/>
        </w:rPr>
        <w:instrText>rhinitis</w:instrText>
      </w:r>
      <w:r w:rsidR="00A02E0E" w:rsidRPr="00D15FC8">
        <w:rPr>
          <w:rStyle w:val="fontstyle01"/>
          <w:color w:val="auto"/>
        </w:rPr>
        <w:instrText>.","</w:instrText>
      </w:r>
      <w:r w:rsidR="00A02E0E">
        <w:rPr>
          <w:rStyle w:val="fontstyle01"/>
          <w:color w:val="auto"/>
          <w:lang w:val="en-US"/>
        </w:rPr>
        <w:instrText>author</w:instrText>
      </w:r>
      <w:r w:rsidR="00A02E0E" w:rsidRPr="00D15FC8">
        <w:rPr>
          <w:rStyle w:val="fontstyle01"/>
          <w:color w:val="auto"/>
        </w:rPr>
        <w:instrText>":[{"</w:instrText>
      </w:r>
      <w:r w:rsidR="00A02E0E">
        <w:rPr>
          <w:rStyle w:val="fontstyle01"/>
          <w:color w:val="auto"/>
          <w:lang w:val="en-US"/>
        </w:rPr>
        <w:instrText>dropping</w:instrText>
      </w:r>
      <w:r w:rsidR="00A02E0E" w:rsidRPr="00D15FC8">
        <w:rPr>
          <w:rStyle w:val="fontstyle01"/>
          <w:color w:val="auto"/>
        </w:rPr>
        <w:instrText>-</w:instrText>
      </w:r>
      <w:r w:rsidR="00A02E0E">
        <w:rPr>
          <w:rStyle w:val="fontstyle01"/>
          <w:color w:val="auto"/>
          <w:lang w:val="en-US"/>
        </w:rPr>
        <w:instrText>particle</w:instrText>
      </w:r>
      <w:r w:rsidR="00A02E0E" w:rsidRPr="00D15FC8">
        <w:rPr>
          <w:rStyle w:val="fontstyle01"/>
          <w:color w:val="auto"/>
        </w:rPr>
        <w:instrText>":"","</w:instrText>
      </w:r>
      <w:r w:rsidR="00A02E0E">
        <w:rPr>
          <w:rStyle w:val="fontstyle01"/>
          <w:color w:val="auto"/>
          <w:lang w:val="en-US"/>
        </w:rPr>
        <w:instrText>family</w:instrText>
      </w:r>
      <w:r w:rsidR="00A02E0E" w:rsidRPr="00D15FC8">
        <w:rPr>
          <w:rStyle w:val="fontstyle01"/>
          <w:color w:val="auto"/>
        </w:rPr>
        <w:instrText>":"</w:instrText>
      </w:r>
      <w:r w:rsidR="00A02E0E">
        <w:rPr>
          <w:rStyle w:val="fontstyle01"/>
          <w:color w:val="auto"/>
          <w:lang w:val="en-US"/>
        </w:rPr>
        <w:instrText>Min</w:instrText>
      </w:r>
      <w:r w:rsidR="00A02E0E" w:rsidRPr="00D15FC8">
        <w:rPr>
          <w:rStyle w:val="fontstyle01"/>
          <w:color w:val="auto"/>
        </w:rPr>
        <w:instrText>","</w:instrText>
      </w:r>
      <w:r w:rsidR="00A02E0E">
        <w:rPr>
          <w:rStyle w:val="fontstyle01"/>
          <w:color w:val="auto"/>
          <w:lang w:val="en-US"/>
        </w:rPr>
        <w:instrText>given</w:instrText>
      </w:r>
      <w:r w:rsidR="00A02E0E" w:rsidRPr="00D15FC8">
        <w:rPr>
          <w:rStyle w:val="fontstyle01"/>
          <w:color w:val="auto"/>
        </w:rPr>
        <w:instrText>":"</w:instrText>
      </w:r>
      <w:r w:rsidR="00A02E0E">
        <w:rPr>
          <w:rStyle w:val="fontstyle01"/>
          <w:color w:val="auto"/>
          <w:lang w:val="en-US"/>
        </w:rPr>
        <w:instrText>Hyun</w:instrText>
      </w:r>
      <w:r w:rsidR="00A02E0E" w:rsidRPr="00D15FC8">
        <w:rPr>
          <w:rStyle w:val="fontstyle01"/>
          <w:color w:val="auto"/>
        </w:rPr>
        <w:instrText xml:space="preserve"> </w:instrText>
      </w:r>
      <w:r w:rsidR="00A02E0E">
        <w:rPr>
          <w:rStyle w:val="fontstyle01"/>
          <w:color w:val="auto"/>
          <w:lang w:val="en-US"/>
        </w:rPr>
        <w:instrText>Jin</w:instrText>
      </w:r>
      <w:r w:rsidR="00A02E0E" w:rsidRPr="00D15FC8">
        <w:rPr>
          <w:rStyle w:val="fontstyle01"/>
          <w:color w:val="auto"/>
        </w:rPr>
        <w:instrText>","</w:instrText>
      </w:r>
      <w:r w:rsidR="00A02E0E">
        <w:rPr>
          <w:rStyle w:val="fontstyle01"/>
          <w:color w:val="auto"/>
          <w:lang w:val="en-US"/>
        </w:rPr>
        <w:instrText>non</w:instrText>
      </w:r>
      <w:r w:rsidR="00A02E0E" w:rsidRPr="00D15FC8">
        <w:rPr>
          <w:rStyle w:val="fontstyle01"/>
          <w:color w:val="auto"/>
        </w:rPr>
        <w:instrText>-</w:instrText>
      </w:r>
      <w:r w:rsidR="00A02E0E">
        <w:rPr>
          <w:rStyle w:val="fontstyle01"/>
          <w:color w:val="auto"/>
          <w:lang w:val="en-US"/>
        </w:rPr>
        <w:instrText>dropping</w:instrText>
      </w:r>
      <w:r w:rsidR="00A02E0E" w:rsidRPr="00D15FC8">
        <w:rPr>
          <w:rStyle w:val="fontstyle01"/>
          <w:color w:val="auto"/>
        </w:rPr>
        <w:instrText>-</w:instrText>
      </w:r>
      <w:r w:rsidR="00A02E0E">
        <w:rPr>
          <w:rStyle w:val="fontstyle01"/>
          <w:color w:val="auto"/>
          <w:lang w:val="en-US"/>
        </w:rPr>
        <w:instrText>particle</w:instrText>
      </w:r>
      <w:r w:rsidR="00A02E0E" w:rsidRPr="00D15FC8">
        <w:rPr>
          <w:rStyle w:val="fontstyle01"/>
          <w:color w:val="auto"/>
        </w:rPr>
        <w:instrText>":"","</w:instrText>
      </w:r>
      <w:r w:rsidR="00A02E0E">
        <w:rPr>
          <w:rStyle w:val="fontstyle01"/>
          <w:color w:val="auto"/>
          <w:lang w:val="en-US"/>
        </w:rPr>
        <w:instrText>parse</w:instrText>
      </w:r>
      <w:r w:rsidR="00A02E0E" w:rsidRPr="00D15FC8">
        <w:rPr>
          <w:rStyle w:val="fontstyle01"/>
          <w:color w:val="auto"/>
        </w:rPr>
        <w:instrText>-</w:instrText>
      </w:r>
      <w:r w:rsidR="00A02E0E">
        <w:rPr>
          <w:rStyle w:val="fontstyle01"/>
          <w:color w:val="auto"/>
          <w:lang w:val="en-US"/>
        </w:rPr>
        <w:instrText>names</w:instrText>
      </w:r>
      <w:r w:rsidR="00A02E0E" w:rsidRPr="00D15FC8">
        <w:rPr>
          <w:rStyle w:val="fontstyle01"/>
          <w:color w:val="auto"/>
        </w:rPr>
        <w:instrText>":</w:instrText>
      </w:r>
      <w:r w:rsidR="00A02E0E">
        <w:rPr>
          <w:rStyle w:val="fontstyle01"/>
          <w:color w:val="auto"/>
          <w:lang w:val="en-US"/>
        </w:rPr>
        <w:instrText>false</w:instrText>
      </w:r>
      <w:r w:rsidR="00A02E0E" w:rsidRPr="00D15FC8">
        <w:rPr>
          <w:rStyle w:val="fontstyle01"/>
          <w:color w:val="auto"/>
        </w:rPr>
        <w:instrText>,"</w:instrText>
      </w:r>
      <w:r w:rsidR="00A02E0E">
        <w:rPr>
          <w:rStyle w:val="fontstyle01"/>
          <w:color w:val="auto"/>
          <w:lang w:val="en-US"/>
        </w:rPr>
        <w:instrText>suffix</w:instrText>
      </w:r>
      <w:r w:rsidR="00A02E0E" w:rsidRPr="00D15FC8">
        <w:rPr>
          <w:rStyle w:val="fontstyle01"/>
          <w:color w:val="auto"/>
        </w:rPr>
        <w:instrText>":""},{"</w:instrText>
      </w:r>
      <w:r w:rsidR="00A02E0E">
        <w:rPr>
          <w:rStyle w:val="fontstyle01"/>
          <w:color w:val="auto"/>
          <w:lang w:val="en-US"/>
        </w:rPr>
        <w:instrText>dropping</w:instrText>
      </w:r>
      <w:r w:rsidR="00A02E0E" w:rsidRPr="00D15FC8">
        <w:rPr>
          <w:rStyle w:val="fontstyle01"/>
          <w:color w:val="auto"/>
        </w:rPr>
        <w:instrText>-</w:instrText>
      </w:r>
      <w:r w:rsidR="00A02E0E">
        <w:rPr>
          <w:rStyle w:val="fontstyle01"/>
          <w:color w:val="auto"/>
          <w:lang w:val="en-US"/>
        </w:rPr>
        <w:instrText>particle</w:instrText>
      </w:r>
      <w:r w:rsidR="00A02E0E" w:rsidRPr="00D15FC8">
        <w:rPr>
          <w:rStyle w:val="fontstyle01"/>
          <w:color w:val="auto"/>
        </w:rPr>
        <w:instrText>":"","</w:instrText>
      </w:r>
      <w:r w:rsidR="00A02E0E">
        <w:rPr>
          <w:rStyle w:val="fontstyle01"/>
          <w:color w:val="auto"/>
          <w:lang w:val="en-US"/>
        </w:rPr>
        <w:instrText>family</w:instrText>
      </w:r>
      <w:r w:rsidR="00A02E0E" w:rsidRPr="00D15FC8">
        <w:rPr>
          <w:rStyle w:val="fontstyle01"/>
          <w:color w:val="auto"/>
        </w:rPr>
        <w:instrText>":"</w:instrText>
      </w:r>
      <w:r w:rsidR="00A02E0E">
        <w:rPr>
          <w:rStyle w:val="fontstyle01"/>
          <w:color w:val="auto"/>
          <w:lang w:val="en-US"/>
        </w:rPr>
        <w:instrText>Hong</w:instrText>
      </w:r>
      <w:r w:rsidR="00A02E0E" w:rsidRPr="00D15FC8">
        <w:rPr>
          <w:rStyle w:val="fontstyle01"/>
          <w:color w:val="auto"/>
        </w:rPr>
        <w:instrText>","</w:instrText>
      </w:r>
      <w:r w:rsidR="00A02E0E">
        <w:rPr>
          <w:rStyle w:val="fontstyle01"/>
          <w:color w:val="auto"/>
          <w:lang w:val="en-US"/>
        </w:rPr>
        <w:instrText>given</w:instrText>
      </w:r>
      <w:r w:rsidR="00A02E0E" w:rsidRPr="00D15FC8">
        <w:rPr>
          <w:rStyle w:val="fontstyle01"/>
          <w:color w:val="auto"/>
        </w:rPr>
        <w:instrText>":"</w:instrText>
      </w:r>
      <w:r w:rsidR="00A02E0E">
        <w:rPr>
          <w:rStyle w:val="fontstyle01"/>
          <w:color w:val="auto"/>
          <w:lang w:val="en-US"/>
        </w:rPr>
        <w:instrText>Young</w:instrText>
      </w:r>
      <w:r w:rsidR="00A02E0E" w:rsidRPr="00D15FC8">
        <w:rPr>
          <w:rStyle w:val="fontstyle01"/>
          <w:color w:val="auto"/>
        </w:rPr>
        <w:instrText xml:space="preserve"> </w:instrText>
      </w:r>
      <w:r w:rsidR="00A02E0E">
        <w:rPr>
          <w:rStyle w:val="fontstyle01"/>
          <w:color w:val="auto"/>
          <w:lang w:val="en-US"/>
        </w:rPr>
        <w:instrText>Ho</w:instrText>
      </w:r>
      <w:r w:rsidR="00A02E0E" w:rsidRPr="00D15FC8">
        <w:rPr>
          <w:rStyle w:val="fontstyle01"/>
          <w:color w:val="auto"/>
        </w:rPr>
        <w:instrText>","</w:instrText>
      </w:r>
      <w:r w:rsidR="00A02E0E">
        <w:rPr>
          <w:rStyle w:val="fontstyle01"/>
          <w:color w:val="auto"/>
          <w:lang w:val="en-US"/>
        </w:rPr>
        <w:instrText>non</w:instrText>
      </w:r>
      <w:r w:rsidR="00A02E0E" w:rsidRPr="00D15FC8">
        <w:rPr>
          <w:rStyle w:val="fontstyle01"/>
          <w:color w:val="auto"/>
        </w:rPr>
        <w:instrText>-</w:instrText>
      </w:r>
      <w:r w:rsidR="00A02E0E">
        <w:rPr>
          <w:rStyle w:val="fontstyle01"/>
          <w:color w:val="auto"/>
          <w:lang w:val="en-US"/>
        </w:rPr>
        <w:instrText>dropping</w:instrText>
      </w:r>
      <w:r w:rsidR="00A02E0E" w:rsidRPr="00D15FC8">
        <w:rPr>
          <w:rStyle w:val="fontstyle01"/>
          <w:color w:val="auto"/>
        </w:rPr>
        <w:instrText>-</w:instrText>
      </w:r>
      <w:r w:rsidR="00A02E0E">
        <w:rPr>
          <w:rStyle w:val="fontstyle01"/>
          <w:color w:val="auto"/>
          <w:lang w:val="en-US"/>
        </w:rPr>
        <w:instrText>particle</w:instrText>
      </w:r>
      <w:r w:rsidR="00A02E0E" w:rsidRPr="00D15FC8">
        <w:rPr>
          <w:rStyle w:val="fontstyle01"/>
          <w:color w:val="auto"/>
        </w:rPr>
        <w:instrText>":"","</w:instrText>
      </w:r>
      <w:r w:rsidR="00A02E0E">
        <w:rPr>
          <w:rStyle w:val="fontstyle01"/>
          <w:color w:val="auto"/>
          <w:lang w:val="en-US"/>
        </w:rPr>
        <w:instrText>parse</w:instrText>
      </w:r>
      <w:r w:rsidR="00A02E0E" w:rsidRPr="00D15FC8">
        <w:rPr>
          <w:rStyle w:val="fontstyle01"/>
          <w:color w:val="auto"/>
        </w:rPr>
        <w:instrText>-</w:instrText>
      </w:r>
      <w:r w:rsidR="00A02E0E">
        <w:rPr>
          <w:rStyle w:val="fontstyle01"/>
          <w:color w:val="auto"/>
          <w:lang w:val="en-US"/>
        </w:rPr>
        <w:instrText>names</w:instrText>
      </w:r>
      <w:r w:rsidR="00A02E0E" w:rsidRPr="00D15FC8">
        <w:rPr>
          <w:rStyle w:val="fontstyle01"/>
          <w:color w:val="auto"/>
        </w:rPr>
        <w:instrText>":</w:instrText>
      </w:r>
      <w:r w:rsidR="00A02E0E">
        <w:rPr>
          <w:rStyle w:val="fontstyle01"/>
          <w:color w:val="auto"/>
          <w:lang w:val="en-US"/>
        </w:rPr>
        <w:instrText>false</w:instrText>
      </w:r>
      <w:r w:rsidR="00A02E0E" w:rsidRPr="00D15FC8">
        <w:rPr>
          <w:rStyle w:val="fontstyle01"/>
          <w:color w:val="auto"/>
        </w:rPr>
        <w:instrText>,"</w:instrText>
      </w:r>
      <w:r w:rsidR="00A02E0E">
        <w:rPr>
          <w:rStyle w:val="fontstyle01"/>
          <w:color w:val="auto"/>
          <w:lang w:val="en-US"/>
        </w:rPr>
        <w:instrText>suffix</w:instrText>
      </w:r>
      <w:r w:rsidR="00A02E0E" w:rsidRPr="00D15FC8">
        <w:rPr>
          <w:rStyle w:val="fontstyle01"/>
          <w:color w:val="auto"/>
        </w:rPr>
        <w:instrText>":""},{"</w:instrText>
      </w:r>
      <w:r w:rsidR="00A02E0E">
        <w:rPr>
          <w:rStyle w:val="fontstyle01"/>
          <w:color w:val="auto"/>
          <w:lang w:val="en-US"/>
        </w:rPr>
        <w:instrText>dropping</w:instrText>
      </w:r>
      <w:r w:rsidR="00A02E0E" w:rsidRPr="00D15FC8">
        <w:rPr>
          <w:rStyle w:val="fontstyle01"/>
          <w:color w:val="auto"/>
        </w:rPr>
        <w:instrText>-</w:instrText>
      </w:r>
      <w:r w:rsidR="00A02E0E">
        <w:rPr>
          <w:rStyle w:val="fontstyle01"/>
          <w:color w:val="auto"/>
          <w:lang w:val="en-US"/>
        </w:rPr>
        <w:instrText>particle</w:instrText>
      </w:r>
      <w:r w:rsidR="00A02E0E" w:rsidRPr="00D15FC8">
        <w:rPr>
          <w:rStyle w:val="fontstyle01"/>
          <w:color w:val="auto"/>
        </w:rPr>
        <w:instrText>":"","</w:instrText>
      </w:r>
      <w:r w:rsidR="00A02E0E">
        <w:rPr>
          <w:rStyle w:val="fontstyle01"/>
          <w:color w:val="auto"/>
          <w:lang w:val="en-US"/>
        </w:rPr>
        <w:instrText>family</w:instrText>
      </w:r>
      <w:r w:rsidR="00A02E0E" w:rsidRPr="00D15FC8">
        <w:rPr>
          <w:rStyle w:val="fontstyle01"/>
          <w:color w:val="auto"/>
        </w:rPr>
        <w:instrText>":"</w:instrText>
      </w:r>
      <w:r w:rsidR="00A02E0E">
        <w:rPr>
          <w:rStyle w:val="fontstyle01"/>
          <w:color w:val="auto"/>
          <w:lang w:val="en-US"/>
        </w:rPr>
        <w:instrText>Yang</w:instrText>
      </w:r>
      <w:r w:rsidR="00A02E0E" w:rsidRPr="00D15FC8">
        <w:rPr>
          <w:rStyle w:val="fontstyle01"/>
          <w:color w:val="auto"/>
        </w:rPr>
        <w:instrText>","</w:instrText>
      </w:r>
      <w:r w:rsidR="00A02E0E">
        <w:rPr>
          <w:rStyle w:val="fontstyle01"/>
          <w:color w:val="auto"/>
          <w:lang w:val="en-US"/>
        </w:rPr>
        <w:instrText>given</w:instrText>
      </w:r>
      <w:r w:rsidR="00A02E0E" w:rsidRPr="00D15FC8">
        <w:rPr>
          <w:rStyle w:val="fontstyle01"/>
          <w:color w:val="auto"/>
        </w:rPr>
        <w:instrText>":"</w:instrText>
      </w:r>
      <w:r w:rsidR="00A02E0E">
        <w:rPr>
          <w:rStyle w:val="fontstyle01"/>
          <w:color w:val="auto"/>
          <w:lang w:val="en-US"/>
        </w:rPr>
        <w:instrText>Hoon</w:instrText>
      </w:r>
      <w:r w:rsidR="00A02E0E" w:rsidRPr="00D15FC8">
        <w:rPr>
          <w:rStyle w:val="fontstyle01"/>
          <w:color w:val="auto"/>
        </w:rPr>
        <w:instrText xml:space="preserve"> </w:instrText>
      </w:r>
      <w:r w:rsidR="00A02E0E">
        <w:rPr>
          <w:rStyle w:val="fontstyle01"/>
          <w:color w:val="auto"/>
          <w:lang w:val="en-US"/>
        </w:rPr>
        <w:instrText>Shik</w:instrText>
      </w:r>
      <w:r w:rsidR="00A02E0E" w:rsidRPr="00D15FC8">
        <w:rPr>
          <w:rStyle w:val="fontstyle01"/>
          <w:color w:val="auto"/>
        </w:rPr>
        <w:instrText>","</w:instrText>
      </w:r>
      <w:r w:rsidR="00A02E0E">
        <w:rPr>
          <w:rStyle w:val="fontstyle01"/>
          <w:color w:val="auto"/>
          <w:lang w:val="en-US"/>
        </w:rPr>
        <w:instrText>non</w:instrText>
      </w:r>
      <w:r w:rsidR="00A02E0E" w:rsidRPr="00D15FC8">
        <w:rPr>
          <w:rStyle w:val="fontstyle01"/>
          <w:color w:val="auto"/>
        </w:rPr>
        <w:instrText>-</w:instrText>
      </w:r>
      <w:r w:rsidR="00A02E0E">
        <w:rPr>
          <w:rStyle w:val="fontstyle01"/>
          <w:color w:val="auto"/>
          <w:lang w:val="en-US"/>
        </w:rPr>
        <w:instrText>dropping</w:instrText>
      </w:r>
      <w:r w:rsidR="00A02E0E" w:rsidRPr="00D15FC8">
        <w:rPr>
          <w:rStyle w:val="fontstyle01"/>
          <w:color w:val="auto"/>
        </w:rPr>
        <w:instrText>-</w:instrText>
      </w:r>
      <w:r w:rsidR="00A02E0E">
        <w:rPr>
          <w:rStyle w:val="fontstyle01"/>
          <w:color w:val="auto"/>
          <w:lang w:val="en-US"/>
        </w:rPr>
        <w:instrText>particle</w:instrText>
      </w:r>
      <w:r w:rsidR="00A02E0E" w:rsidRPr="00D15FC8">
        <w:rPr>
          <w:rStyle w:val="fontstyle01"/>
          <w:color w:val="auto"/>
        </w:rPr>
        <w:instrText>":"","</w:instrText>
      </w:r>
      <w:r w:rsidR="00A02E0E">
        <w:rPr>
          <w:rStyle w:val="fontstyle01"/>
          <w:color w:val="auto"/>
          <w:lang w:val="en-US"/>
        </w:rPr>
        <w:instrText>parse</w:instrText>
      </w:r>
      <w:r w:rsidR="00A02E0E" w:rsidRPr="00D15FC8">
        <w:rPr>
          <w:rStyle w:val="fontstyle01"/>
          <w:color w:val="auto"/>
        </w:rPr>
        <w:instrText>-</w:instrText>
      </w:r>
      <w:r w:rsidR="00A02E0E">
        <w:rPr>
          <w:rStyle w:val="fontstyle01"/>
          <w:color w:val="auto"/>
          <w:lang w:val="en-US"/>
        </w:rPr>
        <w:instrText>names</w:instrText>
      </w:r>
      <w:r w:rsidR="00A02E0E" w:rsidRPr="00D15FC8">
        <w:rPr>
          <w:rStyle w:val="fontstyle01"/>
          <w:color w:val="auto"/>
        </w:rPr>
        <w:instrText>":</w:instrText>
      </w:r>
      <w:r w:rsidR="00A02E0E">
        <w:rPr>
          <w:rStyle w:val="fontstyle01"/>
          <w:color w:val="auto"/>
          <w:lang w:val="en-US"/>
        </w:rPr>
        <w:instrText>false</w:instrText>
      </w:r>
      <w:r w:rsidR="00A02E0E" w:rsidRPr="00D15FC8">
        <w:rPr>
          <w:rStyle w:val="fontstyle01"/>
          <w:color w:val="auto"/>
        </w:rPr>
        <w:instrText>,"</w:instrText>
      </w:r>
      <w:r w:rsidR="00A02E0E">
        <w:rPr>
          <w:rStyle w:val="fontstyle01"/>
          <w:color w:val="auto"/>
          <w:lang w:val="en-US"/>
        </w:rPr>
        <w:instrText>suffix</w:instrText>
      </w:r>
      <w:r w:rsidR="00A02E0E" w:rsidRPr="00D15FC8">
        <w:rPr>
          <w:rStyle w:val="fontstyle01"/>
          <w:color w:val="auto"/>
        </w:rPr>
        <w:instrText>":""},{"</w:instrText>
      </w:r>
      <w:r w:rsidR="00A02E0E">
        <w:rPr>
          <w:rStyle w:val="fontstyle01"/>
          <w:color w:val="auto"/>
          <w:lang w:val="en-US"/>
        </w:rPr>
        <w:instrText>dropping</w:instrText>
      </w:r>
      <w:r w:rsidR="00A02E0E" w:rsidRPr="00D15FC8">
        <w:rPr>
          <w:rStyle w:val="fontstyle01"/>
          <w:color w:val="auto"/>
        </w:rPr>
        <w:instrText>-</w:instrText>
      </w:r>
      <w:r w:rsidR="00A02E0E">
        <w:rPr>
          <w:rStyle w:val="fontstyle01"/>
          <w:color w:val="auto"/>
          <w:lang w:val="en-US"/>
        </w:rPr>
        <w:instrText>particle</w:instrText>
      </w:r>
      <w:r w:rsidR="00A02E0E" w:rsidRPr="00D15FC8">
        <w:rPr>
          <w:rStyle w:val="fontstyle01"/>
          <w:color w:val="auto"/>
        </w:rPr>
        <w:instrText>":"","</w:instrText>
      </w:r>
      <w:r w:rsidR="00A02E0E">
        <w:rPr>
          <w:rStyle w:val="fontstyle01"/>
          <w:color w:val="auto"/>
          <w:lang w:val="en-US"/>
        </w:rPr>
        <w:instrText>family</w:instrText>
      </w:r>
      <w:r w:rsidR="00A02E0E" w:rsidRPr="00D15FC8">
        <w:rPr>
          <w:rStyle w:val="fontstyle01"/>
          <w:color w:val="auto"/>
        </w:rPr>
        <w:instrText>":"</w:instrText>
      </w:r>
      <w:r w:rsidR="00A02E0E">
        <w:rPr>
          <w:rStyle w:val="fontstyle01"/>
          <w:color w:val="auto"/>
          <w:lang w:val="en-US"/>
        </w:rPr>
        <w:instrText>Kim</w:instrText>
      </w:r>
      <w:r w:rsidR="00A02E0E" w:rsidRPr="00D15FC8">
        <w:rPr>
          <w:rStyle w:val="fontstyle01"/>
          <w:color w:val="auto"/>
        </w:rPr>
        <w:instrText>","</w:instrText>
      </w:r>
      <w:r w:rsidR="00A02E0E">
        <w:rPr>
          <w:rStyle w:val="fontstyle01"/>
          <w:color w:val="auto"/>
          <w:lang w:val="en-US"/>
        </w:rPr>
        <w:instrText>given</w:instrText>
      </w:r>
      <w:r w:rsidR="00A02E0E" w:rsidRPr="00D15FC8">
        <w:rPr>
          <w:rStyle w:val="fontstyle01"/>
          <w:color w:val="auto"/>
        </w:rPr>
        <w:instrText>":"</w:instrText>
      </w:r>
      <w:r w:rsidR="00A02E0E">
        <w:rPr>
          <w:rStyle w:val="fontstyle01"/>
          <w:color w:val="auto"/>
          <w:lang w:val="en-US"/>
        </w:rPr>
        <w:instrText>Kyung</w:instrText>
      </w:r>
      <w:r w:rsidR="00A02E0E" w:rsidRPr="00D15FC8">
        <w:rPr>
          <w:rStyle w:val="fontstyle01"/>
          <w:color w:val="auto"/>
        </w:rPr>
        <w:instrText xml:space="preserve"> </w:instrText>
      </w:r>
      <w:r w:rsidR="00A02E0E">
        <w:rPr>
          <w:rStyle w:val="fontstyle01"/>
          <w:color w:val="auto"/>
          <w:lang w:val="en-US"/>
        </w:rPr>
        <w:instrText>Soo</w:instrText>
      </w:r>
      <w:r w:rsidR="00A02E0E" w:rsidRPr="00D15FC8">
        <w:rPr>
          <w:rStyle w:val="fontstyle01"/>
          <w:color w:val="auto"/>
        </w:rPr>
        <w:instrText>","</w:instrText>
      </w:r>
      <w:r w:rsidR="00A02E0E">
        <w:rPr>
          <w:rStyle w:val="fontstyle01"/>
          <w:color w:val="auto"/>
          <w:lang w:val="en-US"/>
        </w:rPr>
        <w:instrText>non</w:instrText>
      </w:r>
      <w:r w:rsidR="00A02E0E" w:rsidRPr="00D15FC8">
        <w:rPr>
          <w:rStyle w:val="fontstyle01"/>
          <w:color w:val="auto"/>
        </w:rPr>
        <w:instrText>-</w:instrText>
      </w:r>
      <w:r w:rsidR="00A02E0E">
        <w:rPr>
          <w:rStyle w:val="fontstyle01"/>
          <w:color w:val="auto"/>
          <w:lang w:val="en-US"/>
        </w:rPr>
        <w:instrText>dropping</w:instrText>
      </w:r>
      <w:r w:rsidR="00A02E0E" w:rsidRPr="00D15FC8">
        <w:rPr>
          <w:rStyle w:val="fontstyle01"/>
          <w:color w:val="auto"/>
        </w:rPr>
        <w:instrText>-</w:instrText>
      </w:r>
      <w:r w:rsidR="00A02E0E">
        <w:rPr>
          <w:rStyle w:val="fontstyle01"/>
          <w:color w:val="auto"/>
          <w:lang w:val="en-US"/>
        </w:rPr>
        <w:instrText>particle</w:instrText>
      </w:r>
      <w:r w:rsidR="00A02E0E" w:rsidRPr="00D15FC8">
        <w:rPr>
          <w:rStyle w:val="fontstyle01"/>
          <w:color w:val="auto"/>
        </w:rPr>
        <w:instrText>":"","</w:instrText>
      </w:r>
      <w:r w:rsidR="00A02E0E">
        <w:rPr>
          <w:rStyle w:val="fontstyle01"/>
          <w:color w:val="auto"/>
          <w:lang w:val="en-US"/>
        </w:rPr>
        <w:instrText>parse</w:instrText>
      </w:r>
      <w:r w:rsidR="00A02E0E" w:rsidRPr="00D15FC8">
        <w:rPr>
          <w:rStyle w:val="fontstyle01"/>
          <w:color w:val="auto"/>
        </w:rPr>
        <w:instrText>-</w:instrText>
      </w:r>
      <w:r w:rsidR="00A02E0E">
        <w:rPr>
          <w:rStyle w:val="fontstyle01"/>
          <w:color w:val="auto"/>
          <w:lang w:val="en-US"/>
        </w:rPr>
        <w:instrText>names</w:instrText>
      </w:r>
      <w:r w:rsidR="00A02E0E" w:rsidRPr="00D15FC8">
        <w:rPr>
          <w:rStyle w:val="fontstyle01"/>
          <w:color w:val="auto"/>
        </w:rPr>
        <w:instrText>":</w:instrText>
      </w:r>
      <w:r w:rsidR="00A02E0E">
        <w:rPr>
          <w:rStyle w:val="fontstyle01"/>
          <w:color w:val="auto"/>
          <w:lang w:val="en-US"/>
        </w:rPr>
        <w:instrText>false</w:instrText>
      </w:r>
      <w:r w:rsidR="00A02E0E" w:rsidRPr="00D15FC8">
        <w:rPr>
          <w:rStyle w:val="fontstyle01"/>
          <w:color w:val="auto"/>
        </w:rPr>
        <w:instrText>,"</w:instrText>
      </w:r>
      <w:r w:rsidR="00A02E0E">
        <w:rPr>
          <w:rStyle w:val="fontstyle01"/>
          <w:color w:val="auto"/>
          <w:lang w:val="en-US"/>
        </w:rPr>
        <w:instrText>suffix</w:instrText>
      </w:r>
      <w:r w:rsidR="00A02E0E" w:rsidRPr="00D15FC8">
        <w:rPr>
          <w:rStyle w:val="fontstyle01"/>
          <w:color w:val="auto"/>
        </w:rPr>
        <w:instrText>":""}],"</w:instrText>
      </w:r>
      <w:r w:rsidR="00A02E0E">
        <w:rPr>
          <w:rStyle w:val="fontstyle01"/>
          <w:color w:val="auto"/>
          <w:lang w:val="en-US"/>
        </w:rPr>
        <w:instrText>container</w:instrText>
      </w:r>
      <w:r w:rsidR="00A02E0E" w:rsidRPr="00D15FC8">
        <w:rPr>
          <w:rStyle w:val="fontstyle01"/>
          <w:color w:val="auto"/>
        </w:rPr>
        <w:instrText>-</w:instrText>
      </w:r>
      <w:r w:rsidR="00A02E0E">
        <w:rPr>
          <w:rStyle w:val="fontstyle01"/>
          <w:color w:val="auto"/>
          <w:lang w:val="en-US"/>
        </w:rPr>
        <w:instrText>title</w:instrText>
      </w:r>
      <w:r w:rsidR="00A02E0E" w:rsidRPr="00D15FC8">
        <w:rPr>
          <w:rStyle w:val="fontstyle01"/>
          <w:color w:val="auto"/>
        </w:rPr>
        <w:instrText>":"</w:instrText>
      </w:r>
      <w:r w:rsidR="00A02E0E">
        <w:rPr>
          <w:rStyle w:val="fontstyle01"/>
          <w:color w:val="auto"/>
          <w:lang w:val="en-US"/>
        </w:rPr>
        <w:instrText>Asian</w:instrText>
      </w:r>
      <w:r w:rsidR="00A02E0E" w:rsidRPr="00D15FC8">
        <w:rPr>
          <w:rStyle w:val="fontstyle01"/>
          <w:color w:val="auto"/>
        </w:rPr>
        <w:instrText xml:space="preserve"> </w:instrText>
      </w:r>
      <w:r w:rsidR="00A02E0E">
        <w:rPr>
          <w:rStyle w:val="fontstyle01"/>
          <w:color w:val="auto"/>
          <w:lang w:val="en-US"/>
        </w:rPr>
        <w:instrText>Pacific</w:instrText>
      </w:r>
      <w:r w:rsidR="00A02E0E" w:rsidRPr="00D15FC8">
        <w:rPr>
          <w:rStyle w:val="fontstyle01"/>
          <w:color w:val="auto"/>
        </w:rPr>
        <w:instrText xml:space="preserve"> </w:instrText>
      </w:r>
      <w:r w:rsidR="00A02E0E">
        <w:rPr>
          <w:rStyle w:val="fontstyle01"/>
          <w:color w:val="auto"/>
          <w:lang w:val="en-US"/>
        </w:rPr>
        <w:instrText>Journal</w:instrText>
      </w:r>
      <w:r w:rsidR="00A02E0E" w:rsidRPr="00D15FC8">
        <w:rPr>
          <w:rStyle w:val="fontstyle01"/>
          <w:color w:val="auto"/>
        </w:rPr>
        <w:instrText xml:space="preserve"> </w:instrText>
      </w:r>
      <w:r w:rsidR="00A02E0E">
        <w:rPr>
          <w:rStyle w:val="fontstyle01"/>
          <w:color w:val="auto"/>
          <w:lang w:val="en-US"/>
        </w:rPr>
        <w:instrText>of</w:instrText>
      </w:r>
      <w:r w:rsidR="00A02E0E" w:rsidRPr="00D15FC8">
        <w:rPr>
          <w:rStyle w:val="fontstyle01"/>
          <w:color w:val="auto"/>
        </w:rPr>
        <w:instrText xml:space="preserve"> </w:instrText>
      </w:r>
      <w:r w:rsidR="00A02E0E">
        <w:rPr>
          <w:rStyle w:val="fontstyle01"/>
          <w:color w:val="auto"/>
          <w:lang w:val="en-US"/>
        </w:rPr>
        <w:instrText>Allergy</w:instrText>
      </w:r>
      <w:r w:rsidR="00A02E0E" w:rsidRPr="00D15FC8">
        <w:rPr>
          <w:rStyle w:val="fontstyle01"/>
          <w:color w:val="auto"/>
        </w:rPr>
        <w:instrText xml:space="preserve"> </w:instrText>
      </w:r>
      <w:r w:rsidR="00A02E0E">
        <w:rPr>
          <w:rStyle w:val="fontstyle01"/>
          <w:color w:val="auto"/>
          <w:lang w:val="en-US"/>
        </w:rPr>
        <w:instrText>and</w:instrText>
      </w:r>
      <w:r w:rsidR="00A02E0E" w:rsidRPr="00D15FC8">
        <w:rPr>
          <w:rStyle w:val="fontstyle01"/>
          <w:color w:val="auto"/>
        </w:rPr>
        <w:instrText xml:space="preserve"> </w:instrText>
      </w:r>
      <w:r w:rsidR="00A02E0E">
        <w:rPr>
          <w:rStyle w:val="fontstyle01"/>
          <w:color w:val="auto"/>
          <w:lang w:val="en-US"/>
        </w:rPr>
        <w:instrText>Immunology</w:instrText>
      </w:r>
      <w:r w:rsidR="00A02E0E" w:rsidRPr="00D15FC8">
        <w:rPr>
          <w:rStyle w:val="fontstyle01"/>
          <w:color w:val="auto"/>
        </w:rPr>
        <w:instrText>","</w:instrText>
      </w:r>
      <w:r w:rsidR="00A02E0E">
        <w:rPr>
          <w:rStyle w:val="fontstyle01"/>
          <w:color w:val="auto"/>
          <w:lang w:val="en-US"/>
        </w:rPr>
        <w:instrText>id</w:instrText>
      </w:r>
      <w:r w:rsidR="00A02E0E" w:rsidRPr="00D15FC8">
        <w:rPr>
          <w:rStyle w:val="fontstyle01"/>
          <w:color w:val="auto"/>
        </w:rPr>
        <w:instrText>":"</w:instrText>
      </w:r>
      <w:r w:rsidR="00A02E0E">
        <w:rPr>
          <w:rStyle w:val="fontstyle01"/>
          <w:color w:val="auto"/>
          <w:lang w:val="en-US"/>
        </w:rPr>
        <w:instrText>ITEM</w:instrText>
      </w:r>
      <w:r w:rsidR="00A02E0E" w:rsidRPr="00D15FC8">
        <w:rPr>
          <w:rStyle w:val="fontstyle01"/>
          <w:color w:val="auto"/>
        </w:rPr>
        <w:instrText>-1","</w:instrText>
      </w:r>
      <w:r w:rsidR="00A02E0E">
        <w:rPr>
          <w:rStyle w:val="fontstyle01"/>
          <w:color w:val="auto"/>
          <w:lang w:val="en-US"/>
        </w:rPr>
        <w:instrText>issue</w:instrText>
      </w:r>
      <w:r w:rsidR="00A02E0E" w:rsidRPr="00D15FC8">
        <w:rPr>
          <w:rStyle w:val="fontstyle01"/>
          <w:color w:val="auto"/>
        </w:rPr>
        <w:instrText>":"4","</w:instrText>
      </w:r>
      <w:r w:rsidR="00A02E0E">
        <w:rPr>
          <w:rStyle w:val="fontstyle01"/>
          <w:color w:val="auto"/>
          <w:lang w:val="en-US"/>
        </w:rPr>
        <w:instrText>issued</w:instrText>
      </w:r>
      <w:r w:rsidR="00A02E0E" w:rsidRPr="00D15FC8">
        <w:rPr>
          <w:rStyle w:val="fontstyle01"/>
          <w:color w:val="auto"/>
        </w:rPr>
        <w:instrText>":{"</w:instrText>
      </w:r>
      <w:r w:rsidR="00A02E0E">
        <w:rPr>
          <w:rStyle w:val="fontstyle01"/>
          <w:color w:val="auto"/>
          <w:lang w:val="en-US"/>
        </w:rPr>
        <w:instrText>date</w:instrText>
      </w:r>
      <w:r w:rsidR="00A02E0E" w:rsidRPr="00D15FC8">
        <w:rPr>
          <w:rStyle w:val="fontstyle01"/>
          <w:color w:val="auto"/>
        </w:rPr>
        <w:instrText>-</w:instrText>
      </w:r>
      <w:r w:rsidR="00A02E0E">
        <w:rPr>
          <w:rStyle w:val="fontstyle01"/>
          <w:color w:val="auto"/>
          <w:lang w:val="en-US"/>
        </w:rPr>
        <w:instrText>parts</w:instrText>
      </w:r>
      <w:r w:rsidR="00A02E0E" w:rsidRPr="00D15FC8">
        <w:rPr>
          <w:rStyle w:val="fontstyle01"/>
          <w:color w:val="auto"/>
        </w:rPr>
        <w:instrText>":[["2016"]]},"</w:instrText>
      </w:r>
      <w:r w:rsidR="00A02E0E">
        <w:rPr>
          <w:rStyle w:val="fontstyle01"/>
          <w:color w:val="auto"/>
          <w:lang w:val="en-US"/>
        </w:rPr>
        <w:instrText>page</w:instrText>
      </w:r>
      <w:r w:rsidR="00A02E0E" w:rsidRPr="00D15FC8">
        <w:rPr>
          <w:rStyle w:val="fontstyle01"/>
          <w:color w:val="auto"/>
        </w:rPr>
        <w:instrText>":"290-294","</w:instrText>
      </w:r>
      <w:r w:rsidR="00A02E0E">
        <w:rPr>
          <w:rStyle w:val="fontstyle01"/>
          <w:color w:val="auto"/>
          <w:lang w:val="en-US"/>
        </w:rPr>
        <w:instrText>title</w:instrText>
      </w:r>
      <w:r w:rsidR="00A02E0E" w:rsidRPr="00D15FC8">
        <w:rPr>
          <w:rStyle w:val="fontstyle01"/>
          <w:color w:val="auto"/>
        </w:rPr>
        <w:instrText>":"</w:instrText>
      </w:r>
      <w:r w:rsidR="00A02E0E">
        <w:rPr>
          <w:rStyle w:val="fontstyle01"/>
          <w:color w:val="auto"/>
          <w:lang w:val="en-US"/>
        </w:rPr>
        <w:instrText>The</w:instrText>
      </w:r>
      <w:r w:rsidR="00A02E0E" w:rsidRPr="00D15FC8">
        <w:rPr>
          <w:rStyle w:val="fontstyle01"/>
          <w:color w:val="auto"/>
        </w:rPr>
        <w:instrText xml:space="preserve"> </w:instrText>
      </w:r>
      <w:r w:rsidR="00A02E0E">
        <w:rPr>
          <w:rStyle w:val="fontstyle01"/>
          <w:color w:val="auto"/>
          <w:lang w:val="en-US"/>
        </w:rPr>
        <w:instrText>correlation</w:instrText>
      </w:r>
      <w:r w:rsidR="00A02E0E" w:rsidRPr="00D15FC8">
        <w:rPr>
          <w:rStyle w:val="fontstyle01"/>
          <w:color w:val="auto"/>
        </w:rPr>
        <w:instrText xml:space="preserve"> </w:instrText>
      </w:r>
      <w:r w:rsidR="00A02E0E">
        <w:rPr>
          <w:rStyle w:val="fontstyle01"/>
          <w:color w:val="auto"/>
          <w:lang w:val="en-US"/>
        </w:rPr>
        <w:instrText>of</w:instrText>
      </w:r>
      <w:r w:rsidR="00A02E0E" w:rsidRPr="00D15FC8">
        <w:rPr>
          <w:rStyle w:val="fontstyle01"/>
          <w:color w:val="auto"/>
        </w:rPr>
        <w:instrText xml:space="preserve"> </w:instrText>
      </w:r>
      <w:r w:rsidR="00A02E0E">
        <w:rPr>
          <w:rStyle w:val="fontstyle01"/>
          <w:color w:val="auto"/>
          <w:lang w:val="en-US"/>
        </w:rPr>
        <w:instrText>serum</w:instrText>
      </w:r>
      <w:r w:rsidR="00A02E0E" w:rsidRPr="00D15FC8">
        <w:rPr>
          <w:rStyle w:val="fontstyle01"/>
          <w:color w:val="auto"/>
        </w:rPr>
        <w:instrText xml:space="preserve"> </w:instrText>
      </w:r>
      <w:r w:rsidR="00A02E0E">
        <w:rPr>
          <w:rStyle w:val="fontstyle01"/>
          <w:color w:val="auto"/>
          <w:lang w:val="en-US"/>
        </w:rPr>
        <w:instrText>eosinophil</w:instrText>
      </w:r>
      <w:r w:rsidR="00A02E0E" w:rsidRPr="00D15FC8">
        <w:rPr>
          <w:rStyle w:val="fontstyle01"/>
          <w:color w:val="auto"/>
        </w:rPr>
        <w:instrText xml:space="preserve"> </w:instrText>
      </w:r>
      <w:r w:rsidR="00A02E0E">
        <w:rPr>
          <w:rStyle w:val="fontstyle01"/>
          <w:color w:val="auto"/>
          <w:lang w:val="en-US"/>
        </w:rPr>
        <w:instrText>cationic</w:instrText>
      </w:r>
      <w:r w:rsidR="00A02E0E" w:rsidRPr="00D15FC8">
        <w:rPr>
          <w:rStyle w:val="fontstyle01"/>
          <w:color w:val="auto"/>
        </w:rPr>
        <w:instrText xml:space="preserve"> </w:instrText>
      </w:r>
      <w:r w:rsidR="00A02E0E">
        <w:rPr>
          <w:rStyle w:val="fontstyle01"/>
          <w:color w:val="auto"/>
          <w:lang w:val="en-US"/>
        </w:rPr>
        <w:instrText>protein</w:instrText>
      </w:r>
      <w:r w:rsidR="00A02E0E" w:rsidRPr="00D15FC8">
        <w:rPr>
          <w:rStyle w:val="fontstyle01"/>
          <w:color w:val="auto"/>
        </w:rPr>
        <w:instrText xml:space="preserve"> </w:instrText>
      </w:r>
      <w:r w:rsidR="00A02E0E">
        <w:rPr>
          <w:rStyle w:val="fontstyle01"/>
          <w:color w:val="auto"/>
          <w:lang w:val="en-US"/>
        </w:rPr>
        <w:instrText>level</w:instrText>
      </w:r>
      <w:r w:rsidR="00A02E0E" w:rsidRPr="00D15FC8">
        <w:rPr>
          <w:rStyle w:val="fontstyle01"/>
          <w:color w:val="auto"/>
        </w:rPr>
        <w:instrText xml:space="preserve"> </w:instrText>
      </w:r>
      <w:r w:rsidR="00A02E0E">
        <w:rPr>
          <w:rStyle w:val="fontstyle01"/>
          <w:color w:val="auto"/>
          <w:lang w:val="en-US"/>
        </w:rPr>
        <w:instrText>with</w:instrText>
      </w:r>
      <w:r w:rsidR="00A02E0E" w:rsidRPr="00D15FC8">
        <w:rPr>
          <w:rStyle w:val="fontstyle01"/>
          <w:color w:val="auto"/>
        </w:rPr>
        <w:instrText xml:space="preserve"> </w:instrText>
      </w:r>
      <w:r w:rsidR="00A02E0E">
        <w:rPr>
          <w:rStyle w:val="fontstyle01"/>
          <w:color w:val="auto"/>
          <w:lang w:val="en-US"/>
        </w:rPr>
        <w:instrText>eosinophil</w:instrText>
      </w:r>
      <w:r w:rsidR="00A02E0E" w:rsidRPr="00D15FC8">
        <w:rPr>
          <w:rStyle w:val="fontstyle01"/>
          <w:color w:val="auto"/>
        </w:rPr>
        <w:instrText xml:space="preserve"> </w:instrText>
      </w:r>
      <w:r w:rsidR="00A02E0E">
        <w:rPr>
          <w:rStyle w:val="fontstyle01"/>
          <w:color w:val="auto"/>
          <w:lang w:val="en-US"/>
        </w:rPr>
        <w:instrText>count</w:instrText>
      </w:r>
      <w:r w:rsidR="00A02E0E" w:rsidRPr="00D15FC8">
        <w:rPr>
          <w:rStyle w:val="fontstyle01"/>
          <w:color w:val="auto"/>
        </w:rPr>
        <w:instrText xml:space="preserve">, </w:instrText>
      </w:r>
      <w:r w:rsidR="00A02E0E">
        <w:rPr>
          <w:rStyle w:val="fontstyle01"/>
          <w:color w:val="auto"/>
          <w:lang w:val="en-US"/>
        </w:rPr>
        <w:instrText>and</w:instrText>
      </w:r>
      <w:r w:rsidR="00A02E0E" w:rsidRPr="00D15FC8">
        <w:rPr>
          <w:rStyle w:val="fontstyle01"/>
          <w:color w:val="auto"/>
        </w:rPr>
        <w:instrText xml:space="preserve"> </w:instrText>
      </w:r>
      <w:r w:rsidR="00A02E0E">
        <w:rPr>
          <w:rStyle w:val="fontstyle01"/>
          <w:color w:val="auto"/>
          <w:lang w:val="en-US"/>
        </w:rPr>
        <w:instrText>total</w:instrText>
      </w:r>
      <w:r w:rsidR="00A02E0E" w:rsidRPr="00D15FC8">
        <w:rPr>
          <w:rStyle w:val="fontstyle01"/>
          <w:color w:val="auto"/>
        </w:rPr>
        <w:instrText xml:space="preserve"> </w:instrText>
      </w:r>
      <w:r w:rsidR="00A02E0E">
        <w:rPr>
          <w:rStyle w:val="fontstyle01"/>
          <w:color w:val="auto"/>
          <w:lang w:val="en-US"/>
        </w:rPr>
        <w:instrText>IgE</w:instrText>
      </w:r>
      <w:r w:rsidR="00A02E0E" w:rsidRPr="00D15FC8">
        <w:rPr>
          <w:rStyle w:val="fontstyle01"/>
          <w:color w:val="auto"/>
        </w:rPr>
        <w:instrText xml:space="preserve"> </w:instrText>
      </w:r>
      <w:r w:rsidR="00A02E0E">
        <w:rPr>
          <w:rStyle w:val="fontstyle01"/>
          <w:color w:val="auto"/>
          <w:lang w:val="en-US"/>
        </w:rPr>
        <w:instrText>level</w:instrText>
      </w:r>
      <w:r w:rsidR="00A02E0E" w:rsidRPr="00D15FC8">
        <w:rPr>
          <w:rStyle w:val="fontstyle01"/>
          <w:color w:val="auto"/>
        </w:rPr>
        <w:instrText xml:space="preserve"> </w:instrText>
      </w:r>
      <w:r w:rsidR="00A02E0E">
        <w:rPr>
          <w:rStyle w:val="fontstyle01"/>
          <w:color w:val="auto"/>
          <w:lang w:val="en-US"/>
        </w:rPr>
        <w:instrText>in</w:instrText>
      </w:r>
      <w:r w:rsidR="00A02E0E" w:rsidRPr="00D15FC8">
        <w:rPr>
          <w:rStyle w:val="fontstyle01"/>
          <w:color w:val="auto"/>
        </w:rPr>
        <w:instrText xml:space="preserve"> </w:instrText>
      </w:r>
      <w:r w:rsidR="00A02E0E">
        <w:rPr>
          <w:rStyle w:val="fontstyle01"/>
          <w:color w:val="auto"/>
          <w:lang w:val="en-US"/>
        </w:rPr>
        <w:instrText>Korean</w:instrText>
      </w:r>
      <w:r w:rsidR="00A02E0E" w:rsidRPr="00D15FC8">
        <w:rPr>
          <w:rStyle w:val="fontstyle01"/>
          <w:color w:val="auto"/>
        </w:rPr>
        <w:instrText xml:space="preserve"> </w:instrText>
      </w:r>
      <w:r w:rsidR="00A02E0E">
        <w:rPr>
          <w:rStyle w:val="fontstyle01"/>
          <w:color w:val="auto"/>
          <w:lang w:val="en-US"/>
        </w:rPr>
        <w:instrText>adult</w:instrText>
      </w:r>
      <w:r w:rsidR="00A02E0E" w:rsidRPr="00D15FC8">
        <w:rPr>
          <w:rStyle w:val="fontstyle01"/>
          <w:color w:val="auto"/>
        </w:rPr>
        <w:instrText xml:space="preserve"> </w:instrText>
      </w:r>
      <w:r w:rsidR="00A02E0E">
        <w:rPr>
          <w:rStyle w:val="fontstyle01"/>
          <w:color w:val="auto"/>
          <w:lang w:val="en-US"/>
        </w:rPr>
        <w:instrText>allergic</w:instrText>
      </w:r>
      <w:r w:rsidR="00A02E0E" w:rsidRPr="00D15FC8">
        <w:rPr>
          <w:rStyle w:val="fontstyle01"/>
          <w:color w:val="auto"/>
        </w:rPr>
        <w:instrText xml:space="preserve"> </w:instrText>
      </w:r>
      <w:r w:rsidR="00A02E0E">
        <w:rPr>
          <w:rStyle w:val="fontstyle01"/>
          <w:color w:val="auto"/>
          <w:lang w:val="en-US"/>
        </w:rPr>
        <w:instrText>rhinitis</w:instrText>
      </w:r>
      <w:r w:rsidR="00A02E0E" w:rsidRPr="00D15FC8">
        <w:rPr>
          <w:rStyle w:val="fontstyle01"/>
          <w:color w:val="auto"/>
        </w:rPr>
        <w:instrText xml:space="preserve"> </w:instrText>
      </w:r>
      <w:r w:rsidR="00A02E0E">
        <w:rPr>
          <w:rStyle w:val="fontstyle01"/>
          <w:color w:val="auto"/>
          <w:lang w:val="en-US"/>
        </w:rPr>
        <w:instrText>patients</w:instrText>
      </w:r>
      <w:r w:rsidR="00A02E0E" w:rsidRPr="00D15FC8">
        <w:rPr>
          <w:rStyle w:val="fontstyle01"/>
          <w:color w:val="auto"/>
        </w:rPr>
        <w:instrText>","</w:instrText>
      </w:r>
      <w:r w:rsidR="00A02E0E">
        <w:rPr>
          <w:rStyle w:val="fontstyle01"/>
          <w:color w:val="auto"/>
          <w:lang w:val="en-US"/>
        </w:rPr>
        <w:instrText>type</w:instrText>
      </w:r>
      <w:r w:rsidR="00A02E0E" w:rsidRPr="00D15FC8">
        <w:rPr>
          <w:rStyle w:val="fontstyle01"/>
          <w:color w:val="auto"/>
        </w:rPr>
        <w:instrText>":"</w:instrText>
      </w:r>
      <w:r w:rsidR="00A02E0E">
        <w:rPr>
          <w:rStyle w:val="fontstyle01"/>
          <w:color w:val="auto"/>
          <w:lang w:val="en-US"/>
        </w:rPr>
        <w:instrText>article</w:instrText>
      </w:r>
      <w:r w:rsidR="00A02E0E" w:rsidRPr="00D15FC8">
        <w:rPr>
          <w:rStyle w:val="fontstyle01"/>
          <w:color w:val="auto"/>
        </w:rPr>
        <w:instrText>-</w:instrText>
      </w:r>
      <w:r w:rsidR="00A02E0E">
        <w:rPr>
          <w:rStyle w:val="fontstyle01"/>
          <w:color w:val="auto"/>
          <w:lang w:val="en-US"/>
        </w:rPr>
        <w:instrText>journal</w:instrText>
      </w:r>
      <w:r w:rsidR="00A02E0E" w:rsidRPr="00D15FC8">
        <w:rPr>
          <w:rStyle w:val="fontstyle01"/>
          <w:color w:val="auto"/>
        </w:rPr>
        <w:instrText>","</w:instrText>
      </w:r>
      <w:r w:rsidR="00A02E0E">
        <w:rPr>
          <w:rStyle w:val="fontstyle01"/>
          <w:color w:val="auto"/>
          <w:lang w:val="en-US"/>
        </w:rPr>
        <w:instrText>volume</w:instrText>
      </w:r>
      <w:r w:rsidR="00A02E0E" w:rsidRPr="00D15FC8">
        <w:rPr>
          <w:rStyle w:val="fontstyle01"/>
          <w:color w:val="auto"/>
        </w:rPr>
        <w:instrText>":"34"},"</w:instrText>
      </w:r>
      <w:r w:rsidR="00A02E0E">
        <w:rPr>
          <w:rStyle w:val="fontstyle01"/>
          <w:color w:val="auto"/>
          <w:lang w:val="en-US"/>
        </w:rPr>
        <w:instrText>uris</w:instrText>
      </w:r>
      <w:r w:rsidR="00A02E0E" w:rsidRPr="00D15FC8">
        <w:rPr>
          <w:rStyle w:val="fontstyle01"/>
          <w:color w:val="auto"/>
        </w:rPr>
        <w:instrText>":["</w:instrText>
      </w:r>
      <w:r w:rsidR="00A02E0E">
        <w:rPr>
          <w:rStyle w:val="fontstyle01"/>
          <w:color w:val="auto"/>
          <w:lang w:val="en-US"/>
        </w:rPr>
        <w:instrText>http</w:instrText>
      </w:r>
      <w:r w:rsidR="00A02E0E" w:rsidRPr="00D15FC8">
        <w:rPr>
          <w:rStyle w:val="fontstyle01"/>
          <w:color w:val="auto"/>
        </w:rPr>
        <w:instrText>://</w:instrText>
      </w:r>
      <w:r w:rsidR="00A02E0E">
        <w:rPr>
          <w:rStyle w:val="fontstyle01"/>
          <w:color w:val="auto"/>
          <w:lang w:val="en-US"/>
        </w:rPr>
        <w:instrText>www</w:instrText>
      </w:r>
      <w:r w:rsidR="00A02E0E" w:rsidRPr="00D15FC8">
        <w:rPr>
          <w:rStyle w:val="fontstyle01"/>
          <w:color w:val="auto"/>
        </w:rPr>
        <w:instrText>.</w:instrText>
      </w:r>
      <w:r w:rsidR="00A02E0E">
        <w:rPr>
          <w:rStyle w:val="fontstyle01"/>
          <w:color w:val="auto"/>
          <w:lang w:val="en-US"/>
        </w:rPr>
        <w:instrText>mendeley</w:instrText>
      </w:r>
      <w:r w:rsidR="00A02E0E" w:rsidRPr="00D15FC8">
        <w:rPr>
          <w:rStyle w:val="fontstyle01"/>
          <w:color w:val="auto"/>
        </w:rPr>
        <w:instrText>.</w:instrText>
      </w:r>
      <w:r w:rsidR="00A02E0E">
        <w:rPr>
          <w:rStyle w:val="fontstyle01"/>
          <w:color w:val="auto"/>
          <w:lang w:val="en-US"/>
        </w:rPr>
        <w:instrText>com</w:instrText>
      </w:r>
      <w:r w:rsidR="00A02E0E" w:rsidRPr="00D15FC8">
        <w:rPr>
          <w:rStyle w:val="fontstyle01"/>
          <w:color w:val="auto"/>
        </w:rPr>
        <w:instrText>/</w:instrText>
      </w:r>
      <w:r w:rsidR="00A02E0E">
        <w:rPr>
          <w:rStyle w:val="fontstyle01"/>
          <w:color w:val="auto"/>
          <w:lang w:val="en-US"/>
        </w:rPr>
        <w:instrText>documents</w:instrText>
      </w:r>
      <w:r w:rsidR="00A02E0E" w:rsidRPr="00D15FC8">
        <w:rPr>
          <w:rStyle w:val="fontstyle01"/>
          <w:color w:val="auto"/>
        </w:rPr>
        <w:instrText>/?</w:instrText>
      </w:r>
      <w:r w:rsidR="00A02E0E">
        <w:rPr>
          <w:rStyle w:val="fontstyle01"/>
          <w:color w:val="auto"/>
          <w:lang w:val="en-US"/>
        </w:rPr>
        <w:instrText>uuid</w:instrText>
      </w:r>
      <w:r w:rsidR="00A02E0E" w:rsidRPr="00D15FC8">
        <w:rPr>
          <w:rStyle w:val="fontstyle01"/>
          <w:color w:val="auto"/>
        </w:rPr>
        <w:instrText>=942</w:instrText>
      </w:r>
      <w:r w:rsidR="00A02E0E">
        <w:rPr>
          <w:rStyle w:val="fontstyle01"/>
          <w:color w:val="auto"/>
          <w:lang w:val="en-US"/>
        </w:rPr>
        <w:instrText>e</w:instrText>
      </w:r>
      <w:r w:rsidR="00A02E0E" w:rsidRPr="00D15FC8">
        <w:rPr>
          <w:rStyle w:val="fontstyle01"/>
          <w:color w:val="auto"/>
        </w:rPr>
        <w:instrText>0</w:instrText>
      </w:r>
      <w:r w:rsidR="00A02E0E">
        <w:rPr>
          <w:rStyle w:val="fontstyle01"/>
          <w:color w:val="auto"/>
          <w:lang w:val="en-US"/>
        </w:rPr>
        <w:instrText>c</w:instrText>
      </w:r>
      <w:r w:rsidR="00A02E0E" w:rsidRPr="00D15FC8">
        <w:rPr>
          <w:rStyle w:val="fontstyle01"/>
          <w:color w:val="auto"/>
        </w:rPr>
        <w:instrText>57-</w:instrText>
      </w:r>
      <w:r w:rsidR="00A02E0E">
        <w:rPr>
          <w:rStyle w:val="fontstyle01"/>
          <w:color w:val="auto"/>
          <w:lang w:val="en-US"/>
        </w:rPr>
        <w:instrText>fe</w:instrText>
      </w:r>
      <w:r w:rsidR="00A02E0E" w:rsidRPr="00D15FC8">
        <w:rPr>
          <w:rStyle w:val="fontstyle01"/>
          <w:color w:val="auto"/>
        </w:rPr>
        <w:instrText>64-47</w:instrText>
      </w:r>
      <w:r w:rsidR="00A02E0E">
        <w:rPr>
          <w:rStyle w:val="fontstyle01"/>
          <w:color w:val="auto"/>
          <w:lang w:val="en-US"/>
        </w:rPr>
        <w:instrText>b</w:instrText>
      </w:r>
      <w:r w:rsidR="00A02E0E" w:rsidRPr="00D15FC8">
        <w:rPr>
          <w:rStyle w:val="fontstyle01"/>
          <w:color w:val="auto"/>
        </w:rPr>
        <w:instrText>4-8</w:instrText>
      </w:r>
      <w:r w:rsidR="00A02E0E">
        <w:rPr>
          <w:rStyle w:val="fontstyle01"/>
          <w:color w:val="auto"/>
          <w:lang w:val="en-US"/>
        </w:rPr>
        <w:instrText>b</w:instrText>
      </w:r>
      <w:r w:rsidR="00A02E0E" w:rsidRPr="00D15FC8">
        <w:rPr>
          <w:rStyle w:val="fontstyle01"/>
          <w:color w:val="auto"/>
        </w:rPr>
        <w:instrText>36-</w:instrText>
      </w:r>
      <w:r w:rsidR="00A02E0E">
        <w:rPr>
          <w:rStyle w:val="fontstyle01"/>
          <w:color w:val="auto"/>
          <w:lang w:val="en-US"/>
        </w:rPr>
        <w:instrText>c</w:instrText>
      </w:r>
      <w:r w:rsidR="00A02E0E" w:rsidRPr="00D15FC8">
        <w:rPr>
          <w:rStyle w:val="fontstyle01"/>
          <w:color w:val="auto"/>
        </w:rPr>
        <w:instrText>6957</w:instrText>
      </w:r>
      <w:r w:rsidR="00A02E0E">
        <w:rPr>
          <w:rStyle w:val="fontstyle01"/>
          <w:color w:val="auto"/>
          <w:lang w:val="en-US"/>
        </w:rPr>
        <w:instrText>f</w:instrText>
      </w:r>
      <w:r w:rsidR="00A02E0E" w:rsidRPr="00D15FC8">
        <w:rPr>
          <w:rStyle w:val="fontstyle01"/>
          <w:color w:val="auto"/>
        </w:rPr>
        <w:instrText>80</w:instrText>
      </w:r>
      <w:r w:rsidR="00A02E0E">
        <w:rPr>
          <w:rStyle w:val="fontstyle01"/>
          <w:color w:val="auto"/>
          <w:lang w:val="en-US"/>
        </w:rPr>
        <w:instrText>f</w:instrText>
      </w:r>
      <w:r w:rsidR="00A02E0E" w:rsidRPr="00D15FC8">
        <w:rPr>
          <w:rStyle w:val="fontstyle01"/>
          <w:color w:val="auto"/>
        </w:rPr>
        <w:instrText>7</w:instrText>
      </w:r>
      <w:r w:rsidR="00A02E0E">
        <w:rPr>
          <w:rStyle w:val="fontstyle01"/>
          <w:color w:val="auto"/>
          <w:lang w:val="en-US"/>
        </w:rPr>
        <w:instrText>fd</w:instrText>
      </w:r>
      <w:r w:rsidR="00A02E0E" w:rsidRPr="00D15FC8">
        <w:rPr>
          <w:rStyle w:val="fontstyle01"/>
          <w:color w:val="auto"/>
        </w:rPr>
        <w:instrText>"]}],"</w:instrText>
      </w:r>
      <w:r w:rsidR="00A02E0E">
        <w:rPr>
          <w:rStyle w:val="fontstyle01"/>
          <w:color w:val="auto"/>
          <w:lang w:val="en-US"/>
        </w:rPr>
        <w:instrText>mendeley</w:instrText>
      </w:r>
      <w:r w:rsidR="00A02E0E" w:rsidRPr="00D15FC8">
        <w:rPr>
          <w:rStyle w:val="fontstyle01"/>
          <w:color w:val="auto"/>
        </w:rPr>
        <w:instrText>":{"</w:instrText>
      </w:r>
      <w:r w:rsidR="00A02E0E">
        <w:rPr>
          <w:rStyle w:val="fontstyle01"/>
          <w:color w:val="auto"/>
          <w:lang w:val="en-US"/>
        </w:rPr>
        <w:instrText>formattedCitation</w:instrText>
      </w:r>
      <w:r w:rsidR="00A02E0E" w:rsidRPr="00D15FC8">
        <w:rPr>
          <w:rStyle w:val="fontstyle01"/>
          <w:color w:val="auto"/>
        </w:rPr>
        <w:instrText>":"[106]","</w:instrText>
      </w:r>
      <w:r w:rsidR="00A02E0E">
        <w:rPr>
          <w:rStyle w:val="fontstyle01"/>
          <w:color w:val="auto"/>
          <w:lang w:val="en-US"/>
        </w:rPr>
        <w:instrText>plainTextFormattedCitation</w:instrText>
      </w:r>
      <w:r w:rsidR="00A02E0E" w:rsidRPr="00D15FC8">
        <w:rPr>
          <w:rStyle w:val="fontstyle01"/>
          <w:color w:val="auto"/>
        </w:rPr>
        <w:instrText>":"[106]","</w:instrText>
      </w:r>
      <w:r w:rsidR="00A02E0E">
        <w:rPr>
          <w:rStyle w:val="fontstyle01"/>
          <w:color w:val="auto"/>
          <w:lang w:val="en-US"/>
        </w:rPr>
        <w:instrText>previouslyFormattedCitation</w:instrText>
      </w:r>
      <w:r w:rsidR="00A02E0E" w:rsidRPr="00D15FC8">
        <w:rPr>
          <w:rStyle w:val="fontstyle01"/>
          <w:color w:val="auto"/>
        </w:rPr>
        <w:instrText>":"[106]"},"</w:instrText>
      </w:r>
      <w:r w:rsidR="00A02E0E">
        <w:rPr>
          <w:rStyle w:val="fontstyle01"/>
          <w:color w:val="auto"/>
          <w:lang w:val="en-US"/>
        </w:rPr>
        <w:instrText>properties</w:instrText>
      </w:r>
      <w:r w:rsidR="00A02E0E" w:rsidRPr="00D15FC8">
        <w:rPr>
          <w:rStyle w:val="fontstyle01"/>
          <w:color w:val="auto"/>
        </w:rPr>
        <w:instrText>":{"</w:instrText>
      </w:r>
      <w:r w:rsidR="00A02E0E">
        <w:rPr>
          <w:rStyle w:val="fontstyle01"/>
          <w:color w:val="auto"/>
          <w:lang w:val="en-US"/>
        </w:rPr>
        <w:instrText>noteIndex</w:instrText>
      </w:r>
      <w:r w:rsidR="00A02E0E" w:rsidRPr="00D15FC8">
        <w:rPr>
          <w:rStyle w:val="fontstyle01"/>
          <w:color w:val="auto"/>
        </w:rPr>
        <w:instrText>":0},"</w:instrText>
      </w:r>
      <w:r w:rsidR="00A02E0E">
        <w:rPr>
          <w:rStyle w:val="fontstyle01"/>
          <w:color w:val="auto"/>
          <w:lang w:val="en-US"/>
        </w:rPr>
        <w:instrText>schema</w:instrText>
      </w:r>
      <w:r w:rsidR="00A02E0E" w:rsidRPr="00D15FC8">
        <w:rPr>
          <w:rStyle w:val="fontstyle01"/>
          <w:color w:val="auto"/>
        </w:rPr>
        <w:instrText>":"</w:instrText>
      </w:r>
      <w:r w:rsidR="00A02E0E">
        <w:rPr>
          <w:rStyle w:val="fontstyle01"/>
          <w:color w:val="auto"/>
          <w:lang w:val="en-US"/>
        </w:rPr>
        <w:instrText>https</w:instrText>
      </w:r>
      <w:r w:rsidR="00A02E0E" w:rsidRPr="00D15FC8">
        <w:rPr>
          <w:rStyle w:val="fontstyle01"/>
          <w:color w:val="auto"/>
        </w:rPr>
        <w:instrText>://</w:instrText>
      </w:r>
      <w:r w:rsidR="00A02E0E">
        <w:rPr>
          <w:rStyle w:val="fontstyle01"/>
          <w:color w:val="auto"/>
          <w:lang w:val="en-US"/>
        </w:rPr>
        <w:instrText>github</w:instrText>
      </w:r>
      <w:r w:rsidR="00A02E0E" w:rsidRPr="00D15FC8">
        <w:rPr>
          <w:rStyle w:val="fontstyle01"/>
          <w:color w:val="auto"/>
        </w:rPr>
        <w:instrText>.</w:instrText>
      </w:r>
      <w:r w:rsidR="00A02E0E">
        <w:rPr>
          <w:rStyle w:val="fontstyle01"/>
          <w:color w:val="auto"/>
          <w:lang w:val="en-US"/>
        </w:rPr>
        <w:instrText>com</w:instrText>
      </w:r>
      <w:r w:rsidR="00A02E0E" w:rsidRPr="00D15FC8">
        <w:rPr>
          <w:rStyle w:val="fontstyle01"/>
          <w:color w:val="auto"/>
        </w:rPr>
        <w:instrText>/</w:instrText>
      </w:r>
      <w:r w:rsidR="00A02E0E">
        <w:rPr>
          <w:rStyle w:val="fontstyle01"/>
          <w:color w:val="auto"/>
          <w:lang w:val="en-US"/>
        </w:rPr>
        <w:instrText>citation</w:instrText>
      </w:r>
      <w:r w:rsidR="00A02E0E" w:rsidRPr="00D15FC8">
        <w:rPr>
          <w:rStyle w:val="fontstyle01"/>
          <w:color w:val="auto"/>
        </w:rPr>
        <w:instrText>-</w:instrText>
      </w:r>
      <w:r w:rsidR="00A02E0E">
        <w:rPr>
          <w:rStyle w:val="fontstyle01"/>
          <w:color w:val="auto"/>
          <w:lang w:val="en-US"/>
        </w:rPr>
        <w:instrText>style</w:instrText>
      </w:r>
      <w:r w:rsidR="00A02E0E" w:rsidRPr="00D15FC8">
        <w:rPr>
          <w:rStyle w:val="fontstyle01"/>
          <w:color w:val="auto"/>
        </w:rPr>
        <w:instrText>-</w:instrText>
      </w:r>
      <w:r w:rsidR="00A02E0E">
        <w:rPr>
          <w:rStyle w:val="fontstyle01"/>
          <w:color w:val="auto"/>
          <w:lang w:val="en-US"/>
        </w:rPr>
        <w:instrText>language</w:instrText>
      </w:r>
      <w:r w:rsidR="00A02E0E" w:rsidRPr="00D15FC8">
        <w:rPr>
          <w:rStyle w:val="fontstyle01"/>
          <w:color w:val="auto"/>
        </w:rPr>
        <w:instrText>/</w:instrText>
      </w:r>
      <w:r w:rsidR="00A02E0E">
        <w:rPr>
          <w:rStyle w:val="fontstyle01"/>
          <w:color w:val="auto"/>
          <w:lang w:val="en-US"/>
        </w:rPr>
        <w:instrText>schema</w:instrText>
      </w:r>
      <w:r w:rsidR="00A02E0E" w:rsidRPr="00D15FC8">
        <w:rPr>
          <w:rStyle w:val="fontstyle01"/>
          <w:color w:val="auto"/>
        </w:rPr>
        <w:instrText>/</w:instrText>
      </w:r>
      <w:r w:rsidR="00A02E0E">
        <w:rPr>
          <w:rStyle w:val="fontstyle01"/>
          <w:color w:val="auto"/>
          <w:lang w:val="en-US"/>
        </w:rPr>
        <w:instrText>raw</w:instrText>
      </w:r>
      <w:r w:rsidR="00A02E0E" w:rsidRPr="00D15FC8">
        <w:rPr>
          <w:rStyle w:val="fontstyle01"/>
          <w:color w:val="auto"/>
        </w:rPr>
        <w:instrText>/</w:instrText>
      </w:r>
      <w:r w:rsidR="00A02E0E">
        <w:rPr>
          <w:rStyle w:val="fontstyle01"/>
          <w:color w:val="auto"/>
          <w:lang w:val="en-US"/>
        </w:rPr>
        <w:instrText>master</w:instrText>
      </w:r>
      <w:r w:rsidR="00A02E0E" w:rsidRPr="00D15FC8">
        <w:rPr>
          <w:rStyle w:val="fontstyle01"/>
          <w:color w:val="auto"/>
        </w:rPr>
        <w:instrText>/</w:instrText>
      </w:r>
      <w:r w:rsidR="00A02E0E">
        <w:rPr>
          <w:rStyle w:val="fontstyle01"/>
          <w:color w:val="auto"/>
          <w:lang w:val="en-US"/>
        </w:rPr>
        <w:instrText>csl</w:instrText>
      </w:r>
      <w:r w:rsidR="00A02E0E" w:rsidRPr="00D15FC8">
        <w:rPr>
          <w:rStyle w:val="fontstyle01"/>
          <w:color w:val="auto"/>
        </w:rPr>
        <w:instrText>-</w:instrText>
      </w:r>
      <w:r w:rsidR="00A02E0E">
        <w:rPr>
          <w:rStyle w:val="fontstyle01"/>
          <w:color w:val="auto"/>
          <w:lang w:val="en-US"/>
        </w:rPr>
        <w:instrText>citation</w:instrText>
      </w:r>
      <w:r w:rsidR="00A02E0E" w:rsidRPr="00D15FC8">
        <w:rPr>
          <w:rStyle w:val="fontstyle01"/>
          <w:color w:val="auto"/>
        </w:rPr>
        <w:instrText>.</w:instrText>
      </w:r>
      <w:r w:rsidR="00A02E0E">
        <w:rPr>
          <w:rStyle w:val="fontstyle01"/>
          <w:color w:val="auto"/>
          <w:lang w:val="en-US"/>
        </w:rPr>
        <w:instrText>json</w:instrText>
      </w:r>
      <w:r w:rsidR="00A02E0E" w:rsidRPr="00D15FC8">
        <w:rPr>
          <w:rStyle w:val="fontstyle01"/>
          <w:color w:val="auto"/>
        </w:rPr>
        <w:instrText>"}</w:instrText>
      </w:r>
      <w:r w:rsidR="00DA6141" w:rsidRPr="001B27F8">
        <w:rPr>
          <w:rStyle w:val="fontstyle01"/>
          <w:color w:val="auto"/>
          <w:lang w:val="en-US"/>
        </w:rPr>
        <w:fldChar w:fldCharType="separate"/>
      </w:r>
      <w:r w:rsidR="00332566" w:rsidRPr="00332566">
        <w:rPr>
          <w:rStyle w:val="fontstyle01"/>
          <w:noProof/>
          <w:color w:val="auto"/>
        </w:rPr>
        <w:t>[106]</w:t>
      </w:r>
      <w:r w:rsidR="00DA6141" w:rsidRPr="001B27F8">
        <w:rPr>
          <w:rStyle w:val="fontstyle01"/>
          <w:color w:val="auto"/>
          <w:lang w:val="en-US"/>
        </w:rPr>
        <w:fldChar w:fldCharType="end"/>
      </w:r>
      <w:r w:rsidR="00DA6141" w:rsidRPr="001B27F8">
        <w:rPr>
          <w:rStyle w:val="fontstyle01"/>
          <w:color w:val="auto"/>
        </w:rPr>
        <w:t>.</w:t>
      </w:r>
    </w:p>
    <w:p w14:paraId="3A9B8F6F" w14:textId="3E202FCA" w:rsidR="00E4585E" w:rsidRPr="001B27F8" w:rsidRDefault="00E85A83" w:rsidP="001B27F8">
      <w:pPr>
        <w:tabs>
          <w:tab w:val="left" w:pos="851"/>
        </w:tabs>
        <w:spacing w:after="0" w:line="240" w:lineRule="auto"/>
        <w:ind w:firstLine="567"/>
        <w:jc w:val="both"/>
        <w:rPr>
          <w:rFonts w:ascii="Times New Roman" w:hAnsi="Times New Roman" w:cs="Times New Roman"/>
          <w:sz w:val="28"/>
          <w:szCs w:val="28"/>
        </w:rPr>
      </w:pPr>
      <w:r w:rsidRPr="001B27F8">
        <w:rPr>
          <w:rFonts w:ascii="Times New Roman" w:hAnsi="Times New Roman" w:cs="Times New Roman"/>
          <w:sz w:val="28"/>
          <w:szCs w:val="28"/>
        </w:rPr>
        <w:t>Измерение концентрации ЭКБ в крови обосновано для</w:t>
      </w:r>
      <w:r w:rsidR="0003687D" w:rsidRPr="001B27F8">
        <w:rPr>
          <w:rFonts w:ascii="Times New Roman" w:hAnsi="Times New Roman" w:cs="Times New Roman"/>
          <w:sz w:val="28"/>
          <w:szCs w:val="28"/>
        </w:rPr>
        <w:t xml:space="preserve"> мониторинга прогрессирования заболевания,</w:t>
      </w:r>
      <w:r w:rsidRPr="001B27F8">
        <w:rPr>
          <w:rFonts w:ascii="Times New Roman" w:hAnsi="Times New Roman" w:cs="Times New Roman"/>
          <w:sz w:val="28"/>
          <w:szCs w:val="28"/>
        </w:rPr>
        <w:t xml:space="preserve"> определения стадии заболевания и оценки эффективности </w:t>
      </w:r>
      <w:r w:rsidR="00970E39" w:rsidRPr="001B27F8">
        <w:rPr>
          <w:rFonts w:ascii="Times New Roman" w:hAnsi="Times New Roman" w:cs="Times New Roman"/>
          <w:sz w:val="28"/>
          <w:szCs w:val="28"/>
        </w:rPr>
        <w:t>АСИТ</w:t>
      </w:r>
      <w:r w:rsidR="00994ED9" w:rsidRPr="001B27F8">
        <w:rPr>
          <w:rFonts w:ascii="Times New Roman" w:hAnsi="Times New Roman" w:cs="Times New Roman"/>
          <w:sz w:val="28"/>
          <w:szCs w:val="28"/>
        </w:rPr>
        <w:t xml:space="preserve"> </w:t>
      </w:r>
      <w:r w:rsidR="00994ED9" w:rsidRPr="001B27F8">
        <w:rPr>
          <w:rFonts w:ascii="Times New Roman" w:hAnsi="Times New Roman" w:cs="Times New Roman"/>
          <w:sz w:val="28"/>
          <w:szCs w:val="28"/>
        </w:rPr>
        <w:fldChar w:fldCharType="begin" w:fldLock="1"/>
      </w:r>
      <w:r w:rsidR="00A02E0E">
        <w:rPr>
          <w:rFonts w:ascii="Times New Roman" w:hAnsi="Times New Roman" w:cs="Times New Roman"/>
          <w:sz w:val="28"/>
          <w:szCs w:val="28"/>
        </w:rPr>
        <w:instrText>ADDIN CSL_CITATION {"citationItems":[{"id":"ITEM-1","itemData":{"DOI":"10.20953/1817-7646-2019-5-71-77","ISSN":"18177646","abstract":"Active investigation of the pathogenesis of allergic disease in the past decade resulted in the development of new methods of diagnosis, monitoring, and control of the inflammatory process. Eosinophil cationic protein (ECP) is one of the active markers of inflammation produced by eosinophils. Mechanisms of eosinophil degranulation differ in IgE-dependent and IgE-independent allergic and inflammatory disorders. Elevated levels of ECP in body fluids or substances (such as blood, feces, breast milk, bronchoalveolar fluid, etc.) are associated with the cytolysis of eosinophils and may indirectly indicate the affected site. Disagreement between the ECP level and other allergy markers indicates possible involvement of this protein in all types of immune reactions. Presumably, strong correlation between ECP and total immunoglobulin E levels suggests a typical allergic reaction (atopy). No association between these parameters may indicate a non-allergic, autoimmune inflammatory process or atypical allergy. This manuscript describes many examples of ECP use in the diagnosis of various disease; there is some heterogeneity and controversy in conclusions about expediency of ECP measurement. Nevertheless, we believe that controversial issues about the diagnostic value of ECP should be addressed from the point of view of the pathogenesis of allergic and inflammatory diseases and taking into account the existing mechanism of eosinophil degranulation.","author":[{"dropping-particle":"","family":"Абдуллаева","given":"Г.Д.","non-dropping-particle":"","parse-names":false,"suffix":""},{"dropping-particle":"","family":"Аминова","given":"А.И.","non-dropping-particle":"","parse-names":false,"suffix":""},{"dropping-particle":"","family":"Юдина","given":"Ю.В.","non-dropping-particle":"","parse-names":false,"suffix":""},{"dropping-particle":"","family":"Продеус","given":"А.П.","non-dropping-particle":"","parse-names":false,"suffix":""},{"dropping-particle":"","family":"Ерюшова","given":"Т.Ю.","non-dropping-particle":"","parse-names":false,"suffix":""},{"dropping-particle":"","family":"Гумбатова","given":"З.Ф.","non-dropping-particle":"","parse-names":false,"suffix":""}],"container-title":"Вопросы практической педиатрии","id":"ITEM-1","issue":"5","issued":{"date-parts":[["2019"]]},"page":"71-77","title":"Эозинофильный катионный белок – спорные вопросы диагностической ценности при аллергических заболеваниях","type":"article-journal","volume":"14"},"uris":["http://www.mendeley.com/documents/?uuid=9d92425d-e213-4b61-9786-3e691ac9ef99"]},{"id":"ITEM-2","itemData":{"DOI":"10.34689/SH.2020.22.1.004","author":[{"dropping-particle":"","family":"Измайлович","given":"М.Р.","non-dropping-particle":"","parse-names":false,"suffix":""},{"dropping-particle":"","family":"Газалиева","given":"М.А.","non-dropping-particle":"","parse-names":false,"suffix":""},{"dropping-particle":"","family":"Глушкова","given":"Н.Е.","non-dropping-particle":"","parse-names":false,"suffix":""},{"dropping-particle":"","family":"Абуова","given":"Г.Т.","non-dropping-particle":"","parse-names":false,"suffix":""},{"dropping-particle":"","family":"Касымбекова","given":"Б.К.","non-dropping-particle":"","parse-names":false,"suffix":""},{"dropping-particle":"","family":"Кошкарбаева","given":"Б.С.","non-dropping-particle":"","parse-names":false,"suffix":""}],"container-title":"Наука и Здравоохранение","id":"ITEM-2","issue":"1","issued":{"date-parts":[["2020"]]},"page":"39-46","title":"Эозинофильный катионный белок у пациентов с аллергическими ринитами","type":"article-journal","volume":"22"},"uris":["http://www.mendeley.com/documents/?uuid=516549a1-2039-4131-b69c-05d1c7941030"]},{"id":"ITEM-3","itemData":{"DOI":"10.1097/ACI.0b013e32834eccaf","ISSN":"15284050","PMID":"22157160","abstract":"Purpose of review: Eosinophil granulocyte myeloid cells are increased in atopic and nonatopic rhinitis, chronic rhinosinusitis (CRS) and atopic keratoconjunctivitis, diseases of the upper respiratory tract. Eosinophils contain several basic granule proteins, the best known being the eosinophil cationic protein (ECP). ECP is a cytotoxic, profibrotic ribonuclease, which is found deposited in these eosinophil-related diseases and is often used in parallel with blood eosinophilia to monitor those diseases. The contribution of eosinophils and their granule proteins to disease pathogenesis have been debated; recent findings might bring these cells to the center of attention. Recent findings: Novel mediators of atopic disease, interleukin-17 (IL-17) and IL-33 have been found in the upper respiratory tract. These cytokines stimulate eosinophils to survival and degranulation, IL-17 via granulocytemacrophage colony-stimulating factor (GM-CSF), and IL-33 directly. Transforming growth factor (TGF)-β has been found in CRS and atopic keratoconjunctivitis mucosa, its production possibly stimulated by ECP. ECP is detected in nasal mucosa of local allergic reactions, entopy, in rhinitis and CRS. ECP might be released from freely circulating eosinophil granules or in association with eosinophil mitochondrial DNA, both means of release for pathogen defence. Summary: Novel evidence suggests that eosinophils and ECP might have new prominent roles in development of diseases of the upper respiratory tract. © 2012 Wolters Kluwer Health.","author":[{"dropping-particle":"","family":"Bystrom","given":"Jonas","non-dropping-particle":"","parse-names":false,"suffix":""},{"dropping-particle":"","family":"Patel","given":"Smita Y.","non-dropping-particle":"","parse-names":false,"suffix":""},{"dropping-particle":"","family":"Amin","given":"Kawa","non-dropping-particle":"","parse-names":false,"suffix":""},{"dropping-particle":"","family":"Bishop-Bailey","given":"David","non-dropping-particle":"","parse-names":false,"suffix":""}],"container-title":"Current Opinion in Allergy and Clinical Immunology","id":"ITEM-3","issue":"1","issued":{"date-parts":[["2012"]]},"page":"18-23","title":"Dissecting the role of eosinophil cationic protein in upper airway disease","type":"article-journal","volume":"12"},"uris":["http://www.mendeley.com/documents/?uuid=b40b0284-c2c1-48dd-bb2b-37569eee7236"]}],"mendeley":{"formattedCitation":"[112–114]","plainTextFormattedCitation":"[112–114]","previouslyFormattedCitation":"[112–114]"},"properties":{"noteIndex":0},"schema":"https://github.com/citation-style-language/schema/raw/master/csl-citation.json"}</w:instrText>
      </w:r>
      <w:r w:rsidR="00994ED9" w:rsidRPr="001B27F8">
        <w:rPr>
          <w:rFonts w:ascii="Times New Roman" w:hAnsi="Times New Roman" w:cs="Times New Roman"/>
          <w:sz w:val="28"/>
          <w:szCs w:val="28"/>
        </w:rPr>
        <w:fldChar w:fldCharType="separate"/>
      </w:r>
      <w:r w:rsidR="00332566" w:rsidRPr="00332566">
        <w:rPr>
          <w:rFonts w:ascii="Times New Roman" w:hAnsi="Times New Roman" w:cs="Times New Roman"/>
          <w:noProof/>
          <w:sz w:val="28"/>
          <w:szCs w:val="28"/>
        </w:rPr>
        <w:t>[112–114]</w:t>
      </w:r>
      <w:r w:rsidR="00994ED9" w:rsidRPr="001B27F8">
        <w:rPr>
          <w:rFonts w:ascii="Times New Roman" w:hAnsi="Times New Roman" w:cs="Times New Roman"/>
          <w:sz w:val="28"/>
          <w:szCs w:val="28"/>
        </w:rPr>
        <w:fldChar w:fldCharType="end"/>
      </w:r>
      <w:r w:rsidRPr="001B27F8">
        <w:rPr>
          <w:rFonts w:ascii="Times New Roman" w:hAnsi="Times New Roman" w:cs="Times New Roman"/>
          <w:sz w:val="28"/>
          <w:szCs w:val="28"/>
        </w:rPr>
        <w:t>.</w:t>
      </w:r>
      <w:r w:rsidR="00970E39" w:rsidRPr="001B27F8">
        <w:rPr>
          <w:rFonts w:ascii="Times New Roman" w:hAnsi="Times New Roman" w:cs="Times New Roman"/>
          <w:sz w:val="28"/>
          <w:szCs w:val="28"/>
        </w:rPr>
        <w:t xml:space="preserve"> </w:t>
      </w:r>
      <w:r w:rsidR="00D401F6" w:rsidRPr="001B27F8">
        <w:rPr>
          <w:rFonts w:ascii="Times New Roman" w:hAnsi="Times New Roman" w:cs="Times New Roman"/>
          <w:sz w:val="28"/>
          <w:szCs w:val="28"/>
        </w:rPr>
        <w:t xml:space="preserve">При </w:t>
      </w:r>
      <w:r w:rsidR="00564E47" w:rsidRPr="001B27F8">
        <w:rPr>
          <w:rFonts w:ascii="Times New Roman" w:hAnsi="Times New Roman" w:cs="Times New Roman"/>
          <w:sz w:val="28"/>
          <w:szCs w:val="28"/>
        </w:rPr>
        <w:t>и</w:t>
      </w:r>
      <w:r w:rsidR="00D401F6" w:rsidRPr="001B27F8">
        <w:rPr>
          <w:rFonts w:ascii="Times New Roman" w:hAnsi="Times New Roman" w:cs="Times New Roman"/>
          <w:sz w:val="28"/>
          <w:szCs w:val="28"/>
        </w:rPr>
        <w:t>сследовании</w:t>
      </w:r>
      <w:r w:rsidR="00E4585E" w:rsidRPr="001B27F8">
        <w:rPr>
          <w:rFonts w:ascii="Times New Roman" w:hAnsi="Times New Roman" w:cs="Times New Roman"/>
          <w:sz w:val="28"/>
          <w:szCs w:val="28"/>
        </w:rPr>
        <w:t xml:space="preserve"> уровня сывороточного ЭКБ на фоне проведения аллерген-специфической иммунотерапии у пациентов с АР</w:t>
      </w:r>
      <w:r w:rsidR="00D401F6" w:rsidRPr="001B27F8">
        <w:rPr>
          <w:rFonts w:ascii="Times New Roman" w:hAnsi="Times New Roman" w:cs="Times New Roman"/>
          <w:sz w:val="28"/>
          <w:szCs w:val="28"/>
        </w:rPr>
        <w:t>, т</w:t>
      </w:r>
      <w:r w:rsidR="00E4585E" w:rsidRPr="001B27F8">
        <w:rPr>
          <w:rFonts w:ascii="Times New Roman" w:hAnsi="Times New Roman" w:cs="Times New Roman"/>
          <w:sz w:val="28"/>
          <w:szCs w:val="28"/>
        </w:rPr>
        <w:t xml:space="preserve">ерапевтическая эффективность соответствовала снижению уровня ЭКБ в сыворотке крови, что </w:t>
      </w:r>
      <w:r w:rsidR="00D401F6" w:rsidRPr="001B27F8">
        <w:rPr>
          <w:rFonts w:ascii="Times New Roman" w:hAnsi="Times New Roman" w:cs="Times New Roman"/>
          <w:sz w:val="28"/>
          <w:szCs w:val="28"/>
        </w:rPr>
        <w:t>характеризовало</w:t>
      </w:r>
      <w:r w:rsidR="00E4585E" w:rsidRPr="001B27F8">
        <w:rPr>
          <w:rFonts w:ascii="Times New Roman" w:hAnsi="Times New Roman" w:cs="Times New Roman"/>
          <w:sz w:val="28"/>
          <w:szCs w:val="28"/>
        </w:rPr>
        <w:t xml:space="preserve"> ЭКБ в качестве индикатора эффективности</w:t>
      </w:r>
      <w:r w:rsidR="00D401F6" w:rsidRPr="001B27F8">
        <w:rPr>
          <w:rFonts w:ascii="Times New Roman" w:hAnsi="Times New Roman" w:cs="Times New Roman"/>
          <w:sz w:val="28"/>
          <w:szCs w:val="28"/>
        </w:rPr>
        <w:t xml:space="preserve"> </w:t>
      </w:r>
      <w:r w:rsidR="00E4585E" w:rsidRPr="001B27F8">
        <w:rPr>
          <w:rFonts w:ascii="Times New Roman" w:hAnsi="Times New Roman" w:cs="Times New Roman"/>
          <w:sz w:val="28"/>
          <w:szCs w:val="28"/>
        </w:rPr>
        <w:t>АСИТ</w:t>
      </w:r>
      <w:r w:rsidR="00970E39" w:rsidRPr="001B27F8">
        <w:rPr>
          <w:rFonts w:ascii="Times New Roman" w:hAnsi="Times New Roman" w:cs="Times New Roman"/>
          <w:sz w:val="28"/>
          <w:szCs w:val="28"/>
        </w:rPr>
        <w:t xml:space="preserve"> </w:t>
      </w:r>
      <w:r w:rsidR="00970E39" w:rsidRPr="001B27F8">
        <w:rPr>
          <w:rFonts w:ascii="Times New Roman" w:hAnsi="Times New Roman" w:cs="Times New Roman"/>
          <w:sz w:val="28"/>
          <w:szCs w:val="28"/>
        </w:rPr>
        <w:fldChar w:fldCharType="begin" w:fldLock="1"/>
      </w:r>
      <w:r w:rsidR="00A02E0E">
        <w:rPr>
          <w:rFonts w:ascii="Times New Roman" w:hAnsi="Times New Roman" w:cs="Times New Roman"/>
          <w:sz w:val="28"/>
          <w:szCs w:val="28"/>
        </w:rPr>
        <w:instrText>ADDIN CSL_CITATION {"citationItems":[{"id":"ITEM-1","itemData":{"DOI":"10.34689/SH.2020.22.1.004","author":[{"dropping-particle":"","family":"Измайлович","given":"М.Р.","non-dropping-particle":"","parse-names":false,"suffix":""},{"dropping-particle":"","family":"Газалиева","given":"М.А.","non-dropping-particle":"","parse-names":false,"suffix":""},{"dropping-particle":"","family":"Глушкова","given":"Н.Е.","non-dropping-particle":"","parse-names":false,"suffix":""},{"dropping-particle":"","family":"Абуова","given":"Г.Т.","non-dropping-particle":"","parse-names":false,"suffix":""},{"dropping-particle":"","family":"Касымбекова","given":"Б.К.","non-dropping-particle":"","parse-names":false,"suffix":""},{"dropping-particle":"","family":"Кошкарбаева","given":"Б.С.","non-dropping-particle":"","parse-names":false,"suffix":""}],"container-title":"Наука и Здравоохранение","id":"ITEM-1","issue":"1","issued":{"date-parts":[["2020"]]},"page":"39-46","title":"Эозинофильный катионный белок у пациентов с аллергическими ринитами","type":"article-journal","volume":"22"},"uris":["http://www.mendeley.com/documents/?uuid=516549a1-2039-4131-b69c-05d1c7941030"]}],"mendeley":{"formattedCitation":"[114]","plainTextFormattedCitation":"[114]","previouslyFormattedCitation":"[114]"},"properties":{"noteIndex":0},"schema":"https://github.com/citation-style-language/schema/raw/master/csl-citation.json"}</w:instrText>
      </w:r>
      <w:r w:rsidR="00970E39" w:rsidRPr="001B27F8">
        <w:rPr>
          <w:rFonts w:ascii="Times New Roman" w:hAnsi="Times New Roman" w:cs="Times New Roman"/>
          <w:sz w:val="28"/>
          <w:szCs w:val="28"/>
        </w:rPr>
        <w:fldChar w:fldCharType="separate"/>
      </w:r>
      <w:r w:rsidR="00332566" w:rsidRPr="00332566">
        <w:rPr>
          <w:rFonts w:ascii="Times New Roman" w:hAnsi="Times New Roman" w:cs="Times New Roman"/>
          <w:noProof/>
          <w:sz w:val="28"/>
          <w:szCs w:val="28"/>
        </w:rPr>
        <w:t>[114]</w:t>
      </w:r>
      <w:r w:rsidR="00970E39" w:rsidRPr="001B27F8">
        <w:rPr>
          <w:rFonts w:ascii="Times New Roman" w:hAnsi="Times New Roman" w:cs="Times New Roman"/>
          <w:sz w:val="28"/>
          <w:szCs w:val="28"/>
        </w:rPr>
        <w:fldChar w:fldCharType="end"/>
      </w:r>
      <w:r w:rsidR="00DA6141" w:rsidRPr="001B27F8">
        <w:rPr>
          <w:rFonts w:ascii="Times New Roman" w:hAnsi="Times New Roman" w:cs="Times New Roman"/>
          <w:sz w:val="28"/>
          <w:szCs w:val="28"/>
        </w:rPr>
        <w:t>.</w:t>
      </w:r>
    </w:p>
    <w:p w14:paraId="0A8BE57D" w14:textId="3F1951CC" w:rsidR="00347D2F" w:rsidRPr="001B27F8" w:rsidRDefault="005A2F27" w:rsidP="001B27F8">
      <w:pPr>
        <w:tabs>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Важным диагностическим критерием является факт постепенного снижения ЭКБ при значительном увеличении</w:t>
      </w:r>
      <w:r w:rsidRPr="001B27F8">
        <w:rPr>
          <w:rFonts w:ascii="Times New Roman" w:hAnsi="Times New Roman" w:cs="Times New Roman"/>
          <w:sz w:val="28"/>
          <w:szCs w:val="28"/>
        </w:rPr>
        <w:t xml:space="preserve"> количества иммуноглобулина G4 в сыворотке крови </w:t>
      </w:r>
      <w:r>
        <w:rPr>
          <w:rFonts w:ascii="Times New Roman" w:hAnsi="Times New Roman" w:cs="Times New Roman"/>
          <w:sz w:val="28"/>
          <w:szCs w:val="28"/>
        </w:rPr>
        <w:t>после</w:t>
      </w:r>
      <w:r w:rsidR="00E4585E" w:rsidRPr="001B27F8">
        <w:rPr>
          <w:rFonts w:ascii="Times New Roman" w:hAnsi="Times New Roman" w:cs="Times New Roman"/>
          <w:sz w:val="28"/>
          <w:szCs w:val="28"/>
        </w:rPr>
        <w:t xml:space="preserve"> проведения аллерген-специфической иммунотерапии у пациентов с АР </w:t>
      </w:r>
      <w:r w:rsidR="00D73C13" w:rsidRPr="001B27F8">
        <w:rPr>
          <w:rFonts w:ascii="Times New Roman" w:hAnsi="Times New Roman" w:cs="Times New Roman"/>
          <w:sz w:val="28"/>
          <w:szCs w:val="28"/>
        </w:rPr>
        <w:fldChar w:fldCharType="begin" w:fldLock="1"/>
      </w:r>
      <w:r w:rsidR="00A02E0E">
        <w:rPr>
          <w:rFonts w:ascii="Times New Roman" w:hAnsi="Times New Roman" w:cs="Times New Roman"/>
          <w:sz w:val="28"/>
          <w:szCs w:val="28"/>
        </w:rPr>
        <w:instrText>ADDIN CSL_CITATION {"citationItems":[{"id":"ITEM-1","itemData":{"DOI":"10.34689/SH.2020.22.1.004","author":[{"dropping-particle":"","family":"Измайлович","given":"М.Р.","non-dropping-particle":"","parse-names":false,"suffix":""},{"dropping-particle":"","family":"Газалиева","given":"М.А.","non-dropping-particle":"","parse-names":false,"suffix":""},{"dropping-particle":"","family":"Глушкова","given":"Н.Е.","non-dropping-particle":"","parse-names":false,"suffix":""},{"dropping-particle":"","family":"Абуова","given":"Г.Т.","non-dropping-particle":"","parse-names":false,"suffix":""},{"dropping-particle":"","family":"Касымбекова","given":"Б.К.","non-dropping-particle":"","parse-names":false,"suffix":""},{"dropping-particle":"","family":"Кошкарбаева","given":"Б.С.","non-dropping-particle":"","parse-names":false,"suffix":""}],"container-title":"Наука и Здравоохранение","id":"ITEM-1","issue":"1","issued":{"date-parts":[["2020"]]},"page":"39-46","title":"Эозинофильный катионный белок у пациентов с аллергическими ринитами","type":"article-journal","volume":"22"},"uris":["http://www.mendeley.com/documents/?uuid=516549a1-2039-4131-b69c-05d1c7941030"]}],"mendeley":{"formattedCitation":"[114]","plainTextFormattedCitation":"[114]","previouslyFormattedCitation":"[114]"},"properties":{"noteIndex":0},"schema":"https://github.com/citation-style-language/schema/raw/master/csl-citation.json"}</w:instrText>
      </w:r>
      <w:r w:rsidR="00D73C13" w:rsidRPr="001B27F8">
        <w:rPr>
          <w:rFonts w:ascii="Times New Roman" w:hAnsi="Times New Roman" w:cs="Times New Roman"/>
          <w:sz w:val="28"/>
          <w:szCs w:val="28"/>
        </w:rPr>
        <w:fldChar w:fldCharType="separate"/>
      </w:r>
      <w:r w:rsidR="00332566" w:rsidRPr="00332566">
        <w:rPr>
          <w:rFonts w:ascii="Times New Roman" w:hAnsi="Times New Roman" w:cs="Times New Roman"/>
          <w:noProof/>
          <w:sz w:val="28"/>
          <w:szCs w:val="28"/>
        </w:rPr>
        <w:t>[114]</w:t>
      </w:r>
      <w:r w:rsidR="00D73C13" w:rsidRPr="001B27F8">
        <w:rPr>
          <w:rFonts w:ascii="Times New Roman" w:hAnsi="Times New Roman" w:cs="Times New Roman"/>
          <w:sz w:val="28"/>
          <w:szCs w:val="28"/>
        </w:rPr>
        <w:fldChar w:fldCharType="end"/>
      </w:r>
      <w:r w:rsidR="00E4585E" w:rsidRPr="001B27F8">
        <w:rPr>
          <w:rFonts w:ascii="Times New Roman" w:hAnsi="Times New Roman" w:cs="Times New Roman"/>
          <w:sz w:val="28"/>
          <w:szCs w:val="28"/>
        </w:rPr>
        <w:t>.</w:t>
      </w:r>
      <w:r>
        <w:rPr>
          <w:rFonts w:ascii="Times New Roman" w:hAnsi="Times New Roman" w:cs="Times New Roman"/>
          <w:sz w:val="28"/>
          <w:szCs w:val="28"/>
        </w:rPr>
        <w:t xml:space="preserve"> </w:t>
      </w:r>
      <w:r w:rsidR="00E36DA1" w:rsidRPr="001B27F8">
        <w:rPr>
          <w:rFonts w:ascii="Times New Roman" w:hAnsi="Times New Roman" w:cs="Times New Roman"/>
          <w:sz w:val="28"/>
          <w:szCs w:val="28"/>
        </w:rPr>
        <w:t xml:space="preserve">Таким образом, </w:t>
      </w:r>
      <w:r w:rsidR="00975E67" w:rsidRPr="001B27F8">
        <w:rPr>
          <w:rFonts w:ascii="Times New Roman" w:hAnsi="Times New Roman" w:cs="Times New Roman"/>
          <w:sz w:val="28"/>
          <w:szCs w:val="28"/>
        </w:rPr>
        <w:t>ЭКБ</w:t>
      </w:r>
      <w:r w:rsidR="00347D2F" w:rsidRPr="001B27F8">
        <w:rPr>
          <w:rFonts w:ascii="Times New Roman" w:hAnsi="Times New Roman" w:cs="Times New Roman"/>
          <w:sz w:val="28"/>
          <w:szCs w:val="28"/>
        </w:rPr>
        <w:t xml:space="preserve"> </w:t>
      </w:r>
      <w:r w:rsidR="00E36DA1" w:rsidRPr="001B27F8">
        <w:rPr>
          <w:rFonts w:ascii="Times New Roman" w:hAnsi="Times New Roman" w:cs="Times New Roman"/>
          <w:sz w:val="28"/>
          <w:szCs w:val="28"/>
        </w:rPr>
        <w:t>является</w:t>
      </w:r>
      <w:r w:rsidR="00347D2F" w:rsidRPr="001B27F8">
        <w:rPr>
          <w:rFonts w:ascii="Times New Roman" w:hAnsi="Times New Roman" w:cs="Times New Roman"/>
          <w:sz w:val="28"/>
          <w:szCs w:val="28"/>
        </w:rPr>
        <w:t xml:space="preserve"> важным </w:t>
      </w:r>
      <w:r w:rsidR="00BE60C2">
        <w:rPr>
          <w:rFonts w:ascii="Times New Roman" w:hAnsi="Times New Roman" w:cs="Times New Roman"/>
          <w:sz w:val="28"/>
          <w:szCs w:val="28"/>
        </w:rPr>
        <w:t xml:space="preserve">лабораторным </w:t>
      </w:r>
      <w:r w:rsidR="00347D2F" w:rsidRPr="001B27F8">
        <w:rPr>
          <w:rFonts w:ascii="Times New Roman" w:hAnsi="Times New Roman" w:cs="Times New Roman"/>
          <w:sz w:val="28"/>
          <w:szCs w:val="28"/>
        </w:rPr>
        <w:t>биомаркером</w:t>
      </w:r>
      <w:r w:rsidR="00E36DA1" w:rsidRPr="001B27F8">
        <w:rPr>
          <w:rFonts w:ascii="Times New Roman" w:hAnsi="Times New Roman" w:cs="Times New Roman"/>
          <w:sz w:val="28"/>
          <w:szCs w:val="28"/>
        </w:rPr>
        <w:t xml:space="preserve"> </w:t>
      </w:r>
      <w:r w:rsidR="0075514F" w:rsidRPr="001B27F8">
        <w:rPr>
          <w:rFonts w:ascii="Times New Roman" w:hAnsi="Times New Roman" w:cs="Times New Roman"/>
          <w:sz w:val="28"/>
          <w:szCs w:val="28"/>
        </w:rPr>
        <w:t xml:space="preserve">АР </w:t>
      </w:r>
      <w:r w:rsidR="00347D2F" w:rsidRPr="001B27F8">
        <w:rPr>
          <w:rFonts w:ascii="Times New Roman" w:hAnsi="Times New Roman" w:cs="Times New Roman"/>
          <w:sz w:val="28"/>
          <w:szCs w:val="28"/>
        </w:rPr>
        <w:t>у взрослых пациентов независимо от вида аллергена</w:t>
      </w:r>
      <w:r w:rsidR="00E36DA1" w:rsidRPr="001B27F8">
        <w:rPr>
          <w:rFonts w:ascii="Times New Roman" w:hAnsi="Times New Roman" w:cs="Times New Roman"/>
          <w:sz w:val="28"/>
          <w:szCs w:val="28"/>
        </w:rPr>
        <w:t>, но и монитор</w:t>
      </w:r>
      <w:r w:rsidR="00596F1D" w:rsidRPr="001B27F8">
        <w:rPr>
          <w:rFonts w:ascii="Times New Roman" w:hAnsi="Times New Roman" w:cs="Times New Roman"/>
          <w:sz w:val="28"/>
          <w:szCs w:val="28"/>
        </w:rPr>
        <w:t>и</w:t>
      </w:r>
      <w:r w:rsidR="00E36DA1" w:rsidRPr="001B27F8">
        <w:rPr>
          <w:rFonts w:ascii="Times New Roman" w:hAnsi="Times New Roman" w:cs="Times New Roman"/>
          <w:sz w:val="28"/>
          <w:szCs w:val="28"/>
        </w:rPr>
        <w:t>нга эффективности АСИТ при АР</w:t>
      </w:r>
      <w:r w:rsidR="00B81007" w:rsidRPr="001B27F8">
        <w:rPr>
          <w:rFonts w:ascii="Times New Roman" w:hAnsi="Times New Roman" w:cs="Times New Roman"/>
          <w:sz w:val="28"/>
          <w:szCs w:val="28"/>
        </w:rPr>
        <w:t xml:space="preserve"> </w:t>
      </w:r>
      <w:r w:rsidR="00B81007" w:rsidRPr="001B27F8">
        <w:rPr>
          <w:rFonts w:ascii="Times New Roman" w:hAnsi="Times New Roman" w:cs="Times New Roman"/>
          <w:sz w:val="28"/>
          <w:szCs w:val="28"/>
        </w:rPr>
        <w:fldChar w:fldCharType="begin" w:fldLock="1"/>
      </w:r>
      <w:r w:rsidR="00A02E0E">
        <w:rPr>
          <w:rFonts w:ascii="Times New Roman" w:hAnsi="Times New Roman" w:cs="Times New Roman"/>
          <w:sz w:val="28"/>
          <w:szCs w:val="28"/>
        </w:rPr>
        <w:instrText>ADDIN CSL_CITATION {"citationItems":[{"id":"ITEM-1","itemData":{"DOI":"10.12932/AP0739","ISSN":"22288694","abstract":"Background: Eosinophil cationic protein (ECP) is present in eosinophil granules. It has been associated with eosinophil-associated disorders. Objective: We compared serum ECP levels in allergic and non-allergic rhinitis patients and evaluated the association with the eosinophil count and the total IgE level. Method: We retrospectively reviewed medical records and categorized enrolled patients into the allergic (AR) and non-allergic rhinitis (NAR) groups. ECP, eosinophil count, and total IgE levels were reviewed in both groups. The association between ECP and the eosinophil count and total IgE level was further evaluated according to commonly detected specific antigens. Results: Six hundred and ten adults were included in the study. In the AR group (n=349), the median age was 27.0(23.0-42.0) years and the female:male ratio was 0.26:1. In the NAR group (n=261), the median age was 32.0(24.0-45.5) years and the female:male ratio was 0.33:1. We found that ECP (AR: 18.8(9.9-31.4), NAR: 14.8(8.2-24.9), p=0.003), eosinophil count (AR: 191.0(112.0-308.5), NAR: 149.0(91.0-249.0), p=0.002) and total IgE (AR: 166.0(58.4-422.5), NAR: 68.8(24.5-141.0), p&lt;0.001) were higher in AR than in NAR patients. The ECP level was associated with the eosinophil count in both the AR (p&lt;0.001) and NAR groups (p&lt;0.001). A significant correlation between the ECP level and eosinophil count was demonstrated in AR patients who were skin test positive against house dust mite, animal and pollen allergens. Conclusions: We suggest that ECP could be an important mediator in the pathogenesis of AR. The level of serum ECP was positively correlated with eosinophilia in AR patients regardless of the type of allergen sensitization. However, further study is warranted to verify the role of ECP in the clinical management of allergic rhinitis.","author":[{"dropping-particle":"","family":"Min","given":"Hyun Jin","non-dropping-particle":"","parse-names":false,"suffix":""},{"dropping-particle":"","family":"Hong","given":"Young Ho","non-dropping-particle":"","parse-names":false,"suffix":""},{"dropping-particle":"","family":"Yang","given":"Hoon Shik","non-dropping-particle":"","parse-names":false,"suffix":""},{"dropping-particle":"","family":"Kim","given":"Kyung Soo","non-dropping-particle":"","parse-names":false,"suffix":""}],"container-title":"Asian Pacific Journal of Allergy and Immunology","id":"ITEM-1","issue":"4","issued":{"date-parts":[["2016"]]},"page":"290-294","title":"The correlation of serum eosinophil cationic protein level with eosinophil count, and total IgE level in Korean adult allergic rhinitis patients","type":"article-journal","volume":"34"},"uris":["http://www.mendeley.com/documents/?uuid=942e0c57-fe64-47b4-8b36-c6957f80f7fd"]}],"mendeley":{"formattedCitation":"[106]","plainTextFormattedCitation":"[106]","previouslyFormattedCitation":"[106]"},"properties":{"noteIndex":0},"schema":"https://github.com/citation-style-language/schema/raw/master/csl-citation.json"}</w:instrText>
      </w:r>
      <w:r w:rsidR="00B81007" w:rsidRPr="001B27F8">
        <w:rPr>
          <w:rFonts w:ascii="Times New Roman" w:hAnsi="Times New Roman" w:cs="Times New Roman"/>
          <w:sz w:val="28"/>
          <w:szCs w:val="28"/>
        </w:rPr>
        <w:fldChar w:fldCharType="separate"/>
      </w:r>
      <w:r w:rsidR="00332566" w:rsidRPr="00332566">
        <w:rPr>
          <w:rFonts w:ascii="Times New Roman" w:hAnsi="Times New Roman" w:cs="Times New Roman"/>
          <w:noProof/>
          <w:sz w:val="28"/>
          <w:szCs w:val="28"/>
        </w:rPr>
        <w:t>[106]</w:t>
      </w:r>
      <w:r w:rsidR="00B81007" w:rsidRPr="001B27F8">
        <w:rPr>
          <w:rFonts w:ascii="Times New Roman" w:hAnsi="Times New Roman" w:cs="Times New Roman"/>
          <w:sz w:val="28"/>
          <w:szCs w:val="28"/>
        </w:rPr>
        <w:fldChar w:fldCharType="end"/>
      </w:r>
      <w:r w:rsidR="00347D2F" w:rsidRPr="001B27F8">
        <w:rPr>
          <w:rFonts w:ascii="Times New Roman" w:hAnsi="Times New Roman" w:cs="Times New Roman"/>
          <w:sz w:val="28"/>
          <w:szCs w:val="28"/>
        </w:rPr>
        <w:t>.</w:t>
      </w:r>
    </w:p>
    <w:p w14:paraId="637E9DCB" w14:textId="77777777" w:rsidR="007F7872" w:rsidRPr="001B27F8" w:rsidRDefault="007F7872" w:rsidP="001B27F8">
      <w:pPr>
        <w:tabs>
          <w:tab w:val="left" w:pos="851"/>
        </w:tabs>
        <w:spacing w:after="0" w:line="240" w:lineRule="auto"/>
        <w:ind w:firstLine="567"/>
        <w:jc w:val="both"/>
        <w:rPr>
          <w:rFonts w:ascii="Times New Roman" w:hAnsi="Times New Roman" w:cs="Times New Roman"/>
          <w:sz w:val="28"/>
          <w:szCs w:val="28"/>
        </w:rPr>
      </w:pPr>
    </w:p>
    <w:p w14:paraId="6D0BE00F" w14:textId="290C9EAB" w:rsidR="00964210" w:rsidRPr="00144946" w:rsidRDefault="005F0CC0" w:rsidP="00102E42">
      <w:pPr>
        <w:pStyle w:val="3"/>
        <w:numPr>
          <w:ilvl w:val="2"/>
          <w:numId w:val="2"/>
        </w:numPr>
        <w:tabs>
          <w:tab w:val="left" w:pos="851"/>
          <w:tab w:val="left" w:pos="1276"/>
        </w:tabs>
        <w:spacing w:line="240" w:lineRule="auto"/>
        <w:ind w:left="0" w:firstLine="567"/>
        <w:jc w:val="both"/>
        <w:rPr>
          <w:rStyle w:val="a4"/>
          <w:rFonts w:ascii="Times New Roman" w:hAnsi="Times New Roman" w:cs="Times New Roman"/>
          <w:b w:val="0"/>
          <w:bCs w:val="0"/>
          <w:iCs w:val="0"/>
          <w:color w:val="auto"/>
          <w:spacing w:val="0"/>
          <w:sz w:val="28"/>
          <w:szCs w:val="28"/>
        </w:rPr>
      </w:pPr>
      <w:bookmarkStart w:id="13" w:name="_Toc137904337"/>
      <w:r w:rsidRPr="005F0CC0">
        <w:rPr>
          <w:rStyle w:val="a4"/>
          <w:rFonts w:ascii="Times New Roman" w:hAnsi="Times New Roman" w:cs="Times New Roman"/>
          <w:b w:val="0"/>
          <w:bCs w:val="0"/>
          <w:iCs w:val="0"/>
          <w:color w:val="auto"/>
          <w:spacing w:val="0"/>
          <w:sz w:val="28"/>
          <w:szCs w:val="28"/>
        </w:rPr>
        <w:t xml:space="preserve"> </w:t>
      </w:r>
      <w:r w:rsidR="00C60FE1" w:rsidRPr="00144946">
        <w:rPr>
          <w:rStyle w:val="a4"/>
          <w:rFonts w:ascii="Times New Roman" w:hAnsi="Times New Roman" w:cs="Times New Roman"/>
          <w:b w:val="0"/>
          <w:bCs w:val="0"/>
          <w:iCs w:val="0"/>
          <w:color w:val="auto"/>
          <w:spacing w:val="0"/>
          <w:sz w:val="28"/>
          <w:szCs w:val="28"/>
        </w:rPr>
        <w:t>М</w:t>
      </w:r>
      <w:r w:rsidR="007F1E75" w:rsidRPr="00144946">
        <w:rPr>
          <w:rStyle w:val="a4"/>
          <w:rFonts w:ascii="Times New Roman" w:hAnsi="Times New Roman" w:cs="Times New Roman"/>
          <w:b w:val="0"/>
          <w:bCs w:val="0"/>
          <w:iCs w:val="0"/>
          <w:color w:val="auto"/>
          <w:spacing w:val="0"/>
          <w:sz w:val="28"/>
          <w:szCs w:val="28"/>
        </w:rPr>
        <w:t xml:space="preserve">олекулярная </w:t>
      </w:r>
      <w:r w:rsidR="00C60FE1" w:rsidRPr="00144946">
        <w:rPr>
          <w:rStyle w:val="a4"/>
          <w:rFonts w:ascii="Times New Roman" w:hAnsi="Times New Roman" w:cs="Times New Roman"/>
          <w:b w:val="0"/>
          <w:bCs w:val="0"/>
          <w:iCs w:val="0"/>
          <w:color w:val="auto"/>
          <w:spacing w:val="0"/>
          <w:sz w:val="28"/>
          <w:szCs w:val="28"/>
        </w:rPr>
        <w:t>аллерго</w:t>
      </w:r>
      <w:r w:rsidR="007F1E75" w:rsidRPr="00144946">
        <w:rPr>
          <w:rStyle w:val="a4"/>
          <w:rFonts w:ascii="Times New Roman" w:hAnsi="Times New Roman" w:cs="Times New Roman"/>
          <w:b w:val="0"/>
          <w:bCs w:val="0"/>
          <w:iCs w:val="0"/>
          <w:color w:val="auto"/>
          <w:spacing w:val="0"/>
          <w:sz w:val="28"/>
          <w:szCs w:val="28"/>
        </w:rPr>
        <w:t xml:space="preserve">диагностика </w:t>
      </w:r>
      <w:r w:rsidR="001069D6" w:rsidRPr="00144946">
        <w:rPr>
          <w:rStyle w:val="a4"/>
          <w:rFonts w:ascii="Times New Roman" w:hAnsi="Times New Roman" w:cs="Times New Roman"/>
          <w:b w:val="0"/>
          <w:bCs w:val="0"/>
          <w:iCs w:val="0"/>
          <w:color w:val="auto"/>
          <w:spacing w:val="0"/>
          <w:sz w:val="28"/>
          <w:szCs w:val="28"/>
        </w:rPr>
        <w:t>пациентов с сезонным аллергическим ринитом</w:t>
      </w:r>
      <w:bookmarkEnd w:id="13"/>
    </w:p>
    <w:p w14:paraId="56140FE0" w14:textId="4552F54D" w:rsidR="00D92A67" w:rsidRPr="001B27F8" w:rsidRDefault="002064C9" w:rsidP="001B27F8">
      <w:pPr>
        <w:tabs>
          <w:tab w:val="left" w:pos="851"/>
        </w:tabs>
        <w:spacing w:after="0" w:line="240" w:lineRule="auto"/>
        <w:ind w:firstLine="567"/>
        <w:jc w:val="both"/>
        <w:rPr>
          <w:rFonts w:ascii="Times New Roman" w:hAnsi="Times New Roman" w:cs="Times New Roman"/>
          <w:sz w:val="28"/>
          <w:szCs w:val="28"/>
        </w:rPr>
      </w:pPr>
      <w:r w:rsidRPr="001B27F8">
        <w:rPr>
          <w:rFonts w:ascii="Times New Roman" w:hAnsi="Times New Roman" w:cs="Times New Roman"/>
          <w:sz w:val="28"/>
          <w:szCs w:val="28"/>
        </w:rPr>
        <w:t xml:space="preserve">Согласно последним данным, во всем мире полисенсибилизация встречается более чем 80% случаев у пациентов с аллергическим ринитом. </w:t>
      </w:r>
      <w:r w:rsidR="00D92A67" w:rsidRPr="001B27F8">
        <w:rPr>
          <w:rFonts w:ascii="Times New Roman" w:hAnsi="Times New Roman" w:cs="Times New Roman"/>
          <w:sz w:val="28"/>
          <w:szCs w:val="28"/>
        </w:rPr>
        <w:t>Очевидно, что в сравнении с пациентами, имеющими моносенсибилизацию, полисенсибилизированные пациенты имеют более т</w:t>
      </w:r>
      <w:r w:rsidR="00255701" w:rsidRPr="001B27F8">
        <w:rPr>
          <w:rFonts w:ascii="Times New Roman" w:hAnsi="Times New Roman" w:cs="Times New Roman"/>
          <w:sz w:val="28"/>
          <w:szCs w:val="28"/>
        </w:rPr>
        <w:t>яжелую клиническую симптоматику и</w:t>
      </w:r>
      <w:r w:rsidR="00D92A67" w:rsidRPr="001B27F8">
        <w:rPr>
          <w:rFonts w:ascii="Times New Roman" w:hAnsi="Times New Roman" w:cs="Times New Roman"/>
          <w:sz w:val="28"/>
          <w:szCs w:val="28"/>
        </w:rPr>
        <w:t xml:space="preserve"> в большей степени страдает качес</w:t>
      </w:r>
      <w:r w:rsidR="00460324" w:rsidRPr="001B27F8">
        <w:rPr>
          <w:rFonts w:ascii="Times New Roman" w:hAnsi="Times New Roman" w:cs="Times New Roman"/>
          <w:sz w:val="28"/>
          <w:szCs w:val="28"/>
        </w:rPr>
        <w:t xml:space="preserve">тво жизни </w:t>
      </w:r>
      <w:r w:rsidR="00460324" w:rsidRPr="001B27F8">
        <w:rPr>
          <w:rFonts w:ascii="Times New Roman" w:hAnsi="Times New Roman" w:cs="Times New Roman"/>
          <w:sz w:val="28"/>
          <w:szCs w:val="28"/>
          <w:lang w:val="en-US"/>
        </w:rPr>
        <w:fldChar w:fldCharType="begin" w:fldLock="1"/>
      </w:r>
      <w:r w:rsidR="00765C06">
        <w:rPr>
          <w:rFonts w:ascii="Times New Roman" w:hAnsi="Times New Roman" w:cs="Times New Roman"/>
          <w:sz w:val="28"/>
          <w:szCs w:val="28"/>
          <w:lang w:val="en-US"/>
        </w:rPr>
        <w:instrText>ADDIN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CSL</w:instrText>
      </w:r>
      <w:r w:rsidR="00765C06" w:rsidRPr="00015FE3">
        <w:rPr>
          <w:rFonts w:ascii="Times New Roman" w:hAnsi="Times New Roman" w:cs="Times New Roman"/>
          <w:sz w:val="28"/>
          <w:szCs w:val="28"/>
        </w:rPr>
        <w:instrText>_</w:instrText>
      </w:r>
      <w:r w:rsidR="00765C06">
        <w:rPr>
          <w:rFonts w:ascii="Times New Roman" w:hAnsi="Times New Roman" w:cs="Times New Roman"/>
          <w:sz w:val="28"/>
          <w:szCs w:val="28"/>
          <w:lang w:val="en-US"/>
        </w:rPr>
        <w:instrText>CITATION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citationItems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id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ITEM</w:instrText>
      </w:r>
      <w:r w:rsidR="00765C06" w:rsidRPr="00015FE3">
        <w:rPr>
          <w:rFonts w:ascii="Times New Roman" w:hAnsi="Times New Roman" w:cs="Times New Roman"/>
          <w:sz w:val="28"/>
          <w:szCs w:val="28"/>
        </w:rPr>
        <w:instrText>-1","</w:instrText>
      </w:r>
      <w:r w:rsidR="00765C06">
        <w:rPr>
          <w:rFonts w:ascii="Times New Roman" w:hAnsi="Times New Roman" w:cs="Times New Roman"/>
          <w:sz w:val="28"/>
          <w:szCs w:val="28"/>
          <w:lang w:val="en-US"/>
        </w:rPr>
        <w:instrText>itemData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DOI</w:instrText>
      </w:r>
      <w:r w:rsidR="00765C06" w:rsidRPr="00015FE3">
        <w:rPr>
          <w:rFonts w:ascii="Times New Roman" w:hAnsi="Times New Roman" w:cs="Times New Roman"/>
          <w:sz w:val="28"/>
          <w:szCs w:val="28"/>
        </w:rPr>
        <w:instrText>":"10.1586/1744666</w:instrText>
      </w:r>
      <w:r w:rsidR="00765C06">
        <w:rPr>
          <w:rFonts w:ascii="Times New Roman" w:hAnsi="Times New Roman" w:cs="Times New Roman"/>
          <w:sz w:val="28"/>
          <w:szCs w:val="28"/>
          <w:lang w:val="en-US"/>
        </w:rPr>
        <w:instrText>X</w:instrText>
      </w:r>
      <w:r w:rsidR="00765C06" w:rsidRPr="00015FE3">
        <w:rPr>
          <w:rFonts w:ascii="Times New Roman" w:hAnsi="Times New Roman" w:cs="Times New Roman"/>
          <w:sz w:val="28"/>
          <w:szCs w:val="28"/>
        </w:rPr>
        <w:instrText>.2015.1062365","</w:instrText>
      </w:r>
      <w:r w:rsidR="00765C06">
        <w:rPr>
          <w:rFonts w:ascii="Times New Roman" w:hAnsi="Times New Roman" w:cs="Times New Roman"/>
          <w:sz w:val="28"/>
          <w:szCs w:val="28"/>
          <w:lang w:val="en-US"/>
        </w:rPr>
        <w:instrText>ISSN</w:instrText>
      </w:r>
      <w:r w:rsidR="00765C06" w:rsidRPr="00015FE3">
        <w:rPr>
          <w:rFonts w:ascii="Times New Roman" w:hAnsi="Times New Roman" w:cs="Times New Roman"/>
          <w:sz w:val="28"/>
          <w:szCs w:val="28"/>
        </w:rPr>
        <w:instrText>":"1744-666</w:instrText>
      </w:r>
      <w:r w:rsidR="00765C06">
        <w:rPr>
          <w:rFonts w:ascii="Times New Roman" w:hAnsi="Times New Roman" w:cs="Times New Roman"/>
          <w:sz w:val="28"/>
          <w:szCs w:val="28"/>
          <w:lang w:val="en-US"/>
        </w:rPr>
        <w:instrText>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PMID</w:instrText>
      </w:r>
      <w:r w:rsidR="00765C06" w:rsidRPr="00015FE3">
        <w:rPr>
          <w:rFonts w:ascii="Times New Roman" w:hAnsi="Times New Roman" w:cs="Times New Roman"/>
          <w:sz w:val="28"/>
          <w:szCs w:val="28"/>
        </w:rPr>
        <w:instrText>":"26144241","</w:instrText>
      </w:r>
      <w:r w:rsidR="00765C06">
        <w:rPr>
          <w:rFonts w:ascii="Times New Roman" w:hAnsi="Times New Roman" w:cs="Times New Roman"/>
          <w:sz w:val="28"/>
          <w:szCs w:val="28"/>
          <w:lang w:val="en-US"/>
        </w:rPr>
        <w:instrText>abstract</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A</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panel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Italian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allergists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gathered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to</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discuss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issue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concerning</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management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polysensitized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patients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main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conclusions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were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follows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polysensitization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relevant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clinical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characteristic</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affects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about</w:instrText>
      </w:r>
      <w:r w:rsidR="00765C06" w:rsidRPr="00015FE3">
        <w:rPr>
          <w:rFonts w:ascii="Times New Roman" w:hAnsi="Times New Roman" w:cs="Times New Roman"/>
          <w:sz w:val="28"/>
          <w:szCs w:val="28"/>
        </w:rPr>
        <w:instrText xml:space="preserve"> 70-80%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global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allergic</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population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diagnostic</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pathway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needs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use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adequate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thorough</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methodology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based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demonstration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consistency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between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history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documented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sensitization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polysensitization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polyallergy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are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not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synonymous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true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allergy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should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always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be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demonstrated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polysensitization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does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not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constitute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limitation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to</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allergen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immunotherapy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prescription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as</w:instrText>
      </w:r>
      <w:r w:rsidR="00765C06" w:rsidRPr="00015FE3">
        <w:rPr>
          <w:rFonts w:ascii="Times New Roman" w:hAnsi="Times New Roman" w:cs="Times New Roman"/>
          <w:sz w:val="28"/>
          <w:szCs w:val="28"/>
        </w:rPr>
        <w:instrText xml:space="preserve"> 1-2 </w:instrText>
      </w:r>
      <w:r w:rsidR="00765C06">
        <w:rPr>
          <w:rFonts w:ascii="Times New Roman" w:hAnsi="Times New Roman" w:cs="Times New Roman"/>
          <w:sz w:val="28"/>
          <w:szCs w:val="28"/>
          <w:lang w:val="en-US"/>
        </w:rPr>
        <w:instrText>allergen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extracts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could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be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effective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polysensitized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patients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allergen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immunotherapy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product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characteristics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should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include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following</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high</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efficacy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optimal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safety</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profile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standardized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production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documented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presence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and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titration</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the</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major</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allergen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author</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Ciprandi</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Giorgio</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Incorvaia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Cristoforo</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family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Frati</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given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Franco</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dropping</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names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false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suffix</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container</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title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Expert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Review</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Clinical</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Immunology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id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ITEM</w:instrText>
      </w:r>
      <w:r w:rsidR="00765C06" w:rsidRPr="00015FE3">
        <w:rPr>
          <w:rFonts w:ascii="Times New Roman" w:hAnsi="Times New Roman" w:cs="Times New Roman"/>
          <w:sz w:val="28"/>
          <w:szCs w:val="28"/>
        </w:rPr>
        <w:instrText>-1","</w:instrText>
      </w:r>
      <w:r w:rsidR="00765C06">
        <w:rPr>
          <w:rFonts w:ascii="Times New Roman" w:hAnsi="Times New Roman" w:cs="Times New Roman"/>
          <w:sz w:val="28"/>
          <w:szCs w:val="28"/>
          <w:lang w:val="en-US"/>
        </w:rPr>
        <w:instrText>issue</w:instrText>
      </w:r>
      <w:r w:rsidR="00765C06" w:rsidRPr="00015FE3">
        <w:rPr>
          <w:rFonts w:ascii="Times New Roman" w:hAnsi="Times New Roman" w:cs="Times New Roman"/>
          <w:sz w:val="28"/>
          <w:szCs w:val="28"/>
        </w:rPr>
        <w:instrText>":"9","</w:instrText>
      </w:r>
      <w:r w:rsidR="00765C06">
        <w:rPr>
          <w:rFonts w:ascii="Times New Roman" w:hAnsi="Times New Roman" w:cs="Times New Roman"/>
          <w:sz w:val="28"/>
          <w:szCs w:val="28"/>
          <w:lang w:val="en-US"/>
        </w:rPr>
        <w:instrText>issued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date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parts</w:instrText>
      </w:r>
      <w:r w:rsidR="00765C06" w:rsidRPr="00015FE3">
        <w:rPr>
          <w:rFonts w:ascii="Times New Roman" w:hAnsi="Times New Roman" w:cs="Times New Roman"/>
          <w:sz w:val="28"/>
          <w:szCs w:val="28"/>
        </w:rPr>
        <w:instrText>":[["2015","9","2"]]},"</w:instrText>
      </w:r>
      <w:r w:rsidR="00765C06">
        <w:rPr>
          <w:rFonts w:ascii="Times New Roman" w:hAnsi="Times New Roman" w:cs="Times New Roman"/>
          <w:sz w:val="28"/>
          <w:szCs w:val="28"/>
          <w:lang w:val="en-US"/>
        </w:rPr>
        <w:instrText>page</w:instrText>
      </w:r>
      <w:r w:rsidR="00765C06" w:rsidRPr="00015FE3">
        <w:rPr>
          <w:rFonts w:ascii="Times New Roman" w:hAnsi="Times New Roman" w:cs="Times New Roman"/>
          <w:sz w:val="28"/>
          <w:szCs w:val="28"/>
        </w:rPr>
        <w:instrText>":"973-976","</w:instrText>
      </w:r>
      <w:r w:rsidR="00765C06">
        <w:rPr>
          <w:rFonts w:ascii="Times New Roman" w:hAnsi="Times New Roman" w:cs="Times New Roman"/>
          <w:sz w:val="28"/>
          <w:szCs w:val="28"/>
          <w:lang w:val="en-US"/>
        </w:rPr>
        <w:instrText>title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Management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of</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polysensitized</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patient</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from</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molecular</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diagnostics</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to</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biomolecular</w:instrText>
      </w:r>
      <w:r w:rsidR="00765C06" w:rsidRPr="00015FE3">
        <w:rPr>
          <w:rFonts w:ascii="Times New Roman" w:hAnsi="Times New Roman" w:cs="Times New Roman"/>
          <w:sz w:val="28"/>
          <w:szCs w:val="28"/>
        </w:rPr>
        <w:instrText xml:space="preserve"> </w:instrText>
      </w:r>
      <w:r w:rsidR="00765C06">
        <w:rPr>
          <w:rFonts w:ascii="Times New Roman" w:hAnsi="Times New Roman" w:cs="Times New Roman"/>
          <w:sz w:val="28"/>
          <w:szCs w:val="28"/>
          <w:lang w:val="en-US"/>
        </w:rPr>
        <w:instrText>immunotherapy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type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article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journal</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volume</w:instrText>
      </w:r>
      <w:r w:rsidR="00765C06" w:rsidRPr="00015FE3">
        <w:rPr>
          <w:rFonts w:ascii="Times New Roman" w:hAnsi="Times New Roman" w:cs="Times New Roman"/>
          <w:sz w:val="28"/>
          <w:szCs w:val="28"/>
        </w:rPr>
        <w:instrText>":"11"},"</w:instrText>
      </w:r>
      <w:r w:rsidR="00765C06">
        <w:rPr>
          <w:rFonts w:ascii="Times New Roman" w:hAnsi="Times New Roman" w:cs="Times New Roman"/>
          <w:sz w:val="28"/>
          <w:szCs w:val="28"/>
          <w:lang w:val="en-US"/>
        </w:rPr>
        <w:instrText>uris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http</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www</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mendeley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com</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documents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uuid</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d</w:instrText>
      </w:r>
      <w:r w:rsidR="00765C06" w:rsidRPr="00015FE3">
        <w:rPr>
          <w:rFonts w:ascii="Times New Roman" w:hAnsi="Times New Roman" w:cs="Times New Roman"/>
          <w:sz w:val="28"/>
          <w:szCs w:val="28"/>
        </w:rPr>
        <w:instrText>59</w:instrText>
      </w:r>
      <w:r w:rsidR="00765C06">
        <w:rPr>
          <w:rFonts w:ascii="Times New Roman" w:hAnsi="Times New Roman" w:cs="Times New Roman"/>
          <w:sz w:val="28"/>
          <w:szCs w:val="28"/>
          <w:lang w:val="en-US"/>
        </w:rPr>
        <w:instrText>b</w:instrText>
      </w:r>
      <w:r w:rsidR="00765C06" w:rsidRPr="00015FE3">
        <w:rPr>
          <w:rFonts w:ascii="Times New Roman" w:hAnsi="Times New Roman" w:cs="Times New Roman"/>
          <w:sz w:val="28"/>
          <w:szCs w:val="28"/>
        </w:rPr>
        <w:instrText>6941-</w:instrText>
      </w:r>
      <w:r w:rsidR="00765C06">
        <w:rPr>
          <w:rFonts w:ascii="Times New Roman" w:hAnsi="Times New Roman" w:cs="Times New Roman"/>
          <w:sz w:val="28"/>
          <w:szCs w:val="28"/>
          <w:lang w:val="en-US"/>
        </w:rPr>
        <w:instrText>bef</w:instrText>
      </w:r>
      <w:r w:rsidR="00765C06" w:rsidRPr="00015FE3">
        <w:rPr>
          <w:rFonts w:ascii="Times New Roman" w:hAnsi="Times New Roman" w:cs="Times New Roman"/>
          <w:sz w:val="28"/>
          <w:szCs w:val="28"/>
        </w:rPr>
        <w:instrText>4-4224-</w:instrText>
      </w:r>
      <w:r w:rsidR="00765C06">
        <w:rPr>
          <w:rFonts w:ascii="Times New Roman" w:hAnsi="Times New Roman" w:cs="Times New Roman"/>
          <w:sz w:val="28"/>
          <w:szCs w:val="28"/>
          <w:lang w:val="en-US"/>
        </w:rPr>
        <w:instrText>a</w:instrText>
      </w:r>
      <w:r w:rsidR="00765C06" w:rsidRPr="00015FE3">
        <w:rPr>
          <w:rFonts w:ascii="Times New Roman" w:hAnsi="Times New Roman" w:cs="Times New Roman"/>
          <w:sz w:val="28"/>
          <w:szCs w:val="28"/>
        </w:rPr>
        <w:instrText>378-</w:instrText>
      </w:r>
      <w:r w:rsidR="00765C06">
        <w:rPr>
          <w:rFonts w:ascii="Times New Roman" w:hAnsi="Times New Roman" w:cs="Times New Roman"/>
          <w:sz w:val="28"/>
          <w:szCs w:val="28"/>
          <w:lang w:val="en-US"/>
        </w:rPr>
        <w:instrText>fd</w:instrText>
      </w:r>
      <w:r w:rsidR="00765C06" w:rsidRPr="00015FE3">
        <w:rPr>
          <w:rFonts w:ascii="Times New Roman" w:hAnsi="Times New Roman" w:cs="Times New Roman"/>
          <w:sz w:val="28"/>
          <w:szCs w:val="28"/>
        </w:rPr>
        <w:instrText>896</w:instrText>
      </w:r>
      <w:r w:rsidR="00765C06">
        <w:rPr>
          <w:rFonts w:ascii="Times New Roman" w:hAnsi="Times New Roman" w:cs="Times New Roman"/>
          <w:sz w:val="28"/>
          <w:szCs w:val="28"/>
          <w:lang w:val="en-US"/>
        </w:rPr>
        <w:instrText>e</w:instrText>
      </w:r>
      <w:r w:rsidR="00765C06" w:rsidRPr="00015FE3">
        <w:rPr>
          <w:rFonts w:ascii="Times New Roman" w:hAnsi="Times New Roman" w:cs="Times New Roman"/>
          <w:sz w:val="28"/>
          <w:szCs w:val="28"/>
        </w:rPr>
        <w:instrText>152294"]}],"</w:instrText>
      </w:r>
      <w:r w:rsidR="00765C06">
        <w:rPr>
          <w:rFonts w:ascii="Times New Roman" w:hAnsi="Times New Roman" w:cs="Times New Roman"/>
          <w:sz w:val="28"/>
          <w:szCs w:val="28"/>
          <w:lang w:val="en-US"/>
        </w:rPr>
        <w:instrText>mendeley</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formattedCitation</w:instrText>
      </w:r>
      <w:r w:rsidR="00765C06" w:rsidRPr="00015FE3">
        <w:rPr>
          <w:rFonts w:ascii="Times New Roman" w:hAnsi="Times New Roman" w:cs="Times New Roman"/>
          <w:sz w:val="28"/>
          <w:szCs w:val="28"/>
        </w:rPr>
        <w:instrText>":"[46]","</w:instrText>
      </w:r>
      <w:r w:rsidR="00765C06">
        <w:rPr>
          <w:rFonts w:ascii="Times New Roman" w:hAnsi="Times New Roman" w:cs="Times New Roman"/>
          <w:sz w:val="28"/>
          <w:szCs w:val="28"/>
          <w:lang w:val="en-US"/>
        </w:rPr>
        <w:instrText>plainTextFormattedCitation</w:instrText>
      </w:r>
      <w:r w:rsidR="00765C06" w:rsidRPr="00015FE3">
        <w:rPr>
          <w:rFonts w:ascii="Times New Roman" w:hAnsi="Times New Roman" w:cs="Times New Roman"/>
          <w:sz w:val="28"/>
          <w:szCs w:val="28"/>
        </w:rPr>
        <w:instrText>":"[46]","</w:instrText>
      </w:r>
      <w:r w:rsidR="00765C06">
        <w:rPr>
          <w:rFonts w:ascii="Times New Roman" w:hAnsi="Times New Roman" w:cs="Times New Roman"/>
          <w:sz w:val="28"/>
          <w:szCs w:val="28"/>
          <w:lang w:val="en-US"/>
        </w:rPr>
        <w:instrText>previouslyFormattedCitation</w:instrText>
      </w:r>
      <w:r w:rsidR="00765C06" w:rsidRPr="00015FE3">
        <w:rPr>
          <w:rFonts w:ascii="Times New Roman" w:hAnsi="Times New Roman" w:cs="Times New Roman"/>
          <w:sz w:val="28"/>
          <w:szCs w:val="28"/>
        </w:rPr>
        <w:instrText>":"[46]"},"</w:instrText>
      </w:r>
      <w:r w:rsidR="00765C06">
        <w:rPr>
          <w:rFonts w:ascii="Times New Roman" w:hAnsi="Times New Roman" w:cs="Times New Roman"/>
          <w:sz w:val="28"/>
          <w:szCs w:val="28"/>
          <w:lang w:val="en-US"/>
        </w:rPr>
        <w:instrText>properties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noteIndex</w:instrText>
      </w:r>
      <w:r w:rsidR="00765C06" w:rsidRPr="00015FE3">
        <w:rPr>
          <w:rFonts w:ascii="Times New Roman" w:hAnsi="Times New Roman" w:cs="Times New Roman"/>
          <w:sz w:val="28"/>
          <w:szCs w:val="28"/>
        </w:rPr>
        <w:instrText>":0},"</w:instrText>
      </w:r>
      <w:r w:rsidR="00765C06">
        <w:rPr>
          <w:rFonts w:ascii="Times New Roman" w:hAnsi="Times New Roman" w:cs="Times New Roman"/>
          <w:sz w:val="28"/>
          <w:szCs w:val="28"/>
          <w:lang w:val="en-US"/>
        </w:rPr>
        <w:instrText>schema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https</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github</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com</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citation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style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language</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schema</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raw</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master</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csl</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citation</w:instrText>
      </w:r>
      <w:r w:rsidR="00765C06" w:rsidRPr="00015FE3">
        <w:rPr>
          <w:rFonts w:ascii="Times New Roman" w:hAnsi="Times New Roman" w:cs="Times New Roman"/>
          <w:sz w:val="28"/>
          <w:szCs w:val="28"/>
        </w:rPr>
        <w:instrText>.</w:instrText>
      </w:r>
      <w:r w:rsidR="00765C06">
        <w:rPr>
          <w:rFonts w:ascii="Times New Roman" w:hAnsi="Times New Roman" w:cs="Times New Roman"/>
          <w:sz w:val="28"/>
          <w:szCs w:val="28"/>
          <w:lang w:val="en-US"/>
        </w:rPr>
        <w:instrText>json</w:instrText>
      </w:r>
      <w:r w:rsidR="00765C06" w:rsidRPr="00015FE3">
        <w:rPr>
          <w:rFonts w:ascii="Times New Roman" w:hAnsi="Times New Roman" w:cs="Times New Roman"/>
          <w:sz w:val="28"/>
          <w:szCs w:val="28"/>
        </w:rPr>
        <w:instrText>"}</w:instrText>
      </w:r>
      <w:r w:rsidR="00460324" w:rsidRPr="001B27F8">
        <w:rPr>
          <w:rFonts w:ascii="Times New Roman" w:hAnsi="Times New Roman" w:cs="Times New Roman"/>
          <w:sz w:val="28"/>
          <w:szCs w:val="28"/>
          <w:lang w:val="en-US"/>
        </w:rPr>
        <w:fldChar w:fldCharType="separate"/>
      </w:r>
      <w:r w:rsidR="00877069" w:rsidRPr="00877069">
        <w:rPr>
          <w:rFonts w:ascii="Times New Roman" w:hAnsi="Times New Roman" w:cs="Times New Roman"/>
          <w:noProof/>
          <w:sz w:val="28"/>
          <w:szCs w:val="28"/>
        </w:rPr>
        <w:t>[46]</w:t>
      </w:r>
      <w:r w:rsidR="00460324" w:rsidRPr="001B27F8">
        <w:rPr>
          <w:rFonts w:ascii="Times New Roman" w:hAnsi="Times New Roman" w:cs="Times New Roman"/>
          <w:sz w:val="28"/>
          <w:szCs w:val="28"/>
          <w:lang w:val="en-US"/>
        </w:rPr>
        <w:fldChar w:fldCharType="end"/>
      </w:r>
      <w:r w:rsidR="00D92A67" w:rsidRPr="001B27F8">
        <w:rPr>
          <w:rFonts w:ascii="Times New Roman" w:hAnsi="Times New Roman" w:cs="Times New Roman"/>
          <w:sz w:val="28"/>
          <w:szCs w:val="28"/>
        </w:rPr>
        <w:t xml:space="preserve">. </w:t>
      </w:r>
    </w:p>
    <w:p w14:paraId="59811081" w14:textId="1E1DBAA7" w:rsidR="00497516" w:rsidRPr="001B27F8" w:rsidRDefault="000D3310" w:rsidP="001B27F8">
      <w:pPr>
        <w:tabs>
          <w:tab w:val="left" w:pos="851"/>
        </w:tabs>
        <w:spacing w:after="0" w:line="240" w:lineRule="auto"/>
        <w:ind w:firstLine="567"/>
        <w:jc w:val="both"/>
        <w:rPr>
          <w:rFonts w:ascii="Times New Roman" w:hAnsi="Times New Roman" w:cs="Times New Roman"/>
          <w:sz w:val="28"/>
          <w:szCs w:val="28"/>
        </w:rPr>
      </w:pPr>
      <w:r w:rsidRPr="001B27F8">
        <w:rPr>
          <w:rFonts w:ascii="Times New Roman" w:hAnsi="Times New Roman" w:cs="Times New Roman"/>
          <w:sz w:val="28"/>
          <w:szCs w:val="28"/>
        </w:rPr>
        <w:t>Молекулярная</w:t>
      </w:r>
      <w:r w:rsidR="008738BC" w:rsidRPr="001B27F8">
        <w:rPr>
          <w:rFonts w:ascii="Times New Roman" w:hAnsi="Times New Roman" w:cs="Times New Roman"/>
          <w:sz w:val="28"/>
          <w:szCs w:val="28"/>
        </w:rPr>
        <w:t xml:space="preserve"> аллергодиагностика</w:t>
      </w:r>
      <w:r w:rsidR="00753CD5">
        <w:rPr>
          <w:rFonts w:ascii="Times New Roman" w:hAnsi="Times New Roman" w:cs="Times New Roman"/>
          <w:sz w:val="28"/>
          <w:szCs w:val="28"/>
        </w:rPr>
        <w:t xml:space="preserve"> (МАД)</w:t>
      </w:r>
      <w:r w:rsidR="008738BC" w:rsidRPr="001B27F8">
        <w:rPr>
          <w:rFonts w:ascii="Times New Roman" w:hAnsi="Times New Roman" w:cs="Times New Roman"/>
          <w:sz w:val="28"/>
          <w:szCs w:val="28"/>
        </w:rPr>
        <w:t xml:space="preserve"> </w:t>
      </w:r>
      <w:r w:rsidR="005C38EF" w:rsidRPr="001B27F8">
        <w:rPr>
          <w:rFonts w:ascii="Times New Roman" w:hAnsi="Times New Roman" w:cs="Times New Roman"/>
          <w:sz w:val="28"/>
          <w:szCs w:val="28"/>
        </w:rPr>
        <w:t xml:space="preserve">позволяет повысить точность диагностики </w:t>
      </w:r>
      <w:r w:rsidR="00876A1A" w:rsidRPr="001B27F8">
        <w:rPr>
          <w:rFonts w:ascii="Times New Roman" w:hAnsi="Times New Roman" w:cs="Times New Roman"/>
          <w:sz w:val="28"/>
          <w:szCs w:val="28"/>
        </w:rPr>
        <w:t>первичной</w:t>
      </w:r>
      <w:r w:rsidR="005C38EF" w:rsidRPr="001B27F8">
        <w:rPr>
          <w:rFonts w:ascii="Times New Roman" w:hAnsi="Times New Roman" w:cs="Times New Roman"/>
          <w:sz w:val="28"/>
          <w:szCs w:val="28"/>
        </w:rPr>
        <w:t xml:space="preserve"> и перекрестно-реактивной сенсибилизации, </w:t>
      </w:r>
      <w:r w:rsidR="00D92A67" w:rsidRPr="001B27F8">
        <w:rPr>
          <w:rFonts w:ascii="Times New Roman" w:hAnsi="Times New Roman" w:cs="Times New Roman"/>
          <w:sz w:val="28"/>
          <w:szCs w:val="28"/>
        </w:rPr>
        <w:t>прогнозировать</w:t>
      </w:r>
      <w:r w:rsidR="005C38EF" w:rsidRPr="001B27F8">
        <w:rPr>
          <w:rFonts w:ascii="Times New Roman" w:hAnsi="Times New Roman" w:cs="Times New Roman"/>
          <w:sz w:val="28"/>
          <w:szCs w:val="28"/>
        </w:rPr>
        <w:t xml:space="preserve"> риск</w:t>
      </w:r>
      <w:r w:rsidR="00E13AFC" w:rsidRPr="001B27F8">
        <w:rPr>
          <w:rFonts w:ascii="Times New Roman" w:hAnsi="Times New Roman" w:cs="Times New Roman"/>
          <w:sz w:val="28"/>
          <w:szCs w:val="28"/>
        </w:rPr>
        <w:t xml:space="preserve"> развития </w:t>
      </w:r>
      <w:r w:rsidR="00D92A67" w:rsidRPr="001B27F8">
        <w:rPr>
          <w:rFonts w:ascii="Times New Roman" w:hAnsi="Times New Roman" w:cs="Times New Roman"/>
          <w:sz w:val="28"/>
          <w:szCs w:val="28"/>
        </w:rPr>
        <w:t xml:space="preserve">тяжелых </w:t>
      </w:r>
      <w:r w:rsidR="00E13AFC" w:rsidRPr="001B27F8">
        <w:rPr>
          <w:rFonts w:ascii="Times New Roman" w:hAnsi="Times New Roman" w:cs="Times New Roman"/>
          <w:sz w:val="28"/>
          <w:szCs w:val="28"/>
        </w:rPr>
        <w:t>системных и</w:t>
      </w:r>
      <w:r w:rsidR="005C38EF" w:rsidRPr="001B27F8">
        <w:rPr>
          <w:rFonts w:ascii="Times New Roman" w:hAnsi="Times New Roman" w:cs="Times New Roman"/>
          <w:sz w:val="28"/>
          <w:szCs w:val="28"/>
        </w:rPr>
        <w:t xml:space="preserve"> легких местных реакции при аллергии</w:t>
      </w:r>
      <w:r w:rsidR="00E9072F" w:rsidRPr="001B27F8">
        <w:rPr>
          <w:rFonts w:ascii="Times New Roman" w:hAnsi="Times New Roman" w:cs="Times New Roman"/>
          <w:sz w:val="28"/>
          <w:szCs w:val="28"/>
        </w:rPr>
        <w:t>,</w:t>
      </w:r>
      <w:r w:rsidR="005C38EF" w:rsidRPr="001B27F8">
        <w:rPr>
          <w:rFonts w:ascii="Times New Roman" w:hAnsi="Times New Roman" w:cs="Times New Roman"/>
          <w:sz w:val="28"/>
          <w:szCs w:val="28"/>
        </w:rPr>
        <w:t xml:space="preserve"> а также </w:t>
      </w:r>
      <w:r w:rsidR="00467207">
        <w:rPr>
          <w:rFonts w:ascii="Times New Roman" w:hAnsi="Times New Roman" w:cs="Times New Roman"/>
          <w:sz w:val="28"/>
          <w:szCs w:val="28"/>
        </w:rPr>
        <w:t>предполагает персонифици</w:t>
      </w:r>
      <w:r w:rsidR="008738BC" w:rsidRPr="001B27F8">
        <w:rPr>
          <w:rFonts w:ascii="Times New Roman" w:hAnsi="Times New Roman" w:cs="Times New Roman"/>
          <w:sz w:val="28"/>
          <w:szCs w:val="28"/>
        </w:rPr>
        <w:t xml:space="preserve">рованный подход при выборе оптимального варианта АСИТ, что особенно важно для пациентов с полисенсибилизацией </w:t>
      </w:r>
      <w:r w:rsidR="008738BC" w:rsidRPr="001B27F8">
        <w:rPr>
          <w:rFonts w:ascii="Times New Roman" w:hAnsi="Times New Roman" w:cs="Times New Roman"/>
          <w:sz w:val="28"/>
          <w:szCs w:val="28"/>
        </w:rPr>
        <w:fldChar w:fldCharType="begin" w:fldLock="1"/>
      </w:r>
      <w:r w:rsidR="00A02E0E">
        <w:rPr>
          <w:rFonts w:ascii="Times New Roman" w:hAnsi="Times New Roman" w:cs="Times New Roman"/>
          <w:sz w:val="28"/>
          <w:szCs w:val="28"/>
        </w:rPr>
        <w:instrText>ADDIN CSL_CITATION {"citationItems":[{"id":"ITEM-1","itemData":{"DOI":"10.1111/pai.13189","ISSN":"0905-6157","PMID":"32436290","abstract":"Allergen immunotherapy is a cornerstone in the treatment of allergic children. The clinical efficiency relies on a well-defined immunologic mechanism promoting regulatory T cells and downplaying the immune response induced by allergens. Clinical indications have been well documented for respiratory allergy in the presence of rhinitis and/or allergic asthma, to pollens and dust mites. Patients who have had an anaphylactic reaction to hymenoptera venom are also good candidates for allergen immunotherapy. Administration of allergen is currently mostly either by subcutaneous injections or by sublingual administration. Both methods have been extensively studied and have pros and cons. Specifically in children, the choice of the method of administration according to the patient's profile is important. Although allergen immunotherapy is widely used, there is a need for improvement. More particularly, biomarkers for prediction of the success of the treatments are needed. The strength and efficiency of the immune response may also be boosted by the use of better adjuvants. Finally, novel formulations might be more efficient and might improve the patient's adherence to the treatment. This user's guide reviews current knowledge and aims to provide clinical guidance to healthcare professionals taking care of children undergoing allergen immunotherapy.","author":[{"dropping-particle":"","family":"Alvaro‐Lozano","given":"Montserrat","non-dropping-particle":"","parse-names":false,"suffix":""},{"dropping-particle":"","family":"Akdis","given":"Cezmi A.","non-dropping-particle":"","parse-names":false,"suffix":""},{"dropping-particle":"","family":"Akdis","given":"Mubeccel","non-dropping-particle":"","parse-names":false,"suffix":""},{"dropping-particle":"","family":"Alviani","given":"Cherry","non-dropping-particle":"","parse-names":false,"suffix":""},{"dropping-particle":"","family":"Angier","given":"Elisabeth","non-dropping-particle":"","parse-names":false,"suffix":""},{"dropping-particle":"","family":"Arasi","given":"Stefania","non-dropping-particle":"","parse-names":false,"suffix":""},{"dropping-particle":"","family":"Arzt‐Gradwohl","given":"Lisa","non-dropping-particle":"","parse-names":false,"suffix":""},{"dropping-particle":"","family":"Barber","given":"Domingo","non-dropping-particle":"","parse-names":false,"suffix":""},{"dropping-particle":"","family":"Bazire","given":"Raphaëlle","non-dropping-particle":"","parse-names":false,"suffix":""},{"dropping-particle":"","family":"Cavkaytar","given":"Ozlem","non-dropping-particle":"","parse-names":false,"suffix":""},{"dropping-particle":"","family":"Comberiati","given":"Pasquale","non-dropping-particle":"","parse-names":false,"suffix":""},{"dropping-particle":"","family":"Dramburg","given":"Stephanie","non-dropping-particle":"","parse-names":false,"suffix":""},{"dropping-particle":"","family":"Durham","given":"Stephen R.","non-dropping-particle":"","parse-names":false,"suffix":""},{"dropping-particle":"","family":"Eifan","given":"Aarif O.","non-dropping-particle":"","parse-names":false,"suffix":""},{"dropping-particle":"","family":"Forchert","given":"Leandra","non-dropping-particle":"","parse-names":false,"suffix":""},{"dropping-particle":"","family":"Halken","given":"Susanne","non-dropping-particle":"","parse-names":false,"suffix":""},{"dropping-particle":"","family":"Kirtland","given":"Max","non-dropping-particle":"","parse-names":false,"suffix":""},{"dropping-particle":"","family":"Kucuksezer","given":"Umut C.","non-dropping-particle":"","parse-names":false,"suffix":""},{"dropping-particle":"","family":"Layhadi","given":"Janice A.","non-dropping-particle":"","parse-names":false,"suffix":""},{"dropping-particle":"","family":"Matricardi","given":"Paolo Maria","non-dropping-particle":"","parse-names":false,"suffix":""},{"dropping-particle":"","family":"Muraro","given":"Antonella","non-dropping-particle":"","parse-names":false,"suffix":""},{"dropping-particle":"","family":"Ozdemir","given":"Cevdet","non-dropping-particle":"","parse-names":false,"suffix":""},{"dropping-particle":"","family":"Pajno","given":"Giovanni Battista","non-dropping-particle":"","parse-names":false,"suffix":""},{"dropping-particle":"","family":"Pfaar","given":"Oliver","non-dropping-particle":"","parse-names":false,"suffix":""},{"dropping-particle":"","family":"Potapova","given":"Ekaterina","non-dropping-particle":"","parse-names":false,"suffix":""},{"dropping-particle":"","family":"Riggioni","given":"Carmen","non-dropping-particle":"","parse-names":false,"suffix":""},{"dropping-particle":"","family":"Roberts","given":"Graham","non-dropping-particle":"","parse-names":false,"suffix":""},{"dropping-particle":"","family":"Rodríguez del Río","given":"Pablo","non-dropping-particle":"","parse-names":false,"suffix":""},{"dropping-particle":"","family":"Shamji","given":"Mohamed H.","non-dropping-particle":"","parse-names":false,"suffix":""},{"dropping-particle":"","family":"Sturm","given":"Gunter J.","non-dropping-particle":"","parse-names":false,"suffix":""},{"dropping-particle":"","family":"Vazquez‐Ortiz","given":"Marta","non-dropping-particle":"","parse-names":false,"suffix":""}],"container-title":"Pediatric Allergy and Immunology","id":"ITEM-1","issue":"S25","issued":{"date-parts":[["2020","5","21"]]},"page":"1-101","title":"Allergen Immunotherapy in Children User’s Guide","type":"article-journal","volume":"31"},"uris":["http://www.mendeley.com/documents/?uuid=ca9495e6-cc60-4ddc-8eb8-7a57257599f0"]},{"id":"ITEM-2","itemData":{"DOI":"10.16309/j.cnki.issn.1007-1776.2003.03.004","abstract":"This study used a laboratory experiment with monetary incentives to test the impact of three personal factors (moral reasoning, value orientation and risk preference), and three situational factors (the presence/absence of audits, tax inequity, and peer reporting behavior), while controlling for the impact of other demographic characteristics, on tax compliance. Analysis of Covariance (ANCOVA) reveals that all the main effects analyzed are statistically significant and robustly influence tax compliance behavior. These results highlight the importance of obtaining a proper understanding of these factors for developing effective policies for increasing the level of compliance, and indicate that standard enforcement polices based on punishment alone should be supplemented by an information system that would acquaint tax payers with the compliance level of other tax payers; reinforce the concept of fairness of the tax system among tax payers; and develop programs that enhance and appeal to a taxpayer's moral conscience and reinforce social cohesion.","author":[{"dropping-particle":"","family":"Салтабаева","given":"У.Ш.","non-dropping-particle":"","parse-names":false,"suffix":""},{"dropping-particle":"","family":"Гариб","given":"В.Ф.","non-dropping-particle":"","parse-names":false,"suffix":""},{"dropping-particle":"","family":"Моренко","given":"М.А.","non-dropping-particle":"","parse-names":false,"suffix":""},{"dropping-particle":"","family":"Розенсон","given":"Р.И.","non-dropping-particle":"","parse-names":false,"suffix":""}],"container-title":"Астана медициналық журналы","id":"ITEM-2","issue":"4","issued":{"date-parts":[["2015"]]},"page":"69-77","title":"Применение молекулярной аллергодиагностики на современном этапе","type":"article-journal","volume":"86"},"uris":["http://www.mendeley.com/documents/?uuid=acab32cc-38a1-4ebf-96ff-89241f3c5a81"]}],"mendeley":{"formattedCitation":"[105,115]","plainTextFormattedCitation":"[105,115]","previouslyFormattedCitation":"[105,115]"},"properties":{"noteIndex":0},"schema":"https://github.com/citation-style-language/schema/raw/master/csl-citation.json"}</w:instrText>
      </w:r>
      <w:r w:rsidR="008738BC" w:rsidRPr="001B27F8">
        <w:rPr>
          <w:rFonts w:ascii="Times New Roman" w:hAnsi="Times New Roman" w:cs="Times New Roman"/>
          <w:sz w:val="28"/>
          <w:szCs w:val="28"/>
        </w:rPr>
        <w:fldChar w:fldCharType="separate"/>
      </w:r>
      <w:r w:rsidR="00332566" w:rsidRPr="00332566">
        <w:rPr>
          <w:rFonts w:ascii="Times New Roman" w:hAnsi="Times New Roman" w:cs="Times New Roman"/>
          <w:noProof/>
          <w:sz w:val="28"/>
          <w:szCs w:val="28"/>
        </w:rPr>
        <w:t>[105,115]</w:t>
      </w:r>
      <w:r w:rsidR="008738BC" w:rsidRPr="001B27F8">
        <w:rPr>
          <w:rFonts w:ascii="Times New Roman" w:hAnsi="Times New Roman" w:cs="Times New Roman"/>
          <w:sz w:val="28"/>
          <w:szCs w:val="28"/>
        </w:rPr>
        <w:fldChar w:fldCharType="end"/>
      </w:r>
      <w:r w:rsidR="008738BC" w:rsidRPr="001B27F8">
        <w:rPr>
          <w:rFonts w:ascii="Times New Roman" w:hAnsi="Times New Roman" w:cs="Times New Roman"/>
          <w:sz w:val="28"/>
          <w:szCs w:val="28"/>
        </w:rPr>
        <w:t xml:space="preserve">. </w:t>
      </w:r>
    </w:p>
    <w:p w14:paraId="2FD33F4B" w14:textId="5642979E" w:rsidR="00265641" w:rsidRPr="001B27F8" w:rsidRDefault="00255701" w:rsidP="001B27F8">
      <w:pPr>
        <w:tabs>
          <w:tab w:val="left" w:pos="851"/>
        </w:tabs>
        <w:spacing w:after="0" w:line="240" w:lineRule="auto"/>
        <w:ind w:firstLine="567"/>
        <w:jc w:val="both"/>
        <w:rPr>
          <w:rFonts w:ascii="Times New Roman" w:hAnsi="Times New Roman" w:cs="Times New Roman"/>
          <w:sz w:val="28"/>
          <w:szCs w:val="28"/>
        </w:rPr>
      </w:pPr>
      <w:r w:rsidRPr="001B27F8">
        <w:rPr>
          <w:rFonts w:ascii="Times New Roman" w:hAnsi="Times New Roman" w:cs="Times New Roman"/>
          <w:sz w:val="28"/>
          <w:szCs w:val="28"/>
        </w:rPr>
        <w:t xml:space="preserve">В </w:t>
      </w:r>
      <w:r w:rsidRPr="001B27F8">
        <w:rPr>
          <w:rStyle w:val="fontstyle01"/>
          <w:color w:val="auto"/>
        </w:rPr>
        <w:t xml:space="preserve">РК стоит острая необходимость точной </w:t>
      </w:r>
      <w:r w:rsidR="00753CD5">
        <w:rPr>
          <w:rStyle w:val="fontstyle01"/>
          <w:color w:val="auto"/>
        </w:rPr>
        <w:t>МАД</w:t>
      </w:r>
      <w:r w:rsidRPr="001B27F8">
        <w:rPr>
          <w:rStyle w:val="fontstyle01"/>
          <w:color w:val="auto"/>
        </w:rPr>
        <w:t>, поскольку б</w:t>
      </w:r>
      <w:r w:rsidR="00265641" w:rsidRPr="001B27F8">
        <w:rPr>
          <w:rFonts w:ascii="Times New Roman" w:hAnsi="Times New Roman" w:cs="Times New Roman"/>
          <w:sz w:val="28"/>
          <w:szCs w:val="28"/>
        </w:rPr>
        <w:t xml:space="preserve">ольшинство людей, страдающих аллергическим ринитом имеют </w:t>
      </w:r>
      <w:r w:rsidRPr="001B27F8">
        <w:rPr>
          <w:rStyle w:val="fontstyle01"/>
          <w:color w:val="auto"/>
        </w:rPr>
        <w:t xml:space="preserve">высокую степень множественной сенсибилизации и тяжелые клинические проявления </w:t>
      </w:r>
      <w:r w:rsidRPr="001B27F8">
        <w:rPr>
          <w:rFonts w:ascii="Times New Roman" w:hAnsi="Times New Roman" w:cs="Times New Roman"/>
          <w:sz w:val="28"/>
          <w:szCs w:val="28"/>
        </w:rPr>
        <w:fldChar w:fldCharType="begin" w:fldLock="1"/>
      </w:r>
      <w:r w:rsidR="00A02E0E">
        <w:rPr>
          <w:rFonts w:ascii="Times New Roman" w:hAnsi="Times New Roman" w:cs="Times New Roman"/>
          <w:sz w:val="28"/>
          <w:szCs w:val="28"/>
        </w:rPr>
        <w:instrText>ADDIN CSL_CITATION {"citationItems":[{"id":"ITEM-1","itemData":{"author":[{"dropping-particle":"","family":"Испаева","given":"Ж.Б.","non-dropping-particle":"","parse-names":false,"suffix":""},{"dropping-particle":"","family":"Зурдунова","given":"И.К.","non-dropping-particle":"","parse-names":false,"suffix":""},{"dropping-particle":"","family":"Шоканова","given":"Э.Т.","non-dropping-particle":"","parse-names":false,"suffix":""},{"dropping-particle":"","family":"Абдралиева","given":"А.Р.","non-dropping-particle":"","parse-names":false,"suffix":""}],"container-title":"Вестник КазНМУ","id":"ITEM-1","issue":"2","issued":{"date-parts":[["2017"]]},"page":"20-22","title":"Инновации в аллергологии. Молекулярная аллергология.","type":"article-journal"},"uris":["http://www.mendeley.com/documents/?uuid=39133318-5c78-4cde-bdd4-c8c096111d16"]}],"mendeley":{"formattedCitation":"[116]","plainTextFormattedCitation":"[116]","previouslyFormattedCitation":"[116]"},"properties":{"noteIndex":0},"schema":"https://github.com/citation-style-language/schema/raw/master/csl-citation.json"}</w:instrText>
      </w:r>
      <w:r w:rsidRPr="001B27F8">
        <w:rPr>
          <w:rFonts w:ascii="Times New Roman" w:hAnsi="Times New Roman" w:cs="Times New Roman"/>
          <w:sz w:val="28"/>
          <w:szCs w:val="28"/>
        </w:rPr>
        <w:fldChar w:fldCharType="separate"/>
      </w:r>
      <w:r w:rsidR="00332566" w:rsidRPr="00332566">
        <w:rPr>
          <w:rFonts w:ascii="Times New Roman" w:hAnsi="Times New Roman" w:cs="Times New Roman"/>
          <w:noProof/>
          <w:sz w:val="28"/>
          <w:szCs w:val="28"/>
        </w:rPr>
        <w:t>[116]</w:t>
      </w:r>
      <w:r w:rsidRPr="001B27F8">
        <w:rPr>
          <w:rFonts w:ascii="Times New Roman" w:hAnsi="Times New Roman" w:cs="Times New Roman"/>
          <w:sz w:val="28"/>
          <w:szCs w:val="28"/>
        </w:rPr>
        <w:fldChar w:fldCharType="end"/>
      </w:r>
      <w:r w:rsidR="00265641" w:rsidRPr="001B27F8">
        <w:rPr>
          <w:rFonts w:ascii="Times New Roman" w:hAnsi="Times New Roman" w:cs="Times New Roman"/>
          <w:sz w:val="28"/>
          <w:szCs w:val="28"/>
        </w:rPr>
        <w:t>. В таких случаях для дальнейшего назначения аллерген-специфической иммунотерапии очень важно отделить истинную сенсибилизацию от перекрестной реактивности к компон</w:t>
      </w:r>
      <w:r w:rsidRPr="001B27F8">
        <w:rPr>
          <w:rFonts w:ascii="Times New Roman" w:hAnsi="Times New Roman" w:cs="Times New Roman"/>
          <w:sz w:val="28"/>
          <w:szCs w:val="28"/>
        </w:rPr>
        <w:t>ентам различных аллергенов</w:t>
      </w:r>
      <w:r w:rsidR="00EA51EC" w:rsidRPr="001B27F8">
        <w:rPr>
          <w:rFonts w:ascii="Times New Roman" w:hAnsi="Times New Roman" w:cs="Times New Roman"/>
          <w:sz w:val="28"/>
          <w:szCs w:val="28"/>
        </w:rPr>
        <w:t xml:space="preserve"> </w:t>
      </w:r>
      <w:r w:rsidR="00EA51EC" w:rsidRPr="001B27F8">
        <w:rPr>
          <w:rFonts w:ascii="Times New Roman" w:hAnsi="Times New Roman" w:cs="Times New Roman"/>
          <w:sz w:val="28"/>
          <w:szCs w:val="28"/>
        </w:rPr>
        <w:fldChar w:fldCharType="begin" w:fldLock="1"/>
      </w:r>
      <w:r w:rsidR="00A02E0E">
        <w:rPr>
          <w:rFonts w:ascii="Times New Roman" w:hAnsi="Times New Roman" w:cs="Times New Roman"/>
          <w:sz w:val="28"/>
          <w:szCs w:val="28"/>
        </w:rPr>
        <w:instrText>ADDIN CSL_CITATION {"citationItems":[{"id":"ITEM-1","itemData":{"DOI":"10.16309/j.cnki.issn.1007-1776.2003.03.004","abstract":"This study used a laboratory experiment with monetary incentives to test the impact of three personal factors (moral reasoning, value orientation and risk preference), and three situational factors (the presence/absence of audits, tax inequity, and peer reporting behavior), while controlling for the impact of other demographic characteristics, on tax compliance. Analysis of Covariance (ANCOVA) reveals that all the main effects analyzed are statistically significant and robustly influence tax compliance behavior. These results highlight the importance of obtaining a proper understanding of these factors for developing effective policies for increasing the level of compliance, and indicate that standard enforcement polices based on punishment alone should be supplemented by an information system that would acquaint tax payers with the compliance level of other tax payers; reinforce the concept of fairness of the tax system among tax payers; and develop programs that enhance and appeal to a taxpayer's moral conscience and reinforce social cohesion.","author":[{"dropping-particle":"","family":"Салтабаева","given":"У.Ш.","non-dropping-particle":"","parse-names":false,"suffix":""},{"dropping-particle":"","family":"Гариб","given":"В.Ф.","non-dropping-particle":"","parse-names":false,"suffix":""},{"dropping-particle":"","family":"Моренко","given":"М.А.","non-dropping-particle":"","parse-names":false,"suffix":""},{"dropping-particle":"","family":"Розенсон","given":"Р.И.","non-dropping-particle":"","parse-names":false,"suffix":""}],"container-title":"Астана медициналық журналы","id":"ITEM-1","issue":"4","issued":{"date-parts":[["2015"]]},"page":"69-77","title":"Применение молекулярной аллергодиагностики на современном этапе","type":"article-journal","volume":"86"},"uris":["http://www.mendeley.com/documents/?uuid=acab32cc-38a1-4ebf-96ff-89241f3c5a81"]}],"mendeley":{"formattedCitation":"[115]","plainTextFormattedCitation":"[115]","previouslyFormattedCitation":"[115]"},"properties":{"noteIndex":0},"schema":"https://github.com/citation-style-language/schema/raw/master/csl-citation.json"}</w:instrText>
      </w:r>
      <w:r w:rsidR="00EA51EC" w:rsidRPr="001B27F8">
        <w:rPr>
          <w:rFonts w:ascii="Times New Roman" w:hAnsi="Times New Roman" w:cs="Times New Roman"/>
          <w:sz w:val="28"/>
          <w:szCs w:val="28"/>
        </w:rPr>
        <w:fldChar w:fldCharType="separate"/>
      </w:r>
      <w:r w:rsidR="00332566" w:rsidRPr="00332566">
        <w:rPr>
          <w:rFonts w:ascii="Times New Roman" w:hAnsi="Times New Roman" w:cs="Times New Roman"/>
          <w:noProof/>
          <w:sz w:val="28"/>
          <w:szCs w:val="28"/>
        </w:rPr>
        <w:t>[115]</w:t>
      </w:r>
      <w:r w:rsidR="00EA51EC" w:rsidRPr="001B27F8">
        <w:rPr>
          <w:rFonts w:ascii="Times New Roman" w:hAnsi="Times New Roman" w:cs="Times New Roman"/>
          <w:sz w:val="28"/>
          <w:szCs w:val="28"/>
        </w:rPr>
        <w:fldChar w:fldCharType="end"/>
      </w:r>
      <w:r w:rsidR="00265641" w:rsidRPr="001B27F8">
        <w:rPr>
          <w:rFonts w:ascii="Times New Roman" w:hAnsi="Times New Roman" w:cs="Times New Roman"/>
          <w:sz w:val="28"/>
          <w:szCs w:val="28"/>
        </w:rPr>
        <w:t xml:space="preserve">. </w:t>
      </w:r>
    </w:p>
    <w:p w14:paraId="207F7E91" w14:textId="0F48C19C" w:rsidR="00CF7823" w:rsidRPr="001B27F8" w:rsidRDefault="00753CD5" w:rsidP="001B27F8">
      <w:pPr>
        <w:tabs>
          <w:tab w:val="left" w:pos="851"/>
        </w:tabs>
        <w:spacing w:after="0" w:line="240" w:lineRule="auto"/>
        <w:ind w:firstLine="567"/>
        <w:jc w:val="both"/>
        <w:rPr>
          <w:rStyle w:val="fontstyle01"/>
          <w:color w:val="auto"/>
        </w:rPr>
      </w:pPr>
      <w:r>
        <w:rPr>
          <w:rFonts w:ascii="Times New Roman" w:hAnsi="Times New Roman" w:cs="Times New Roman"/>
          <w:sz w:val="28"/>
          <w:szCs w:val="28"/>
        </w:rPr>
        <w:t>МАД</w:t>
      </w:r>
      <w:r w:rsidR="00255701" w:rsidRPr="001B27F8">
        <w:rPr>
          <w:rFonts w:ascii="Times New Roman" w:hAnsi="Times New Roman" w:cs="Times New Roman"/>
          <w:sz w:val="28"/>
          <w:szCs w:val="28"/>
        </w:rPr>
        <w:t xml:space="preserve"> подразумевает определение уровня специфического ИГЕ к компонентам аллергена с помощью платформы ISAC</w:t>
      </w:r>
      <w:r w:rsidR="00E9072F" w:rsidRPr="001B27F8">
        <w:rPr>
          <w:rFonts w:ascii="Times New Roman" w:hAnsi="Times New Roman" w:cs="Times New Roman"/>
          <w:sz w:val="28"/>
          <w:szCs w:val="28"/>
        </w:rPr>
        <w:t xml:space="preserve"> </w:t>
      </w:r>
      <w:r w:rsidR="00E9072F" w:rsidRPr="001B27F8">
        <w:rPr>
          <w:rFonts w:ascii="Times New Roman" w:hAnsi="Times New Roman" w:cs="Times New Roman"/>
          <w:sz w:val="28"/>
          <w:szCs w:val="28"/>
        </w:rPr>
        <w:fldChar w:fldCharType="begin" w:fldLock="1"/>
      </w:r>
      <w:r w:rsidR="00A02E0E">
        <w:rPr>
          <w:rFonts w:ascii="Times New Roman" w:hAnsi="Times New Roman" w:cs="Times New Roman"/>
          <w:sz w:val="28"/>
          <w:szCs w:val="28"/>
        </w:rPr>
        <w:instrText>ADDIN CSL_CITATION {"citationItems":[{"id":"ITEM-1","itemData":{"DOI":"10.16309/j.cnki.issn.1007-1776.2003.03.004","abstract":"This study used a laboratory experiment with monetary incentives to test the impact of three personal factors (moral reasoning, value orientation and risk preference), and three situational factors (the presence/absence of audits, tax inequity, and peer reporting behavior), while controlling for the impact of other demographic characteristics, on tax compliance. Analysis of Covariance (ANCOVA) reveals that all the main effects analyzed are statistically significant and robustly influence tax compliance behavior. These results highlight the importance of obtaining a proper understanding of these factors for developing effective policies for increasing the level of compliance, and indicate that standard enforcement polices based on punishment alone should be supplemented by an information system that would acquaint tax payers with the compliance level of other tax payers; reinforce the concept of fairness of the tax system among tax payers; and develop programs that enhance and appeal to a taxpayer's moral conscience and reinforce social cohesion.","author":[{"dropping-particle":"","family":"Салтабаева","given":"У.Ш.","non-dropping-particle":"","parse-names":false,"suffix":""},{"dropping-particle":"","family":"Гариб","given":"В.Ф.","non-dropping-particle":"","parse-names":false,"suffix":""},{"dropping-particle":"","family":"Моренко","given":"М.А.","non-dropping-particle":"","parse-names":false,"suffix":""},{"dropping-particle":"","family":"Розенсон","given":"Р.И.","non-dropping-particle":"","parse-names":false,"suffix":""}],"container-title":"Астана медициналық журналы","id":"ITEM-1","issue":"4","issued":{"date-parts":[["2015"]]},"page":"69-77","title":"Применение молекулярной аллергодиагностики на современном этапе","type":"article-journal","volume":"86"},"uris":["http://www.mendeley.com/documents/?uuid=acab32cc-38a1-4ebf-96ff-89241f3c5a81"]}],"mendeley":{"formattedCitation":"[115]","plainTextFormattedCitation":"[115]","previouslyFormattedCitation":"[115]"},"properties":{"noteIndex":0},"schema":"https://github.com/citation-style-language/schema/raw/master/csl-citation.json"}</w:instrText>
      </w:r>
      <w:r w:rsidR="00E9072F" w:rsidRPr="001B27F8">
        <w:rPr>
          <w:rFonts w:ascii="Times New Roman" w:hAnsi="Times New Roman" w:cs="Times New Roman"/>
          <w:sz w:val="28"/>
          <w:szCs w:val="28"/>
        </w:rPr>
        <w:fldChar w:fldCharType="separate"/>
      </w:r>
      <w:r w:rsidR="00332566" w:rsidRPr="00332566">
        <w:rPr>
          <w:rFonts w:ascii="Times New Roman" w:hAnsi="Times New Roman" w:cs="Times New Roman"/>
          <w:noProof/>
          <w:sz w:val="28"/>
          <w:szCs w:val="28"/>
        </w:rPr>
        <w:t>[115]</w:t>
      </w:r>
      <w:r w:rsidR="00E9072F" w:rsidRPr="001B27F8">
        <w:rPr>
          <w:rFonts w:ascii="Times New Roman" w:hAnsi="Times New Roman" w:cs="Times New Roman"/>
          <w:sz w:val="28"/>
          <w:szCs w:val="28"/>
        </w:rPr>
        <w:fldChar w:fldCharType="end"/>
      </w:r>
      <w:r w:rsidR="00255701" w:rsidRPr="001B27F8">
        <w:rPr>
          <w:rFonts w:ascii="Times New Roman" w:hAnsi="Times New Roman" w:cs="Times New Roman"/>
          <w:sz w:val="28"/>
          <w:szCs w:val="28"/>
        </w:rPr>
        <w:t>.</w:t>
      </w:r>
      <w:r w:rsidR="00474297" w:rsidRPr="001B27F8">
        <w:rPr>
          <w:rFonts w:ascii="Times New Roman" w:hAnsi="Times New Roman" w:cs="Times New Roman"/>
          <w:sz w:val="28"/>
          <w:szCs w:val="28"/>
        </w:rPr>
        <w:t xml:space="preserve"> </w:t>
      </w:r>
      <w:r w:rsidR="00E9072F" w:rsidRPr="001B27F8">
        <w:rPr>
          <w:rFonts w:ascii="Times New Roman" w:hAnsi="Times New Roman" w:cs="Times New Roman"/>
          <w:sz w:val="28"/>
          <w:szCs w:val="28"/>
        </w:rPr>
        <w:t>На сегодняшний день это единственный достоверный</w:t>
      </w:r>
      <w:r w:rsidR="00E9072F" w:rsidRPr="001B27F8">
        <w:rPr>
          <w:rStyle w:val="fontstyle01"/>
          <w:color w:val="auto"/>
        </w:rPr>
        <w:t xml:space="preserve"> диагностический инструмент </w:t>
      </w:r>
      <w:r w:rsidR="00CF7823" w:rsidRPr="001B27F8">
        <w:rPr>
          <w:rStyle w:val="fontstyle01"/>
          <w:color w:val="auto"/>
        </w:rPr>
        <w:t xml:space="preserve">дифференциации </w:t>
      </w:r>
      <w:r w:rsidR="002947C6" w:rsidRPr="001B27F8">
        <w:rPr>
          <w:rStyle w:val="fontstyle01"/>
          <w:color w:val="auto"/>
        </w:rPr>
        <w:t>аллергенов, вызывающих клинически выраженный</w:t>
      </w:r>
      <w:r w:rsidR="00CF7823" w:rsidRPr="001B27F8">
        <w:rPr>
          <w:rStyle w:val="fontstyle01"/>
          <w:color w:val="auto"/>
        </w:rPr>
        <w:t xml:space="preserve"> </w:t>
      </w:r>
      <w:r w:rsidR="002947C6" w:rsidRPr="001B27F8">
        <w:rPr>
          <w:rStyle w:val="fontstyle01"/>
          <w:color w:val="auto"/>
        </w:rPr>
        <w:t>аллергический ринит</w:t>
      </w:r>
      <w:r w:rsidR="008167D2" w:rsidRPr="001B27F8">
        <w:rPr>
          <w:rStyle w:val="fontstyle01"/>
          <w:color w:val="auto"/>
        </w:rPr>
        <w:t xml:space="preserve"> от аллергенов, ассоциированных с</w:t>
      </w:r>
      <w:r w:rsidR="00CF7823" w:rsidRPr="001B27F8">
        <w:rPr>
          <w:rStyle w:val="fontstyle01"/>
          <w:color w:val="auto"/>
        </w:rPr>
        <w:t xml:space="preserve"> </w:t>
      </w:r>
      <w:r w:rsidR="002947C6" w:rsidRPr="001B27F8">
        <w:rPr>
          <w:rStyle w:val="fontstyle01"/>
          <w:color w:val="auto"/>
        </w:rPr>
        <w:t>бессимптомн</w:t>
      </w:r>
      <w:r w:rsidR="008167D2" w:rsidRPr="001B27F8">
        <w:rPr>
          <w:rStyle w:val="fontstyle01"/>
          <w:color w:val="auto"/>
        </w:rPr>
        <w:t>ой</w:t>
      </w:r>
      <w:r w:rsidR="002947C6" w:rsidRPr="001B27F8">
        <w:rPr>
          <w:rStyle w:val="fontstyle01"/>
          <w:color w:val="auto"/>
        </w:rPr>
        <w:t xml:space="preserve"> сенсибилизаци</w:t>
      </w:r>
      <w:r w:rsidR="008167D2" w:rsidRPr="001B27F8">
        <w:rPr>
          <w:rStyle w:val="fontstyle01"/>
          <w:color w:val="auto"/>
        </w:rPr>
        <w:t>ей</w:t>
      </w:r>
      <w:r w:rsidR="00FD3B44" w:rsidRPr="001B27F8">
        <w:rPr>
          <w:rStyle w:val="fontstyle01"/>
          <w:color w:val="auto"/>
        </w:rPr>
        <w:t xml:space="preserve"> </w:t>
      </w:r>
      <w:r w:rsidR="00FD3B44" w:rsidRPr="001B27F8">
        <w:rPr>
          <w:rStyle w:val="fontstyle01"/>
          <w:color w:val="auto"/>
        </w:rPr>
        <w:fldChar w:fldCharType="begin" w:fldLock="1"/>
      </w:r>
      <w:r w:rsidR="00A02E0E">
        <w:rPr>
          <w:rStyle w:val="fontstyle01"/>
          <w:color w:val="auto"/>
        </w:rPr>
        <w:instrText>ADDIN CSL_CITATION {"citationItems":[{"id":"ITEM-1","itemData":{"DOI":"10.1111/cea.13361","ISSN":"13652222","PMID":"30734376","abstract":"Background: Confirmation of the clinical relevance of sensitisation is important for the diagnosis of allergic rhinitis. Objective: To investigate the usefulness of an in vitro basophil activation test and component-resolved diagnosis in distinguishing between symptomatic allergic rhinitis patients and asymptomatic sensitization to house dust mites (HDMs). Methods: Thirty-six subjects with a positive skin prick test (SPT) for HDM were divided into a symptomatic (n = 17) and an asymptomatic (n = 19) group on the basis of their clinical history and a nasal provocation test. A basophil CD63 response to in vitro stimulation with Dermatophagoides pteronyssinus whole allergen extract and the IgE reactivity profiles for Der p 1, 2, 4, 5, 7, 10, 11, 14, 15, 18, 21, 23 were evaluated. Serum IgE and IgG specific to D pteronyssinus whole allergen extract and total IgE were measured. Results: There were no statistically significant differences in the levels of IgE (IgE levels were higher in symptomatic patients with P = 0.055) and IgG specific to D pteronyssinus and total IgE. Symptomatic patients showed a lower threshold for in vitro basophil activation (3.33 ng/mL vs 33.3 ng/mL), a higher area under the curve (AUC) of basophil activation (171 vs 127) (P = 0.017), a higher response to positive control with anti-FcεRI stimulation (97% vs 79%) (P &lt; 0.001), a recognition of more HDM allergens (4 vs 2) and more frequent sensitization to rDer p 7 (P = 0.016) and rDer p 23 compared to asymptomatic subjects (P = 0.018). There was a positive correlation (r = 0.63; P &lt; 0.001) between the number of recognized allergens and the AUC of basophil activation. Conclusion and Clinical Relevance: In the subjects studied, the differences in the basophil response to D pteronyssinus allergen extract, number of recognized HDM allergens and reactivity to rDer p 7 and rDer p 23 distinguish symptomatic from asymptomatic HDM sensitisation better than SPT or allergen extract-specific IgE. Information regarding the clinical relevance of sensitization is important for the prescription of allergen-specific immunotherapy.","author":[{"dropping-particle":"","family":"Zidarn","given":"Mihaela","non-dropping-particle":"","parse-names":false,"suffix":""},{"dropping-particle":"","family":"Robič","given":"Maša","non-dropping-particle":"","parse-names":false,"suffix":""},{"dropping-particle":"","family":"Krivec","given":"Anja","non-dropping-particle":"","parse-names":false,"suffix":""},{"dropping-particle":"","family":"Šilar","given":"Mira","non-dropping-particle":"","parse-names":false,"suffix":""},{"dropping-particle":"","family":"Resch-Marat","given":"Yvonne","non-dropping-particle":"","parse-names":false,"suffix":""},{"dropping-particle":"","family":"Vrtala","given":"Susanne","non-dropping-particle":"","parse-names":false,"suffix":""},{"dropping-particle":"","family":"Kopač","given":"Peter","non-dropping-particle":"","parse-names":false,"suffix":""},{"dropping-particle":"","family":"Bajrović","given":"Nissera","non-dropping-particle":"","parse-names":false,"suffix":""},{"dropping-particle":"","family":"Valenta","given":"Rudolf","non-dropping-particle":"","parse-names":false,"suffix":""},{"dropping-particle":"","family":"Korošec","given":"Peter","non-dropping-particle":"","parse-names":false,"suffix":""}],"container-title":"Clinical and Experimental Allergy","id":"ITEM-1","issue":"6","issued":{"date-parts":[["2019"]]},"page":"808-818","title":"Clinical and immunological differences between asymptomatic HDM-sensitized and HDM-allergic rhinitis patients","type":"article-journal","volume":"49"},"uris":["http://www.mendeley.com/documents/?uuid=9e716c56-1cfe-4310-8939-77c8c7eaef7a"]}],"mendeley":{"formattedCitation":"[117]","plainTextFormattedCitation":"[117]","previouslyFormattedCitation":"[117]"},"properties":{"noteIndex":0},"schema":"https://github.com/citation-style-language/schema/raw/master/csl-citation.json"}</w:instrText>
      </w:r>
      <w:r w:rsidR="00FD3B44" w:rsidRPr="001B27F8">
        <w:rPr>
          <w:rStyle w:val="fontstyle01"/>
          <w:color w:val="auto"/>
        </w:rPr>
        <w:fldChar w:fldCharType="separate"/>
      </w:r>
      <w:r w:rsidR="00332566" w:rsidRPr="00332566">
        <w:rPr>
          <w:rStyle w:val="fontstyle01"/>
          <w:noProof/>
          <w:color w:val="auto"/>
        </w:rPr>
        <w:t>[117]</w:t>
      </w:r>
      <w:r w:rsidR="00FD3B44" w:rsidRPr="001B27F8">
        <w:rPr>
          <w:rStyle w:val="fontstyle01"/>
          <w:color w:val="auto"/>
        </w:rPr>
        <w:fldChar w:fldCharType="end"/>
      </w:r>
      <w:r w:rsidR="00CF7823" w:rsidRPr="001B27F8">
        <w:rPr>
          <w:rStyle w:val="fontstyle01"/>
          <w:color w:val="auto"/>
        </w:rPr>
        <w:t>.</w:t>
      </w:r>
    </w:p>
    <w:p w14:paraId="324770BE" w14:textId="216D0063" w:rsidR="00002DC6" w:rsidRPr="001B27F8" w:rsidRDefault="00002DC6" w:rsidP="001B27F8">
      <w:pPr>
        <w:tabs>
          <w:tab w:val="left" w:pos="851"/>
        </w:tabs>
        <w:spacing w:after="0" w:line="240" w:lineRule="auto"/>
        <w:ind w:firstLine="567"/>
        <w:jc w:val="both"/>
        <w:rPr>
          <w:rFonts w:ascii="Times New Roman" w:hAnsi="Times New Roman" w:cs="Times New Roman"/>
          <w:sz w:val="28"/>
          <w:szCs w:val="28"/>
        </w:rPr>
      </w:pPr>
      <w:r w:rsidRPr="001B27F8">
        <w:rPr>
          <w:rFonts w:ascii="Times New Roman" w:hAnsi="Times New Roman" w:cs="Times New Roman"/>
          <w:sz w:val="28"/>
          <w:szCs w:val="28"/>
        </w:rPr>
        <w:t xml:space="preserve">У большинства пациентов на фоне АСИТ начальное повышение уровня </w:t>
      </w:r>
      <w:r w:rsidR="00731B29">
        <w:rPr>
          <w:rStyle w:val="fontstyle01"/>
        </w:rPr>
        <w:t>sIgЕ</w:t>
      </w:r>
      <w:r w:rsidR="00731B29" w:rsidRPr="001B27F8">
        <w:rPr>
          <w:rFonts w:ascii="Times New Roman" w:hAnsi="Times New Roman" w:cs="Times New Roman"/>
          <w:sz w:val="28"/>
          <w:szCs w:val="28"/>
        </w:rPr>
        <w:t xml:space="preserve"> </w:t>
      </w:r>
      <w:r w:rsidRPr="001B27F8">
        <w:rPr>
          <w:rFonts w:ascii="Times New Roman" w:hAnsi="Times New Roman" w:cs="Times New Roman"/>
          <w:sz w:val="28"/>
          <w:szCs w:val="28"/>
        </w:rPr>
        <w:t>в сыворотке крови обычно наблюдается уже в первые несколько месяцев лечения. Данный факт не влечет за собой изменения клинической ситуации или обострения заболевания и представляет собой естест</w:t>
      </w:r>
      <w:r w:rsidR="0028400F" w:rsidRPr="001B27F8">
        <w:rPr>
          <w:rFonts w:ascii="Times New Roman" w:hAnsi="Times New Roman" w:cs="Times New Roman"/>
          <w:sz w:val="28"/>
          <w:szCs w:val="28"/>
        </w:rPr>
        <w:t>венную ответную реакцию на АСИТ</w:t>
      </w:r>
      <w:r w:rsidR="00FF6CE1" w:rsidRPr="001B27F8">
        <w:rPr>
          <w:rFonts w:ascii="Times New Roman" w:hAnsi="Times New Roman" w:cs="Times New Roman"/>
          <w:sz w:val="28"/>
          <w:szCs w:val="28"/>
        </w:rPr>
        <w:t xml:space="preserve"> </w:t>
      </w:r>
      <w:r w:rsidR="0028400F" w:rsidRPr="001B27F8">
        <w:rPr>
          <w:rFonts w:ascii="Times New Roman" w:hAnsi="Times New Roman" w:cs="Times New Roman"/>
          <w:sz w:val="28"/>
          <w:szCs w:val="28"/>
        </w:rPr>
        <w:fldChar w:fldCharType="begin" w:fldLock="1"/>
      </w:r>
      <w:r w:rsidR="00A02E0E">
        <w:rPr>
          <w:rFonts w:ascii="Times New Roman" w:hAnsi="Times New Roman" w:cs="Times New Roman"/>
          <w:sz w:val="28"/>
          <w:szCs w:val="28"/>
        </w:rPr>
        <w:instrText>ADDIN CSL_CITATION {"citationItems":[{"id":"ITEM-1","itemData":{"DOI":"10.1111/cea.12187","ISSN":"09547894","PMID":"24261946","abstract":"During allergen-specific sublingual immunotherapy (SLIT), the relevance of changes in specific IgE and IgG antibody titres to treatment efficacy remains to be evaluated at an individual patient level. To investigate whether antibody responses can be used as biomarkers for SLIT efficacy. Comprehensive quantitative, qualitative and functional analyses of allergen-specific IgA, IgE, IgG1-4 and IgM responses were performed using purified Phl p 1 to 12 allergens in sera, saliva and nasal secretions from 82 grass pollen allergic patients. These patients were enrolled in a randomized, double-blind placebo-controlled study and assessed in an allergen challenge chamber (ClinicalTrials.gov NCT00619827). Antibody responses were monitored in parallel to clinical responses before and after daily sublingual treatment for 4 months with either a grass pollen or a placebo tablet. A significant mean improvement (i.e. 33-40.6%) in rhinoconjunctivitis total symptom scores was observed in SLIT recipients, irrespective of their baseline patterns of IgE sensitization (i.e. narrow, intermediate, broad) to grass pollen allergens. SLIT did not induce any de novo IgE sensitization. Clinical responders encompassed both immunoreactive patients who exhibited strong increases in titres, affinity and/or blocking activity of grass-pollen-specific IgGs (representing 17% of treated patients), as well as patients with no detectable antibody responses distinguishing them from the placebo group. No significant changes were detected in antibody titres in saliva and nasal washes, even in clinical responders. Sublingual immunotherapy with a grass pollen tablet is efficacious irrespective of the patients' baseline sensitization to either single or multiple grass pollen allergens. Seric IgG responses may contribute to SLIT-induced clinical tolerance in a fraction (i.e. 17%) of patients, but additional immune mechanisms are involved in most patients. Consequently, antibody responses cannot be used as a marker of SLIT efficacy at an individual patient level. © 2013 John Wiley &amp; Sons Ltd.","author":[{"dropping-particle":"","family":"Baron-Bodo","given":"V.","non-dropping-particle":"","parse-names":false,"suffix":""},{"dropping-particle":"","family":"Horiot","given":"S.","non-dropping-particle":"","parse-names":false,"suffix":""},{"dropping-particle":"","family":"Lautrette","given":"A.","non-dropping-particle":"","parse-names":false,"suffix":""},{"dropping-particle":"","family":"Chabre","given":"H.","non-dropping-particle":"","parse-names":false,"suffix":""},{"dropping-particle":"","family":"Drucbert","given":"A. S.","non-dropping-particle":"","parse-names":false,"suffix":""},{"dropping-particle":"","family":"Danzé","given":"P. M.","non-dropping-particle":"","parse-names":false,"suffix":""},{"dropping-particle":"","family":"Sénéchal","given":"H.","non-dropping-particle":"","parse-names":false,"suffix":""},{"dropping-particle":"","family":"Peltre","given":"G.","non-dropping-particle":"","parse-names":false,"suffix":""},{"dropping-particle":"","family":"Galvain","given":"S.","non-dropping-particle":"","parse-names":false,"suffix":""},{"dropping-particle":"","family":"Zeldin","given":"R. K.","non-dropping-particle":"","parse-names":false,"suffix":""},{"dropping-particle":"","family":"Horak","given":"F.","non-dropping-particle":"","parse-names":false,"suffix":""},{"dropping-particle":"","family":"Moingeon","given":"P.","non-dropping-particle":"","parse-names":false,"suffix":""}],"container-title":"Clinical &amp; Experimental Allergy","id":"ITEM-1","issue":"12","issued":{"date-parts":[["2013","12"]]},"page":"1362-1373","title":"Heterogeneity of antibody responses among clinical responders during grass pollen sublingual immunotherapy","type":"article-journal","volume":"43"},"uris":["http://www.mendeley.com/documents/?uuid=cbb89b3b-34b1-4229-858c-ce64fe399d24"]}],"mendeley":{"formattedCitation":"[118]","plainTextFormattedCitation":"[118]","previouslyFormattedCitation":"[118]"},"properties":{"noteIndex":0},"schema":"https://github.com/citation-style-language/schema/raw/master/csl-citation.json"}</w:instrText>
      </w:r>
      <w:r w:rsidR="0028400F" w:rsidRPr="001B27F8">
        <w:rPr>
          <w:rFonts w:ascii="Times New Roman" w:hAnsi="Times New Roman" w:cs="Times New Roman"/>
          <w:sz w:val="28"/>
          <w:szCs w:val="28"/>
        </w:rPr>
        <w:fldChar w:fldCharType="separate"/>
      </w:r>
      <w:r w:rsidR="00332566" w:rsidRPr="00332566">
        <w:rPr>
          <w:rFonts w:ascii="Times New Roman" w:hAnsi="Times New Roman" w:cs="Times New Roman"/>
          <w:noProof/>
          <w:sz w:val="28"/>
          <w:szCs w:val="28"/>
        </w:rPr>
        <w:t>[118]</w:t>
      </w:r>
      <w:r w:rsidR="0028400F" w:rsidRPr="001B27F8">
        <w:rPr>
          <w:rFonts w:ascii="Times New Roman" w:hAnsi="Times New Roman" w:cs="Times New Roman"/>
          <w:sz w:val="28"/>
          <w:szCs w:val="28"/>
        </w:rPr>
        <w:fldChar w:fldCharType="end"/>
      </w:r>
      <w:r w:rsidR="009069FC" w:rsidRPr="001B27F8">
        <w:rPr>
          <w:rFonts w:ascii="Times New Roman" w:hAnsi="Times New Roman" w:cs="Times New Roman"/>
          <w:sz w:val="28"/>
          <w:szCs w:val="28"/>
        </w:rPr>
        <w:t xml:space="preserve">. </w:t>
      </w:r>
      <w:r w:rsidRPr="001B27F8">
        <w:rPr>
          <w:rFonts w:ascii="Times New Roman" w:hAnsi="Times New Roman" w:cs="Times New Roman"/>
          <w:sz w:val="28"/>
          <w:szCs w:val="28"/>
        </w:rPr>
        <w:t xml:space="preserve">Прогрессирующее снижение аллерген-специфических </w:t>
      </w:r>
      <w:r w:rsidRPr="001B27F8">
        <w:rPr>
          <w:rFonts w:ascii="Times New Roman" w:hAnsi="Times New Roman" w:cs="Times New Roman"/>
          <w:sz w:val="28"/>
          <w:szCs w:val="28"/>
          <w:lang w:val="en-US"/>
        </w:rPr>
        <w:t>IgE</w:t>
      </w:r>
      <w:r w:rsidRPr="001B27F8">
        <w:rPr>
          <w:rFonts w:ascii="Times New Roman" w:hAnsi="Times New Roman" w:cs="Times New Roman"/>
          <w:sz w:val="28"/>
          <w:szCs w:val="28"/>
        </w:rPr>
        <w:t xml:space="preserve"> наблюдается спустя 6 - 12 месяцев от начала применения АСИТ, что согласуется со снижением количества долгоживущих резидентных </w:t>
      </w:r>
      <w:r w:rsidRPr="001B27F8">
        <w:rPr>
          <w:rFonts w:ascii="Times New Roman" w:hAnsi="Times New Roman" w:cs="Times New Roman"/>
          <w:sz w:val="28"/>
          <w:szCs w:val="28"/>
          <w:lang w:val="en-US"/>
        </w:rPr>
        <w:t>IgE</w:t>
      </w:r>
      <w:r w:rsidRPr="001B27F8">
        <w:rPr>
          <w:rFonts w:ascii="Times New Roman" w:hAnsi="Times New Roman" w:cs="Times New Roman"/>
          <w:sz w:val="28"/>
          <w:szCs w:val="28"/>
        </w:rPr>
        <w:t xml:space="preserve">-секретирующих плазматических клеток костного мозга. Спустя 2 недели проведения АСИТ наблюдается повышение </w:t>
      </w:r>
      <w:r w:rsidR="00FD3E8A" w:rsidRPr="001B27F8">
        <w:rPr>
          <w:rFonts w:ascii="Times New Roman" w:hAnsi="Times New Roman" w:cs="Times New Roman"/>
          <w:sz w:val="28"/>
          <w:szCs w:val="28"/>
          <w:lang w:val="en-US"/>
        </w:rPr>
        <w:t>s</w:t>
      </w:r>
      <w:r w:rsidRPr="001B27F8">
        <w:rPr>
          <w:rFonts w:ascii="Times New Roman" w:hAnsi="Times New Roman" w:cs="Times New Roman"/>
          <w:sz w:val="28"/>
          <w:szCs w:val="28"/>
          <w:lang w:val="en-US"/>
        </w:rPr>
        <w:t>IgG</w:t>
      </w:r>
      <w:r w:rsidRPr="001B27F8">
        <w:rPr>
          <w:rFonts w:ascii="Times New Roman" w:hAnsi="Times New Roman" w:cs="Times New Roman"/>
          <w:sz w:val="28"/>
          <w:szCs w:val="28"/>
        </w:rPr>
        <w:t xml:space="preserve">4 в сыворотке крови, а также секреция регуляторных В-клеток, </w:t>
      </w:r>
      <w:r w:rsidR="00F2493D">
        <w:rPr>
          <w:rFonts w:ascii="Times New Roman" w:hAnsi="Times New Roman" w:cs="Times New Roman"/>
          <w:sz w:val="28"/>
          <w:szCs w:val="28"/>
        </w:rPr>
        <w:t>продуцирующих ИЛ</w:t>
      </w:r>
      <w:r w:rsidRPr="001B27F8">
        <w:rPr>
          <w:rFonts w:ascii="Times New Roman" w:hAnsi="Times New Roman" w:cs="Times New Roman"/>
          <w:sz w:val="28"/>
          <w:szCs w:val="28"/>
        </w:rPr>
        <w:t xml:space="preserve">-10. Повышенный уровень </w:t>
      </w:r>
      <w:r w:rsidRPr="001B27F8">
        <w:rPr>
          <w:rFonts w:ascii="Times New Roman" w:hAnsi="Times New Roman" w:cs="Times New Roman"/>
          <w:sz w:val="28"/>
          <w:szCs w:val="28"/>
          <w:lang w:val="en-US"/>
        </w:rPr>
        <w:t>IgG</w:t>
      </w:r>
      <w:r w:rsidRPr="001B27F8">
        <w:rPr>
          <w:rFonts w:ascii="Times New Roman" w:hAnsi="Times New Roman" w:cs="Times New Roman"/>
          <w:sz w:val="28"/>
          <w:szCs w:val="28"/>
        </w:rPr>
        <w:t xml:space="preserve">4 сохраняется в сыворотке крови в течение более года </w:t>
      </w:r>
      <w:r w:rsidR="00B97D55" w:rsidRPr="001B27F8">
        <w:rPr>
          <w:rFonts w:ascii="Times New Roman" w:hAnsi="Times New Roman" w:cs="Times New Roman"/>
          <w:sz w:val="28"/>
          <w:szCs w:val="28"/>
        </w:rPr>
        <w:t>после прекращения лечения</w:t>
      </w:r>
      <w:r w:rsidR="009C0E45">
        <w:rPr>
          <w:rFonts w:ascii="Times New Roman" w:hAnsi="Times New Roman" w:cs="Times New Roman"/>
          <w:sz w:val="28"/>
          <w:szCs w:val="28"/>
        </w:rPr>
        <w:t>.</w:t>
      </w:r>
      <w:r w:rsidR="004A3810" w:rsidRPr="001B27F8">
        <w:rPr>
          <w:rFonts w:ascii="Times New Roman" w:hAnsi="Times New Roman" w:cs="Times New Roman"/>
          <w:sz w:val="28"/>
          <w:szCs w:val="28"/>
        </w:rPr>
        <w:t xml:space="preserve"> </w:t>
      </w:r>
      <w:r w:rsidRPr="001B27F8">
        <w:rPr>
          <w:rFonts w:ascii="Times New Roman" w:hAnsi="Times New Roman" w:cs="Times New Roman"/>
          <w:sz w:val="28"/>
          <w:szCs w:val="28"/>
        </w:rPr>
        <w:t xml:space="preserve">Аллерген-специфические </w:t>
      </w:r>
      <w:r w:rsidRPr="001B27F8">
        <w:rPr>
          <w:rFonts w:ascii="Times New Roman" w:hAnsi="Times New Roman" w:cs="Times New Roman"/>
          <w:sz w:val="28"/>
          <w:szCs w:val="28"/>
          <w:lang w:val="en-US"/>
        </w:rPr>
        <w:t>IgA</w:t>
      </w:r>
      <w:r w:rsidR="004A3810" w:rsidRPr="001B27F8">
        <w:rPr>
          <w:rFonts w:ascii="Times New Roman" w:hAnsi="Times New Roman" w:cs="Times New Roman"/>
          <w:sz w:val="28"/>
          <w:szCs w:val="28"/>
        </w:rPr>
        <w:t>, продуцируемые во время СЛ</w:t>
      </w:r>
      <w:r w:rsidRPr="001B27F8">
        <w:rPr>
          <w:rFonts w:ascii="Times New Roman" w:hAnsi="Times New Roman" w:cs="Times New Roman"/>
          <w:sz w:val="28"/>
          <w:szCs w:val="28"/>
        </w:rPr>
        <w:t>ИТ, могут также служить источником высоко релевантных блокирующих антител на по</w:t>
      </w:r>
      <w:r w:rsidR="00FD1437" w:rsidRPr="001B27F8">
        <w:rPr>
          <w:rFonts w:ascii="Times New Roman" w:hAnsi="Times New Roman" w:cs="Times New Roman"/>
          <w:sz w:val="28"/>
          <w:szCs w:val="28"/>
        </w:rPr>
        <w:t>верхностях слизистой оболочки.</w:t>
      </w:r>
      <w:r w:rsidRPr="001B27F8">
        <w:rPr>
          <w:rFonts w:ascii="Times New Roman" w:hAnsi="Times New Roman" w:cs="Times New Roman"/>
          <w:sz w:val="28"/>
          <w:szCs w:val="28"/>
        </w:rPr>
        <w:t xml:space="preserve"> Такие блокирующие антитела ингибируют связывание </w:t>
      </w:r>
      <w:r w:rsidRPr="001B27F8">
        <w:rPr>
          <w:rFonts w:ascii="Times New Roman" w:hAnsi="Times New Roman" w:cs="Times New Roman"/>
          <w:sz w:val="28"/>
          <w:szCs w:val="28"/>
          <w:lang w:val="en-US"/>
        </w:rPr>
        <w:t>IgE</w:t>
      </w:r>
      <w:r w:rsidRPr="001B27F8">
        <w:rPr>
          <w:rFonts w:ascii="Times New Roman" w:hAnsi="Times New Roman" w:cs="Times New Roman"/>
          <w:sz w:val="28"/>
          <w:szCs w:val="28"/>
        </w:rPr>
        <w:t xml:space="preserve"> с аллергеном, что приводит к снижению высво</w:t>
      </w:r>
      <w:r w:rsidR="00FD1437" w:rsidRPr="001B27F8">
        <w:rPr>
          <w:rFonts w:ascii="Times New Roman" w:hAnsi="Times New Roman" w:cs="Times New Roman"/>
          <w:sz w:val="28"/>
          <w:szCs w:val="28"/>
        </w:rPr>
        <w:t>бождения гистамина базофилами</w:t>
      </w:r>
      <w:r w:rsidRPr="001B27F8">
        <w:rPr>
          <w:rFonts w:ascii="Times New Roman" w:hAnsi="Times New Roman" w:cs="Times New Roman"/>
          <w:sz w:val="28"/>
          <w:szCs w:val="28"/>
        </w:rPr>
        <w:t xml:space="preserve"> </w:t>
      </w:r>
      <w:r w:rsidRPr="001B27F8">
        <w:rPr>
          <w:rFonts w:ascii="Times New Roman" w:hAnsi="Times New Roman" w:cs="Times New Roman"/>
          <w:sz w:val="28"/>
          <w:szCs w:val="28"/>
        </w:rPr>
        <w:fldChar w:fldCharType="begin" w:fldLock="1"/>
      </w:r>
      <w:r w:rsidR="00A02E0E">
        <w:rPr>
          <w:rFonts w:ascii="Times New Roman" w:hAnsi="Times New Roman" w:cs="Times New Roman"/>
          <w:sz w:val="28"/>
          <w:szCs w:val="28"/>
        </w:rPr>
        <w:instrText>ADDIN CSL_CITATION {"citationItems":[{"id":"ITEM-1","itemData":{"DOI":"10.1016/j.iac.2015.08.004","ISSN":"15578607","PMID":"26617233","author":[{"dropping-particle":"","family":"Moingeon","given":"Philippe","non-dropping-particle":"","parse-names":false,"suffix":""}],"container-title":"Immunology and Allergy Clinics of North America","id":"ITEM-1","issue":"1","issued":{"date-parts":[["2016"]]},"page":"161-179","publisher":"Elsevier Inc","title":"Biomarkers for Allergen Immunotherapy: A \"Panoromic\" View","type":"article-journal","volume":"36"},"uris":["http://www.mendeley.com/documents/?uuid=6a1b5ab5-9d88-458f-86bd-77f9645a664a"]}],"mendeley":{"formattedCitation":"[119]","plainTextFormattedCitation":"[119]","previouslyFormattedCitation":"[119]"},"properties":{"noteIndex":0},"schema":"https://github.com/citation-style-language/schema/raw/master/csl-citation.json"}</w:instrText>
      </w:r>
      <w:r w:rsidRPr="001B27F8">
        <w:rPr>
          <w:rFonts w:ascii="Times New Roman" w:hAnsi="Times New Roman" w:cs="Times New Roman"/>
          <w:sz w:val="28"/>
          <w:szCs w:val="28"/>
        </w:rPr>
        <w:fldChar w:fldCharType="separate"/>
      </w:r>
      <w:r w:rsidR="00332566" w:rsidRPr="00332566">
        <w:rPr>
          <w:rFonts w:ascii="Times New Roman" w:hAnsi="Times New Roman" w:cs="Times New Roman"/>
          <w:noProof/>
          <w:sz w:val="28"/>
          <w:szCs w:val="28"/>
        </w:rPr>
        <w:t>[119]</w:t>
      </w:r>
      <w:r w:rsidRPr="001B27F8">
        <w:rPr>
          <w:rFonts w:ascii="Times New Roman" w:hAnsi="Times New Roman" w:cs="Times New Roman"/>
          <w:sz w:val="28"/>
          <w:szCs w:val="28"/>
        </w:rPr>
        <w:fldChar w:fldCharType="end"/>
      </w:r>
      <w:r w:rsidR="009069FC" w:rsidRPr="001B27F8">
        <w:rPr>
          <w:rFonts w:ascii="Times New Roman" w:hAnsi="Times New Roman" w:cs="Times New Roman"/>
          <w:sz w:val="28"/>
          <w:szCs w:val="28"/>
        </w:rPr>
        <w:t>.</w:t>
      </w:r>
    </w:p>
    <w:p w14:paraId="7D4C00D0" w14:textId="648933DC" w:rsidR="00474297" w:rsidRPr="001B27F8" w:rsidRDefault="0010673B" w:rsidP="001B27F8">
      <w:pPr>
        <w:tabs>
          <w:tab w:val="left" w:pos="851"/>
        </w:tabs>
        <w:spacing w:after="0" w:line="240" w:lineRule="auto"/>
        <w:ind w:firstLine="567"/>
        <w:jc w:val="both"/>
        <w:rPr>
          <w:rFonts w:ascii="Times New Roman" w:hAnsi="Times New Roman" w:cs="Times New Roman"/>
          <w:sz w:val="28"/>
          <w:szCs w:val="28"/>
        </w:rPr>
      </w:pPr>
      <w:r w:rsidRPr="001B27F8">
        <w:rPr>
          <w:rStyle w:val="fontstyle01"/>
          <w:color w:val="auto"/>
          <w:lang w:val="en-US"/>
        </w:rPr>
        <w:t>sIgE</w:t>
      </w:r>
      <w:r w:rsidR="001B4EB0" w:rsidRPr="001B27F8">
        <w:rPr>
          <w:rFonts w:ascii="Times New Roman" w:hAnsi="Times New Roman" w:cs="Times New Roman"/>
          <w:sz w:val="28"/>
          <w:szCs w:val="28"/>
        </w:rPr>
        <w:t xml:space="preserve"> </w:t>
      </w:r>
      <w:r w:rsidR="003D3231" w:rsidRPr="001B27F8">
        <w:rPr>
          <w:rFonts w:ascii="Times New Roman" w:hAnsi="Times New Roman" w:cs="Times New Roman"/>
          <w:sz w:val="28"/>
          <w:szCs w:val="28"/>
        </w:rPr>
        <w:t>показан</w:t>
      </w:r>
      <w:r w:rsidR="00474297" w:rsidRPr="001B27F8">
        <w:rPr>
          <w:rFonts w:ascii="Times New Roman" w:hAnsi="Times New Roman" w:cs="Times New Roman"/>
          <w:sz w:val="28"/>
          <w:szCs w:val="28"/>
        </w:rPr>
        <w:t xml:space="preserve"> для мониторинга эффективности иммунотерапии, поскольку </w:t>
      </w:r>
      <w:r w:rsidR="003D3231" w:rsidRPr="001B27F8">
        <w:rPr>
          <w:rFonts w:ascii="Times New Roman" w:hAnsi="Times New Roman" w:cs="Times New Roman"/>
          <w:sz w:val="28"/>
          <w:szCs w:val="28"/>
        </w:rPr>
        <w:t xml:space="preserve">его </w:t>
      </w:r>
      <w:r w:rsidR="00474297" w:rsidRPr="001B27F8">
        <w:rPr>
          <w:rFonts w:ascii="Times New Roman" w:hAnsi="Times New Roman" w:cs="Times New Roman"/>
          <w:sz w:val="28"/>
          <w:szCs w:val="28"/>
        </w:rPr>
        <w:t xml:space="preserve">снижение отражает степень развития иммунологической толерантности </w:t>
      </w:r>
      <w:r w:rsidR="00474297" w:rsidRPr="001B27F8">
        <w:rPr>
          <w:rFonts w:ascii="Times New Roman" w:hAnsi="Times New Roman" w:cs="Times New Roman"/>
          <w:sz w:val="28"/>
          <w:szCs w:val="28"/>
        </w:rPr>
        <w:fldChar w:fldCharType="begin" w:fldLock="1"/>
      </w:r>
      <w:r w:rsidR="00A02E0E">
        <w:rPr>
          <w:rFonts w:ascii="Times New Roman" w:hAnsi="Times New Roman" w:cs="Times New Roman"/>
          <w:sz w:val="28"/>
          <w:szCs w:val="28"/>
        </w:rPr>
        <w:instrText>ADDIN CSL_CITATION {"citationItems":[{"id":"ITEM-1","itemData":{"DOI":"10.1111/cea.12761","ISSN":"13652222","PMID":"27196983","abstract":"During the last decades component-resolved diagnostics either as singleplex or multiplex measurements has been introduced into the field of clinical allergology, providing important information that cannot be obtained from extract-based tests. Here we review recent studies that demonstrate clinical applications of the multiplex microarray technique in the diagnosis and risk assessment of allergic patients, and its usefulness in studies of allergic diseases. The usefulness of ImmunoCAP ISAC has been validated in a wide spectrum of allergic diseases like asthma, allergic rhinoconjunctivitis, atopic dermatitis, eosinophilic esophagitis, food allergy and anaphylaxis. ISAC provides a broad picture of a patient's sensitization profile from a single test, and provides information on specific and cross-reactive sensitizations that facilitate diagnosis, risk assessment, and disease management. Furthermore, it can reveal unexpected sensitizations which may explain anaphylaxis previously categorized as idiopathic and also display for the moment clinically non-relevant sensitizations. ISAC can facilitate a better selection of relevant allergens for immunotherapy compared with extract testing. Microarray technique can visualize the allergic march and molecular spreading in the preclinical stages of allergic diseases, and may indicate that the likelihood of developing symptomatic allergy is associated with specific profiles of sensitization to allergen components. ISAC is shown to be a useful tool in routine allergy diagnostics due to its ability to improve risk assessment, to better select relevant allergens for immunotherapy as well as detecting unknown sensitization. Multiplex component testing is especially suitable for patients with complex symptomatology.","author":[{"dropping-particle":"","family":"Patelis","given":"A.","non-dropping-particle":"","parse-names":false,"suffix":""},{"dropping-particle":"","family":"Borres","given":"M. P.","non-dropping-particle":"","parse-names":false,"suffix":""},{"dropping-particle":"","family":"Kober","given":"A.","non-dropping-particle":"","parse-names":false,"suffix":""},{"dropping-particle":"","family":"Berthold","given":"M.","non-dropping-particle":"","parse-names":false,"suffix":""}],"container-title":"Clinical and Experimental Allergy","id":"ITEM-1","issue":"8","issued":{"date-parts":[["2016"]]},"page":"1022-1032","title":"Multiplex component-based allergen microarray in recent clinical studies","type":"article-journal","volume":"46"},"uris":["http://www.mendeley.com/documents/?uuid=da56bd8a-81dc-49fb-ae37-c65010b85e96"]}],"mendeley":{"formattedCitation":"[120]","plainTextFormattedCitation":"[120]","previouslyFormattedCitation":"[120]"},"properties":{"noteIndex":0},"schema":"https://github.com/citation-style-language/schema/raw/master/csl-citation.json"}</w:instrText>
      </w:r>
      <w:r w:rsidR="00474297" w:rsidRPr="001B27F8">
        <w:rPr>
          <w:rFonts w:ascii="Times New Roman" w:hAnsi="Times New Roman" w:cs="Times New Roman"/>
          <w:sz w:val="28"/>
          <w:szCs w:val="28"/>
        </w:rPr>
        <w:fldChar w:fldCharType="separate"/>
      </w:r>
      <w:r w:rsidR="00332566" w:rsidRPr="00332566">
        <w:rPr>
          <w:rFonts w:ascii="Times New Roman" w:hAnsi="Times New Roman" w:cs="Times New Roman"/>
          <w:noProof/>
          <w:sz w:val="28"/>
          <w:szCs w:val="28"/>
        </w:rPr>
        <w:t>[120]</w:t>
      </w:r>
      <w:r w:rsidR="00474297" w:rsidRPr="001B27F8">
        <w:rPr>
          <w:rFonts w:ascii="Times New Roman" w:hAnsi="Times New Roman" w:cs="Times New Roman"/>
          <w:sz w:val="28"/>
          <w:szCs w:val="28"/>
        </w:rPr>
        <w:fldChar w:fldCharType="end"/>
      </w:r>
      <w:r w:rsidR="003D3231" w:rsidRPr="001B27F8">
        <w:rPr>
          <w:rFonts w:ascii="Times New Roman" w:hAnsi="Times New Roman" w:cs="Times New Roman"/>
          <w:sz w:val="28"/>
          <w:szCs w:val="28"/>
        </w:rPr>
        <w:t>. Было установлено</w:t>
      </w:r>
      <w:r w:rsidR="00474297" w:rsidRPr="001B27F8">
        <w:rPr>
          <w:rFonts w:ascii="Times New Roman" w:hAnsi="Times New Roman" w:cs="Times New Roman"/>
          <w:sz w:val="28"/>
          <w:szCs w:val="28"/>
        </w:rPr>
        <w:t xml:space="preserve"> снижение уровня </w:t>
      </w:r>
      <w:r w:rsidRPr="001B27F8">
        <w:rPr>
          <w:rStyle w:val="fontstyle01"/>
          <w:color w:val="auto"/>
          <w:lang w:val="en-US"/>
        </w:rPr>
        <w:t>sIgE</w:t>
      </w:r>
      <w:r w:rsidRPr="001B27F8">
        <w:rPr>
          <w:rFonts w:ascii="Times New Roman" w:hAnsi="Times New Roman" w:cs="Times New Roman"/>
          <w:sz w:val="28"/>
          <w:szCs w:val="28"/>
        </w:rPr>
        <w:t xml:space="preserve"> </w:t>
      </w:r>
      <w:r w:rsidR="00474297" w:rsidRPr="001B27F8">
        <w:rPr>
          <w:rFonts w:ascii="Times New Roman" w:hAnsi="Times New Roman" w:cs="Times New Roman"/>
          <w:sz w:val="28"/>
          <w:szCs w:val="28"/>
        </w:rPr>
        <w:t>в крови в ответ на успешную АСИТ и его пролонгация на сравнительно низком уровне в течение нескольких</w:t>
      </w:r>
      <w:r w:rsidR="009D650F">
        <w:rPr>
          <w:rFonts w:ascii="Times New Roman" w:hAnsi="Times New Roman" w:cs="Times New Roman"/>
          <w:sz w:val="28"/>
          <w:szCs w:val="28"/>
        </w:rPr>
        <w:t xml:space="preserve"> лет</w:t>
      </w:r>
      <w:r w:rsidR="00474297" w:rsidRPr="001B27F8">
        <w:rPr>
          <w:rFonts w:ascii="Times New Roman" w:hAnsi="Times New Roman" w:cs="Times New Roman"/>
          <w:sz w:val="28"/>
          <w:szCs w:val="28"/>
        </w:rPr>
        <w:t xml:space="preserve"> после лечения </w:t>
      </w:r>
      <w:r w:rsidR="00474297" w:rsidRPr="001B27F8">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{"citationItems":[{"id":"ITEM-1","itemData":{"DOI":"10.1080/21645515.2018.1496770","ISSN":"2164554X","PMID":"30183483","abstract":"Background: The prolonged effect of allergen immunotherapy is unknown, especially in older patients. Objective: The three-year effect of sublingual allergen-specific immunotherapy (AIT) to grass pollen on elderly patients with allergic rhinitis was analyzed. Methods: Thirty-eight elderly patients (63.18 ± 3.12 yrs.) underwent AIT to grass pollen, were monitored for three years and were compared to a placebo group. AIT was performed with the use of an oral Staloral 300 SR grass extract (Stallergens Greer, London, UK) or a placebo. Symptoms and medication scores, represented by the average adjusted symptom score (AAdSS), the serum level of IgG4 to Phl p5 and the quality of life were assessed immediately after AIT and three years later. Results: After AIT, the AAdSS was significantly decreased and remained lower than in the placebo group during the three years after AIT. Serum-specific IgG4 against Phl p5 increased during the AIT trial in the study group. For the three years of observation after AIT, there were no significant changes in specific IgG4 levels against the analyzed allergens in comparison to the results immediately after AIT. The quality of life, based on the Rhinoconjunctivitis Quality of Life Questionnaire, was significantly decreased in patients who received AIT, from 1.83 (95%CI: 1.45–1.96) to 0.74 (95%CI: 0.39–1.92) (p &lt; 0.05) to 0.82 (95%CI: 0.45– 1.04) three years after AIT. Conclusion: A prolonged positive effect after AIT to grass pollen was observed in elderly patients with allergic rhinitis. Further trials are needed to confirm this effect.","author":[{"dropping-particle":"","family":"Bozek","given":"Andrzej","non-dropping-particle":"","parse-names":false,"suffix":""},{"dropping-particle":"","family":"Jąkalski","given":"Marek","non-dropping-particle":"","parse-names":false,"suffix":""},{"dropping-particle":"","family":"Jonska–Golus","given":"Monika","non-dropping-particle":"","parse-names":false,"suffix":""},{"dropping-particle":"","family":"Filipowska-Gronska","given":"Agata","non-dropping-particle":"","parse-names":false,"suffix":""},{"dropping-particle":"","family":"Jarząb","given":"Jerzy","non-dropping-particle":"","parse-names":false,"suffix":""},{"dropping-particle":"","family":"Walter Canonica","given":"Giorgio","non-dropping-particle":"","parse-names":false,"suffix":""}],"container-title":"Human Vaccines and Immunotherapeutics","id":"ITEM-1","issue":"12","issued":{"date-parts":[["2018"]]},"page":"2842-2847","publisher":"Taylor &amp; Francis","title":"Prolonged effect of allergen sublingual immunotherapy to grass pollen","type":"article-journal","volume":"14"},"uris":["http://www.mendeley.com/documents/?uuid=c01ce500-0e9a-435d-8c18-992f59b7d99f"]},{"id":"ITEM-2","itemData":{"DOI":"10.5114/ada.2019.85365","ISSN":"1642-395X","author":[{"dropping-particle":"","family":"Bozek","given":"Andrzej","non-dropping-particle":"","parse-names":false,"suffix":""},{"dropping-particle":"","family":"Foks","given":"Aleksandra","non-dropping-particle":"","parse-names":false,"suffix":""},{"dropping-particle":"","family":"Trzaska","given":"Karolina","non-dropping-particle":"","parse-names":false,"suffix":""},{"dropping-particle":"","family":"Canonica","given":"Giorgio Walter","non-dropping-particle":"","parse-names":false,"suffix":""}],"container-title":"Advances in Dermatology and Allergology","id":"ITEM-2","issue":"6","issued":{"date-parts":[["2020"]]},"page":"943-947","title":"Long-term effects of allergen sublingual immunotherapy","type":"article-journal","volume":"37"},"uris":["http://www.mendeley.com/documents/?uuid=993922d7-7883-40fe-83b7-656949a74820"]}],"mendeley":{"formattedCitation":"[97,103]","plainTextFormattedCitation":"[97,103]","previouslyFormattedCitation":"[97,103]"},"properties":{"noteIndex":0},"schema":"https://github.com/citation-style-language/schema/raw/master/csl-citation.json"}</w:instrText>
      </w:r>
      <w:r w:rsidR="00474297" w:rsidRPr="001B27F8">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[97,103]</w:t>
      </w:r>
      <w:r w:rsidR="00474297" w:rsidRPr="001B27F8">
        <w:rPr>
          <w:rFonts w:ascii="Times New Roman" w:hAnsi="Times New Roman" w:cs="Times New Roman"/>
          <w:sz w:val="28"/>
          <w:szCs w:val="28"/>
        </w:rPr>
        <w:fldChar w:fldCharType="end"/>
      </w:r>
      <w:r w:rsidR="00474297" w:rsidRPr="001B27F8">
        <w:rPr>
          <w:rFonts w:ascii="Times New Roman" w:hAnsi="Times New Roman" w:cs="Times New Roman"/>
          <w:sz w:val="28"/>
          <w:szCs w:val="28"/>
        </w:rPr>
        <w:t xml:space="preserve">. </w:t>
      </w:r>
    </w:p>
    <w:p w14:paraId="04639A0B" w14:textId="5E1D9ECA" w:rsidR="00474297" w:rsidRPr="001B27F8" w:rsidRDefault="003D3231" w:rsidP="001B27F8">
      <w:pPr>
        <w:tabs>
          <w:tab w:val="left" w:pos="851"/>
        </w:tabs>
        <w:spacing w:after="0" w:line="240" w:lineRule="auto"/>
        <w:ind w:firstLine="567"/>
        <w:jc w:val="both"/>
        <w:rPr>
          <w:rStyle w:val="fontstyle01"/>
          <w:color w:val="auto"/>
        </w:rPr>
      </w:pPr>
      <w:r w:rsidRPr="001B27F8">
        <w:rPr>
          <w:rStyle w:val="fontstyle01"/>
          <w:color w:val="auto"/>
        </w:rPr>
        <w:t xml:space="preserve">Вполне вероятно, что чем выше уровень </w:t>
      </w:r>
      <w:r w:rsidR="001549D5" w:rsidRPr="001B27F8">
        <w:rPr>
          <w:rStyle w:val="fontstyle01"/>
          <w:color w:val="auto"/>
          <w:lang w:val="en-US"/>
        </w:rPr>
        <w:t>s</w:t>
      </w:r>
      <w:r w:rsidRPr="001B27F8">
        <w:rPr>
          <w:rStyle w:val="fontstyle01"/>
          <w:color w:val="auto"/>
          <w:lang w:val="en-US"/>
        </w:rPr>
        <w:t>IgE</w:t>
      </w:r>
      <w:r w:rsidRPr="001B27F8">
        <w:rPr>
          <w:rStyle w:val="fontstyle01"/>
          <w:color w:val="auto"/>
        </w:rPr>
        <w:t>, тем более клинически значимым является аллерген для конкретного человека. Чем больше клинически ассоциированных аллергенов для АСИТ, тем более эффективные результаты будут получены. Таким образом, и</w:t>
      </w:r>
      <w:r w:rsidR="0087339F" w:rsidRPr="001B27F8">
        <w:rPr>
          <w:rStyle w:val="fontstyle01"/>
          <w:color w:val="auto"/>
        </w:rPr>
        <w:t xml:space="preserve">сходные уровни </w:t>
      </w:r>
      <w:r w:rsidR="0087339F" w:rsidRPr="001B27F8">
        <w:rPr>
          <w:rStyle w:val="fontstyle01"/>
          <w:color w:val="auto"/>
          <w:lang w:val="en-US"/>
        </w:rPr>
        <w:t>s</w:t>
      </w:r>
      <w:r w:rsidR="00474297" w:rsidRPr="001B27F8">
        <w:rPr>
          <w:rStyle w:val="fontstyle01"/>
          <w:color w:val="auto"/>
          <w:lang w:val="en-US"/>
        </w:rPr>
        <w:t>IgE</w:t>
      </w:r>
      <w:r w:rsidR="005F7152" w:rsidRPr="001B27F8">
        <w:rPr>
          <w:rStyle w:val="fontstyle01"/>
          <w:color w:val="auto"/>
        </w:rPr>
        <w:t xml:space="preserve"> к аллергенам</w:t>
      </w:r>
      <w:r w:rsidR="00474297" w:rsidRPr="001B27F8">
        <w:rPr>
          <w:rStyle w:val="fontstyle01"/>
          <w:color w:val="auto"/>
        </w:rPr>
        <w:t xml:space="preserve"> могут быть приемлемым предиктором эффективной</w:t>
      </w:r>
      <w:r w:rsidR="005F7152" w:rsidRPr="001B27F8">
        <w:rPr>
          <w:rStyle w:val="fontstyle01"/>
          <w:color w:val="auto"/>
        </w:rPr>
        <w:t xml:space="preserve"> иммунотерапии у пациентов с АР</w:t>
      </w:r>
      <w:r w:rsidR="00474297" w:rsidRPr="001B27F8">
        <w:rPr>
          <w:rStyle w:val="fontstyle01"/>
          <w:color w:val="auto"/>
        </w:rPr>
        <w:t xml:space="preserve"> </w:t>
      </w:r>
      <w:r w:rsidR="00474297" w:rsidRPr="001B27F8">
        <w:rPr>
          <w:rStyle w:val="fontstyle01"/>
          <w:color w:val="auto"/>
        </w:rPr>
        <w:fldChar w:fldCharType="begin" w:fldLock="1"/>
      </w:r>
      <w:r w:rsidR="00A02E0E">
        <w:rPr>
          <w:rStyle w:val="fontstyle01"/>
          <w:color w:val="auto"/>
        </w:rPr>
        <w:instrText>ADDIN CSL_CITATION {"citationItems":[{"id":"ITEM-1","itemData":{"abstract":"19 years, is effective against seasonal AR, as well as perennial AR, and its efficacy is supported by several systematic reviews. 9 Compared with sublingual immunotherapy (SLIT), another mode of AIT, SCIT has been found to be more efficacious and to introduce fewer safety concerns. 9 Notwithstanding, there are several unmet needs in SCIT, es-pecially for clinical predictors and laboratory biomarkers of ef-ficacy. 10 In addition, the efficacy of SCIT would be unlikely to be identical in geographically different regions. Therefore, in a ret-rospective cohort covering 12 years, we sought to investigate clinical outcomes and prognostic factors of SCIT in Korean adults with AR. MATERIALS AND METHODS Study design and population This retrospective cohort study analyzed 304 patients who vis-ited a university hospital from 2000 to 2012 and received SCIT with HDM with or without pollen allergens for AR for more than 1 year, but less than 7 years. The diagnosis of AR was made according to clinical symptoms, physical examination, and a skin prick test (SPT). All patients were sensitized to HDM (Dermatophagoides pter-onyssinus [Dp] and Dermatophagoides farinae [Df]) allergens (Allergopharma Joachim Ganzer KG, Reinbek, Germany) on a SPT and/or had serum specific immunoglobulin E (IgE) levels higher than 0.35 kU/L. With respect to pollens, tree (Alder, Birch, Hazel, Beech, and Oak), grass (Orchard, Rye, Bermuda, Timothy, Kentucky, and Meadow), and weed (Ragweed and Mugwort) were considered combined causative allergens of AR according to seasonal variations in rhinitis symptoms and SPT results. Positivity to allergens on SPTs was determined when the size of wheals caused by an allergen was greater than or equal to the size of wheals induced by histamine. We measured serum total and specific IgE levels to the allergens using the Im-munoCAP system (Thermo-Fisher, Uppsala, Sweden). A cutoff value of 0.35 kU/L for specific IgE was regarded as a positive re-sult (class 1, 0.35-0.7 kU/L; class 2, 0.7-3.5 kU/L; class 3, 3.5-17.5 kU/L; class 4, 17.5-50 kU/L; class 5, 50-100 kU/L; and class 6, &gt;100 kU/L). Patients who were sensitized only to animal dander, mold, or pollen and who were not sensitized to HDM in SPT were ex-cluded. Patients with asthma were also excluded in the present study. Symptom severity was classified according to medica-tion use: patients prescribed only 1 antihistamine were consid-ered as having mild AR; those prescribed only 1 intranasal ste-roid without …","author":[{"dropping-particle":"","family":"Lee","given":"Ji-ho","non-dropping-particle":"","parse-names":false,"suffix":""},{"dropping-particle":"","family":"Kim","given":"Su-chin","non-dropping-particle":"","parse-names":false,"suffix":""},{"dropping-particle":"","family":"Choi","given":"Hyunna","non-dropping-particle":"","parse-names":false,"suffix":""},{"dropping-particle":"","family":"Jung","given":"Chang-gyu","non-dropping-particle":"","parse-names":false,"suffix":""},{"dropping-particle":"","family":"Ban","given":"Ga-young","non-dropping-particle":"","parse-names":false,"suffix":""},{"dropping-particle":"","family":"Shin","given":"Yoo Seob","non-dropping-particle":"","parse-names":false,"suffix":""},{"dropping-particle":"","family":"Nahm","given":"Dong-ho","non-dropping-particle":"","parse-names":false,"suffix":""},{"dropping-particle":"","family":"Park","given":"Hae-sim","non-dropping-particle":"","parse-names":false,"suffix":""},{"dropping-particle":"","family":"Ye","given":"Young-min","non-dropping-particle":"","parse-names":false,"suffix":""}],"container-title":"Allergy Asthma Immunol Res","id":"ITEM-1","issue":"1","issued":{"date-parts":[["2018"]]},"page":"18-24","title":"A Retrospective Study of Clinical Response Predictors in Subcutaneous Allergen Immunotherapy With House Dust Mites for Allergic Rhinitis","type":"article-journal","volume":"10"},"uris":["http://www.mendeley.com/documents/?uuid=c2bdd48a-73af-4793-ab94-720a8f8c5ea6"]}],"mendeley":{"formattedCitation":"[107]","plainTextFormattedCitation":"[107]","previouslyFormattedCitation":"[107]"},"properties":{"noteIndex":0},"schema":"https://github.com/citation-style-language/schema/raw/master/csl-citation.json"}</w:instrText>
      </w:r>
      <w:r w:rsidR="00474297" w:rsidRPr="001B27F8">
        <w:rPr>
          <w:rStyle w:val="fontstyle01"/>
          <w:color w:val="auto"/>
        </w:rPr>
        <w:fldChar w:fldCharType="separate"/>
      </w:r>
      <w:r w:rsidR="00332566" w:rsidRPr="00332566">
        <w:rPr>
          <w:rStyle w:val="fontstyle01"/>
          <w:noProof/>
          <w:color w:val="auto"/>
        </w:rPr>
        <w:t>[107]</w:t>
      </w:r>
      <w:r w:rsidR="00474297" w:rsidRPr="001B27F8">
        <w:rPr>
          <w:rStyle w:val="fontstyle01"/>
          <w:color w:val="auto"/>
        </w:rPr>
        <w:fldChar w:fldCharType="end"/>
      </w:r>
      <w:r w:rsidR="009069FC" w:rsidRPr="001B27F8">
        <w:rPr>
          <w:rStyle w:val="fontstyle01"/>
          <w:color w:val="auto"/>
        </w:rPr>
        <w:t>.</w:t>
      </w:r>
    </w:p>
    <w:p w14:paraId="217273C4" w14:textId="77777777" w:rsidR="007F7872" w:rsidRPr="001B27F8" w:rsidRDefault="007F7872" w:rsidP="001B27F8">
      <w:pPr>
        <w:tabs>
          <w:tab w:val="left" w:pos="851"/>
        </w:tabs>
        <w:spacing w:after="0" w:line="240" w:lineRule="auto"/>
        <w:ind w:firstLine="567"/>
        <w:jc w:val="both"/>
        <w:rPr>
          <w:rStyle w:val="fontstyle01"/>
          <w:color w:val="auto"/>
        </w:rPr>
      </w:pPr>
    </w:p>
    <w:p w14:paraId="5C3BFE51" w14:textId="5C2BB623" w:rsidR="00C25E90" w:rsidRPr="001B27F8" w:rsidRDefault="00C25E90" w:rsidP="00102E42">
      <w:pPr>
        <w:pStyle w:val="2"/>
        <w:numPr>
          <w:ilvl w:val="1"/>
          <w:numId w:val="2"/>
        </w:numPr>
        <w:tabs>
          <w:tab w:val="left" w:pos="1134"/>
        </w:tabs>
        <w:spacing w:line="240" w:lineRule="auto"/>
        <w:ind w:left="0" w:firstLine="567"/>
        <w:jc w:val="both"/>
        <w:rPr>
          <w:rStyle w:val="fontstyle01"/>
          <w:b/>
          <w:color w:val="auto"/>
        </w:rPr>
      </w:pPr>
      <w:bookmarkStart w:id="14" w:name="_Toc137904338"/>
      <w:r w:rsidRPr="001B27F8">
        <w:rPr>
          <w:rStyle w:val="fontstyle01"/>
          <w:b/>
          <w:color w:val="auto"/>
        </w:rPr>
        <w:t xml:space="preserve">Предикторы эффективности </w:t>
      </w:r>
      <w:r w:rsidR="00E0340C" w:rsidRPr="001B27F8">
        <w:rPr>
          <w:rFonts w:ascii="Times New Roman" w:hAnsi="Times New Roman" w:cs="Times New Roman"/>
          <w:b/>
          <w:color w:val="auto"/>
          <w:sz w:val="28"/>
          <w:szCs w:val="28"/>
        </w:rPr>
        <w:t>аллерген-специфической иммунотерапии</w:t>
      </w:r>
      <w:r w:rsidR="00E0340C" w:rsidRPr="001B27F8">
        <w:rPr>
          <w:rStyle w:val="fontstyle01"/>
          <w:b/>
          <w:color w:val="auto"/>
        </w:rPr>
        <w:t xml:space="preserve"> </w:t>
      </w:r>
      <w:r w:rsidRPr="001B27F8">
        <w:rPr>
          <w:rStyle w:val="fontstyle01"/>
          <w:b/>
          <w:color w:val="auto"/>
        </w:rPr>
        <w:t>с позиции молекулярной аллергодиагностики</w:t>
      </w:r>
      <w:bookmarkEnd w:id="14"/>
    </w:p>
    <w:p w14:paraId="049856AD" w14:textId="22F121BE" w:rsidR="00C25E90" w:rsidRPr="001B27F8" w:rsidRDefault="00C25E90" w:rsidP="001B27F8">
      <w:pPr>
        <w:tabs>
          <w:tab w:val="left" w:pos="851"/>
        </w:tabs>
        <w:spacing w:after="0" w:line="240" w:lineRule="auto"/>
        <w:ind w:firstLine="567"/>
        <w:jc w:val="both"/>
        <w:rPr>
          <w:rStyle w:val="fontstyle01"/>
          <w:color w:val="auto"/>
        </w:rPr>
      </w:pPr>
      <w:r w:rsidRPr="001B27F8">
        <w:rPr>
          <w:rStyle w:val="fontstyle01"/>
          <w:color w:val="auto"/>
        </w:rPr>
        <w:t>Важным моментом в молекулярной аллергодиа</w:t>
      </w:r>
      <w:r w:rsidR="00753CD5">
        <w:rPr>
          <w:rStyle w:val="fontstyle01"/>
          <w:color w:val="auto"/>
        </w:rPr>
        <w:t>г</w:t>
      </w:r>
      <w:r w:rsidRPr="001B27F8">
        <w:rPr>
          <w:rStyle w:val="fontstyle01"/>
          <w:color w:val="auto"/>
        </w:rPr>
        <w:t xml:space="preserve">ностике полисенсибилизированных пациентов является обнаружение </w:t>
      </w:r>
      <w:r w:rsidR="00B61751" w:rsidRPr="001B27F8">
        <w:rPr>
          <w:rStyle w:val="fontstyle01"/>
          <w:color w:val="auto"/>
          <w:lang w:val="en-US"/>
        </w:rPr>
        <w:t>s</w:t>
      </w:r>
      <w:r w:rsidRPr="001B27F8">
        <w:rPr>
          <w:rStyle w:val="fontstyle01"/>
          <w:color w:val="auto"/>
        </w:rPr>
        <w:t>IgE к маркерам первичной (истинной) сенсибилизации и перекрестно-реактивных молекул</w:t>
      </w:r>
      <w:r w:rsidR="001F1DC3" w:rsidRPr="001B27F8">
        <w:rPr>
          <w:rStyle w:val="fontstyle01"/>
          <w:color w:val="auto"/>
        </w:rPr>
        <w:t xml:space="preserve"> </w:t>
      </w:r>
      <w:r w:rsidR="001F1DC3" w:rsidRPr="001B27F8">
        <w:rPr>
          <w:rStyle w:val="fontstyle01"/>
          <w:color w:val="auto"/>
        </w:rPr>
        <w:fldChar w:fldCharType="begin" w:fldLock="1"/>
      </w:r>
      <w:r w:rsidR="00A02E0E">
        <w:rPr>
          <w:rStyle w:val="fontstyle01"/>
          <w:color w:val="auto"/>
        </w:rPr>
        <w:instrText>ADDIN CSL_CITATION {"citationItems":[{"id":"ITEM-1","itemData":{"DOI":"10.1007/s11882-015-0556-7","ISSN":"15346315","PMID":"26233428","abstract":"Application of purified native and recombinant allergenic molecules into IgE antibody assays can improve analytical sensitivity and specificity for selected allergen specificities. They enhance analytical sensitivity by allowing assays to detect IgE antibodies with a lower limit of quantification (LoQ) to missing or poorly represented allergens in diagnostic extracts that are commonly used in vivo and in vitro. Use of selected allergenic molecules can help improve the clinician’s prediction of the risk of a serious allergic reaction to stable allergens. They can provide diagnostic information to determine if a provocation challenge (e.g., oral food challenge) is indeed mandatory or not necessarily needed to support the final diagnostic decision. Suspected cross-reactivity based on the clinical history can be adjudicated by analyzing IgE antibodies to allergenic molecules from cross-reactive protein families. Finally, genuine primary sensitization can be identified by IgE antibody responses that are measured to selected allergenic molecules which are present in only one particular allergen source. After allergen-specific IgE detection, careful interpretation is required by the physician who knows the patient’s history. Applying single allergen molecules, positive IgE antibody results are still only relevant in the case of corresponding objective symptoms. Subsequently, clinical relevance of such an IgE antibody test result must be determined by the clinician and not by the test itself. Because of their comprehensive nature, allergen extracts will remain the principal allergen source for diagnostic in vivo and in vitro assays of IgE antibody for many years. Judicious use of individual allergenic molecules in serum IgE assays may provide their most cost effective and efficient application for establishing a definitive diagnosis of human allergic disease.","author":[{"dropping-particle":"","family":"Hamilton","given":"Robert G.","non-dropping-particle":"","parse-names":false,"suffix":""},{"dropping-particle":"","family":"Kleine-Tebbe","given":"Joerg","non-dropping-particle":"","parse-names":false,"suffix":""}],"container-title":"Current Allergy and Asthma Reports","id":"ITEM-1","issue":"9","issued":{"date-parts":[["2015"]]},"title":"Molecular Allergy Diagnostics: Analytical Features That Support Clinical Decisions","type":"article-journal","volume":"15"},"uris":["http://www.mendeley.com/documents/?uuid=a7cedbfc-6572-448e-9b07-b56885eaa915"]}],"mendeley":{"formattedCitation":"[121]","plainTextFormattedCitation":"[121]","previouslyFormattedCitation":"[121]"},"properties":{"noteIndex":0},"schema":"https://github.com/citation-style-language/schema/raw/master/csl-citation.json"}</w:instrText>
      </w:r>
      <w:r w:rsidR="001F1DC3" w:rsidRPr="001B27F8">
        <w:rPr>
          <w:rStyle w:val="fontstyle01"/>
          <w:color w:val="auto"/>
        </w:rPr>
        <w:fldChar w:fldCharType="separate"/>
      </w:r>
      <w:r w:rsidR="00332566" w:rsidRPr="00332566">
        <w:rPr>
          <w:rStyle w:val="fontstyle01"/>
          <w:noProof/>
          <w:color w:val="auto"/>
        </w:rPr>
        <w:t>[121]</w:t>
      </w:r>
      <w:r w:rsidR="001F1DC3" w:rsidRPr="001B27F8">
        <w:rPr>
          <w:rStyle w:val="fontstyle01"/>
          <w:color w:val="auto"/>
        </w:rPr>
        <w:fldChar w:fldCharType="end"/>
      </w:r>
      <w:r w:rsidRPr="001B27F8">
        <w:rPr>
          <w:rStyle w:val="fontstyle01"/>
          <w:color w:val="auto"/>
        </w:rPr>
        <w:t>. Ввиду высокой гомологии между различными перекрестно-реагирующими аллергенами (например, полкальцинами, профилинами) обнаружение IgE к одной репрезентативной молекуле считается достаточным для диагностики или исключения сенсибилизации</w:t>
      </w:r>
      <w:r w:rsidR="0084592A" w:rsidRPr="001B27F8">
        <w:rPr>
          <w:rStyle w:val="fontstyle01"/>
          <w:color w:val="auto"/>
        </w:rPr>
        <w:t xml:space="preserve"> </w:t>
      </w:r>
      <w:r w:rsidR="0084592A" w:rsidRPr="001B27F8">
        <w:rPr>
          <w:rStyle w:val="fontstyle01"/>
          <w:color w:val="auto"/>
        </w:rPr>
        <w:fldChar w:fldCharType="begin" w:fldLock="1"/>
      </w:r>
      <w:r w:rsidR="00A02E0E">
        <w:rPr>
          <w:rStyle w:val="fontstyle01"/>
          <w:color w:val="auto"/>
        </w:rPr>
        <w:instrText>ADDIN CSL_CITATION {"citationItems":[{"id":"ITEM-1","itemData":{"DOI":"10.1007/s11882-016-0603-z","ISSN":"15346315","PMID":"27002515","abstract":"Pollen allergens are one of the main causes of type I allergies affecting up to 30 % of the population in industrialized countries. Climatic changes affect the duration and intensity of pollen seasons and may together with pollution contribute to increased incidences of respiratory allergy and asthma. Allergenic grasses, trees, and weeds often present similar habitats and flowering periods compromising clinical anamnesis. Molecule-based approaches enable distinction between genuine sensitization and clinically mostly irrelevant IgE cross-reactivity due to, e. g., panallergens or carbohydrate determinants. In addition, sensitivity as well as specificity can be improved and lead to identification of the primary sensitizing source which is particularly beneficial regarding polysensitized patients. This review gives an overview on relevant pollen allergens and their usefulness in daily practice. Appropriate allergy diagnosis is directly influencing decisions for therapeutic interventions, and thus, reliable biomarkers are pivotal when considering allergen immunotherapy in the context of precision medicine.","author":[{"dropping-particle":"","family":"Pablos","given":"Isabel","non-dropping-particle":"","parse-names":false,"suffix":""},{"dropping-particle":"","family":"Wildner","given":"Sabrina","non-dropping-particle":"","parse-names":false,"suffix":""},{"dropping-particle":"","family":"Asam","given":"Claudia","non-dropping-particle":"","parse-names":false,"suffix":""},{"dropping-particle":"","family":"Wallner","given":"Michael","non-dropping-particle":"","parse-names":false,"suffix":""},{"dropping-particle":"","family":"Gadermaier","given":"Gabriele","non-dropping-particle":"","parse-names":false,"suffix":""}],"container-title":"Current Allergy and Asthma Reports","id":"ITEM-1","issue":"4","issued":{"date-parts":[["2016"]]},"title":"Pollen Allergens for Molecular Diagnosis","type":"article-journal","volume":"16"},"uris":["http://www.mendeley.com/documents/?uuid=38204b67-9310-4c65-8dea-f9edca49b9e1"]}],"mendeley":{"formattedCitation":"[122]","plainTextFormattedCitation":"[122]","previouslyFormattedCitation":"[122]"},"properties":{"noteIndex":0},"schema":"https://github.com/citation-style-language/schema/raw/master/csl-citation.json"}</w:instrText>
      </w:r>
      <w:r w:rsidR="0084592A" w:rsidRPr="001B27F8">
        <w:rPr>
          <w:rStyle w:val="fontstyle01"/>
          <w:color w:val="auto"/>
        </w:rPr>
        <w:fldChar w:fldCharType="separate"/>
      </w:r>
      <w:r w:rsidR="00332566" w:rsidRPr="00332566">
        <w:rPr>
          <w:rStyle w:val="fontstyle01"/>
          <w:noProof/>
          <w:color w:val="auto"/>
        </w:rPr>
        <w:t>[122]</w:t>
      </w:r>
      <w:r w:rsidR="0084592A" w:rsidRPr="001B27F8">
        <w:rPr>
          <w:rStyle w:val="fontstyle01"/>
          <w:color w:val="auto"/>
        </w:rPr>
        <w:fldChar w:fldCharType="end"/>
      </w:r>
      <w:r w:rsidR="0084592A" w:rsidRPr="001B27F8">
        <w:rPr>
          <w:rStyle w:val="fontstyle01"/>
          <w:color w:val="auto"/>
        </w:rPr>
        <w:t>.</w:t>
      </w:r>
    </w:p>
    <w:p w14:paraId="0BD2DC37" w14:textId="1E5397BA" w:rsidR="006C3A69" w:rsidRPr="001B27F8" w:rsidRDefault="006C3A69" w:rsidP="001B27F8">
      <w:pPr>
        <w:tabs>
          <w:tab w:val="left" w:pos="851"/>
        </w:tabs>
        <w:spacing w:after="0" w:line="240" w:lineRule="auto"/>
        <w:ind w:firstLine="567"/>
        <w:jc w:val="both"/>
        <w:rPr>
          <w:rStyle w:val="fontstyle01"/>
          <w:color w:val="auto"/>
        </w:rPr>
      </w:pPr>
      <w:r w:rsidRPr="001B27F8">
        <w:rPr>
          <w:rStyle w:val="fontstyle01"/>
          <w:color w:val="auto"/>
        </w:rPr>
        <w:t>Четыре семейства белков объединяют более чем 60% всех пищевых растительных аллергенов: суперсемейство проламина, суперсемейство куп</w:t>
      </w:r>
      <w:r w:rsidR="00FB2307" w:rsidRPr="001B27F8">
        <w:rPr>
          <w:rStyle w:val="fontstyle01"/>
          <w:color w:val="auto"/>
        </w:rPr>
        <w:t>ина, семейство гомологов Bet v1</w:t>
      </w:r>
      <w:r w:rsidRPr="001B27F8">
        <w:rPr>
          <w:rStyle w:val="fontstyle01"/>
          <w:color w:val="auto"/>
        </w:rPr>
        <w:t xml:space="preserve"> и профилины. Из этих четырех семейств проламины (липид-транспортные белки - ЛТБ), профилины и Bet v1–гомологи являются белками особой значимости в отношении развития перекрестной реактивности между пыльцой и пищевыми аллергенами </w:t>
      </w:r>
      <w:r w:rsidR="004308CB" w:rsidRPr="001B27F8">
        <w:rPr>
          <w:rStyle w:val="fontstyle01"/>
          <w:color w:val="auto"/>
        </w:rPr>
        <w:fldChar w:fldCharType="begin" w:fldLock="1"/>
      </w:r>
      <w:r w:rsidR="00A02E0E">
        <w:rPr>
          <w:rStyle w:val="fontstyle01"/>
          <w:color w:val="auto"/>
        </w:rPr>
        <w:instrText>ADDIN CSL_CITATION {"citationItems":[{"id":"ITEM-1","itemData":{"DOI":"10.23822/EurAnnACI.1764-1489.32","ISSN":"17641489","PMID":"29384106","abstract":"The Study Group on Allergology of the Italian Society of Clinical Pathology and Laboratory Medicine (SIPMeL) and the Associazione Italiana degli Allergologi e Immunologi Territoriali e Ospedalieri (AAIITO) developed the present recommendations on the diagnosis of allergic diseases based on the use of molecular allergenic components, whose purpose is to provide the pathologists and the clinicians with information and algorithms enabling a proper use of this second-level diagnostics. Molecular diagnostics allows definition of the exact sensitization profile of the allergic patient. The methodology followed to develop these recommendations included an initial phase of discussion between all the components to integrate the knowledge derived from scientific evidence, a revision of the recommendations made by Italian and foreign experts, and the subsequent production of this document to be disseminated to all those who deal with allergy diagnostics.","author":[{"dropping-particle":"","family":"Villalta","given":"Danilo","non-dropping-particle":"","parse-names":false,"suffix":""},{"dropping-particle":"","family":"Tonutti","given":"E.","non-dropping-particle":"","parse-names":false,"suffix":""},{"dropping-particle":"","family":"Bizzaro","given":"N.","non-dropping-particle":"","parse-names":false,"suffix":""},{"dropping-particle":"","family":"Brusca","given":"I.","non-dropping-particle":"","parse-names":false,"suffix":""},{"dropping-particle":"","family":"Sargentini","given":"V.","non-dropping-particle":"","parse-names":false,"suffix":""},{"dropping-particle":"","family":"Asero","given":"R.","non-dropping-particle":"","parse-names":false,"suffix":""},{"dropping-particle":"","family":"Bilò","given":"M. B.","non-dropping-particle":"","parse-names":false,"suffix":""},{"dropping-particle":"","family":"Manzotti","given":"G.","non-dropping-particle":"","parse-names":false,"suffix":""},{"dropping-particle":"","family":"Murzilli","given":"F.","non-dropping-particle":"","parse-names":false,"suffix":""},{"dropping-particle":"","family":"Cecchi","given":"L.","non-dropping-particle":"","parse-names":false,"suffix":""},{"dropping-particle":"","family":"Musarra","given":"A.","non-dropping-particle":"","parse-names":false,"suffix":""}],"container-title":"European Annals of Allergy and Clinical Immunology","id":"ITEM-1","issue":"2","issued":{"date-parts":[["2018"]]},"page":"51-58","title":"Recommendations for the use of molecular diagnostics in the diagnosis of allergic diseases","type":"article-journal","volume":"50"},"uris":["http://www.mendeley.com/documents/?uuid=9b525747-eeb5-4baa-976b-9774b82fad36"]}],"mendeley":{"formattedCitation":"[123]","plainTextFormattedCitation":"[123]","previouslyFormattedCitation":"[123]"},"properties":{"noteIndex":0},"schema":"https://github.com/citation-style-language/schema/raw/master/csl-citation.json"}</w:instrText>
      </w:r>
      <w:r w:rsidR="004308CB" w:rsidRPr="001B27F8">
        <w:rPr>
          <w:rStyle w:val="fontstyle01"/>
          <w:color w:val="auto"/>
        </w:rPr>
        <w:fldChar w:fldCharType="separate"/>
      </w:r>
      <w:r w:rsidR="00332566" w:rsidRPr="00332566">
        <w:rPr>
          <w:rStyle w:val="fontstyle01"/>
          <w:noProof/>
          <w:color w:val="auto"/>
        </w:rPr>
        <w:t>[123]</w:t>
      </w:r>
      <w:r w:rsidR="004308CB" w:rsidRPr="001B27F8">
        <w:rPr>
          <w:rStyle w:val="fontstyle01"/>
          <w:color w:val="auto"/>
        </w:rPr>
        <w:fldChar w:fldCharType="end"/>
      </w:r>
      <w:r w:rsidRPr="001B27F8">
        <w:rPr>
          <w:rStyle w:val="fontstyle01"/>
          <w:color w:val="auto"/>
        </w:rPr>
        <w:t>.</w:t>
      </w:r>
    </w:p>
    <w:p w14:paraId="7FAB9947" w14:textId="191E62BE" w:rsidR="002A2FCB" w:rsidRPr="001B27F8" w:rsidRDefault="00FD7C35" w:rsidP="001B27F8">
      <w:pPr>
        <w:tabs>
          <w:tab w:val="left" w:pos="851"/>
        </w:tabs>
        <w:spacing w:after="0" w:line="240" w:lineRule="auto"/>
        <w:ind w:firstLine="567"/>
        <w:jc w:val="both"/>
        <w:rPr>
          <w:rStyle w:val="fontstyle01"/>
          <w:color w:val="auto"/>
        </w:rPr>
      </w:pPr>
      <w:r w:rsidRPr="001B27F8">
        <w:rPr>
          <w:rStyle w:val="fontstyle01"/>
          <w:color w:val="auto"/>
        </w:rPr>
        <w:t>В таблице 1</w:t>
      </w:r>
      <w:r w:rsidR="006C3A69" w:rsidRPr="001B27F8">
        <w:rPr>
          <w:rStyle w:val="fontstyle01"/>
          <w:color w:val="auto"/>
        </w:rPr>
        <w:t xml:space="preserve"> представлены особенности важных семейств перекрестно-реактивных молекул, относящихся к ингаляционным аллергенам</w:t>
      </w:r>
      <w:r w:rsidR="00294996" w:rsidRPr="001B27F8">
        <w:rPr>
          <w:rStyle w:val="fontstyle01"/>
          <w:color w:val="auto"/>
        </w:rPr>
        <w:t xml:space="preserve"> </w:t>
      </w:r>
      <w:r w:rsidR="00294996" w:rsidRPr="001B27F8">
        <w:rPr>
          <w:rStyle w:val="fontstyle01"/>
          <w:color w:val="auto"/>
        </w:rPr>
        <w:fldChar w:fldCharType="begin" w:fldLock="1"/>
      </w:r>
      <w:r w:rsidR="00A02E0E">
        <w:rPr>
          <w:rStyle w:val="fontstyle01"/>
          <w:color w:val="auto"/>
        </w:rPr>
        <w:instrText>ADDIN CSL_CITATION {"citationItems":[{"id":"ITEM-1","itemData":{"DOI":"10.23822/EurAnnACI.1764-1489.32","ISSN":"17641489","PMID":"29384106","abstract":"The Study Group on Allergology of the Italian Society of Clinical Pathology and Laboratory Medicine (SIPMeL) and the Associazione Italiana degli Allergologi e Immunologi Territoriali e Ospedalieri (AAIITO) developed the present recommendations on the diagnosis of allergic diseases based on the use of molecular allergenic components, whose purpose is to provide the pathologists and the clinicians with information and algorithms enabling a proper use of this second-level diagnostics. Molecular diagnostics allows definition of the exact sensitization profile of the allergic patient. The methodology followed to develop these recommendations included an initial phase of discussion between all the components to integrate the knowledge derived from scientific evidence, a revision of the recommendations made by Italian and foreign experts, and the subsequent production of this document to be disseminated to all those who deal with allergy diagnostics.","author":[{"dropping-particle":"","family":"Villalta","given":"Danilo","non-dropping-particle":"","parse-names":false,"suffix":""},{"dropping-particle":"","family":"Tonutti","given":"E.","non-dropping-particle":"","parse-names":false,"suffix":""},{"dropping-particle":"","family":"Bizzaro","given":"N.","non-dropping-particle":"","parse-names":false,"suffix":""},{"dropping-particle":"","family":"Brusca","given":"I.","non-dropping-particle":"","parse-names":false,"suffix":""},{"dropping-particle":"","family":"Sargentini","given":"V.","non-dropping-particle":"","parse-names":false,"suffix":""},{"dropping-particle":"","family":"Asero","given":"R.","non-dropping-particle":"","parse-names":false,"suffix":""},{"dropping-particle":"","family":"Bilò","given":"M. B.","non-dropping-particle":"","parse-names":false,"suffix":""},{"dropping-particle":"","family":"Manzotti","given":"G.","non-dropping-particle":"","parse-names":false,"suffix":""},{"dropping-particle":"","family":"Murzilli","given":"F.","non-dropping-particle":"","parse-names":false,"suffix":""},{"dropping-particle":"","family":"Cecchi","given":"L.","non-dropping-particle":"","parse-names":false,"suffix":""},{"dropping-particle":"","family":"Musarra","given":"A.","non-dropping-particle":"","parse-names":false,"suffix":""}],"container-title":"European Annals of Allergy and Clinical Immunology","id":"ITEM-1","issue":"2","issued":{"date-parts":[["2018"]]},"page":"51-58","title":"Recommendations for the use of molecular diagnostics in the diagnosis of allergic diseases","type":"article-journal","volume":"50"},"uris":["http://www.mendeley.com/documents/?uuid=9b525747-eeb5-4baa-976b-9774b82fad36"]},{"id":"ITEM-2","itemData":{"DOI":"10.1186/1939-4551-6-17","ISSN":"19394551","abstract":"Molecular-based allergy (MA) diagnostics is an approach used to map the allergen sensitization of a patient at a molecular level, using purified natural or recombinant allergenic molecules (allergen components) instead of allergen extracts. Since its introduction, MA diagnostics has increasingly entered routine care, with currently more than 130 allergenic molecules commercially available for in vitro specific IgE (sIgE) testing. MA diagnostics allows for an increased accuracy in allergy diagnosis and prognosis and plays an important role in three key aspects of allergy diagnosis: (1) resolving genuine versus cross-reactive sensitization in poly-sensitized patients, thereby improving the understanding of triggering allergens; (2) assessing, in selected cases, the risk of severe, systemic versus mild, local reactions in food allergy, thereby reducing unnecessary anxiety for the patient and the need for food challenge testing; and (3) identifying patients and triggering allergens for specific immunotherapy (SIT). Singleplex and multiplex measurement platforms are available for MA diagnostics. The Immuno-Solid phase Allergen Chip (ISAC) is the most comprehensive platform currently available, which involves a biochip technology to measure sIgE antibodies against more than one hundred allergenic molecules in a single assay. As the field of MA diagnostics advances, future work needs to focus on large-scale, population-based studies involving practical applications, elucidation and expansion of additional allergenic molecules, and support for appropriate test interpretation. With the rapidly expanding evidence-base for MA diagnosis, there is a need for allergists to keep abreast of the latest information. The aim of this consensus document is to provide a practical guide for the indications, determination, and interpretation of MA diagnostics for clinicians trained in allergology. ©2013 Canonica et al.","author":[{"dropping-particle":"","family":"Canonica","given":"Giorgio Walter","non-dropping-particle":"","parse-names":false,"suffix":""},{"dropping-particle":"","family":"Ansotegui","given":"Ignacio J.","non-dropping-particle":"","parse-names":false,"suffix":""},{"dropping-particle":"","family":"Pawankar","given":"Ruby","non-dropping-particle":"","parse-names":false,"suffix":""},{"dropping-particle":"","family":"Schmid-Grendelmeier","given":"Peter","non-dropping-particle":"","parse-names":false,"suffix":""},{"dropping-particle":"","family":"Hage","given":"Marianne","non-dropping-particle":"Van","parse-names":false,"suffix":""},{"dropping-particle":"","family":"Baena-Cagnani","given":"Carlos E.","non-dropping-particle":"","parse-names":false,"suffix":""},{"dropping-particle":"","family":"Melioli","given":"Giovanni","non-dropping-particle":"","parse-names":false,"suffix":""},{"dropping-particle":"","family":"Nunes","given":"Carlos","non-dropping-particle":"","parse-names":false,"suffix":""},{"dropping-particle":"","family":"Passalacqua","given":"Giovanni","non-dropping-particle":"","parse-names":false,"suffix":""},{"dropping-particle":"","family":"Rosenwasser","given":"Lanny","non-dropping-particle":"","parse-names":false,"suffix":""},{"dropping-particle":"","family":"Sampson","given":"Hugh","non-dropping-particle":"","parse-names":false,"suffix":""},{"dropping-particle":"","family":"Sastre","given":"Joaquin","non-dropping-particle":"","parse-names":false,"suffix":""},{"dropping-particle":"","family":"Bousquet","given":"Jean","non-dropping-particle":"","parse-names":false,"suffix":""},{"dropping-particle":"","family":"Zuberbier","given":"Torsten","non-dropping-particle":"","parse-names":false,"suffix":""},{"dropping-particle":"","family":"Allen","given":"Katrina","non-dropping-particle":"","parse-names":false,"suffix":""},{"dropping-particle":"","family":"Asero","given":"Riccardo","non-dropping-particle":"","parse-names":false,"suffix":""},{"dropping-particle":"","family":"Bohle","given":"Barbara","non-dropping-particle":"","parse-names":false,"suffix":""},{"dropping-particle":"","family":"Cox","given":"Linda","non-dropping-particle":"","parse-names":false,"suffix":""},{"dropping-particle":"","family":"Blay","given":"Frederic","non-dropping-particle":"De","parse-names":false,"suffix":""},{"dropping-particle":"","family":"Ebisawa","given":"Motohiro","non-dropping-particle":"","parse-names":false,"suffix":""},{"dropping-particle":"","family":"Maximiliano-Gomez","given":"Rene","non-dropping-particle":"","parse-names":false,"suffix":""},{"dropping-particle":"","family":"Gonzalez-Diaz","given":"Sandra","non-dropping-particle":"","parse-names":false,"suffix":""},{"dropping-particle":"","family":"Haahtela","given":"Tari","non-dropping-particle":"","parse-names":false,"suffix":""},{"dropping-particle":"","family":"Holgate","given":"Stephen","non-dropping-particle":"","parse-names":false,"suffix":""},{"dropping-particle":"","family":"Jakob","given":"Thilo","non-dropping-particle":"","parse-names":false,"suffix":""},{"dropping-particle":"","family":"Larche","given":"Mark","non-dropping-particle":"","parse-names":false,"suffix":""},{"dropping-particle":"","family":"Matricardi","given":"Paolo Maria","non-dropping-particle":"","parse-names":false,"suffix":""},{"dropping-particle":"","family":"Oppenheimer","given":"John","non-dropping-particle":"","parse-names":false,"suffix":""},{"dropping-particle":"","family":"Poulsen","given":"Lars K.","non-dropping-particle":"","parse-names":false,"suffix":""},{"dropping-particle":"","family":"Renz","given":"Harald E.","non-dropping-particle":"","parse-names":false,"suffix":""},{"dropping-particle":"","family":"Rosario","given":"Nelson","non-dropping-particle":"","parse-names":false,"suffix":""},{"dropping-particle":"","family":"Rothenberg","given":"Marc","non-dropping-particle":"","parse-names":false,"suffix":""},{"dropping-particle":"","family":"Sanchez-Borges","given":"Mario","non-dropping-particle":"","parse-names":false,"suffix":""},{"dropping-particle":"","family":"Scala","given":"Enrico","non-dropping-particle":"","parse-names":false,"suffix":""},{"dropping-particle":"","family":"Valenta","given":"Rudolf","non-dropping-particle":"","parse-names":false,"suffix":""}],"container-title":"World Allergy Organization Journal","id":"ITEM-2","issue":"6","issued":{"date-parts":[["2013"]]},"page":"1-17","title":"A WAO-ARIA-GA2LEN consensus document on molecular-based allergy diagnostics","type":"article-journal"},"uris":["http://www.mendeley.com/documents/?uuid=eb0dc1b5-d7d5-49c3-9910-3013666a2b8b"]}],"mendeley":{"formattedCitation":"[123,124]","plainTextFormattedCitation":"[123,124]","previouslyFormattedCitation":"[123,124]"},"properties":{"noteIndex":0},"schema":"https://github.com/citation-style-language/schema/raw/master/csl-citation.json"}</w:instrText>
      </w:r>
      <w:r w:rsidR="00294996" w:rsidRPr="001B27F8">
        <w:rPr>
          <w:rStyle w:val="fontstyle01"/>
          <w:color w:val="auto"/>
        </w:rPr>
        <w:fldChar w:fldCharType="separate"/>
      </w:r>
      <w:r w:rsidR="00332566" w:rsidRPr="00332566">
        <w:rPr>
          <w:rStyle w:val="fontstyle01"/>
          <w:noProof/>
          <w:color w:val="auto"/>
        </w:rPr>
        <w:t>[123,124]</w:t>
      </w:r>
      <w:r w:rsidR="00294996" w:rsidRPr="001B27F8">
        <w:rPr>
          <w:rStyle w:val="fontstyle01"/>
          <w:color w:val="auto"/>
        </w:rPr>
        <w:fldChar w:fldCharType="end"/>
      </w:r>
      <w:r w:rsidR="006C3A69" w:rsidRPr="001B27F8">
        <w:rPr>
          <w:rStyle w:val="fontstyle01"/>
          <w:color w:val="auto"/>
        </w:rPr>
        <w:t>.</w:t>
      </w:r>
    </w:p>
    <w:p w14:paraId="6BD5518D" w14:textId="77777777" w:rsidR="007F7872" w:rsidRPr="001B27F8" w:rsidRDefault="007F7872" w:rsidP="001B27F8">
      <w:pPr>
        <w:tabs>
          <w:tab w:val="left" w:pos="851"/>
        </w:tabs>
        <w:spacing w:after="0" w:line="240" w:lineRule="auto"/>
        <w:ind w:firstLine="567"/>
        <w:jc w:val="both"/>
        <w:rPr>
          <w:rStyle w:val="fontstyle01"/>
          <w:color w:val="auto"/>
        </w:rPr>
      </w:pPr>
    </w:p>
    <w:p w14:paraId="5E5A5BEB" w14:textId="7452B1CC" w:rsidR="000666EA" w:rsidRPr="001B27F8" w:rsidRDefault="00FD7C35" w:rsidP="001251ED">
      <w:pPr>
        <w:tabs>
          <w:tab w:val="left" w:pos="851"/>
        </w:tabs>
        <w:spacing w:after="0" w:line="240" w:lineRule="auto"/>
        <w:jc w:val="both"/>
        <w:rPr>
          <w:rFonts w:ascii="Times New Roman" w:hAnsi="Times New Roman" w:cs="Times New Roman"/>
          <w:bCs/>
          <w:iCs/>
          <w:sz w:val="28"/>
          <w:szCs w:val="28"/>
        </w:rPr>
      </w:pPr>
      <w:r w:rsidRPr="001B27F8">
        <w:rPr>
          <w:rFonts w:ascii="Times New Roman" w:hAnsi="Times New Roman" w:cs="Times New Roman"/>
          <w:bCs/>
          <w:iCs/>
          <w:sz w:val="28"/>
          <w:szCs w:val="28"/>
        </w:rPr>
        <w:t>Таблица 1</w:t>
      </w:r>
      <w:r w:rsidR="003D2FB8" w:rsidRPr="001B27F8">
        <w:rPr>
          <w:rFonts w:ascii="Times New Roman" w:hAnsi="Times New Roman" w:cs="Times New Roman"/>
          <w:bCs/>
          <w:iCs/>
          <w:sz w:val="28"/>
          <w:szCs w:val="28"/>
        </w:rPr>
        <w:t xml:space="preserve"> -</w:t>
      </w:r>
      <w:r w:rsidR="000666EA" w:rsidRPr="001B27F8">
        <w:rPr>
          <w:rFonts w:ascii="Times New Roman" w:hAnsi="Times New Roman" w:cs="Times New Roman"/>
          <w:bCs/>
          <w:iCs/>
          <w:sz w:val="28"/>
          <w:szCs w:val="28"/>
        </w:rPr>
        <w:t xml:space="preserve"> Характеристика основных семейств белков ингаляционных аллергенов, участвующих в перекрестной реактивности</w:t>
      </w:r>
    </w:p>
    <w:p w14:paraId="237BDA4B" w14:textId="77777777" w:rsidR="007F7872" w:rsidRPr="001B27F8" w:rsidRDefault="007F7872" w:rsidP="001B27F8">
      <w:pPr>
        <w:tabs>
          <w:tab w:val="left" w:pos="851"/>
        </w:tabs>
        <w:spacing w:after="0" w:line="240" w:lineRule="auto"/>
        <w:ind w:firstLine="567"/>
        <w:jc w:val="both"/>
        <w:rPr>
          <w:rFonts w:ascii="Times New Roman" w:hAnsi="Times New Roman" w:cs="Times New Roman"/>
          <w:bCs/>
          <w:iCs/>
          <w:sz w:val="28"/>
          <w:szCs w:val="28"/>
        </w:rPr>
      </w:pPr>
    </w:p>
    <w:tbl>
      <w:tblPr>
        <w:tblStyle w:val="af3"/>
        <w:tblW w:w="9351" w:type="dxa"/>
        <w:tblLook w:val="04A0" w:firstRow="1" w:lastRow="0" w:firstColumn="1" w:lastColumn="0" w:noHBand="0" w:noVBand="1"/>
      </w:tblPr>
      <w:tblGrid>
        <w:gridCol w:w="2453"/>
        <w:gridCol w:w="6898"/>
      </w:tblGrid>
      <w:tr w:rsidR="00917FF6" w:rsidRPr="00F967AA" w14:paraId="44B17B01" w14:textId="77777777" w:rsidTr="009C2209">
        <w:tc>
          <w:tcPr>
            <w:tcW w:w="2453" w:type="dxa"/>
          </w:tcPr>
          <w:p w14:paraId="4B853A6F" w14:textId="77777777" w:rsidR="000666EA" w:rsidRPr="00F967AA" w:rsidRDefault="000666EA" w:rsidP="00F967AA">
            <w:pPr>
              <w:tabs>
                <w:tab w:val="left" w:pos="851"/>
              </w:tabs>
              <w:ind w:firstLine="36"/>
              <w:jc w:val="both"/>
              <w:rPr>
                <w:rFonts w:ascii="Times New Roman" w:hAnsi="Times New Roman" w:cs="Times New Roman"/>
                <w:bCs/>
                <w:iCs/>
                <w:sz w:val="24"/>
                <w:szCs w:val="24"/>
              </w:rPr>
            </w:pPr>
            <w:r w:rsidRPr="00F967AA">
              <w:rPr>
                <w:rFonts w:ascii="Times New Roman" w:hAnsi="Times New Roman" w:cs="Times New Roman"/>
                <w:bCs/>
                <w:iCs/>
                <w:sz w:val="24"/>
                <w:szCs w:val="24"/>
              </w:rPr>
              <w:t>Семейство протеинов/функция</w:t>
            </w:r>
          </w:p>
        </w:tc>
        <w:tc>
          <w:tcPr>
            <w:tcW w:w="6898" w:type="dxa"/>
          </w:tcPr>
          <w:p w14:paraId="511F9C06" w14:textId="77777777" w:rsidR="000666EA" w:rsidRPr="00F967AA" w:rsidRDefault="000666EA" w:rsidP="00F967AA">
            <w:pPr>
              <w:tabs>
                <w:tab w:val="left" w:pos="851"/>
              </w:tabs>
              <w:ind w:hanging="8"/>
              <w:jc w:val="both"/>
              <w:rPr>
                <w:rFonts w:ascii="Times New Roman" w:hAnsi="Times New Roman" w:cs="Times New Roman"/>
                <w:bCs/>
                <w:iCs/>
                <w:sz w:val="24"/>
                <w:szCs w:val="24"/>
              </w:rPr>
            </w:pPr>
            <w:r w:rsidRPr="00F967AA">
              <w:rPr>
                <w:rFonts w:ascii="Times New Roman" w:hAnsi="Times New Roman" w:cs="Times New Roman"/>
                <w:bCs/>
                <w:iCs/>
                <w:sz w:val="24"/>
                <w:szCs w:val="24"/>
              </w:rPr>
              <w:t xml:space="preserve">Характеристика </w:t>
            </w:r>
          </w:p>
        </w:tc>
      </w:tr>
      <w:tr w:rsidR="00917FF6" w:rsidRPr="00F967AA" w14:paraId="21C5E841" w14:textId="77777777" w:rsidTr="009C2209">
        <w:tc>
          <w:tcPr>
            <w:tcW w:w="2453" w:type="dxa"/>
          </w:tcPr>
          <w:p w14:paraId="67C8B39F" w14:textId="1B4ACF63" w:rsidR="000666EA" w:rsidRPr="00F967AA" w:rsidRDefault="002E14BF" w:rsidP="002E14BF">
            <w:pPr>
              <w:tabs>
                <w:tab w:val="left" w:pos="851"/>
              </w:tabs>
              <w:jc w:val="both"/>
              <w:rPr>
                <w:rFonts w:ascii="Times New Roman" w:hAnsi="Times New Roman" w:cs="Times New Roman"/>
                <w:bCs/>
                <w:iCs/>
                <w:sz w:val="24"/>
                <w:szCs w:val="24"/>
              </w:rPr>
            </w:pPr>
            <w:r>
              <w:rPr>
                <w:rFonts w:ascii="Times New Roman" w:hAnsi="Times New Roman" w:cs="Times New Roman"/>
                <w:bCs/>
                <w:iCs/>
                <w:sz w:val="24"/>
                <w:szCs w:val="24"/>
              </w:rPr>
              <w:t>Л</w:t>
            </w:r>
            <w:r w:rsidRPr="002E14BF">
              <w:rPr>
                <w:rFonts w:ascii="Times New Roman" w:hAnsi="Times New Roman" w:cs="Times New Roman"/>
                <w:bCs/>
                <w:iCs/>
                <w:sz w:val="24"/>
                <w:szCs w:val="24"/>
              </w:rPr>
              <w:t xml:space="preserve">ипид-транспортные белки </w:t>
            </w:r>
            <w:r w:rsidR="000666EA" w:rsidRPr="00F967AA">
              <w:rPr>
                <w:rFonts w:ascii="Times New Roman" w:hAnsi="Times New Roman" w:cs="Times New Roman"/>
                <w:bCs/>
                <w:iCs/>
                <w:sz w:val="24"/>
                <w:szCs w:val="24"/>
              </w:rPr>
              <w:t xml:space="preserve">(неспецифические), </w:t>
            </w:r>
            <w:r w:rsidR="000666EA" w:rsidRPr="00F967AA">
              <w:rPr>
                <w:rFonts w:ascii="Times New Roman" w:hAnsi="Times New Roman" w:cs="Times New Roman"/>
                <w:bCs/>
                <w:iCs/>
                <w:sz w:val="24"/>
                <w:szCs w:val="24"/>
                <w:lang w:val="en-US"/>
              </w:rPr>
              <w:t>nsLTP</w:t>
            </w:r>
          </w:p>
        </w:tc>
        <w:tc>
          <w:tcPr>
            <w:tcW w:w="6898" w:type="dxa"/>
          </w:tcPr>
          <w:p w14:paraId="199FC7EF" w14:textId="77777777" w:rsidR="000666EA" w:rsidRPr="00F967AA" w:rsidRDefault="000666EA" w:rsidP="00F967AA">
            <w:pPr>
              <w:tabs>
                <w:tab w:val="left" w:pos="851"/>
              </w:tabs>
              <w:jc w:val="both"/>
              <w:rPr>
                <w:rFonts w:ascii="Times New Roman" w:hAnsi="Times New Roman" w:cs="Times New Roman"/>
                <w:bCs/>
                <w:iCs/>
                <w:sz w:val="24"/>
                <w:szCs w:val="24"/>
              </w:rPr>
            </w:pPr>
            <w:r w:rsidRPr="00F967AA">
              <w:rPr>
                <w:rFonts w:ascii="Times New Roman" w:hAnsi="Times New Roman" w:cs="Times New Roman"/>
                <w:bCs/>
                <w:iCs/>
                <w:sz w:val="24"/>
                <w:szCs w:val="24"/>
              </w:rPr>
              <w:t>Вызывают реакции на готовую пищу. Часто связаны с системными и сильными реакциями в добавление к Оральному аллергическому синдрому (ОАС). Ассоциированы с аллергическими реакциями на фрукты и овощи.</w:t>
            </w:r>
            <w:r w:rsidRPr="00F967AA">
              <w:rPr>
                <w:rFonts w:ascii="Times New Roman" w:hAnsi="Times New Roman" w:cs="Times New Roman"/>
                <w:sz w:val="24"/>
                <w:szCs w:val="24"/>
              </w:rPr>
              <w:t xml:space="preserve"> </w:t>
            </w:r>
          </w:p>
        </w:tc>
      </w:tr>
      <w:tr w:rsidR="00917FF6" w:rsidRPr="00F967AA" w14:paraId="4BB9C3A0" w14:textId="77777777" w:rsidTr="009C2209">
        <w:tc>
          <w:tcPr>
            <w:tcW w:w="2453" w:type="dxa"/>
          </w:tcPr>
          <w:p w14:paraId="406BC394" w14:textId="77777777" w:rsidR="000666EA" w:rsidRPr="00F967AA" w:rsidRDefault="000666EA" w:rsidP="00F967AA">
            <w:pPr>
              <w:tabs>
                <w:tab w:val="left" w:pos="851"/>
              </w:tabs>
              <w:ind w:firstLine="36"/>
              <w:jc w:val="both"/>
              <w:rPr>
                <w:rFonts w:ascii="Times New Roman" w:hAnsi="Times New Roman" w:cs="Times New Roman"/>
                <w:bCs/>
                <w:iCs/>
                <w:sz w:val="24"/>
                <w:szCs w:val="24"/>
              </w:rPr>
            </w:pPr>
            <w:r w:rsidRPr="00F967AA">
              <w:rPr>
                <w:rFonts w:ascii="Times New Roman" w:hAnsi="Times New Roman" w:cs="Times New Roman"/>
                <w:bCs/>
                <w:iCs/>
                <w:sz w:val="24"/>
                <w:szCs w:val="24"/>
              </w:rPr>
              <w:t xml:space="preserve">Белок </w:t>
            </w:r>
            <w:r w:rsidRPr="00F967AA">
              <w:rPr>
                <w:rFonts w:ascii="Times New Roman" w:hAnsi="Times New Roman" w:cs="Times New Roman"/>
                <w:bCs/>
                <w:iCs/>
                <w:sz w:val="24"/>
                <w:szCs w:val="24"/>
                <w:lang w:val="en-US"/>
              </w:rPr>
              <w:t>PR</w:t>
            </w:r>
            <w:r w:rsidRPr="00F967AA">
              <w:rPr>
                <w:rFonts w:ascii="Times New Roman" w:hAnsi="Times New Roman" w:cs="Times New Roman"/>
                <w:bCs/>
                <w:iCs/>
                <w:sz w:val="24"/>
                <w:szCs w:val="24"/>
              </w:rPr>
              <w:t xml:space="preserve">-10, гомолог </w:t>
            </w:r>
            <w:r w:rsidRPr="00F967AA">
              <w:rPr>
                <w:rFonts w:ascii="Times New Roman" w:hAnsi="Times New Roman" w:cs="Times New Roman"/>
                <w:bCs/>
                <w:iCs/>
                <w:sz w:val="24"/>
                <w:szCs w:val="24"/>
                <w:lang w:val="en-US"/>
              </w:rPr>
              <w:t>Bet</w:t>
            </w:r>
            <w:r w:rsidRPr="00F967AA">
              <w:rPr>
                <w:rFonts w:ascii="Times New Roman" w:hAnsi="Times New Roman" w:cs="Times New Roman"/>
                <w:bCs/>
                <w:iCs/>
                <w:sz w:val="24"/>
                <w:szCs w:val="24"/>
              </w:rPr>
              <w:t xml:space="preserve"> </w:t>
            </w:r>
            <w:r w:rsidRPr="00F967AA">
              <w:rPr>
                <w:rFonts w:ascii="Times New Roman" w:hAnsi="Times New Roman" w:cs="Times New Roman"/>
                <w:bCs/>
                <w:iCs/>
                <w:sz w:val="24"/>
                <w:szCs w:val="24"/>
                <w:lang w:val="en-US"/>
              </w:rPr>
              <w:t>v</w:t>
            </w:r>
            <w:r w:rsidRPr="00F967AA">
              <w:rPr>
                <w:rFonts w:ascii="Times New Roman" w:hAnsi="Times New Roman" w:cs="Times New Roman"/>
                <w:bCs/>
                <w:iCs/>
                <w:sz w:val="24"/>
                <w:szCs w:val="24"/>
              </w:rPr>
              <w:t xml:space="preserve"> 1</w:t>
            </w:r>
          </w:p>
        </w:tc>
        <w:tc>
          <w:tcPr>
            <w:tcW w:w="6898" w:type="dxa"/>
          </w:tcPr>
          <w:p w14:paraId="013AE6ED" w14:textId="77777777" w:rsidR="000666EA" w:rsidRPr="00F967AA" w:rsidRDefault="000666EA" w:rsidP="00F967AA">
            <w:pPr>
              <w:tabs>
                <w:tab w:val="left" w:pos="851"/>
              </w:tabs>
              <w:jc w:val="both"/>
              <w:rPr>
                <w:rFonts w:ascii="Times New Roman" w:hAnsi="Times New Roman" w:cs="Times New Roman"/>
                <w:bCs/>
                <w:iCs/>
                <w:sz w:val="24"/>
                <w:szCs w:val="24"/>
              </w:rPr>
            </w:pPr>
            <w:r w:rsidRPr="00F967AA">
              <w:rPr>
                <w:rFonts w:ascii="Times New Roman" w:hAnsi="Times New Roman" w:cs="Times New Roman"/>
                <w:bCs/>
                <w:iCs/>
                <w:sz w:val="24"/>
                <w:szCs w:val="24"/>
              </w:rPr>
              <w:t>Не вызывают аллергические реакции на готовую пищу. Это гомологи Bet v1, часто связаны с местными симптомами (ОАС). Ассоциированы с аллергическими реакциями на пыльцу, фрукты и овощи.</w:t>
            </w:r>
            <w:r w:rsidRPr="00F967AA">
              <w:rPr>
                <w:rFonts w:ascii="Times New Roman" w:hAnsi="Times New Roman" w:cs="Times New Roman"/>
                <w:sz w:val="24"/>
                <w:szCs w:val="24"/>
              </w:rPr>
              <w:t xml:space="preserve"> </w:t>
            </w:r>
          </w:p>
        </w:tc>
      </w:tr>
      <w:tr w:rsidR="00917FF6" w:rsidRPr="00F967AA" w14:paraId="5B499669" w14:textId="77777777" w:rsidTr="009C2209">
        <w:tc>
          <w:tcPr>
            <w:tcW w:w="2453" w:type="dxa"/>
          </w:tcPr>
          <w:p w14:paraId="3092AD70" w14:textId="77777777" w:rsidR="000666EA" w:rsidRPr="00F967AA" w:rsidRDefault="000666EA" w:rsidP="00F967AA">
            <w:pPr>
              <w:tabs>
                <w:tab w:val="left" w:pos="851"/>
              </w:tabs>
              <w:ind w:firstLine="36"/>
              <w:jc w:val="both"/>
              <w:rPr>
                <w:rFonts w:ascii="Times New Roman" w:hAnsi="Times New Roman" w:cs="Times New Roman"/>
                <w:bCs/>
                <w:iCs/>
                <w:sz w:val="24"/>
                <w:szCs w:val="24"/>
              </w:rPr>
            </w:pPr>
            <w:r w:rsidRPr="00F967AA">
              <w:rPr>
                <w:rFonts w:ascii="Times New Roman" w:hAnsi="Times New Roman" w:cs="Times New Roman"/>
                <w:bCs/>
                <w:iCs/>
                <w:sz w:val="24"/>
                <w:szCs w:val="24"/>
              </w:rPr>
              <w:t>Полкальцины (кальций—связывающий белок)</w:t>
            </w:r>
          </w:p>
        </w:tc>
        <w:tc>
          <w:tcPr>
            <w:tcW w:w="6898" w:type="dxa"/>
          </w:tcPr>
          <w:p w14:paraId="06147E9A" w14:textId="77777777" w:rsidR="000666EA" w:rsidRPr="00F967AA" w:rsidRDefault="000666EA" w:rsidP="00F967AA">
            <w:pPr>
              <w:tabs>
                <w:tab w:val="left" w:pos="851"/>
              </w:tabs>
              <w:jc w:val="both"/>
              <w:rPr>
                <w:rFonts w:ascii="Times New Roman" w:hAnsi="Times New Roman" w:cs="Times New Roman"/>
                <w:bCs/>
                <w:iCs/>
                <w:sz w:val="24"/>
                <w:szCs w:val="24"/>
              </w:rPr>
            </w:pPr>
            <w:r w:rsidRPr="00F967AA">
              <w:rPr>
                <w:rFonts w:ascii="Times New Roman" w:hAnsi="Times New Roman" w:cs="Times New Roman"/>
                <w:bCs/>
                <w:iCs/>
                <w:sz w:val="24"/>
                <w:szCs w:val="24"/>
              </w:rPr>
              <w:t>Белки с высокой степенью перекрестной реактивности, присутствующие в пыльце многих растений, но не в пищевых продуктах растительного происхождения.</w:t>
            </w:r>
          </w:p>
        </w:tc>
      </w:tr>
      <w:tr w:rsidR="000666EA" w:rsidRPr="00F967AA" w14:paraId="40E2F70B" w14:textId="77777777" w:rsidTr="009C2209">
        <w:tc>
          <w:tcPr>
            <w:tcW w:w="2453" w:type="dxa"/>
          </w:tcPr>
          <w:p w14:paraId="311C2A63" w14:textId="77777777" w:rsidR="000666EA" w:rsidRPr="00F967AA" w:rsidRDefault="000666EA" w:rsidP="00F967AA">
            <w:pPr>
              <w:tabs>
                <w:tab w:val="left" w:pos="851"/>
              </w:tabs>
              <w:ind w:firstLine="36"/>
              <w:jc w:val="both"/>
              <w:rPr>
                <w:rFonts w:ascii="Times New Roman" w:hAnsi="Times New Roman" w:cs="Times New Roman"/>
                <w:bCs/>
                <w:iCs/>
                <w:sz w:val="24"/>
                <w:szCs w:val="24"/>
              </w:rPr>
            </w:pPr>
            <w:r w:rsidRPr="00F967AA">
              <w:rPr>
                <w:rFonts w:ascii="Times New Roman" w:hAnsi="Times New Roman" w:cs="Times New Roman"/>
                <w:bCs/>
                <w:iCs/>
                <w:sz w:val="24"/>
                <w:szCs w:val="24"/>
              </w:rPr>
              <w:t>Профилины</w:t>
            </w:r>
          </w:p>
        </w:tc>
        <w:tc>
          <w:tcPr>
            <w:tcW w:w="6898" w:type="dxa"/>
          </w:tcPr>
          <w:p w14:paraId="2092F58D" w14:textId="77777777" w:rsidR="000666EA" w:rsidRPr="00F967AA" w:rsidRDefault="000666EA" w:rsidP="00F967AA">
            <w:pPr>
              <w:tabs>
                <w:tab w:val="left" w:pos="851"/>
              </w:tabs>
              <w:jc w:val="both"/>
              <w:rPr>
                <w:rFonts w:ascii="Times New Roman" w:hAnsi="Times New Roman" w:cs="Times New Roman"/>
                <w:bCs/>
                <w:iCs/>
                <w:sz w:val="24"/>
                <w:szCs w:val="24"/>
              </w:rPr>
            </w:pPr>
            <w:r w:rsidRPr="00F967AA">
              <w:rPr>
                <w:rFonts w:ascii="Times New Roman" w:hAnsi="Times New Roman" w:cs="Times New Roman"/>
                <w:bCs/>
                <w:iCs/>
                <w:sz w:val="24"/>
                <w:szCs w:val="24"/>
              </w:rPr>
              <w:t>Обычно не вызывают реакции на готовую пищу. Обнаруживают значительную гомологию и перекрестную реактивность даже между слабородственными видами. Опознаются в качестве минорного аллергена растений и пищевых продуктов растительного происхождения. Редко связаны с клиническими симптомами, но могут вызвать местные и даже тяжелые реакции у некоторых пациентов. Профилины есть во всех типах пыльцы и продуктах растительного происхождения.</w:t>
            </w:r>
          </w:p>
        </w:tc>
      </w:tr>
    </w:tbl>
    <w:p w14:paraId="665E94A1" w14:textId="77777777" w:rsidR="007F7872" w:rsidRPr="001B27F8" w:rsidRDefault="007F7872" w:rsidP="001B27F8">
      <w:pPr>
        <w:tabs>
          <w:tab w:val="left" w:pos="851"/>
        </w:tabs>
        <w:spacing w:after="0" w:line="240" w:lineRule="auto"/>
        <w:ind w:firstLine="567"/>
        <w:jc w:val="both"/>
        <w:rPr>
          <w:rStyle w:val="fontstyle01"/>
          <w:color w:val="auto"/>
        </w:rPr>
      </w:pPr>
    </w:p>
    <w:p w14:paraId="6341D7E1" w14:textId="47FD230B" w:rsidR="00C25E90" w:rsidRPr="001B27F8" w:rsidRDefault="00C25E90" w:rsidP="001B27F8">
      <w:pPr>
        <w:tabs>
          <w:tab w:val="left" w:pos="851"/>
        </w:tabs>
        <w:spacing w:after="0" w:line="240" w:lineRule="auto"/>
        <w:ind w:firstLine="567"/>
        <w:jc w:val="both"/>
        <w:rPr>
          <w:rStyle w:val="fontstyle01"/>
          <w:color w:val="auto"/>
        </w:rPr>
      </w:pPr>
      <w:r w:rsidRPr="001B27F8">
        <w:rPr>
          <w:rStyle w:val="fontstyle01"/>
          <w:color w:val="auto"/>
        </w:rPr>
        <w:t>Отбор пациентов для аллерген</w:t>
      </w:r>
      <w:r w:rsidR="000B3C5C">
        <w:rPr>
          <w:rStyle w:val="fontstyle01"/>
          <w:color w:val="auto"/>
        </w:rPr>
        <w:t>-</w:t>
      </w:r>
      <w:r w:rsidRPr="001B27F8">
        <w:rPr>
          <w:rStyle w:val="fontstyle01"/>
          <w:color w:val="auto"/>
        </w:rPr>
        <w:t>специфической иммунотерапии производится с учетом традиционных аллергенов, которые являются комплексом белковых молекул в разной степени ответственных за сенсибилизацию пациентов</w:t>
      </w:r>
      <w:r w:rsidR="003121DD" w:rsidRPr="001B27F8">
        <w:rPr>
          <w:rStyle w:val="fontstyle01"/>
          <w:color w:val="auto"/>
        </w:rPr>
        <w:t xml:space="preserve"> </w:t>
      </w:r>
      <w:r w:rsidR="003121DD" w:rsidRPr="001B27F8">
        <w:rPr>
          <w:rStyle w:val="fontstyle01"/>
          <w:color w:val="auto"/>
        </w:rPr>
        <w:fldChar w:fldCharType="begin" w:fldLock="1"/>
      </w:r>
      <w:r w:rsidR="00765C06">
        <w:rPr>
          <w:rStyle w:val="fontstyle01"/>
          <w:color w:val="auto"/>
        </w:rPr>
        <w:instrText>ADDIN CSL_CITATION {"citationItems":[{"id":"ITEM-1","itemData":{"DOI":"10.1080/14712598.2016.1190829","ISSN":"17447682","PMID":"27269991","abstract":"Introduction: Allergic rhinitis (AR) affects over 20% of the population of Europe and the United States. Allergen immunotherapy (AIT) is currently the only form of treatment that affects symptoms and modifies the progression of disease. Established forms of AIT include subcutaneous (SCIT) and sublingual (SLIT) immunotherapy and are widely effective, yet only 2-9% of eligible patients undergo therapy, likely due to the long duration of treatment. As a result, novel, faster forms of AIT are currently under development. Areas covered: This article provides an overview of AR and summarises the efficacy and mechanisms of established forms of AIT, highlighting the current drawbacks. We discuss novel strategies of AIT that have been developed in an attempt to tackle these limitations, including epicutaneous, intradermal and intralymphatic immunotherapy (ILIT), focusing on ILIT, the treatment that has been most comprehensively assessed. Expert opinion: Current strategies to treat AR suffer from a poor safety profile and, importantly, lack of adherence. ILIT is a faster and safer form of AIT, with a treatment regime of only 12 weeks. Further validation is required, but ILIT, with its short and comparatively inexpensive protocol, has the potential to offer disease-modifying therapy to a larger number of patients.","author":[{"dropping-particle":"","family":"Larsson","given":"Olivia","non-dropping-particle":"","parse-names":false,"suffix":""},{"dropping-particle":"","family":"Hellkvist","given":"Laila","non-dropping-particle":"","parse-names":false,"suffix":""},{"dropping-particle":"","family":"Peterson-Westin","given":"Ulla","non-dropping-particle":"","parse-names":false,"suffix":""},{"dropping-particle":"","family":"Cardell","given":"Lars Olaf","non-dropping-particle":"","parse-names":false,"suffix":""}],"container-title":"Expert Opinion on Biological Therapy","id":"ITEM-1","issue":"9","issued":{"date-parts":[["2016"]]},"page":"1143-1150","title":"Novel strategies for the treatment of grass pollen-induced allergic rhinitis","type":"article-journal","volume":"16"},"uris":["http://www.mendeley.com/documents/?uuid=c4a3b695-4a20-4392-829d-678d215f89cd"]}],"mendeley":{"formattedCitation":"[13]","plainTextFormattedCitation":"[13]","previouslyFormattedCitation":"[13]"},"properties":{"noteIndex":0},"schema":"https://github.com/citation-style-language/schema/raw/master/csl-citation.json"}</w:instrText>
      </w:r>
      <w:r w:rsidR="003121DD" w:rsidRPr="001B27F8">
        <w:rPr>
          <w:rStyle w:val="fontstyle01"/>
          <w:color w:val="auto"/>
        </w:rPr>
        <w:fldChar w:fldCharType="separate"/>
      </w:r>
      <w:r w:rsidR="00877069" w:rsidRPr="00877069">
        <w:rPr>
          <w:rStyle w:val="fontstyle01"/>
          <w:noProof/>
          <w:color w:val="auto"/>
        </w:rPr>
        <w:t>[13]</w:t>
      </w:r>
      <w:r w:rsidR="003121DD" w:rsidRPr="001B27F8">
        <w:rPr>
          <w:rStyle w:val="fontstyle01"/>
          <w:color w:val="auto"/>
        </w:rPr>
        <w:fldChar w:fldCharType="end"/>
      </w:r>
      <w:r w:rsidRPr="001B27F8">
        <w:rPr>
          <w:rStyle w:val="fontstyle01"/>
          <w:color w:val="auto"/>
        </w:rPr>
        <w:t xml:space="preserve">. Определяют следующие аллергенкомпоненты (белковые молекулы): </w:t>
      </w:r>
    </w:p>
    <w:p w14:paraId="7003B2F2" w14:textId="77777777" w:rsidR="00C25E90" w:rsidRPr="001B27F8" w:rsidRDefault="00C25E90" w:rsidP="001B27F8">
      <w:pPr>
        <w:tabs>
          <w:tab w:val="left" w:pos="851"/>
        </w:tabs>
        <w:spacing w:after="0" w:line="240" w:lineRule="auto"/>
        <w:ind w:firstLine="567"/>
        <w:jc w:val="both"/>
        <w:rPr>
          <w:rStyle w:val="fontstyle01"/>
          <w:color w:val="auto"/>
        </w:rPr>
      </w:pPr>
      <w:r w:rsidRPr="001B27F8">
        <w:rPr>
          <w:rStyle w:val="fontstyle01"/>
          <w:color w:val="auto"/>
        </w:rPr>
        <w:t xml:space="preserve">- мажорные компоненты, определяются у более 50% лиц с конкретной формой аллергии, они являются маркером истинной первичной сенсибилизации и содержатся в аллерговакцинах в достаточной терапевтической дозе; </w:t>
      </w:r>
    </w:p>
    <w:p w14:paraId="408E1866" w14:textId="5C5578C3" w:rsidR="00A15D2B" w:rsidRPr="001B27F8" w:rsidRDefault="00C25E90" w:rsidP="001B27F8">
      <w:pPr>
        <w:tabs>
          <w:tab w:val="left" w:pos="851"/>
        </w:tabs>
        <w:spacing w:after="0" w:line="240" w:lineRule="auto"/>
        <w:ind w:firstLine="567"/>
        <w:jc w:val="both"/>
        <w:rPr>
          <w:rStyle w:val="fontstyle01"/>
          <w:color w:val="auto"/>
        </w:rPr>
      </w:pPr>
      <w:r w:rsidRPr="001B27F8">
        <w:rPr>
          <w:rStyle w:val="fontstyle01"/>
          <w:color w:val="auto"/>
        </w:rPr>
        <w:t>- минорные компоненты, распознается у менее 50% населения, страдающего аллергией, а также представлены маркером перекрестной чувствительности и почти отсутствуют в аллерговакцинах</w:t>
      </w:r>
      <w:r w:rsidR="00FE7627" w:rsidRPr="001B27F8">
        <w:rPr>
          <w:rStyle w:val="fontstyle01"/>
          <w:color w:val="auto"/>
        </w:rPr>
        <w:t xml:space="preserve"> </w:t>
      </w:r>
      <w:r w:rsidR="00FE7627" w:rsidRPr="001B27F8">
        <w:rPr>
          <w:rStyle w:val="fontstyle01"/>
          <w:color w:val="auto"/>
        </w:rPr>
        <w:fldChar w:fldCharType="begin" w:fldLock="1"/>
      </w:r>
      <w:r w:rsidR="00A02E0E">
        <w:rPr>
          <w:rStyle w:val="fontstyle01"/>
          <w:color w:val="auto"/>
        </w:rPr>
        <w:instrText>ADDIN CSL_CITATION {"citationItems":[{"id":"ITEM-1","itemData":{"DOI":"10.1186/1939-4551-6-17","ISSN":"19394551","abstract":"Molecular-based allergy (MA) diagnostics is an approach used to map the allergen sensitization of a patient at a molecular level, using purified natural or recombinant allergenic molecules (allergen components) instead of allergen extracts. Since its introduction, MA diagnostics has increasingly entered routine care, with currently more than 130 allergenic molecules commercially available for in vitro specific IgE (sIgE) testing. MA diagnostics allows for an increased accuracy in allergy diagnosis and prognosis and plays an important role in three key aspects of allergy diagnosis: (1) resolving genuine versus cross-reactive sensitization in poly-sensitized patients, thereby improving the understanding of triggering allergens; (2) assessing, in selected cases, the risk of severe, systemic versus mild, local reactions in food allergy, thereby reducing unnecessary anxiety for the patient and the need for food challenge testing; and (3) identifying patients and triggering allergens for specific immunotherapy (SIT). Singleplex and multiplex measurement platforms are available for MA diagnostics. The Immuno-Solid phase Allergen Chip (ISAC) is the most comprehensive platform currently available, which involves a biochip technology to measure sIgE antibodies against more than one hundred allergenic molecules in a single assay. As the field of MA diagnostics advances, future work needs to focus on large-scale, population-based studies involving practical applications, elucidation and expansion of additional allergenic molecules, and support for appropriate test interpretation. With the rapidly expanding evidence-base for MA diagnosis, there is a need for allergists to keep abreast of the latest information. The aim of this consensus document is to provide a practical guide for the indications, determination, and interpretation of MA diagnostics for clinicians trained in allergology. ©2013 Canonica et al.","author":[{"dropping-particle":"","family":"Canonica","given":"Giorgio Walter","non-dropping-particle":"","parse-names":false,"suffix":""},{"dropping-particle":"","family":"Ansotegui","given":"Ignacio J.","non-dropping-particle":"","parse-names":false,"suffix":""},{"dropping-particle":"","family":"Pawankar","given":"Ruby","non-dropping-particle":"","parse-names":false,"suffix":""},{"dropping-particle":"","family":"Schmid-Grendelmeier","given":"Peter","non-dropping-particle":"","parse-names":false,"suffix":""},{"dropping-particle":"","family":"Hage","given":"Marianne","non-dropping-particle":"Van","parse-names":false,"suffix":""},{"dropping-particle":"","family":"Baena-Cagnani","given":"Carlos E.","non-dropping-particle":"","parse-names":false,"suffix":""},{"dropping-particle":"","family":"Melioli","given":"Giovanni","non-dropping-particle":"","parse-names":false,"suffix":""},{"dropping-particle":"","family":"Nunes","given":"Carlos","non-dropping-particle":"","parse-names":false,"suffix":""},{"dropping-particle":"","family":"Passalacqua","given":"Giovanni","non-dropping-particle":"","parse-names":false,"suffix":""},{"dropping-particle":"","family":"Rosenwasser","given":"Lanny","non-dropping-particle":"","parse-names":false,"suffix":""},{"dropping-particle":"","family":"Sampson","given":"Hugh","non-dropping-particle":"","parse-names":false,"suffix":""},{"dropping-particle":"","family":"Sastre","given":"Joaquin","non-dropping-particle":"","parse-names":false,"suffix":""},{"dropping-particle":"","family":"Bousquet","given":"Jean","non-dropping-particle":"","parse-names":false,"suffix":""},{"dropping-particle":"","family":"Zuberbier","given":"Torsten","non-dropping-particle":"","parse-names":false,"suffix":""},{"dropping-particle":"","family":"Allen","given":"Katrina","non-dropping-particle":"","parse-names":false,"suffix":""},{"dropping-particle":"","family":"Asero","given":"Riccardo","non-dropping-particle":"","parse-names":false,"suffix":""},{"dropping-particle":"","family":"Bohle","given":"Barbara","non-dropping-particle":"","parse-names":false,"suffix":""},{"dropping-particle":"","family":"Cox","given":"Linda","non-dropping-particle":"","parse-names":false,"suffix":""},{"dropping-particle":"","family":"Blay","given":"Frederic","non-dropping-particle":"De","parse-names":false,"suffix":""},{"dropping-particle":"","family":"Ebisawa","given":"Motohiro","non-dropping-particle":"","parse-names":false,"suffix":""},{"dropping-particle":"","family":"Maximiliano-Gomez","given":"Rene","non-dropping-particle":"","parse-names":false,"suffix":""},{"dropping-particle":"","family":"Gonzalez-Diaz","given":"Sandra","non-dropping-particle":"","parse-names":false,"suffix":""},{"dropping-particle":"","family":"Haahtela","given":"Tari","non-dropping-particle":"","parse-names":false,"suffix":""},{"dropping-particle":"","family":"Holgate","given":"Stephen","non-dropping-particle":"","parse-names":false,"suffix":""},{"dropping-particle":"","family":"Jakob","given":"Thilo","non-dropping-particle":"","parse-names":false,"suffix":""},{"dropping-particle":"","family":"Larche","given":"Mark","non-dropping-particle":"","parse-names":false,"suffix":""},{"dropping-particle":"","family":"Matricardi","given":"Paolo Maria","non-dropping-particle":"","parse-names":false,"suffix":""},{"dropping-particle":"","family":"Oppenheimer","given":"John","non-dropping-particle":"","parse-names":false,"suffix":""},{"dropping-particle":"","family":"Poulsen","given":"Lars K.","non-dropping-particle":"","parse-names":false,"suffix":""},{"dropping-particle":"","family":"Renz","given":"Harald E.","non-dropping-particle":"","parse-names":false,"suffix":""},{"dropping-particle":"","family":"Rosario","given":"Nelson","non-dropping-particle":"","parse-names":false,"suffix":""},{"dropping-particle":"","family":"Rothenberg","given":"Marc","non-dropping-particle":"","parse-names":false,"suffix":""},{"dropping-particle":"","family":"Sanchez-Borges","given":"Mario","non-dropping-particle":"","parse-names":false,"suffix":""},{"dropping-particle":"","family":"Scala","given":"Enrico","non-dropping-particle":"","parse-names":false,"suffix":""},{"dropping-particle":"","family":"Valenta","given":"Rudolf","non-dropping-particle":"","parse-names":false,"suffix":""}],"container-title":"World Allergy Organization Journal","id":"ITEM-1","issue":"6","issued":{"date-parts":[["2013"]]},"page":"1-17","title":"A WAO-ARIA-GA2LEN consensus document on molecular-based allergy diagnostics","type":"article-journal"},"uris":["http://www.mendeley.com/documents/?uuid=eb0dc1b5-d7d5-49c3-9910-3013666a2b8b"]},{"id":"ITEM-2","itemData":{"DOI":"10.1016/j.jaip.2015.09.013","ISSN":"22132198","PMID":"26553613","abstract":"Molecular allergen-based component-resolved diagnostic IgE antibody tests have emerged in the form of singleplex assays and multiplex arrays. They use both native and recombinant allergen molecules, sometimes in combination with each other, to supplement allergen extract-based IgE antibody analyses. The total number of available allergenic molecules has reached a diagnostically useful level; however, more molecules are needed to cover all the clinically important allergen specificities. Thus, for the foreseeable future, molecular allergen-specific IgE analyses will remain a supplement for initial allergen extract-based IgE antibody analyses in the diagnostic workup of the allergic patient. As a spin-off, it will enable manufacturers to improve the quality of extracts for in vitro testing. The 2 most exciting diagnostic developments linked to component-resolved diagnostic tests are the possibility to increase diagnostic sensitivity by the inclusion of allergens that are underrepresented in the current extracts and in vitro assays and to increase the diagnostic specificity by taking the information on allergen cross-reactivity into account. Particularly the latter application is still under development. This requires additional studies on the clinical relevance of serological cross-reactivity. © 2015 American Academy of Allergy, Asthma","author":[{"dropping-particle":"","family":"Aalberse","given":"Rob C.","non-dropping-particle":"","parse-names":false,"suffix":""},{"dropping-particle":"","family":"Aalberse","given":"Joost A.","non-dropping-particle":"","parse-names":false,"suffix":""}],"container-title":"Journal of Allergy and Clinical Immunology: In Practice","id":"ITEM-2","issue":"6","issued":{"date-parts":[["2015"]]},"page":"863-869","publisher":"Elsevier Inc","title":"Molecular Allergen-Specific IgE Assays as a Complement to Allergen Extract-Based Sensitization Assessment","type":"article-journal","volume":"3"},"uris":["http://www.mendeley.com/documents/?uuid=7677f0d6-257c-461c-a2be-ee07918946f8"]}],"mendeley":{"formattedCitation":"[124,125]","plainTextFormattedCitation":"[124,125]","previouslyFormattedCitation":"[124,125]"},"properties":{"noteIndex":0},"schema":"https://github.com/citation-style-language/schema/raw/master/csl-citation.json"}</w:instrText>
      </w:r>
      <w:r w:rsidR="00FE7627" w:rsidRPr="001B27F8">
        <w:rPr>
          <w:rStyle w:val="fontstyle01"/>
          <w:color w:val="auto"/>
        </w:rPr>
        <w:fldChar w:fldCharType="separate"/>
      </w:r>
      <w:r w:rsidR="00332566" w:rsidRPr="00332566">
        <w:rPr>
          <w:rStyle w:val="fontstyle01"/>
          <w:noProof/>
          <w:color w:val="auto"/>
        </w:rPr>
        <w:t>[124,125]</w:t>
      </w:r>
      <w:r w:rsidR="00FE7627" w:rsidRPr="001B27F8">
        <w:rPr>
          <w:rStyle w:val="fontstyle01"/>
          <w:color w:val="auto"/>
        </w:rPr>
        <w:fldChar w:fldCharType="end"/>
      </w:r>
      <w:r w:rsidRPr="001B27F8">
        <w:rPr>
          <w:rStyle w:val="fontstyle01"/>
          <w:color w:val="auto"/>
        </w:rPr>
        <w:t xml:space="preserve">. </w:t>
      </w:r>
    </w:p>
    <w:p w14:paraId="42ED79DC" w14:textId="66F4C710" w:rsidR="00C25E90" w:rsidRPr="001B27F8" w:rsidRDefault="00C25E90" w:rsidP="001B27F8">
      <w:pPr>
        <w:tabs>
          <w:tab w:val="left" w:pos="851"/>
        </w:tabs>
        <w:spacing w:after="0" w:line="240" w:lineRule="auto"/>
        <w:ind w:firstLine="567"/>
        <w:jc w:val="both"/>
        <w:rPr>
          <w:rStyle w:val="fontstyle01"/>
          <w:color w:val="auto"/>
        </w:rPr>
      </w:pPr>
      <w:r w:rsidRPr="001B27F8">
        <w:rPr>
          <w:rStyle w:val="fontstyle01"/>
          <w:color w:val="auto"/>
        </w:rPr>
        <w:t xml:space="preserve">Поэтому при подтверждении сенсибилизации пациента (sIgE &gt; 0,35 kUA/L) необходимо провести </w:t>
      </w:r>
      <w:r w:rsidR="00E76945">
        <w:rPr>
          <w:rStyle w:val="fontstyle01"/>
          <w:color w:val="auto"/>
        </w:rPr>
        <w:t>МАД</w:t>
      </w:r>
      <w:r w:rsidRPr="001B27F8">
        <w:rPr>
          <w:rStyle w:val="fontstyle01"/>
          <w:color w:val="auto"/>
        </w:rPr>
        <w:t xml:space="preserve"> для определения </w:t>
      </w:r>
      <w:r w:rsidR="00D93277" w:rsidRPr="001B27F8">
        <w:rPr>
          <w:rStyle w:val="fontstyle01"/>
          <w:color w:val="auto"/>
        </w:rPr>
        <w:t xml:space="preserve">прогноза эффективности АСИТ </w:t>
      </w:r>
      <w:r w:rsidR="00D93277" w:rsidRPr="001B27F8">
        <w:rPr>
          <w:rStyle w:val="fontstyle01"/>
          <w:color w:val="auto"/>
        </w:rPr>
        <w:fldChar w:fldCharType="begin" w:fldLock="1"/>
      </w:r>
      <w:r w:rsidR="00A02E0E">
        <w:rPr>
          <w:rStyle w:val="fontstyle01"/>
          <w:color w:val="auto"/>
        </w:rPr>
        <w:instrText>ADDIN CSL_CITATION {"citationItems":[{"id":"ITEM-1","itemData":{"DOI":"10.1111/cea.12761","ISSN":"13652222","PMID":"27196983","abstract":"During the last decades component-resolved diagnostics either as singleplex or multiplex measurements has been introduced into the field of clinical allergology, providing important information that cannot be obtained from extract-based tests. Here we review recent studies that demonstrate clinical applications of the multiplex microarray technique in the diagnosis and risk assessment of allergic patients, and its usefulness in studies of allergic diseases. The usefulness of ImmunoCAP ISAC has been validated in a wide spectrum of allergic diseases like asthma, allergic rhinoconjunctivitis, atopic dermatitis, eosinophilic esophagitis, food allergy and anaphylaxis. ISAC provides a broad picture of a patient's sensitization profile from a single test, and provides information on specific and cross-reactive sensitizations that facilitate diagnosis, risk assessment, and disease management. Furthermore, it can reveal unexpected sensitizations which may explain anaphylaxis previously categorized as idiopathic and also display for the moment clinically non-relevant sensitizations. ISAC can facilitate a better selection of relevant allergens for immunotherapy compared with extract testing. Microarray technique can visualize the allergic march and molecular spreading in the preclinical stages of allergic diseases, and may indicate that the likelihood of developing symptomatic allergy is associated with specific profiles of sensitization to allergen components. ISAC is shown to be a useful tool in routine allergy diagnostics due to its ability to improve risk assessment, to better select relevant allergens for immunotherapy as well as detecting unknown sensitization. Multiplex component testing is especially suitable for patients with complex symptomatology.","author":[{"dropping-particle":"","family":"Patelis","given":"A.","non-dropping-particle":"","parse-names":false,"suffix":""},{"dropping-particle":"","family":"Borres","given":"M. P.","non-dropping-particle":"","parse-names":false,"suffix":""},{"dropping-particle":"","family":"Kober","given":"A.","non-dropping-particle":"","parse-names":false,"suffix":""},{"dropping-particle":"","family":"Berthold","given":"M.","non-dropping-particle":"","parse-names":false,"suffix":""}],"container-title":"Clinical and Experimental Allergy","id":"ITEM-1","issue":"8","issued":{"date-parts":[["2016"]]},"page":"1022-1032","title":"Multiplex component-based allergen microarray in recent clinical studies","type":"article-journal","volume":"46"},"uris":["http://www.mendeley.com/documents/?uuid=da56bd8a-81dc-49fb-ae37-c65010b85e96"]},{"id":"ITEM-2","itemData":{"DOI":"10.3390/cells12030383","ISSN":"20734409","PMID":"36766723","abstract":"A systematic review and narrative synthesis of publications was undertaken to analyze the role of component-resolved diagnosis technology in identifying polysensitization for the provision of allergen-specific immunotherapy to patients with seasonal allergic rhinitis. A search of publications was carried out in electronic databases in accordance with the Preferred Reporting Items for Systematic Reviews and Meta-Analyses guidelines. The search helped to identify 568 publications, 12 of which were included in this review. Overall, 3302 patients were enrolled. The major finding was that component-resolved diagnostics change the choice of relevant allergens for allergen-specific immunotherapy in at least 50% of cases. Sensitization to allergen components differs with age, type of disease, and overall disease duration. Patients who had both bronchial asthma and allergic rhinitis were sensitized to a larger number of allergens than patients who had bronchial asthma alone.","author":[{"dropping-particle":"","family":"Izmailovich","given":"Marina","non-dropping-particle":"","parse-names":false,"suffix":""},{"dropping-particle":"","family":"Semenova","given":"Yuliya","non-dropping-particle":"","parse-names":false,"suffix":""},{"dropping-particle":"","family":"Abdushukurova","given":"Gulzada","non-dropping-particle":"","parse-names":false,"suffix":""},{"dropping-particle":"","family":"Mukhamejanova","given":"Ainur","non-dropping-particle":"","parse-names":false,"suffix":""},{"dropping-particle":"","family":"Dyussupova","given":"Azhar","non-dropping-particle":"","parse-names":false,"suffix":""},{"dropping-particle":"","family":"Faizova","given":"Raida","non-dropping-particle":"","parse-names":false,"suffix":""},{"dropping-particle":"","family":"Gazaliyeva","given":"Meruert","non-dropping-particle":"","parse-names":false,"suffix":""},{"dropping-particle":"","family":"Akhvlediani","given":"Leila","non-dropping-particle":"","parse-names":false,"suffix":""},{"dropping-particle":"","family":"Glushkova","given":"Natalya","non-dropping-particle":"","parse-names":false,"suffix":""},{"dropping-particle":"","family":"Kalmakhanov","given":"Sundetgali","non-dropping-particle":"","parse-names":false,"suffix":""},{"dropping-particle":"","family":"Bjørklund","given":"Geir","non-dropping-particle":"","parse-names":false,"suffix":""}],"container-title":"Cells","id":"ITEM-2","issue":"3","issued":{"date-parts":[["2023"]]},"page":"383","title":"Molecular Aspects of Allergen-Specific Immunotherapy in Patients with Seasonal Allergic Rhinitis","type":"article-journal","volume":"12"},"uris":["http://www.mendeley.com/documents/?uuid=56e2118c-9ce5-4104-970e-c4d7ee9e20d2"]}],"mendeley":{"formattedCitation":"[120,126]","plainTextFormattedCitation":"[120,126]","previouslyFormattedCitation":"[120,126]"},"properties":{"noteIndex":0},"schema":"https://github.com/citation-style-language/schema/raw/master/csl-citation.json"}</w:instrText>
      </w:r>
      <w:r w:rsidR="00D93277" w:rsidRPr="001B27F8">
        <w:rPr>
          <w:rStyle w:val="fontstyle01"/>
          <w:color w:val="auto"/>
        </w:rPr>
        <w:fldChar w:fldCharType="separate"/>
      </w:r>
      <w:r w:rsidR="00332566" w:rsidRPr="00332566">
        <w:rPr>
          <w:rStyle w:val="fontstyle01"/>
          <w:noProof/>
          <w:color w:val="auto"/>
        </w:rPr>
        <w:t>[120,126]</w:t>
      </w:r>
      <w:r w:rsidR="00D93277" w:rsidRPr="001B27F8">
        <w:rPr>
          <w:rStyle w:val="fontstyle01"/>
          <w:color w:val="auto"/>
        </w:rPr>
        <w:fldChar w:fldCharType="end"/>
      </w:r>
      <w:r w:rsidRPr="001B27F8">
        <w:rPr>
          <w:rStyle w:val="fontstyle01"/>
          <w:color w:val="auto"/>
        </w:rPr>
        <w:t xml:space="preserve">. </w:t>
      </w:r>
    </w:p>
    <w:p w14:paraId="2B68BB99" w14:textId="7A7B516C" w:rsidR="00C25E90" w:rsidRPr="001B27F8" w:rsidRDefault="00C25E90" w:rsidP="001B27F8">
      <w:pPr>
        <w:tabs>
          <w:tab w:val="left" w:pos="851"/>
        </w:tabs>
        <w:spacing w:after="0" w:line="240" w:lineRule="auto"/>
        <w:ind w:firstLine="567"/>
        <w:jc w:val="both"/>
        <w:rPr>
          <w:rStyle w:val="fontstyle01"/>
          <w:color w:val="auto"/>
        </w:rPr>
      </w:pPr>
      <w:r w:rsidRPr="001B27F8">
        <w:rPr>
          <w:rStyle w:val="fontstyle01"/>
          <w:color w:val="auto"/>
        </w:rPr>
        <w:t xml:space="preserve">Мажорными аллергокомпонентами пыльцы трав, определяемыми </w:t>
      </w:r>
      <w:r w:rsidR="000164FC">
        <w:rPr>
          <w:rStyle w:val="fontstyle01"/>
          <w:color w:val="auto"/>
        </w:rPr>
        <w:t>при МАД</w:t>
      </w:r>
      <w:r w:rsidRPr="001B27F8">
        <w:rPr>
          <w:rStyle w:val="fontstyle01"/>
          <w:color w:val="auto"/>
        </w:rPr>
        <w:t>, являются nCyn d 1 (свинорой), rPhl p 1 и rPhl p 5 (тимофеевка); пыльцы деревьев - rBet v 1 (береза), nCry j 1 (японский кедр), nCup a 1 (кипарис), rOle e 1 (пыльца оливы); пыльцы сорных трав - Amb a 1 (амброзия), Art v 1 (полынь), rChe a 1 (лебеда), rPar j 2 (постенница лекарственная), rPla I 1 (подорожник), nSal k 1 (кур</w:t>
      </w:r>
      <w:r w:rsidR="00D1697D" w:rsidRPr="001B27F8">
        <w:rPr>
          <w:rStyle w:val="fontstyle01"/>
          <w:color w:val="auto"/>
        </w:rPr>
        <w:t>ай, или русский чертополох)</w:t>
      </w:r>
      <w:r w:rsidRPr="001B27F8">
        <w:rPr>
          <w:rStyle w:val="fontstyle01"/>
          <w:color w:val="auto"/>
        </w:rPr>
        <w:t>. Определение IgE-антител к данным компонентам аллергенов является прямым показанием к назначению АСИТ, эффектив</w:t>
      </w:r>
      <w:r w:rsidR="00D1697D" w:rsidRPr="001B27F8">
        <w:rPr>
          <w:rStyle w:val="fontstyle01"/>
          <w:color w:val="auto"/>
        </w:rPr>
        <w:t>ность которой будет высокой</w:t>
      </w:r>
      <w:r w:rsidR="002019F5">
        <w:rPr>
          <w:rStyle w:val="fontstyle01"/>
          <w:color w:val="auto"/>
        </w:rPr>
        <w:t xml:space="preserve"> </w:t>
      </w:r>
      <w:r w:rsidR="002019F5" w:rsidRPr="001B27F8">
        <w:rPr>
          <w:rStyle w:val="fontstyle01"/>
          <w:color w:val="auto"/>
        </w:rPr>
        <w:fldChar w:fldCharType="begin" w:fldLock="1"/>
      </w:r>
      <w:r w:rsidR="00A02E0E">
        <w:rPr>
          <w:rStyle w:val="fontstyle01"/>
          <w:color w:val="auto"/>
        </w:rPr>
        <w:instrText>ADDIN CSL_CITATION {"citationItems":[{"id":"ITEM-1","itemData":{"DOI":"10.1016/j.iac.2015.08.012","ISSN":"15578607","PMID":"26617235","author":[{"dropping-particle":"","family":"Kleine-Tebbe","given":"Jörg","non-dropping-particle":"","parse-names":false,"suffix":""},{"dropping-particle":"","family":"Matricardi","given":"Paolo M.","non-dropping-particle":"","parse-names":false,"suffix":""},{"dropping-particle":"","family":"Hamilton","given":"Robert G.","non-dropping-particle":"","parse-names":false,"suffix":""}],"container-title":"Immunology and Allergy Clinics of North America","id":"ITEM-1","issue":"1","issued":{"date-parts":[["2016"]]},"page":"191-203","title":"Allergy Work-Up Including Component-Resolved Diagnosis: How to Make Allergen-Specific Immunotherapy More Specific","type":"article-journal","volume":"36"},"uris":["http://www.mendeley.com/documents/?uuid=1c984f2e-4715-427e-9a1d-ec5eeb6a6632"]}],"mendeley":{"formattedCitation":"[127]","plainTextFormattedCitation":"[127]","previouslyFormattedCitation":"[127]"},"properties":{"noteIndex":0},"schema":"https://github.com/citation-style-language/schema/raw/master/csl-citation.json"}</w:instrText>
      </w:r>
      <w:r w:rsidR="002019F5" w:rsidRPr="001B27F8">
        <w:rPr>
          <w:rStyle w:val="fontstyle01"/>
          <w:color w:val="auto"/>
        </w:rPr>
        <w:fldChar w:fldCharType="separate"/>
      </w:r>
      <w:r w:rsidR="00332566" w:rsidRPr="00332566">
        <w:rPr>
          <w:rStyle w:val="fontstyle01"/>
          <w:noProof/>
          <w:color w:val="auto"/>
        </w:rPr>
        <w:t>[127]</w:t>
      </w:r>
      <w:r w:rsidR="002019F5" w:rsidRPr="001B27F8">
        <w:rPr>
          <w:rStyle w:val="fontstyle01"/>
          <w:color w:val="auto"/>
        </w:rPr>
        <w:fldChar w:fldCharType="end"/>
      </w:r>
      <w:r w:rsidRPr="001B27F8">
        <w:rPr>
          <w:rStyle w:val="fontstyle01"/>
          <w:color w:val="auto"/>
        </w:rPr>
        <w:t>.</w:t>
      </w:r>
      <w:r w:rsidR="00BE60C2">
        <w:rPr>
          <w:rStyle w:val="fontstyle01"/>
          <w:color w:val="auto"/>
        </w:rPr>
        <w:t xml:space="preserve"> </w:t>
      </w:r>
    </w:p>
    <w:p w14:paraId="6BF1ABC7" w14:textId="45BE0719" w:rsidR="00C25E90" w:rsidRPr="001B27F8" w:rsidRDefault="00C25E90" w:rsidP="001B27F8">
      <w:pPr>
        <w:tabs>
          <w:tab w:val="left" w:pos="851"/>
        </w:tabs>
        <w:spacing w:after="0" w:line="240" w:lineRule="auto"/>
        <w:ind w:firstLine="567"/>
        <w:jc w:val="both"/>
        <w:rPr>
          <w:rStyle w:val="fontstyle01"/>
          <w:color w:val="auto"/>
        </w:rPr>
      </w:pPr>
      <w:r w:rsidRPr="001B27F8">
        <w:rPr>
          <w:rStyle w:val="fontstyle01"/>
          <w:color w:val="auto"/>
        </w:rPr>
        <w:t>Минорными аллергокомпонентами без перекрестной реактивности, определяемыми в ISAC тесте, являются компоненты пыльцы травы тимофеевка (rPhl p 2, rPhl p 4, rPhl p 6, rPhl p 11</w:t>
      </w:r>
      <w:r w:rsidR="00D1697D" w:rsidRPr="001B27F8">
        <w:rPr>
          <w:rStyle w:val="fontstyle01"/>
          <w:color w:val="auto"/>
        </w:rPr>
        <w:t xml:space="preserve">) и пыльцы оливы (rOle e 9) </w:t>
      </w:r>
      <w:r w:rsidR="00D1697D" w:rsidRPr="001B27F8">
        <w:rPr>
          <w:rStyle w:val="fontstyle01"/>
          <w:color w:val="auto"/>
        </w:rPr>
        <w:fldChar w:fldCharType="begin" w:fldLock="1"/>
      </w:r>
      <w:r w:rsidR="00A02E0E">
        <w:rPr>
          <w:rStyle w:val="fontstyle01"/>
          <w:color w:val="auto"/>
        </w:rPr>
        <w:instrText>ADDIN CSL_CITATION {"citationItems":[{"id":"ITEM-1","itemData":{"ISBN":"4021255540","abstract":"Contents I WJM|www.wjgnet.com December 26, 2017|Volume 7|Issue 4| Quarterly Volume 7 Number 4 December 26, 2017 EDITORIAL 112 Predictive Heston TF, King JM REVIEW 117 Shortness : A comprehensive Iyngkaran P, Anavekar NS , Neil C , Thomas L , Hare DL 129 Is Alblooshi A, Alkalbani A, Albadi G , Narchi H , Hall G ORIGINAL ARTICLE Basic Study 139 Quantitative : A research Doglietto F , Qiu J , Ravichandiran M , Radovanovic I , Belotti F , Agur A , Zadeh G , Fontanella MM , Kucharczyk W , Gentili F CASE REPORT 148 Laparoscopic - extracorporeal pregnancy : Report","author":[{"dropping-particle":"","family":"Popescu","given":"Florin-Dan","non-dropping-particle":"","parse-names":false,"suffix":""}],"container-title":"World Journal of Methodology","id":"ITEM-1","issue":"1","issued":{"date-parts":[["2014"]]},"page":"26-45","title":"Molecular biomarkers for grass pollen immunotherapy","type":"article-journal","volume":"4"},"uris":["http://www.mendeley.com/documents/?uuid=da3d034f-25c1-4632-95ba-7cda6e35e9b1"]}],"mendeley":{"formattedCitation":"[128]","plainTextFormattedCitation":"[128]","previouslyFormattedCitation":"[128]"},"properties":{"noteIndex":0},"schema":"https://github.com/citation-style-language/schema/raw/master/csl-citation.json"}</w:instrText>
      </w:r>
      <w:r w:rsidR="00D1697D" w:rsidRPr="001B27F8">
        <w:rPr>
          <w:rStyle w:val="fontstyle01"/>
          <w:color w:val="auto"/>
        </w:rPr>
        <w:fldChar w:fldCharType="separate"/>
      </w:r>
      <w:r w:rsidR="00332566" w:rsidRPr="00332566">
        <w:rPr>
          <w:rStyle w:val="fontstyle01"/>
          <w:noProof/>
          <w:color w:val="auto"/>
        </w:rPr>
        <w:t>[128]</w:t>
      </w:r>
      <w:r w:rsidR="00D1697D" w:rsidRPr="001B27F8">
        <w:rPr>
          <w:rStyle w:val="fontstyle01"/>
          <w:color w:val="auto"/>
        </w:rPr>
        <w:fldChar w:fldCharType="end"/>
      </w:r>
      <w:r w:rsidRPr="001B27F8">
        <w:rPr>
          <w:rStyle w:val="fontstyle01"/>
          <w:color w:val="auto"/>
        </w:rPr>
        <w:t xml:space="preserve">. </w:t>
      </w:r>
    </w:p>
    <w:p w14:paraId="3157F146" w14:textId="2B05F893" w:rsidR="00C25E90" w:rsidRPr="006D7C8A" w:rsidRDefault="00C25E90" w:rsidP="001B27F8">
      <w:pPr>
        <w:tabs>
          <w:tab w:val="left" w:pos="851"/>
        </w:tabs>
        <w:spacing w:after="0" w:line="240" w:lineRule="auto"/>
        <w:ind w:firstLine="567"/>
        <w:jc w:val="both"/>
        <w:rPr>
          <w:rStyle w:val="fontstyle01"/>
          <w:color w:val="auto"/>
        </w:rPr>
      </w:pPr>
      <w:r w:rsidRPr="001B27F8">
        <w:rPr>
          <w:rStyle w:val="fontstyle01"/>
          <w:color w:val="auto"/>
        </w:rPr>
        <w:t>Перекрестно-реагирующие аллергокомпоненты включают как мажорные, так и минорны</w:t>
      </w:r>
      <w:r w:rsidR="001F7524" w:rsidRPr="001B27F8">
        <w:rPr>
          <w:rStyle w:val="fontstyle01"/>
          <w:color w:val="auto"/>
        </w:rPr>
        <w:t xml:space="preserve">е компоненты аллергенов </w:t>
      </w:r>
      <w:r w:rsidR="001F7524" w:rsidRPr="001B27F8">
        <w:rPr>
          <w:rStyle w:val="fontstyle01"/>
          <w:color w:val="auto"/>
        </w:rPr>
        <w:fldChar w:fldCharType="begin" w:fldLock="1"/>
      </w:r>
      <w:r w:rsidR="00A02E0E">
        <w:rPr>
          <w:rStyle w:val="fontstyle01"/>
          <w:color w:val="auto"/>
        </w:rPr>
        <w:instrText>ADDIN CSL_CITATION {"citationItems":[{"id":"ITEM-1","itemData":{"DOI":"10.1016/j.iac.2015.08.012","ISSN":"15578607","PMID":"26617235","author":[{"dropping-particle":"","family":"Kleine-Tebbe","given":"Jörg","non-dropping-particle":"","parse-names":false,"suffix":""},{"dropping-particle":"","family":"Matricardi","given":"Paolo M.","non-dropping-particle":"","parse-names":false,"suffix":""},{"dropping-particle":"","family":"Hamilton","given":"Robert G.","non-dropping-particle":"","parse-names":false,"suffix":""}],"container-title":"Immunology and Allergy Clinics of North America","id":"ITEM-1","issue":"1","issued":{"date-parts":[["2016"]]},"page":"191-203","title":"Allergy Work-Up Including Component-Resolved Diagnosis: How to Make Allergen-Specific Immunotherapy More Specific","type":"article-journal","volume":"36"},"uris":["http://www.mendeley.com/documents/?uuid=1c984f2e-4715-427e-9a1d-ec5eeb6a6632"]},{"id":"ITEM-2","itemData":{"DOI":"10.1186/s13601-016-0123-x","ISSN":"2045-7022","abstract":"ORAL ABSTRACTSSymposium 1: Biochemistry, structure and environment of the allergen: what makes a protein an allergen?O1 Two cell-membrane peptidases carrying galactose-alpha-1,3-galactose are implicated in delayed anaphylactic reactions upon pork kidney ingestion in patients with IgE-antibodies to alpha-GalChristiane Hilger, Kyra Swiontek, Jörg Fischer, François Hentges, Christiane Lehners, Martine Morisset, Bernadette Eberlein, Tilo Biedermann, Markus OllertO2 Structure solution of Pla l 1 suggests similar folding of Ole e 1-like family members but distinct immunological propertiesSabrina Wildner, Teresa Stemeseder, Regina Freier, Peter Briza, Roland Lang, Eva Batanero, Mayte Villalba, Jonas Lidholm, Thomas Hawranek, Fatima Ferreira, Hans Brandstetter, Gabriele GadermaierSymposium 2: New allergen molecules in the spotlightO3 Identification of the cysteine protease Amb a 11 as a novel major allergen from short ragweed (Ambrosia artemisiifolia)Philippe Moingeon, Rachel Groeme, Julien Bouley, Véronique Bordas, Maxime Le Mignon, Laetitia Bussières, Aurélie Lautrette, Laurent Mascarell, Vincent Lombardi, Véronique Baron-Bodo, Henri Chabre, Thierry Batard, Emmanuel NonyO4 Production and characterization of polybia paulista recombinant antigen 5: a valuable diagnostic toolKarine Marafigo De Amicis, Alexandra Sayuri Watanabe, Daniele Danella Figo, José Roberto Aparecido Dos Santos-Pinto, Mario Sergio Palma, Fabio Fernandes Morato Castro, Jorge Kalil, Therese Wohlschlager, Peter Briza, Sabrina Wildner, Fatima Ferreira-Briza, Gabriele Gadermaier, Keity Souza SantosSymposium 3: Progress in molecular and cellular diagnosisO5 Basophil activation test with recombinant Pru p 3; identifying genuine peach allergic patientsMargaretha Faber, Athina Van Gasse, Vito Sabato, Margo M. Hagendorens, Chris H. Bridts, Luc S. De Clerck, Araceli Diaz Perales, Didier EboO6 Nanofluidic technology enables rapid, near-patient quantification of allergen-specific IgEPetra Zavadakova, Aurélie Buchwalder, Fabien Rebeaud, Iwan MärkiSymposium 4: Relevance of molecular diagnostics for intervention and treatmentO7 Longitudinal analysis of Bet v 1-specific epitope repertoires during birch pollen immunotherapyBarbara Gepp, Nina Lengger, Christian Möbs, Wolfgang Pfützner, Christian Radauer, Barbara BohleO8 A natural CCD-free tool: is polistes sp. venom suitable for polybia paulista diagnosis and therapy?Karine Marafigo De Amicis, Alexandra Sayuri Watanabe, Clovis Eduardo Galvao, Daniele Danella …","author":[{"dropping-particle":"","family":"Nony","given":"Emmanuel","non-dropping-particle":"","parse-names":false,"suffix":""},{"dropping-particle":"Le","family":"Mignon","given":"Maxime","non-dropping-particle":"","parse-names":false,"suffix":""},{"dropping-particle":"","family":"Lemoine","given":"Pierrick","non-dropping-particle":"","parse-names":false,"suffix":""},{"dropping-particle":"","family":"Jain","given":"Karine","non-dropping-particle":"","parse-names":false,"suffix":""},{"dropping-particle":"","family":"Abiteboul","given":"Kathy","non-dropping-particle":"","parse-names":false,"suffix":""},{"dropping-particle":"","family":"Arvidsson","given":"Monica","non-dropping-particle":"","parse-names":false,"suffix":""},{"dropping-particle":"","family":"Rak","given":"Sabina","non-dropping-particle":"","parse-names":false,"suffix":""},{"dropping-particle":"","family":"Moingeon","given":"Philippe","non-dropping-particle":"","parse-names":false,"suffix":""}],"container-title":"Clinical and Translational Allergy","id":"ITEM-2","issue":"S2","issued":{"date-parts":[["2016"]]},"page":"1-34","title":"6th International Symposium on Molecular Allergology (ISMA)","type":"article-journal","volume":"6"},"uris":["http://www.mendeley.com/documents/?uuid=35246155-62fa-4c26-87c0-ef599df537c5"]}],"mendeley":{"formattedCitation":"[127,129]","plainTextFormattedCitation":"[127,129]","previouslyFormattedCitation":"[127,129]"},"properties":{"noteIndex":0},"schema":"https://github.com/citation-style-language/schema/raw/master/csl-citation.json"}</w:instrText>
      </w:r>
      <w:r w:rsidR="001F7524" w:rsidRPr="001B27F8">
        <w:rPr>
          <w:rStyle w:val="fontstyle01"/>
          <w:color w:val="auto"/>
        </w:rPr>
        <w:fldChar w:fldCharType="separate"/>
      </w:r>
      <w:r w:rsidR="00332566" w:rsidRPr="00332566">
        <w:rPr>
          <w:rStyle w:val="fontstyle01"/>
          <w:noProof/>
          <w:color w:val="auto"/>
        </w:rPr>
        <w:t>[127,129]</w:t>
      </w:r>
      <w:r w:rsidR="001F7524" w:rsidRPr="001B27F8">
        <w:rPr>
          <w:rStyle w:val="fontstyle01"/>
          <w:color w:val="auto"/>
        </w:rPr>
        <w:fldChar w:fldCharType="end"/>
      </w:r>
      <w:r w:rsidRPr="001B27F8">
        <w:rPr>
          <w:rStyle w:val="fontstyle01"/>
          <w:color w:val="auto"/>
        </w:rPr>
        <w:t>. Б</w:t>
      </w:r>
      <w:r w:rsidR="00EB0868">
        <w:rPr>
          <w:rStyle w:val="fontstyle01"/>
          <w:color w:val="auto"/>
        </w:rPr>
        <w:t xml:space="preserve">елок-переносчик липидов </w:t>
      </w:r>
      <w:r w:rsidRPr="001B27F8">
        <w:rPr>
          <w:rStyle w:val="fontstyle01"/>
          <w:color w:val="auto"/>
        </w:rPr>
        <w:t>относятся к наиболее опасным компонентам перекрестно-реагирующих аллергенов. Они включают минорные аллергены полыни (Art v 3), пыльцы оливы (Ole e 7) и платана (Pla a 3). PR-10 протеинов представлена мажорными компонентами аллергенов березы (Bet v 1), ольхи (Aln g 1) и пыльцы орешника (rCor a 1.0101). Профилины - пан-аллергены пыльцы и растительных пищевых продуктов, вызывающие перекрестные реакции пыльца-пищевые продукты. Включают минорные компоненты аллергенов rBet v 2 (береза), rMer a 1 (пролесник), rPhl p 12 (Тимофеевка). Полькальцины - пан-аллергены пыльцы, вызывающие перекрестные реакции пыльца-пыльца.</w:t>
      </w:r>
      <w:r w:rsidR="0007459B">
        <w:rPr>
          <w:rStyle w:val="fontstyle01"/>
          <w:color w:val="auto"/>
        </w:rPr>
        <w:t xml:space="preserve"> </w:t>
      </w:r>
      <w:r w:rsidRPr="001B27F8">
        <w:rPr>
          <w:rStyle w:val="fontstyle01"/>
          <w:color w:val="auto"/>
        </w:rPr>
        <w:t>Включают минорные компоненты аллергенов rBet v 4 (бере</w:t>
      </w:r>
      <w:r w:rsidR="004142AF" w:rsidRPr="001B27F8">
        <w:rPr>
          <w:rStyle w:val="fontstyle01"/>
          <w:color w:val="auto"/>
        </w:rPr>
        <w:t xml:space="preserve">за), rPhl p 7 (тимофеевка) </w:t>
      </w:r>
      <w:r w:rsidR="004142AF" w:rsidRPr="001B27F8">
        <w:rPr>
          <w:rStyle w:val="fontstyle01"/>
          <w:color w:val="auto"/>
        </w:rPr>
        <w:fldChar w:fldCharType="begin" w:fldLock="1"/>
      </w:r>
      <w:r w:rsidR="00A02E0E">
        <w:rPr>
          <w:rStyle w:val="fontstyle01"/>
          <w:color w:val="auto"/>
        </w:rPr>
        <w:instrText>ADDIN CSL_CITATION {"citationItems":[{"id":"ITEM-1","itemData":{"DOI":"10.1186/1939-4551-6-17","ISSN":"19394551","abstract":"Molecular-based allergy (MA) diagnostics is an approach used to map the allergen sensitization of a patient at a molecular level, using purified natural or recombinant allergenic molecules (allergen components) instead of allergen extracts. Since its introduction, MA diagnostics has increasingly entered routine care, with currently more than 130 allergenic molecules commercially available for in vitro specific IgE (sIgE) testing. MA diagnostics allows for an increased accuracy in allergy diagnosis and prognosis and plays an important role in three key aspects of allergy diagnosis: (1) resolving genuine versus cross-reactive sensitization in poly-sensitized patients, thereby improving the understanding of triggering allergens; (2) assessing, in selected cases, the risk of severe, systemic versus mild, local reactions in food allergy, thereby reducing unnecessary anxiety for the patient and the need for food challenge testing; and (3) identifying patients and triggering allergens for specific immunotherapy (SIT). Singleplex and multiplex measurement platforms are available for MA diagnostics. The Immuno-Solid phase Allergen Chip (ISAC) is the most comprehensive platform currently available, which involves a biochip technology to measure sIgE antibodies against more than one hundred allergenic molecules in a single assay. As the field of MA diagnostics advances, future work needs to focus on large-scale, population-based studies involving practical applications, elucidation and expansion of additional allergenic molecules, and support for appropriate test interpretation. With the rapidly expanding evidence-base for MA diagnosis, there is a need for allergists to keep abreast of the latest information. The aim of this consensus document is to provide a practical guide for the indications, determination, and interpretation of MA diagnostics for clinicians trained in allergology. ©2013 Canonica et al.","author":[{"dropping-particle":"","family":"Canonica","given":"Giorgio Walter","non-dropping-particle":"","parse-names":false,"suffix":""},{"dropping-particle":"","family":"Ansotegui","given":"Ignacio J.","non-dropping-particle":"","parse-names":false,"suffix":""},{"dropping-particle":"","family":"Pawankar","given":"Ruby","non-dropping-particle":"","parse-names":false,"suffix":""},{"dropping-particle":"","family":"Schmid-Grendelmeier","given":"Peter","non-dropping-particle":"","parse-names":false,"suffix":""},{"dropping-particle":"","family":"Hage","given":"Marianne","non-dropping-particle":"Van","parse-names":false,"suffix":""},{"dropping-particle":"","family":"Baena-Cagnani","given":"Carlos E.","non-dropping-particle":"","parse-names":false,"suffix":""},{"dropping-particle":"","family":"Melioli","given":"Giovanni","non-dropping-particle":"","parse-names":false,"suffix":""},{"dropping-particle":"","family":"Nunes","given":"Carlos","non-dropping-particle":"","parse-names":false,"suffix":""},{"dropping-particle":"","family":"Passalacqua","given":"Giovanni","non-dropping-particle":"","parse-names":false,"suffix":""},{"dropping-particle":"","family":"Rosenwasser","given":"Lanny","non-dropping-particle":"","parse-names":false,"suffix":""},{"dropping-particle":"","family":"Sampson","given":"Hugh","non-dropping-particle":"","parse-names":false,"suffix":""},{"dropping-particle":"","family":"Sastre","given":"Joaquin","non-dropping-particle":"","parse-names":false,"suffix":""},{"dropping-particle":"","family":"Bousquet","given":"Jean","non-dropping-particle":"","parse-names":false,"suffix":""},{"dropping-particle":"","family":"Zuberbier","given":"Torsten","non-dropping-particle":"","parse-names":false,"suffix":""},{"dropping-particle":"","family":"Allen","given":"Katrina","non-dropping-particle":"","parse-names":false,"suffix":""},{"dropping-particle":"","family":"Asero","given":"Riccardo","non-dropping-particle":"","parse-names":false,"suffix":""},{"dropping-particle":"","family":"Bohle","given":"Barbara","non-dropping-particle":"","parse-names":false,"suffix":""},{"dropping-particle":"","family":"Cox","given":"Linda","non-dropping-particle":"","parse-names":false,"suffix":""},{"dropping-particle":"","family":"Blay","given":"Frederic","non-dropping-particle":"De","parse-names":false,"suffix":""},{"dropping-particle":"","family":"Ebisawa","given":"Motohiro","non-dropping-particle":"","parse-names":false,"suffix":""},{"dropping-particle":"","family":"Maximiliano-Gomez","given":"Rene","non-dropping-particle":"","parse-names":false,"suffix":""},{"dropping-particle":"","family":"Gonzalez-Diaz","given":"Sandra","non-dropping-particle":"","parse-names":false,"suffix":""},{"dropping-particle":"","family":"Haahtela","given":"Tari","non-dropping-particle":"","parse-names":false,"suffix":""},{"dropping-particle":"","family":"Holgate","given":"Stephen","non-dropping-particle":"","parse-names":false,"suffix":""},{"dropping-particle":"","family":"Jakob","given":"Thilo","non-dropping-particle":"","parse-names":false,"suffix":""},{"dropping-particle":"","family":"Larche","given":"Mark","non-dropping-particle":"","parse-names":false,"suffix":""},{"dropping-particle":"","family":"Matricardi","given":"Paolo Maria","non-dropping-particle":"","parse-names":false,"suffix":""},{"dropping-particle":"","family":"Oppenheimer","given":"John","non-dropping-particle":"","parse-names":false,"suffix":""},{"dropping-particle":"","family":"Poulsen","given":"Lars K.","non-dropping-particle":"","parse-names":false,"suffix":""},{"dropping-particle":"","family":"Renz","given":"Harald E.","non-dropping-particle":"","parse-names":false,"suffix":""},{"dropping-particle":"","family":"Rosario","given":"Nelson","non-dropping-particle":"","parse-names":false,"suffix":""},{"dropping-particle":"","family":"Rothenberg","given":"Marc","non-dropping-particle":"","parse-names":false,"suffix":""},{"dropping-particle":"","family":"Sanchez-Borges","given":"Mario","non-dropping-particle":"","parse-names":false,"suffix":""},{"dropping-particle":"","family":"Scala","given":"Enrico","non-dropping-particle":"","parse-names":false,"suffix":""},{"dropping-particle":"","family":"Valenta","given":"Rudolf","non-dropping-particle":"","parse-names":false,"suffix":""}],"container-title":"World Allergy Organization Journal","id":"ITEM-1","issue":"6","issued":{"date-parts":[["2013"]]},"page":"1-17","title":"A WAO-ARIA-GA2LEN consensus document on molecular-based allergy diagnostics","type":"article-journal"},"uris":["http://www.mendeley.com/documents/?uuid=eb0dc1b5-d7d5-49c3-9910-3013666a2b8b"]},{"id":"ITEM-2","itemData":{"DOI":"10.23822/EurAnnACI.1764-1489.32","ISSN":"17641489","PMID":"29384106","abstract":"The Study Group on Allergology of the Italian Society of Clinical Pathology and Laboratory Medicine (SIPMeL) and the Associazione Italiana degli Allergologi e Immunologi Territoriali e Ospedalieri (AAIITO) developed the present recommendations on the diagnosis of allergic diseases based on the use of molecular allergenic components, whose purpose is to provide the pathologists and the clinicians with information and algorithms enabling a proper use of this second-level diagnostics. Molecular diagnostics allows definition of the exact sensitization profile of the allergic patient. The methodology followed to develop these recommendations included an initial phase of discussion between all the components to integrate the knowledge derived from scientific evidence, a revision of the recommendations made by Italian and foreign experts, and the subsequent production of this document to be disseminated to all those who deal with allergy diagnostics.","author":[{"dropping-particle":"","family":"Villalta","given":"Danilo","non-dropping-particle":"","parse-names":false,"suffix":""},{"dropping-particle":"","family":"Tonutti","given":"E.","non-dropping-particle":"","parse-names":false,"suffix":""},{"dropping-particle":"","family":"Bizzaro","given":"N.","non-dropping-particle":"","parse-names":false,"suffix":""},{"dropping-particle":"","family":"Brusca","given":"I.","non-dropping-particle":"","parse-names":false,"suffix":""},{"dropping-particle":"","family":"Sargentini","given":"V.","non-dropping-particle":"","parse-names":false,"suffix":""},{"dropping-particle":"","family":"Asero","given":"R.","non-dropping-particle":"","parse-names":false,"suffix":""},{"dropping-particle":"","family":"Bilò","given":"M. B.","non-dropping-particle":"","parse-names":false,"suffix":""},{"dropping-particle":"","family":"Manzotti","given":"G.","non-dropping-particle":"","parse-names":false,"suffix":""},{"dropping-particle":"","family":"Murzilli","given":"F.","non-dropping-particle":"","parse-names":false,"suffix":""},{"dropping-particle":"","family":"Cecchi","given":"L.","non-dropping-particle":"","parse-names":false,"suffix":""},{"dropping-particle":"","family":"Musarra","given":"A.","non-dropping-particle":"","parse-names":false,"suffix":""}],"container-title":"European Annals of Allergy and Clinical Immunology","id":"ITEM-2","issue":"2","issued":{"date-parts":[["2018"]]},"page":"51-58","title":"Recommendations for the use of molecular diagnostics in the diagnosis of allergic diseases","type":"article-journal","volume":"50"},"uris":["http://www.mendeley.com/documents/?uuid=9b525747-eeb5-4baa-976b-9774b82fad36"]}],"mendeley":{"formattedCitation":"[123,124]","plainTextFormattedCitation":"[123,124]","previouslyFormattedCitation":"[123,124]"},"properties":{"noteIndex":0},"schema":"https://github.com/citation-style-language/schema/raw/master/csl-citation.json"}</w:instrText>
      </w:r>
      <w:r w:rsidR="004142AF" w:rsidRPr="001B27F8">
        <w:rPr>
          <w:rStyle w:val="fontstyle01"/>
          <w:color w:val="auto"/>
        </w:rPr>
        <w:fldChar w:fldCharType="separate"/>
      </w:r>
      <w:r w:rsidR="00332566" w:rsidRPr="00332566">
        <w:rPr>
          <w:rStyle w:val="fontstyle01"/>
          <w:noProof/>
          <w:color w:val="auto"/>
        </w:rPr>
        <w:t>[123,124]</w:t>
      </w:r>
      <w:r w:rsidR="004142AF" w:rsidRPr="001B27F8">
        <w:rPr>
          <w:rStyle w:val="fontstyle01"/>
          <w:color w:val="auto"/>
        </w:rPr>
        <w:fldChar w:fldCharType="end"/>
      </w:r>
      <w:r w:rsidRPr="006D7C8A">
        <w:rPr>
          <w:rStyle w:val="fontstyle01"/>
          <w:color w:val="auto"/>
        </w:rPr>
        <w:t>.</w:t>
      </w:r>
    </w:p>
    <w:p w14:paraId="15CFC733" w14:textId="36562E22" w:rsidR="00C25E90" w:rsidRDefault="00C25E90" w:rsidP="001B27F8">
      <w:pPr>
        <w:tabs>
          <w:tab w:val="left" w:pos="851"/>
        </w:tabs>
        <w:spacing w:after="0" w:line="240" w:lineRule="auto"/>
        <w:ind w:firstLine="567"/>
        <w:jc w:val="both"/>
        <w:rPr>
          <w:rStyle w:val="fontstyle01"/>
          <w:color w:val="auto"/>
        </w:rPr>
      </w:pPr>
      <w:r w:rsidRPr="001B27F8">
        <w:rPr>
          <w:rStyle w:val="fontstyle01"/>
          <w:color w:val="auto"/>
        </w:rPr>
        <w:t>Диагностический алгоритм для полисенсибилизированных пациентов с респираторной аллер</w:t>
      </w:r>
      <w:r w:rsidR="00C841C2" w:rsidRPr="001B27F8">
        <w:rPr>
          <w:rStyle w:val="fontstyle01"/>
          <w:color w:val="auto"/>
        </w:rPr>
        <w:t>гией изображен на рисунке 3</w:t>
      </w:r>
      <w:r w:rsidR="00885B47" w:rsidRPr="001B27F8">
        <w:rPr>
          <w:rStyle w:val="fontstyle01"/>
          <w:color w:val="auto"/>
        </w:rPr>
        <w:t xml:space="preserve"> </w:t>
      </w:r>
      <w:r w:rsidR="00885B47" w:rsidRPr="001B27F8">
        <w:rPr>
          <w:rStyle w:val="fontstyle01"/>
          <w:color w:val="auto"/>
        </w:rPr>
        <w:fldChar w:fldCharType="begin" w:fldLock="1"/>
      </w:r>
      <w:r w:rsidR="00A02E0E">
        <w:rPr>
          <w:rStyle w:val="fontstyle01"/>
          <w:color w:val="auto"/>
        </w:rPr>
        <w:instrText>ADDIN CSL_CITATION {"citationItems":[{"id":"ITEM-1","itemData":{"DOI":"10.23822/EurAnnACI.1764-1489.32","ISSN":"17641489","PMID":"29384106","abstract":"The Study Group on Allergology of the Italian Society of Clinical Pathology and Laboratory Medicine (SIPMeL) and the Associazione Italiana degli Allergologi e Immunologi Territoriali e Ospedalieri (AAIITO) developed the present recommendations on the diagnosis of allergic diseases based on the use of molecular allergenic components, whose purpose is to provide the pathologists and the clinicians with information and algorithms enabling a proper use of this second-level diagnostics. Molecular diagnostics allows definition of the exact sensitization profile of the allergic patient. The methodology followed to develop these recommendations included an initial phase of discussion between all the components to integrate the knowledge derived from scientific evidence, a revision of the recommendations made by Italian and foreign experts, and the subsequent production of this document to be disseminated to all those who deal with allergy diagnostics.","author":[{"dropping-particle":"","family":"Villalta","given":"Danilo","non-dropping-particle":"","parse-names":false,"suffix":""},{"dropping-particle":"","family":"Tonutti","given":"E.","non-dropping-particle":"","parse-names":false,"suffix":""},{"dropping-particle":"","family":"Bizzaro","given":"N.","non-dropping-particle":"","parse-names":false,"suffix":""},{"dropping-particle":"","family":"Brusca","given":"I.","non-dropping-particle":"","parse-names":false,"suffix":""},{"dropping-particle":"","family":"Sargentini","given":"V.","non-dropping-particle":"","parse-names":false,"suffix":""},{"dropping-particle":"","family":"Asero","given":"R.","non-dropping-particle":"","parse-names":false,"suffix":""},{"dropping-particle":"","family":"Bilò","given":"M. B.","non-dropping-particle":"","parse-names":false,"suffix":""},{"dropping-particle":"","family":"Manzotti","given":"G.","non-dropping-particle":"","parse-names":false,"suffix":""},{"dropping-particle":"","family":"Murzilli","given":"F.","non-dropping-particle":"","parse-names":false,"suffix":""},{"dropping-particle":"","family":"Cecchi","given":"L.","non-dropping-particle":"","parse-names":false,"suffix":""},{"dropping-particle":"","family":"Musarra","given":"A.","non-dropping-particle":"","parse-names":false,"suffix":""}],"container-title":"European Annals of Allergy and Clinical Immunology","id":"ITEM-1","issue":"2","issued":{"date-parts":[["2018"]]},"page":"51-58","title":"Recommendations for the use of molecular diagnostics in the diagnosis of allergic diseases","type":"article-journal","volume":"50"},"uris":["http://www.mendeley.com/documents/?uuid=9b525747-eeb5-4baa-976b-9774b82fad36"]}],"mendeley":{"formattedCitation":"[123]","plainTextFormattedCitation":"[123]","previouslyFormattedCitation":"[123]"},"properties":{"noteIndex":0},"schema":"https://github.com/citation-style-language/schema/raw/master/csl-citation.json"}</w:instrText>
      </w:r>
      <w:r w:rsidR="00885B47" w:rsidRPr="001B27F8">
        <w:rPr>
          <w:rStyle w:val="fontstyle01"/>
          <w:color w:val="auto"/>
        </w:rPr>
        <w:fldChar w:fldCharType="separate"/>
      </w:r>
      <w:r w:rsidR="00332566" w:rsidRPr="00332566">
        <w:rPr>
          <w:rStyle w:val="fontstyle01"/>
          <w:noProof/>
          <w:color w:val="auto"/>
        </w:rPr>
        <w:t>[123]</w:t>
      </w:r>
      <w:r w:rsidR="00885B47" w:rsidRPr="001B27F8">
        <w:rPr>
          <w:rStyle w:val="fontstyle01"/>
          <w:color w:val="auto"/>
        </w:rPr>
        <w:fldChar w:fldCharType="end"/>
      </w:r>
      <w:r w:rsidRPr="001B27F8">
        <w:rPr>
          <w:rStyle w:val="fontstyle01"/>
          <w:color w:val="auto"/>
        </w:rPr>
        <w:t xml:space="preserve">. </w:t>
      </w:r>
    </w:p>
    <w:p w14:paraId="07047A49" w14:textId="77777777" w:rsidR="00D873AA" w:rsidRPr="001B27F8" w:rsidRDefault="00D873AA" w:rsidP="001B27F8">
      <w:pPr>
        <w:tabs>
          <w:tab w:val="left" w:pos="851"/>
        </w:tabs>
        <w:spacing w:after="0" w:line="240" w:lineRule="auto"/>
        <w:ind w:firstLine="567"/>
        <w:jc w:val="both"/>
        <w:rPr>
          <w:rStyle w:val="fontstyle01"/>
          <w:color w:val="auto"/>
        </w:rPr>
      </w:pPr>
    </w:p>
    <w:p w14:paraId="78D8AB24" w14:textId="3965901E" w:rsidR="00885B47" w:rsidRPr="001B27F8" w:rsidRDefault="00885B47" w:rsidP="003B310E">
      <w:pPr>
        <w:tabs>
          <w:tab w:val="left" w:pos="851"/>
        </w:tabs>
        <w:spacing w:after="0" w:line="240" w:lineRule="auto"/>
        <w:jc w:val="center"/>
        <w:rPr>
          <w:rStyle w:val="fontstyle01"/>
          <w:color w:val="auto"/>
        </w:rPr>
      </w:pPr>
      <w:r w:rsidRPr="001B27F8">
        <w:rPr>
          <w:rStyle w:val="a4"/>
          <w:rFonts w:ascii="Times New Roman" w:hAnsi="Times New Roman" w:cs="Times New Roman"/>
          <w:noProof/>
          <w:sz w:val="28"/>
          <w:szCs w:val="28"/>
          <w:lang w:eastAsia="ru-RU"/>
        </w:rPr>
        <w:drawing>
          <wp:inline distT="0" distB="0" distL="0" distR="0" wp14:anchorId="08569ACE" wp14:editId="3EC75A4C">
            <wp:extent cx="4007427" cy="3214838"/>
            <wp:effectExtent l="0" t="0" r="0" b="5080"/>
            <wp:docPr id="48" name="Рисунок 48" descr="C:\Users\maris\Desktop\Безымян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s\Desktop\Безымянный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46204" cy="3245946"/>
                    </a:xfrm>
                    <a:prstGeom prst="rect">
                      <a:avLst/>
                    </a:prstGeom>
                    <a:noFill/>
                    <a:ln>
                      <a:noFill/>
                    </a:ln>
                  </pic:spPr>
                </pic:pic>
              </a:graphicData>
            </a:graphic>
          </wp:inline>
        </w:drawing>
      </w:r>
    </w:p>
    <w:p w14:paraId="58AA573D" w14:textId="77777777" w:rsidR="007F7872" w:rsidRPr="001B27F8" w:rsidRDefault="007F7872" w:rsidP="001B27F8">
      <w:pPr>
        <w:tabs>
          <w:tab w:val="left" w:pos="851"/>
        </w:tabs>
        <w:spacing w:after="0" w:line="240" w:lineRule="auto"/>
        <w:ind w:firstLine="567"/>
        <w:jc w:val="both"/>
        <w:rPr>
          <w:rStyle w:val="fontstyle01"/>
          <w:color w:val="auto"/>
        </w:rPr>
      </w:pPr>
    </w:p>
    <w:p w14:paraId="5F19AEEA" w14:textId="16784A83" w:rsidR="00C25E90" w:rsidRPr="00A02E0E" w:rsidRDefault="005E6706" w:rsidP="003B310E">
      <w:pPr>
        <w:tabs>
          <w:tab w:val="left" w:pos="851"/>
        </w:tabs>
        <w:spacing w:after="0" w:line="240" w:lineRule="auto"/>
        <w:jc w:val="center"/>
        <w:rPr>
          <w:rStyle w:val="fontstyle01"/>
          <w:color w:val="auto"/>
        </w:rPr>
      </w:pPr>
      <w:r w:rsidRPr="001B27F8">
        <w:rPr>
          <w:rStyle w:val="fontstyle01"/>
          <w:color w:val="auto"/>
        </w:rPr>
        <w:t>Рисунок 3</w:t>
      </w:r>
      <w:r w:rsidR="00EC253D" w:rsidRPr="001B27F8">
        <w:rPr>
          <w:rStyle w:val="fontstyle01"/>
          <w:color w:val="auto"/>
        </w:rPr>
        <w:t xml:space="preserve"> -</w:t>
      </w:r>
      <w:r w:rsidR="00C25E90" w:rsidRPr="001B27F8">
        <w:rPr>
          <w:rStyle w:val="fontstyle01"/>
          <w:color w:val="auto"/>
        </w:rPr>
        <w:t xml:space="preserve"> Алгоритм менеджмента пациентов с полисенсибилизацией</w:t>
      </w:r>
      <w:r w:rsidR="00A02E0E" w:rsidRPr="00A02E0E">
        <w:rPr>
          <w:rStyle w:val="fontstyle01"/>
          <w:color w:val="auto"/>
        </w:rPr>
        <w:t xml:space="preserve"> </w:t>
      </w:r>
    </w:p>
    <w:p w14:paraId="58F09E1F" w14:textId="77777777" w:rsidR="007F7872" w:rsidRPr="001B27F8" w:rsidRDefault="007F7872" w:rsidP="001B27F8">
      <w:pPr>
        <w:tabs>
          <w:tab w:val="left" w:pos="851"/>
        </w:tabs>
        <w:spacing w:after="0" w:line="240" w:lineRule="auto"/>
        <w:ind w:firstLine="567"/>
        <w:jc w:val="both"/>
        <w:rPr>
          <w:rStyle w:val="fontstyle01"/>
          <w:color w:val="auto"/>
        </w:rPr>
      </w:pPr>
    </w:p>
    <w:p w14:paraId="1709B2D6" w14:textId="719EC255" w:rsidR="00C25E90" w:rsidRPr="001B27F8" w:rsidRDefault="00C25E90" w:rsidP="001B27F8">
      <w:pPr>
        <w:tabs>
          <w:tab w:val="left" w:pos="851"/>
        </w:tabs>
        <w:spacing w:after="0" w:line="240" w:lineRule="auto"/>
        <w:ind w:firstLine="567"/>
        <w:jc w:val="both"/>
        <w:rPr>
          <w:rStyle w:val="fontstyle01"/>
          <w:color w:val="auto"/>
        </w:rPr>
      </w:pPr>
      <w:r w:rsidRPr="001B27F8">
        <w:rPr>
          <w:rStyle w:val="fontstyle01"/>
          <w:color w:val="auto"/>
        </w:rPr>
        <w:t>Таким образом, эффективность АСИТ будет высокой лишь у пациентов с, имеющих IgE-антитела только к мажорным компоне</w:t>
      </w:r>
      <w:r w:rsidR="00885B47" w:rsidRPr="001B27F8">
        <w:rPr>
          <w:rStyle w:val="fontstyle01"/>
          <w:color w:val="auto"/>
        </w:rPr>
        <w:t xml:space="preserve">нтам аллергенов </w:t>
      </w:r>
      <w:r w:rsidR="00885B47" w:rsidRPr="001B27F8">
        <w:rPr>
          <w:rStyle w:val="fontstyle01"/>
          <w:color w:val="auto"/>
        </w:rPr>
        <w:fldChar w:fldCharType="begin" w:fldLock="1"/>
      </w:r>
      <w:r w:rsidR="00A02E0E">
        <w:rPr>
          <w:rStyle w:val="fontstyle01"/>
          <w:color w:val="auto"/>
        </w:rPr>
        <w:instrText>ADDIN CSL_CITATION {"citationItems":[{"id":"ITEM-1","itemData":{"DOI":"10.1002/alr.22118","ISSN":"20426984","PMID":"29631326","abstract":"Background: Subcutaneous immunotherapy is an effective allergy treatment only if properly dosed. In this article we review the data on the probable effective dose range for subcutaneous immunotherapy and convert the recommended doses into a clinically relevant format. Methods: A comprehensive literature search of dose-response subcutaneous immunotherapy studies was done of EBM databases, Medline database, PreMedline, and the National Guideline Clearinghouse for the period 1980–2016. Recommended doses were converted to the volume of allergen extract that should be added to a 5-mL maintenance vial. Results: A safe and effective dose for subcutaneous immunotherapy is likely 5–20 μg of major allergen per injection. A 0.5-mL injection from a 5-mL maintenance vial containing 0.2 mL of manufacturer's extract of each allergen should reach the lower end of the probable effective dose range for most allergens. A larger volume of extract is required to reach that range when treatment includes cat, dog, or only 1 dust mite. Increasing beyond the commonly prescribed 0.2 mL of manufacturer's extract added to a 5-mL treatment vial is reasonable for nearly all allergens to achieve a maintenance dose higher in the probable effective dose range. Conclusion: Current otolaryngic allergy practice usually escalates patients to 0.5-mL injections from 5-mL maintenance vials containing 0.2 mL of manufacturer's extract of each allergen. With the main exceptions of cat and dog, those injections administered 1 or 2 times per month likely provide an efficacious dose of allergen and are consistent with published guidelines. A larger volume of extract should be considered in certain clinical situations.","author":[{"dropping-particle":"","family":"Hoover","given":"Hunter","non-dropping-particle":"","parse-names":false,"suffix":""},{"dropping-particle":"","family":"Leatherman","given":"Bryan","non-dropping-particle":"","parse-names":false,"suffix":""},{"dropping-particle":"","family":"Ryan","given":"Matthew","non-dropping-particle":"","parse-names":false,"suffix":""},{"dropping-particle":"","family":"McMains","given":"Kevin","non-dropping-particle":"","parse-names":false,"suffix":""},{"dropping-particle":"","family":"Veling","given":"Maria","non-dropping-particle":"","parse-names":false,"suffix":""}],"container-title":"International Forum of Allergy and Rhinology","id":"ITEM-1","issue":"7","issued":{"date-parts":[["2018"]]},"page":"806-816","title":"Evidence-based dosing of maintenance subcutaneous immunotherapy: a contemporary review of state-of-the-art practice","type":"article-journal","volume":"8"},"uris":["http://www.mendeley.com/documents/?uuid=d0678de5-db2a-45b0-bd24-1872bc8234b7"]}],"mendeley":{"formattedCitation":"[130]","plainTextFormattedCitation":"[130]","previouslyFormattedCitation":"[130]"},"properties":{"noteIndex":0},"schema":"https://github.com/citation-style-language/schema/raw/master/csl-citation.json"}</w:instrText>
      </w:r>
      <w:r w:rsidR="00885B47" w:rsidRPr="001B27F8">
        <w:rPr>
          <w:rStyle w:val="fontstyle01"/>
          <w:color w:val="auto"/>
        </w:rPr>
        <w:fldChar w:fldCharType="separate"/>
      </w:r>
      <w:r w:rsidR="00332566" w:rsidRPr="00332566">
        <w:rPr>
          <w:rStyle w:val="fontstyle01"/>
          <w:noProof/>
          <w:color w:val="auto"/>
        </w:rPr>
        <w:t>[130]</w:t>
      </w:r>
      <w:r w:rsidR="00885B47" w:rsidRPr="001B27F8">
        <w:rPr>
          <w:rStyle w:val="fontstyle01"/>
          <w:color w:val="auto"/>
        </w:rPr>
        <w:fldChar w:fldCharType="end"/>
      </w:r>
      <w:r w:rsidRPr="001B27F8">
        <w:rPr>
          <w:rStyle w:val="fontstyle01"/>
          <w:color w:val="auto"/>
        </w:rPr>
        <w:t xml:space="preserve">. В случае наличия </w:t>
      </w:r>
      <w:r w:rsidR="00F74359" w:rsidRPr="001B27F8">
        <w:rPr>
          <w:rStyle w:val="fontstyle01"/>
          <w:color w:val="auto"/>
          <w:lang w:val="en-US"/>
        </w:rPr>
        <w:t>s</w:t>
      </w:r>
      <w:r w:rsidRPr="001B27F8">
        <w:rPr>
          <w:rStyle w:val="fontstyle01"/>
          <w:color w:val="auto"/>
        </w:rPr>
        <w:t>IgE как к мажорным, так и к минорным компонентам, эффективность будет средней. АСИТ будет малоэффективной в случае отсутствия IgE к мажо</w:t>
      </w:r>
      <w:r w:rsidR="00885B47" w:rsidRPr="001B27F8">
        <w:rPr>
          <w:rStyle w:val="fontstyle01"/>
          <w:color w:val="auto"/>
        </w:rPr>
        <w:t xml:space="preserve">рным компонентам аллергенов </w:t>
      </w:r>
      <w:r w:rsidR="00885B47" w:rsidRPr="001B27F8">
        <w:rPr>
          <w:rStyle w:val="fontstyle01"/>
          <w:color w:val="auto"/>
        </w:rPr>
        <w:fldChar w:fldCharType="begin" w:fldLock="1"/>
      </w:r>
      <w:r w:rsidR="00A02E0E">
        <w:rPr>
          <w:rStyle w:val="fontstyle01"/>
          <w:color w:val="auto"/>
        </w:rPr>
        <w:instrText>ADDIN CSL_CITATION {"citationItems":[{"id":"ITEM-1","itemData":{"DOI":"10.23822/EurAnnACI.1764-1489.32","ISSN":"17641489","PMID":"29384106","abstract":"The Study Group on Allergology of the Italian Society of Clinical Pathology and Laboratory Medicine (SIPMeL) and the Associazione Italiana degli Allergologi e Immunologi Territoriali e Ospedalieri (AAIITO) developed the present recommendations on the diagnosis of allergic diseases based on the use of molecular allergenic components, whose purpose is to provide the pathologists and the clinicians with information and algorithms enabling a proper use of this second-level diagnostics. Molecular diagnostics allows definition of the exact sensitization profile of the allergic patient. The methodology followed to develop these recommendations included an initial phase of discussion between all the components to integrate the knowledge derived from scientific evidence, a revision of the recommendations made by Italian and foreign experts, and the subsequent production of this document to be disseminated to all those who deal with allergy diagnostics.","author":[{"dropping-particle":"","family":"Villalta","given":"Danilo","non-dropping-particle":"","parse-names":false,"suffix":""},{"dropping-particle":"","family":"Tonutti","given":"E.","non-dropping-particle":"","parse-names":false,"suffix":""},{"dropping-particle":"","family":"Bizzaro","given":"N.","non-dropping-particle":"","parse-names":false,"suffix":""},{"dropping-particle":"","family":"Brusca","given":"I.","non-dropping-particle":"","parse-names":false,"suffix":""},{"dropping-particle":"","family":"Sargentini","given":"V.","non-dropping-particle":"","parse-names":false,"suffix":""},{"dropping-particle":"","family":"Asero","given":"R.","non-dropping-particle":"","parse-names":false,"suffix":""},{"dropping-particle":"","family":"Bilò","given":"M. B.","non-dropping-particle":"","parse-names":false,"suffix":""},{"dropping-particle":"","family":"Manzotti","given":"G.","non-dropping-particle":"","parse-names":false,"suffix":""},{"dropping-particle":"","family":"Murzilli","given":"F.","non-dropping-particle":"","parse-names":false,"suffix":""},{"dropping-particle":"","family":"Cecchi","given":"L.","non-dropping-particle":"","parse-names":false,"suffix":""},{"dropping-particle":"","family":"Musarra","given":"A.","non-dropping-particle":"","parse-names":false,"suffix":""}],"container-title":"European Annals of Allergy and Clinical Immunology","id":"ITEM-1","issue":"2","issued":{"date-parts":[["2018"]]},"page":"51-58","title":"Recommendations for the use of molecular diagnostics in the diagnosis of allergic diseases","type":"article-journal","volume":"50"},"uris":["http://www.mendeley.com/documents/?uuid=9b525747-eeb5-4baa-976b-9774b82fad36"]}],"mendeley":{"formattedCitation":"[123]","plainTextFormattedCitation":"[123]","previouslyFormattedCitation":"[123]"},"properties":{"noteIndex":0},"schema":"https://github.com/citation-style-language/schema/raw/master/csl-citation.json"}</w:instrText>
      </w:r>
      <w:r w:rsidR="00885B47" w:rsidRPr="001B27F8">
        <w:rPr>
          <w:rStyle w:val="fontstyle01"/>
          <w:color w:val="auto"/>
        </w:rPr>
        <w:fldChar w:fldCharType="separate"/>
      </w:r>
      <w:r w:rsidR="00332566" w:rsidRPr="00332566">
        <w:rPr>
          <w:rStyle w:val="fontstyle01"/>
          <w:noProof/>
          <w:color w:val="auto"/>
        </w:rPr>
        <w:t>[123]</w:t>
      </w:r>
      <w:r w:rsidR="00885B47" w:rsidRPr="001B27F8">
        <w:rPr>
          <w:rStyle w:val="fontstyle01"/>
          <w:color w:val="auto"/>
        </w:rPr>
        <w:fldChar w:fldCharType="end"/>
      </w:r>
      <w:r w:rsidRPr="001B27F8">
        <w:rPr>
          <w:rStyle w:val="fontstyle01"/>
          <w:color w:val="auto"/>
        </w:rPr>
        <w:t>.</w:t>
      </w:r>
    </w:p>
    <w:p w14:paraId="670D9228" w14:textId="77777777" w:rsidR="007F7872" w:rsidRPr="001B27F8" w:rsidRDefault="007F7872" w:rsidP="001B27F8">
      <w:pPr>
        <w:tabs>
          <w:tab w:val="left" w:pos="851"/>
        </w:tabs>
        <w:spacing w:after="0" w:line="240" w:lineRule="auto"/>
        <w:ind w:firstLine="567"/>
        <w:jc w:val="both"/>
        <w:rPr>
          <w:rStyle w:val="fontstyle01"/>
          <w:color w:val="auto"/>
        </w:rPr>
      </w:pPr>
    </w:p>
    <w:p w14:paraId="4E056648" w14:textId="5878014B" w:rsidR="00064854" w:rsidRPr="001B27F8" w:rsidRDefault="00D068F0" w:rsidP="00102E42">
      <w:pPr>
        <w:pStyle w:val="2"/>
        <w:numPr>
          <w:ilvl w:val="1"/>
          <w:numId w:val="2"/>
        </w:numPr>
        <w:tabs>
          <w:tab w:val="left" w:pos="1134"/>
        </w:tabs>
        <w:spacing w:line="240" w:lineRule="auto"/>
        <w:ind w:left="0" w:firstLine="567"/>
        <w:jc w:val="both"/>
        <w:rPr>
          <w:rStyle w:val="a4"/>
          <w:rFonts w:ascii="Times New Roman" w:hAnsi="Times New Roman" w:cs="Times New Roman"/>
          <w:bCs w:val="0"/>
          <w:i w:val="0"/>
          <w:iCs w:val="0"/>
          <w:color w:val="auto"/>
          <w:spacing w:val="0"/>
          <w:sz w:val="28"/>
          <w:szCs w:val="28"/>
        </w:rPr>
      </w:pPr>
      <w:bookmarkStart w:id="15" w:name="_Toc137904339"/>
      <w:r w:rsidRPr="001B27F8">
        <w:rPr>
          <w:rStyle w:val="a4"/>
          <w:rFonts w:ascii="Times New Roman" w:hAnsi="Times New Roman" w:cs="Times New Roman"/>
          <w:bCs w:val="0"/>
          <w:i w:val="0"/>
          <w:iCs w:val="0"/>
          <w:color w:val="auto"/>
          <w:spacing w:val="0"/>
          <w:sz w:val="28"/>
          <w:szCs w:val="28"/>
        </w:rPr>
        <w:t>Безопасность</w:t>
      </w:r>
      <w:r w:rsidRPr="001B27F8">
        <w:rPr>
          <w:rFonts w:ascii="Times New Roman" w:hAnsi="Times New Roman" w:cs="Times New Roman"/>
          <w:color w:val="auto"/>
          <w:sz w:val="28"/>
          <w:szCs w:val="28"/>
        </w:rPr>
        <w:t xml:space="preserve"> </w:t>
      </w:r>
      <w:r w:rsidRPr="001B27F8">
        <w:rPr>
          <w:rStyle w:val="a4"/>
          <w:rFonts w:ascii="Times New Roman" w:hAnsi="Times New Roman" w:cs="Times New Roman"/>
          <w:bCs w:val="0"/>
          <w:i w:val="0"/>
          <w:iCs w:val="0"/>
          <w:color w:val="auto"/>
          <w:spacing w:val="0"/>
          <w:sz w:val="28"/>
          <w:szCs w:val="28"/>
        </w:rPr>
        <w:t>аллерген-специфической иммунотерапии</w:t>
      </w:r>
      <w:bookmarkEnd w:id="15"/>
    </w:p>
    <w:p w14:paraId="36C28DD7" w14:textId="78FA55B2" w:rsidR="00E345B4" w:rsidRPr="001B27F8" w:rsidRDefault="00E345B4" w:rsidP="001B27F8">
      <w:pPr>
        <w:tabs>
          <w:tab w:val="left" w:pos="851"/>
        </w:tabs>
        <w:spacing w:after="0" w:line="240" w:lineRule="auto"/>
        <w:ind w:firstLine="567"/>
        <w:jc w:val="both"/>
        <w:rPr>
          <w:rStyle w:val="fontstyle01"/>
          <w:color w:val="auto"/>
        </w:rPr>
      </w:pPr>
      <w:r w:rsidRPr="001B27F8">
        <w:rPr>
          <w:rStyle w:val="fontstyle01"/>
          <w:color w:val="auto"/>
        </w:rPr>
        <w:t>Побочные эффекты</w:t>
      </w:r>
      <w:r w:rsidR="00EA660C" w:rsidRPr="001B27F8">
        <w:rPr>
          <w:rStyle w:val="fontstyle01"/>
          <w:color w:val="auto"/>
        </w:rPr>
        <w:t xml:space="preserve"> АСИТ</w:t>
      </w:r>
      <w:r w:rsidRPr="001B27F8">
        <w:rPr>
          <w:rStyle w:val="fontstyle01"/>
          <w:color w:val="auto"/>
        </w:rPr>
        <w:t xml:space="preserve"> возникают преимущественно в начальный период лечения, когда дозы аллергенов увеличиваются </w:t>
      </w:r>
      <w:r w:rsidRPr="001B27F8">
        <w:rPr>
          <w:rStyle w:val="fontstyle01"/>
          <w:color w:val="auto"/>
        </w:rPr>
        <w:fldChar w:fldCharType="begin" w:fldLock="1"/>
      </w:r>
      <w:r w:rsidR="00A02E0E">
        <w:rPr>
          <w:rStyle w:val="fontstyle01"/>
          <w:color w:val="auto"/>
        </w:rPr>
        <w:instrText>ADDIN CSL_CITATION {"citationItems":[{"id":"ITEM-1","itemData":{"DOI":"10.5604/12321966.1196851","ISSN":"18982263","PMID":"27012173","abstract":"SLIT (sublingual immunotherapy,) induces allergen-specific immune tolerance by sublingual administration of a gradually increasing dose of an allergen. The mechanism of SLIT is comparable to those during SCIT (subcutaneous immunotherapy), with the exception of local oral dendritic cells, pre-programmed to elicit tolerance. In the SLIT dose, to achieve the same efficacy as in SCIT, it should be 50-100 times higher with better safety profile. The highest quality evidence supporting the efficacy of SLIT lasting 1-3 years has been provided by the large scale double-blind, placebo-controlled (DBPC) trials for grass pollen extracts, both in children and adults with allergic rhinitis. Current indications for SLIT are allergic rhinitis (and conjunctivitis) in both children and adults sensitized to pollen allergens (trees, grass, Parietaria), house dust mites (Dermatophagoides pteronyssinus, Dermatophagoides farinae), cat fur, as well as mild to moderate controlled atopic asthma in children sensitized to house dust mites. There are positive findings for both asthma and new sensitization prevention. Severe adverse events, including anaphylaxis, are very rare, and no fatalities have been reported. Local adverse reactions develop in up to 70-80% of patients. Risk factors for SLIT adverse events have not been clearly identified. Risk factors of non-adherence to treatment might be dependent on the patient, disease treatment, physician-patient relationship, and variables in the health care system organization.","author":[{"dropping-particle":"","family":"Jutel","given":"Marek","non-dropping-particle":"","parse-names":false,"suffix":""},{"dropping-particle":"","family":"Bartkowiak-Emeryk","given":"Małgorzata","non-dropping-particle":"","parse-names":false,"suffix":""},{"dropping-particle":"","family":"Bręborowicz","given":"Anna","non-dropping-particle":"","parse-names":false,"suffix":""},{"dropping-particle":"","family":"Cichocka-Jarosz","given":"Ewa","non-dropping-particle":"","parse-names":false,"suffix":""},{"dropping-particle":"","family":"Emeryk","given":"Andrzej","non-dropping-particle":"","parse-names":false,"suffix":""},{"dropping-particle":"","family":"Gawlik","given":"Radosław","non-dropping-particle":"","parse-names":false,"suffix":""},{"dropping-particle":"","family":"Gonerko","given":"Paweł","non-dropping-particle":"","parse-names":false,"suffix":""},{"dropping-particle":"","family":"Rogala","given":"Barbara","non-dropping-particle":"","parse-names":false,"suffix":""},{"dropping-particle":"","family":"Nowak-Węgrzyn","given":"Anna","non-dropping-particle":"","parse-names":false,"suffix":""},{"dropping-particle":"","family":"Samoliński","given":"Bolesław","non-dropping-particle":"","parse-names":false,"suffix":""}],"container-title":"Annals of Agricultural and Environmental Medicine","id":"ITEM-1","issue":"1","issued":{"date-parts":[["2016"]]},"page":"44-53","title":"Sublingual immunotherapy (SLIT) - Indications, mechanism, and efficacy: Position paper prepared by the section of immunotherapy, polish society of allergy","type":"article-journal","volume":"23"},"uris":["http://www.mendeley.com/documents/?uuid=9ec46454-ce39-4ea6-b7cb-f400816bfb1a"]}],"mendeley":{"formattedCitation":"[131]","plainTextFormattedCitation":"[131]","previouslyFormattedCitation":"[131]"},"properties":{"noteIndex":0},"schema":"https://github.com/citation-style-language/schema/raw/master/csl-citation.json"}</w:instrText>
      </w:r>
      <w:r w:rsidRPr="001B27F8">
        <w:rPr>
          <w:rStyle w:val="fontstyle01"/>
          <w:color w:val="auto"/>
        </w:rPr>
        <w:fldChar w:fldCharType="separate"/>
      </w:r>
      <w:r w:rsidR="00332566" w:rsidRPr="00332566">
        <w:rPr>
          <w:rStyle w:val="fontstyle01"/>
          <w:noProof/>
          <w:color w:val="auto"/>
        </w:rPr>
        <w:t>[131]</w:t>
      </w:r>
      <w:r w:rsidRPr="001B27F8">
        <w:rPr>
          <w:rStyle w:val="fontstyle01"/>
          <w:color w:val="auto"/>
        </w:rPr>
        <w:fldChar w:fldCharType="end"/>
      </w:r>
      <w:r w:rsidRPr="001B27F8">
        <w:rPr>
          <w:rStyle w:val="fontstyle01"/>
          <w:color w:val="auto"/>
        </w:rPr>
        <w:t>.</w:t>
      </w:r>
      <w:r w:rsidR="00EA660C" w:rsidRPr="001B27F8">
        <w:rPr>
          <w:rStyle w:val="fontstyle01"/>
          <w:color w:val="auto"/>
        </w:rPr>
        <w:t xml:space="preserve"> Побочные реакции, связанные с АСИТ, могут быть местными или системными </w:t>
      </w:r>
      <w:r w:rsidR="00EA660C" w:rsidRPr="001B27F8">
        <w:rPr>
          <w:rStyle w:val="fontstyle01"/>
          <w:color w:val="auto"/>
        </w:rPr>
        <w:fldChar w:fldCharType="begin" w:fldLock="1"/>
      </w:r>
      <w:r w:rsidR="00765C06">
        <w:rPr>
          <w:rStyle w:val="fontstyle01"/>
          <w:color w:val="auto"/>
        </w:rPr>
        <w:instrText>ADDIN CSL_CITATION {"citationItems":[{"id":"ITEM-1","itemData":{"author":[{"dropping-particle":"","family":"Курбачева","given":"О.М.","non-dropping-particle":"","parse-names":false,"suffix":""},{"dropping-particle":"","family":"Павлова","given":"К.С.","non-dropping-particle":"","parse-names":false,"suffix":""},{"dropping-particle":"","family":"Галицкая","given":"М.А.","non-dropping-particle":"","parse-names":false,"suffix":""}],"container-title":"Российский Аллергологический Журнал","id":"ITEM-1","issued":{"date-parts":[["2017"]]},"page":"24-33","title":"Аллерген-специфическая иммунотерапия. Аналитический обзор современных международных и отечественных позиционных документов","type":"article-journal","volume":"1"},"uris":["http://www.mendeley.com/documents/?uuid=c7f16a99-b71a-45e9-86e8-060c9f5dfb50"]}],"mendeley":{"formattedCitation":"[59]","plainTextFormattedCitation":"[59]","previouslyFormattedCitation":"[59]"},"properties":{"noteIndex":0},"schema":"https://github.com/citation-style-language/schema/raw/master/csl-citation.json"}</w:instrText>
      </w:r>
      <w:r w:rsidR="00EA660C" w:rsidRPr="001B27F8">
        <w:rPr>
          <w:rStyle w:val="fontstyle01"/>
          <w:color w:val="auto"/>
        </w:rPr>
        <w:fldChar w:fldCharType="separate"/>
      </w:r>
      <w:r w:rsidR="00877069" w:rsidRPr="00877069">
        <w:rPr>
          <w:rStyle w:val="fontstyle01"/>
          <w:noProof/>
          <w:color w:val="auto"/>
        </w:rPr>
        <w:t>[59]</w:t>
      </w:r>
      <w:r w:rsidR="00EA660C" w:rsidRPr="001B27F8">
        <w:rPr>
          <w:rStyle w:val="fontstyle01"/>
          <w:color w:val="auto"/>
        </w:rPr>
        <w:fldChar w:fldCharType="end"/>
      </w:r>
      <w:r w:rsidR="00EA660C" w:rsidRPr="001B27F8">
        <w:rPr>
          <w:rStyle w:val="fontstyle01"/>
          <w:color w:val="auto"/>
        </w:rPr>
        <w:t xml:space="preserve">. При сравнении сублингвальной и подкожной аллерген-специфической иммунотерапии генерализованные системные реакции, чаще встречающиеся при ПКИТ, и местные реакции при СЛИТ </w:t>
      </w:r>
      <w:r w:rsidR="00EA660C" w:rsidRPr="001B27F8">
        <w:rPr>
          <w:rStyle w:val="fontstyle01"/>
          <w:color w:val="auto"/>
        </w:rPr>
        <w:fldChar w:fldCharType="begin" w:fldLock="1"/>
      </w:r>
      <w:r w:rsidR="00A02E0E">
        <w:rPr>
          <w:rStyle w:val="fontstyle01"/>
          <w:color w:val="auto"/>
        </w:rPr>
        <w:instrText>ADDIN CSL_CITATION {"citationItems":[{"id":"ITEM-1","itemData":{"DOI":"10.5604/12321966.1196851","ISSN":"18982263","PMID":"27012173","abstract":"SLIT (sublingual immunotherapy,) induces allergen-specific immune tolerance by sublingual administration of a gradually increasing dose of an allergen. The mechanism of SLIT is comparable to those during SCIT (subcutaneous immunotherapy), with the exception of local oral dendritic cells, pre-programmed to elicit tolerance. In the SLIT dose, to achieve the same efficacy as in SCIT, it should be 50-100 times higher with better safety profile. The highest quality evidence supporting the efficacy of SLIT lasting 1-3 years has been provided by the large scale double-blind, placebo-controlled (DBPC) trials for grass pollen extracts, both in children and adults with allergic rhinitis. Current indications for SLIT are allergic rhinitis (and conjunctivitis) in both children and adults sensitized to pollen allergens (trees, grass, Parietaria), house dust mites (Dermatophagoides pteronyssinus, Dermatophagoides farinae), cat fur, as well as mild to moderate controlled atopic asthma in children sensitized to house dust mites. There are positive findings for both asthma and new sensitization prevention. Severe adverse events, including anaphylaxis, are very rare, and no fatalities have been reported. Local adverse reactions develop in up to 70-80% of patients. Risk factors for SLIT adverse events have not been clearly identified. Risk factors of non-adherence to treatment might be dependent on the patient, disease treatment, physician-patient relationship, and variables in the health care system organization.","author":[{"dropping-particle":"","family":"Jutel","given":"Marek","non-dropping-particle":"","parse-names":false,"suffix":""},{"dropping-particle":"","family":"Bartkowiak-Emeryk","given":"Małgorzata","non-dropping-particle":"","parse-names":false,"suffix":""},{"dropping-particle":"","family":"Bręborowicz","given":"Anna","non-dropping-particle":"","parse-names":false,"suffix":""},{"dropping-particle":"","family":"Cichocka-Jarosz","given":"Ewa","non-dropping-particle":"","parse-names":false,"suffix":""},{"dropping-particle":"","family":"Emeryk","given":"Andrzej","non-dropping-particle":"","parse-names":false,"suffix":""},{"dropping-particle":"","family":"Gawlik","given":"Radosław","non-dropping-particle":"","parse-names":false,"suffix":""},{"dropping-particle":"","family":"Gonerko","given":"Paweł","non-dropping-particle":"","parse-names":false,"suffix":""},{"dropping-particle":"","family":"Rogala","given":"Barbara","non-dropping-particle":"","parse-names":false,"suffix":""},{"dropping-particle":"","family":"Nowak-Węgrzyn","given":"Anna","non-dropping-particle":"","parse-names":false,"suffix":""},{"dropping-particle":"","family":"Samoliński","given":"Bolesław","non-dropping-particle":"","parse-names":false,"suffix":""}],"container-title":"Annals of Agricultural and Environmental Medicine","id":"ITEM-1","issue":"1","issued":{"date-parts":[["2016"]]},"page":"44-53","title":"Sublingual immunotherapy (SLIT) - Indications, mechanism, and efficacy: Position paper prepared by the section of immunotherapy, polish society of allergy","type":"article-journal","volume":"23"},"uris":["http://www.mendeley.com/documents/?uuid=9ec46454-ce39-4ea6-b7cb-f400816bfb1a"]}],"mendeley":{"formattedCitation":"[131]","plainTextFormattedCitation":"[131]","previouslyFormattedCitation":"[131]"},"properties":{"noteIndex":0},"schema":"https://github.com/citation-style-language/schema/raw/master/csl-citation.json"}</w:instrText>
      </w:r>
      <w:r w:rsidR="00EA660C" w:rsidRPr="001B27F8">
        <w:rPr>
          <w:rStyle w:val="fontstyle01"/>
          <w:color w:val="auto"/>
        </w:rPr>
        <w:fldChar w:fldCharType="separate"/>
      </w:r>
      <w:r w:rsidR="00332566" w:rsidRPr="00332566">
        <w:rPr>
          <w:rStyle w:val="fontstyle01"/>
          <w:noProof/>
          <w:color w:val="auto"/>
        </w:rPr>
        <w:t>[131]</w:t>
      </w:r>
      <w:r w:rsidR="00EA660C" w:rsidRPr="001B27F8">
        <w:rPr>
          <w:rStyle w:val="fontstyle01"/>
          <w:color w:val="auto"/>
        </w:rPr>
        <w:fldChar w:fldCharType="end"/>
      </w:r>
      <w:r w:rsidR="00EA660C" w:rsidRPr="001B27F8">
        <w:rPr>
          <w:rStyle w:val="fontstyle01"/>
          <w:color w:val="auto"/>
        </w:rPr>
        <w:t>.</w:t>
      </w:r>
    </w:p>
    <w:p w14:paraId="65E949F0" w14:textId="5C2DF4F2" w:rsidR="00BF46FD" w:rsidRPr="001B27F8" w:rsidRDefault="004745EF" w:rsidP="001B27F8">
      <w:pPr>
        <w:tabs>
          <w:tab w:val="left" w:pos="851"/>
        </w:tabs>
        <w:spacing w:after="0" w:line="240" w:lineRule="auto"/>
        <w:ind w:firstLine="567"/>
        <w:jc w:val="both"/>
        <w:rPr>
          <w:rStyle w:val="fontstyle01"/>
          <w:color w:val="auto"/>
        </w:rPr>
      </w:pPr>
      <w:r w:rsidRPr="001B27F8">
        <w:rPr>
          <w:rStyle w:val="fontstyle01"/>
          <w:color w:val="auto"/>
        </w:rPr>
        <w:t>Местные реакции, возникающие при ПКИТ характеризуются эритемой, зудом, оте</w:t>
      </w:r>
      <w:r w:rsidR="00F87F0A" w:rsidRPr="001B27F8">
        <w:rPr>
          <w:rStyle w:val="fontstyle01"/>
          <w:color w:val="auto"/>
        </w:rPr>
        <w:t>ком в месте введения препарата</w:t>
      </w:r>
      <w:r w:rsidRPr="001B27F8">
        <w:rPr>
          <w:rStyle w:val="fontstyle01"/>
          <w:color w:val="auto"/>
        </w:rPr>
        <w:t xml:space="preserve">, при СЛИТ они проявляются </w:t>
      </w:r>
      <w:r w:rsidR="00D16243" w:rsidRPr="001B27F8">
        <w:rPr>
          <w:rStyle w:val="fontstyle01"/>
          <w:color w:val="auto"/>
        </w:rPr>
        <w:t xml:space="preserve">зудом, жжением в полости рта, отеком слизистой ротовой полости, языка </w:t>
      </w:r>
      <w:r w:rsidR="00F87F0A" w:rsidRPr="001B27F8">
        <w:rPr>
          <w:rStyle w:val="fontstyle01"/>
          <w:color w:val="auto"/>
        </w:rPr>
        <w:fldChar w:fldCharType="begin" w:fldLock="1"/>
      </w:r>
      <w:r w:rsidR="00A02E0E">
        <w:rPr>
          <w:rStyle w:val="fontstyle01"/>
          <w:color w:val="auto"/>
        </w:rPr>
        <w:instrText>ADDIN CSL_CITATION {"citationItems":[{"id":"ITEM-1","itemData":{"DOI":"10.1016/j.jaci.2015.04.047","ISSN":"10976825","PMID":"26162571","abstract":"Allergen immunotherapy (AIT) has been used to treat allergic disease since the early 1900s. Despite numerous clinical trials and meta-analyses proving AIT efficacious, it remains underused and is estimated to be used in less than 10% of patients with allergic rhinitis or asthma worldwide. In addition, there are large differences between regions, which are not only due to socioeconomic status. There is practically no controversy about the use of AIT in the treatment of allergic rhinitis and allergic asthma, but for atopic dermatitis or food allergy, the indications for AIT are not well defined. The elaboration of a wider consensus is of utmost importance because AIT is the only treatment that can change the course of allergic disease by preventing the development of asthma and new allergen sensitizations and by inducing allergen-specific immune tolerance. Safer and more effective AIT strategies are being continuously developed both through elaboration of new allergen preparations and adjuvants and alternate routes of administration. A number of guidelines, consensus documents, or both are available on both the international and national levels. The international community of allergy specialists recognizes the need to develop a comprehensive consensus report to harmonize, disseminate, and implement the best AIT practice. Consequently, the International Collaboration in Asthma, Allergy and Immunology, formed by the European Academy of Allergy and Clinical Immunology; the American Academy of Allergy, Asthma &amp; Immunology; the American College of Allergy, Asthma &amp; Immunology; and the World Allergy Organization, has decided to issue an international consensus on AIT.","author":[{"dropping-particle":"","family":"Jutel","given":"Marek","non-dropping-particle":"","parse-names":false,"suffix":""},{"dropping-particle":"","family":"Agache","given":"Ioana","non-dropping-particle":"","parse-names":false,"suffix":""},{"dropping-particle":"","family":"Bonini","given":"Sergio","non-dropping-particle":"","parse-names":false,"suffix":""},{"dropping-particle":"","family":"Burks","given":"A. Wesley","non-dropping-particle":"","parse-names":false,"suffix":""},{"dropping-particle":"","family":"Calderon","given":"Moises","non-dropping-particle":"","parse-names":false,"suffix":""},{"dropping-particle":"","family":"Canonica","given":"Walter","non-dropping-particle":"","parse-names":false,"suffix":""},{"dropping-particle":"","family":"Cox","given":"Linda","non-dropping-particle":"","parse-names":false,"suffix":""},{"dropping-particle":"","family":"Demoly","given":"Pascal","non-dropping-particle":"","parse-names":false,"suffix":""},{"dropping-particle":"","family":"Frew","given":"Antony J.","non-dropping-particle":"","parse-names":false,"suffix":""},{"dropping-particle":"","family":"O'Hehir","given":"Robin","non-dropping-particle":"","parse-names":false,"suffix":""},{"dropping-particle":"","family":"Kleine-Tebbe","given":"Jörg","non-dropping-particle":"","parse-names":false,"suffix":""},{"dropping-particle":"","family":"Muraro","given":"Antonella","non-dropping-particle":"","parse-names":false,"suffix":""},{"dropping-particle":"","family":"Lack","given":"Gideon","non-dropping-particle":"","parse-names":false,"suffix":""},{"dropping-particle":"","family":"Larenas","given":"Désirée","non-dropping-particle":"","parse-names":false,"suffix":""},{"dropping-particle":"","family":"Levin","given":"Michael","non-dropping-particle":"","parse-names":false,"suffix":""},{"dropping-particle":"","family":"Nelson","given":"Harald","non-dropping-particle":"","parse-names":false,"suffix":""},{"dropping-particle":"","family":"Pawankar","given":"Ruby","non-dropping-particle":"","parse-names":false,"suffix":""},{"dropping-particle":"","family":"Pfaar","given":"Oliver","non-dropping-particle":"","parse-names":false,"suffix":""},{"dropping-particle":"","family":"Ree","given":"Ronald","non-dropping-particle":"Van","parse-names":false,"suffix":""},{"dropping-particle":"","family":"Sampson","given":"Hugh","non-dropping-particle":"","parse-names":false,"suffix":""},{"dropping-particle":"","family":"Santos","given":"Alexandra F.","non-dropping-particle":"","parse-names":false,"suffix":""},{"dropping-particle":"","family":"Toit","given":"George","non-dropping-particle":"Du","parse-names":false,"suffix":""},{"dropping-particle":"","family":"Werfel","given":"Thomas","non-dropping-particle":"","parse-names":false,"suffix":""},{"dropping-particle":"","family":"Gerth Van Wijk","given":"Roy","non-dropping-particle":"","parse-names":false,"suffix":""},{"dropping-particle":"","family":"Zhang","given":"Luo","non-dropping-particle":"","parse-names":false,"suffix":""},{"dropping-particle":"","family":"Akdis","given":"Cezmi A.","non-dropping-particle":"","parse-names":false,"suffix":""}],"container-title":"Journal of Allergy and Clinical Immunology","id":"ITEM-1","issue":"3","issued":{"date-parts":[["2015"]]},"page":"556-568","title":"International consensus on allergy immunotherapy","type":"article-journal","volume":"136"},"uris":["http://www.mendeley.com/documents/?uuid=7c73bffb-3376-4d75-94cd-28db69de43ab"]}],"mendeley":{"formattedCitation":"[132]","plainTextFormattedCitation":"[132]","previouslyFormattedCitation":"[132]"},"properties":{"noteIndex":0},"schema":"https://github.com/citation-style-language/schema/raw/master/csl-citation.json"}</w:instrText>
      </w:r>
      <w:r w:rsidR="00F87F0A" w:rsidRPr="001B27F8">
        <w:rPr>
          <w:rStyle w:val="fontstyle01"/>
          <w:color w:val="auto"/>
        </w:rPr>
        <w:fldChar w:fldCharType="separate"/>
      </w:r>
      <w:r w:rsidR="00332566" w:rsidRPr="00332566">
        <w:rPr>
          <w:rStyle w:val="fontstyle01"/>
          <w:noProof/>
          <w:color w:val="auto"/>
        </w:rPr>
        <w:t>[132]</w:t>
      </w:r>
      <w:r w:rsidR="00F87F0A" w:rsidRPr="001B27F8">
        <w:rPr>
          <w:rStyle w:val="fontstyle01"/>
          <w:color w:val="auto"/>
        </w:rPr>
        <w:fldChar w:fldCharType="end"/>
      </w:r>
      <w:r w:rsidRPr="001B27F8">
        <w:rPr>
          <w:rStyle w:val="fontstyle01"/>
          <w:color w:val="auto"/>
        </w:rPr>
        <w:t>.</w:t>
      </w:r>
      <w:r w:rsidR="00700EA0" w:rsidRPr="001B27F8">
        <w:rPr>
          <w:rStyle w:val="fontstyle01"/>
          <w:color w:val="auto"/>
        </w:rPr>
        <w:t xml:space="preserve"> </w:t>
      </w:r>
      <w:r w:rsidR="009F0A65" w:rsidRPr="001B27F8">
        <w:rPr>
          <w:rStyle w:val="fontstyle01"/>
          <w:color w:val="auto"/>
        </w:rPr>
        <w:t>М</w:t>
      </w:r>
      <w:r w:rsidR="00650F8E" w:rsidRPr="001B27F8">
        <w:rPr>
          <w:rStyle w:val="fontstyle01"/>
          <w:color w:val="auto"/>
        </w:rPr>
        <w:t xml:space="preserve">естные реакции </w:t>
      </w:r>
      <w:r w:rsidR="00817E04" w:rsidRPr="001B27F8">
        <w:rPr>
          <w:rStyle w:val="fontstyle01"/>
          <w:color w:val="auto"/>
        </w:rPr>
        <w:t xml:space="preserve">при ПКИТ </w:t>
      </w:r>
      <w:r w:rsidR="00650F8E" w:rsidRPr="001B27F8">
        <w:rPr>
          <w:rStyle w:val="fontstyle01"/>
          <w:color w:val="auto"/>
        </w:rPr>
        <w:t>проходят самостоятельно в течение суток, однако в некоторых случаях могут сохраняться до трех суток.</w:t>
      </w:r>
      <w:r w:rsidR="00984619" w:rsidRPr="001B27F8">
        <w:rPr>
          <w:rStyle w:val="fontstyle01"/>
          <w:color w:val="auto"/>
        </w:rPr>
        <w:t xml:space="preserve"> В данном случае, при наличии выраженных местных реакций лечащий врач должен изменить схему введения аллергена, а также назначить антигистаминные препараты, применение которых не влияет на эффективность АСИТ </w:t>
      </w:r>
      <w:r w:rsidR="00984619" w:rsidRPr="001B27F8">
        <w:rPr>
          <w:rStyle w:val="fontstyle01"/>
          <w:color w:val="auto"/>
        </w:rPr>
        <w:fldChar w:fldCharType="begin" w:fldLock="1"/>
      </w:r>
      <w:r w:rsidR="00A02E0E">
        <w:rPr>
          <w:rStyle w:val="fontstyle01"/>
          <w:color w:val="auto"/>
        </w:rPr>
        <w:instrText>ADDIN CSL_CITATION {"citationItems":[{"id":"ITEM-1","itemData":{"author":[{"dropping-particle":"","family":"Курбачева","given":"О. М.","non-dropping-particle":"","parse-names":false,"suffix":""}],"container-title":"Российский Аллергологический Журнал","id":"ITEM-1","issued":{"date-parts":[["2016"]]},"page":"55-61","title":"Аллерген-специфическая иммунотерапия","type":"article-journal"},"uris":["http://www.mendeley.com/documents/?uuid=d2d5db48-28b6-4435-b68e-191f66b11be1"]}],"mendeley":{"formattedCitation":"[133]","plainTextFormattedCitation":"[133]","previouslyFormattedCitation":"[133]"},"properties":{"noteIndex":0},"schema":"https://github.com/citation-style-language/schema/raw/master/csl-citation.json"}</w:instrText>
      </w:r>
      <w:r w:rsidR="00984619" w:rsidRPr="001B27F8">
        <w:rPr>
          <w:rStyle w:val="fontstyle01"/>
          <w:color w:val="auto"/>
        </w:rPr>
        <w:fldChar w:fldCharType="separate"/>
      </w:r>
      <w:r w:rsidR="00332566" w:rsidRPr="00332566">
        <w:rPr>
          <w:rStyle w:val="fontstyle01"/>
          <w:noProof/>
          <w:color w:val="auto"/>
        </w:rPr>
        <w:t>[133]</w:t>
      </w:r>
      <w:r w:rsidR="00984619" w:rsidRPr="001B27F8">
        <w:rPr>
          <w:rStyle w:val="fontstyle01"/>
          <w:color w:val="auto"/>
        </w:rPr>
        <w:fldChar w:fldCharType="end"/>
      </w:r>
      <w:r w:rsidR="00984619" w:rsidRPr="001B27F8">
        <w:rPr>
          <w:rStyle w:val="fontstyle01"/>
          <w:color w:val="auto"/>
        </w:rPr>
        <w:t>.</w:t>
      </w:r>
    </w:p>
    <w:p w14:paraId="442E43F2" w14:textId="561378EC" w:rsidR="00A61B88" w:rsidRPr="001B27F8" w:rsidRDefault="00A61B88" w:rsidP="001B27F8">
      <w:pPr>
        <w:tabs>
          <w:tab w:val="left" w:pos="851"/>
        </w:tabs>
        <w:spacing w:after="0" w:line="240" w:lineRule="auto"/>
        <w:ind w:firstLine="567"/>
        <w:jc w:val="both"/>
        <w:rPr>
          <w:rStyle w:val="fontstyle01"/>
          <w:color w:val="auto"/>
        </w:rPr>
      </w:pPr>
      <w:r w:rsidRPr="001B27F8">
        <w:rPr>
          <w:rStyle w:val="fontstyle01"/>
          <w:color w:val="auto"/>
        </w:rPr>
        <w:t>Местные побочные эффекты</w:t>
      </w:r>
      <w:r w:rsidR="00BF46FD" w:rsidRPr="001B27F8">
        <w:rPr>
          <w:rStyle w:val="fontstyle01"/>
          <w:color w:val="auto"/>
        </w:rPr>
        <w:t xml:space="preserve"> СЛИТ</w:t>
      </w:r>
      <w:r w:rsidRPr="001B27F8">
        <w:rPr>
          <w:rStyle w:val="fontstyle01"/>
          <w:color w:val="auto"/>
        </w:rPr>
        <w:t xml:space="preserve"> </w:t>
      </w:r>
      <w:r w:rsidR="005457D9" w:rsidRPr="001B27F8">
        <w:rPr>
          <w:rStyle w:val="fontstyle01"/>
          <w:color w:val="auto"/>
        </w:rPr>
        <w:t xml:space="preserve">характеризуются более </w:t>
      </w:r>
      <w:r w:rsidRPr="001B27F8">
        <w:rPr>
          <w:rStyle w:val="fontstyle01"/>
          <w:color w:val="auto"/>
        </w:rPr>
        <w:t>легкими</w:t>
      </w:r>
      <w:r w:rsidR="005457D9" w:rsidRPr="001B27F8">
        <w:rPr>
          <w:rStyle w:val="fontstyle01"/>
          <w:color w:val="auto"/>
        </w:rPr>
        <w:t xml:space="preserve"> проявлениями,</w:t>
      </w:r>
      <w:r w:rsidRPr="001B27F8">
        <w:rPr>
          <w:rStyle w:val="fontstyle01"/>
          <w:color w:val="auto"/>
        </w:rPr>
        <w:t xml:space="preserve"> разрешаются без лечения, а также не требует полной отмены терапии </w:t>
      </w:r>
      <w:r w:rsidRPr="001B27F8">
        <w:rPr>
          <w:rStyle w:val="fontstyle01"/>
          <w:color w:val="auto"/>
          <w:lang w:val="en-US"/>
        </w:rPr>
        <w:fldChar w:fldCharType="begin" w:fldLock="1"/>
      </w:r>
      <w:r w:rsidR="00765C06">
        <w:rPr>
          <w:rStyle w:val="fontstyle01"/>
          <w:color w:val="auto"/>
          <w:lang w:val="en-US"/>
        </w:rPr>
        <w:instrText>ADDIN</w:instrText>
      </w:r>
      <w:r w:rsidR="00765C06" w:rsidRPr="00015FE3">
        <w:rPr>
          <w:rStyle w:val="fontstyle01"/>
          <w:color w:val="auto"/>
        </w:rPr>
        <w:instrText xml:space="preserve"> </w:instrText>
      </w:r>
      <w:r w:rsidR="00765C06">
        <w:rPr>
          <w:rStyle w:val="fontstyle01"/>
          <w:color w:val="auto"/>
          <w:lang w:val="en-US"/>
        </w:rPr>
        <w:instrText>CSL</w:instrText>
      </w:r>
      <w:r w:rsidR="00765C06" w:rsidRPr="00015FE3">
        <w:rPr>
          <w:rStyle w:val="fontstyle01"/>
          <w:color w:val="auto"/>
        </w:rPr>
        <w:instrText>_</w:instrText>
      </w:r>
      <w:r w:rsidR="00765C06">
        <w:rPr>
          <w:rStyle w:val="fontstyle01"/>
          <w:color w:val="auto"/>
          <w:lang w:val="en-US"/>
        </w:rPr>
        <w:instrText>CITATION</w:instrText>
      </w:r>
      <w:r w:rsidR="00765C06" w:rsidRPr="00015FE3">
        <w:rPr>
          <w:rStyle w:val="fontstyle01"/>
          <w:color w:val="auto"/>
        </w:rPr>
        <w:instrText xml:space="preserve"> {"</w:instrText>
      </w:r>
      <w:r w:rsidR="00765C06">
        <w:rPr>
          <w:rStyle w:val="fontstyle01"/>
          <w:color w:val="auto"/>
          <w:lang w:val="en-US"/>
        </w:rPr>
        <w:instrText>citationItems</w:instrText>
      </w:r>
      <w:r w:rsidR="00765C06" w:rsidRPr="00015FE3">
        <w:rPr>
          <w:rStyle w:val="fontstyle01"/>
          <w:color w:val="auto"/>
        </w:rPr>
        <w:instrText>":[{"</w:instrText>
      </w:r>
      <w:r w:rsidR="00765C06">
        <w:rPr>
          <w:rStyle w:val="fontstyle01"/>
          <w:color w:val="auto"/>
          <w:lang w:val="en-US"/>
        </w:rPr>
        <w:instrText>id</w:instrText>
      </w:r>
      <w:r w:rsidR="00765C06" w:rsidRPr="00015FE3">
        <w:rPr>
          <w:rStyle w:val="fontstyle01"/>
          <w:color w:val="auto"/>
        </w:rPr>
        <w:instrText>":"</w:instrText>
      </w:r>
      <w:r w:rsidR="00765C06">
        <w:rPr>
          <w:rStyle w:val="fontstyle01"/>
          <w:color w:val="auto"/>
          <w:lang w:val="en-US"/>
        </w:rPr>
        <w:instrText>ITEM</w:instrText>
      </w:r>
      <w:r w:rsidR="00765C06" w:rsidRPr="00015FE3">
        <w:rPr>
          <w:rStyle w:val="fontstyle01"/>
          <w:color w:val="auto"/>
        </w:rPr>
        <w:instrText>-1","</w:instrText>
      </w:r>
      <w:r w:rsidR="00765C06">
        <w:rPr>
          <w:rStyle w:val="fontstyle01"/>
          <w:color w:val="auto"/>
          <w:lang w:val="en-US"/>
        </w:rPr>
        <w:instrText>itemData</w:instrText>
      </w:r>
      <w:r w:rsidR="00765C06" w:rsidRPr="00015FE3">
        <w:rPr>
          <w:rStyle w:val="fontstyle01"/>
          <w:color w:val="auto"/>
        </w:rPr>
        <w:instrText>":{"</w:instrText>
      </w:r>
      <w:r w:rsidR="00765C06">
        <w:rPr>
          <w:rStyle w:val="fontstyle01"/>
          <w:color w:val="auto"/>
          <w:lang w:val="en-US"/>
        </w:rPr>
        <w:instrText>DOI</w:instrText>
      </w:r>
      <w:r w:rsidR="00765C06" w:rsidRPr="00015FE3">
        <w:rPr>
          <w:rStyle w:val="fontstyle01"/>
          <w:color w:val="auto"/>
        </w:rPr>
        <w:instrText>":"10.1016/</w:instrText>
      </w:r>
      <w:r w:rsidR="00765C06">
        <w:rPr>
          <w:rStyle w:val="fontstyle01"/>
          <w:color w:val="auto"/>
          <w:lang w:val="en-US"/>
        </w:rPr>
        <w:instrText>j</w:instrText>
      </w:r>
      <w:r w:rsidR="00765C06" w:rsidRPr="00015FE3">
        <w:rPr>
          <w:rStyle w:val="fontstyle01"/>
          <w:color w:val="auto"/>
        </w:rPr>
        <w:instrText>.</w:instrText>
      </w:r>
      <w:r w:rsidR="00765C06">
        <w:rPr>
          <w:rStyle w:val="fontstyle01"/>
          <w:color w:val="auto"/>
          <w:lang w:val="en-US"/>
        </w:rPr>
        <w:instrText>jaci</w:instrText>
      </w:r>
      <w:r w:rsidR="00765C06" w:rsidRPr="00015FE3">
        <w:rPr>
          <w:rStyle w:val="fontstyle01"/>
          <w:color w:val="auto"/>
        </w:rPr>
        <w:instrText>.2015.12.1298","</w:instrText>
      </w:r>
      <w:r w:rsidR="00765C06">
        <w:rPr>
          <w:rStyle w:val="fontstyle01"/>
          <w:color w:val="auto"/>
          <w:lang w:val="en-US"/>
        </w:rPr>
        <w:instrText>ISSN</w:instrText>
      </w:r>
      <w:r w:rsidR="00765C06" w:rsidRPr="00015FE3">
        <w:rPr>
          <w:rStyle w:val="fontstyle01"/>
          <w:color w:val="auto"/>
        </w:rPr>
        <w:instrText>":"10976825","</w:instrText>
      </w:r>
      <w:r w:rsidR="00765C06">
        <w:rPr>
          <w:rStyle w:val="fontstyle01"/>
          <w:color w:val="auto"/>
          <w:lang w:val="en-US"/>
        </w:rPr>
        <w:instrText>PMID</w:instrText>
      </w:r>
      <w:r w:rsidR="00765C06" w:rsidRPr="00015FE3">
        <w:rPr>
          <w:rStyle w:val="fontstyle01"/>
          <w:color w:val="auto"/>
        </w:rPr>
        <w:instrText>":"26853126","</w:instrText>
      </w:r>
      <w:r w:rsidR="00765C06">
        <w:rPr>
          <w:rStyle w:val="fontstyle01"/>
          <w:color w:val="auto"/>
          <w:lang w:val="en-US"/>
        </w:rPr>
        <w:instrText>abstract</w:instrText>
      </w:r>
      <w:r w:rsidR="00765C06" w:rsidRPr="00015FE3">
        <w:rPr>
          <w:rStyle w:val="fontstyle01"/>
          <w:color w:val="auto"/>
        </w:rPr>
        <w:instrText>":"</w:instrText>
      </w:r>
      <w:r w:rsidR="00765C06">
        <w:rPr>
          <w:rStyle w:val="fontstyle01"/>
          <w:color w:val="auto"/>
          <w:lang w:val="en-US"/>
        </w:rPr>
        <w:instrText>Allergen</w:instrText>
      </w:r>
      <w:r w:rsidR="00765C06" w:rsidRPr="00015FE3">
        <w:rPr>
          <w:rStyle w:val="fontstyle01"/>
          <w:color w:val="auto"/>
        </w:rPr>
        <w:instrText xml:space="preserve"> </w:instrText>
      </w:r>
      <w:r w:rsidR="00765C06">
        <w:rPr>
          <w:rStyle w:val="fontstyle01"/>
          <w:color w:val="auto"/>
          <w:lang w:val="en-US"/>
        </w:rPr>
        <w:instrText>immunotherapy</w:instrText>
      </w:r>
      <w:r w:rsidR="00765C06" w:rsidRPr="00015FE3">
        <w:rPr>
          <w:rStyle w:val="fontstyle01"/>
          <w:color w:val="auto"/>
        </w:rPr>
        <w:instrText xml:space="preserve"> </w:instrText>
      </w:r>
      <w:r w:rsidR="00765C06">
        <w:rPr>
          <w:rStyle w:val="fontstyle01"/>
          <w:color w:val="auto"/>
          <w:lang w:val="en-US"/>
        </w:rPr>
        <w:instrText>is</w:instrText>
      </w:r>
      <w:r w:rsidR="00765C06" w:rsidRPr="00015FE3">
        <w:rPr>
          <w:rStyle w:val="fontstyle01"/>
          <w:color w:val="auto"/>
        </w:rPr>
        <w:instrText xml:space="preserve"> </w:instrText>
      </w:r>
      <w:r w:rsidR="00765C06">
        <w:rPr>
          <w:rStyle w:val="fontstyle01"/>
          <w:color w:val="auto"/>
          <w:lang w:val="en-US"/>
        </w:rPr>
        <w:instrText>effective</w:instrText>
      </w:r>
      <w:r w:rsidR="00765C06" w:rsidRPr="00015FE3">
        <w:rPr>
          <w:rStyle w:val="fontstyle01"/>
          <w:color w:val="auto"/>
        </w:rPr>
        <w:instrText xml:space="preserve"> </w:instrText>
      </w:r>
      <w:r w:rsidR="00765C06">
        <w:rPr>
          <w:rStyle w:val="fontstyle01"/>
          <w:color w:val="auto"/>
          <w:lang w:val="en-US"/>
        </w:rPr>
        <w:instrText>in</w:instrText>
      </w:r>
      <w:r w:rsidR="00765C06" w:rsidRPr="00015FE3">
        <w:rPr>
          <w:rStyle w:val="fontstyle01"/>
          <w:color w:val="auto"/>
        </w:rPr>
        <w:instrText xml:space="preserve"> </w:instrText>
      </w:r>
      <w:r w:rsidR="00765C06">
        <w:rPr>
          <w:rStyle w:val="fontstyle01"/>
          <w:color w:val="auto"/>
          <w:lang w:val="en-US"/>
        </w:rPr>
        <w:instrText>patients</w:instrText>
      </w:r>
      <w:r w:rsidR="00765C06" w:rsidRPr="00015FE3">
        <w:rPr>
          <w:rStyle w:val="fontstyle01"/>
          <w:color w:val="auto"/>
        </w:rPr>
        <w:instrText xml:space="preserve"> </w:instrText>
      </w:r>
      <w:r w:rsidR="00765C06">
        <w:rPr>
          <w:rStyle w:val="fontstyle01"/>
          <w:color w:val="auto"/>
          <w:lang w:val="en-US"/>
        </w:rPr>
        <w:instrText>with</w:instrText>
      </w:r>
      <w:r w:rsidR="00765C06" w:rsidRPr="00015FE3">
        <w:rPr>
          <w:rStyle w:val="fontstyle01"/>
          <w:color w:val="auto"/>
        </w:rPr>
        <w:instrText xml:space="preserve"> </w:instrText>
      </w:r>
      <w:r w:rsidR="00765C06">
        <w:rPr>
          <w:rStyle w:val="fontstyle01"/>
          <w:color w:val="auto"/>
          <w:lang w:val="en-US"/>
        </w:rPr>
        <w:instrText>allergic</w:instrText>
      </w:r>
      <w:r w:rsidR="00765C06" w:rsidRPr="00015FE3">
        <w:rPr>
          <w:rStyle w:val="fontstyle01"/>
          <w:color w:val="auto"/>
        </w:rPr>
        <w:instrText xml:space="preserve"> </w:instrText>
      </w:r>
      <w:r w:rsidR="00765C06">
        <w:rPr>
          <w:rStyle w:val="fontstyle01"/>
          <w:color w:val="auto"/>
          <w:lang w:val="en-US"/>
        </w:rPr>
        <w:instrText>rhinitis</w:instrText>
      </w:r>
      <w:r w:rsidR="00765C06" w:rsidRPr="00015FE3">
        <w:rPr>
          <w:rStyle w:val="fontstyle01"/>
          <w:color w:val="auto"/>
        </w:rPr>
        <w:instrText xml:space="preserve"> (</w:instrText>
      </w:r>
      <w:r w:rsidR="00765C06">
        <w:rPr>
          <w:rStyle w:val="fontstyle01"/>
          <w:color w:val="auto"/>
          <w:lang w:val="en-US"/>
        </w:rPr>
        <w:instrText>AR</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unlike</w:instrText>
      </w:r>
      <w:r w:rsidR="00765C06" w:rsidRPr="00015FE3">
        <w:rPr>
          <w:rStyle w:val="fontstyle01"/>
          <w:color w:val="auto"/>
        </w:rPr>
        <w:instrText xml:space="preserve"> </w:instrText>
      </w:r>
      <w:r w:rsidR="00765C06">
        <w:rPr>
          <w:rStyle w:val="fontstyle01"/>
          <w:color w:val="auto"/>
          <w:lang w:val="en-US"/>
        </w:rPr>
        <w:instrText>antiallergic</w:instrText>
      </w:r>
      <w:r w:rsidR="00765C06" w:rsidRPr="00015FE3">
        <w:rPr>
          <w:rStyle w:val="fontstyle01"/>
          <w:color w:val="auto"/>
        </w:rPr>
        <w:instrText xml:space="preserve"> </w:instrText>
      </w:r>
      <w:r w:rsidR="00765C06">
        <w:rPr>
          <w:rStyle w:val="fontstyle01"/>
          <w:color w:val="auto"/>
          <w:lang w:val="en-US"/>
        </w:rPr>
        <w:instrText>drugs</w:instrText>
      </w:r>
      <w:r w:rsidR="00765C06" w:rsidRPr="00015FE3">
        <w:rPr>
          <w:rStyle w:val="fontstyle01"/>
          <w:color w:val="auto"/>
        </w:rPr>
        <w:instrText xml:space="preserve">, </w:instrText>
      </w:r>
      <w:r w:rsidR="00765C06">
        <w:rPr>
          <w:rStyle w:val="fontstyle01"/>
          <w:color w:val="auto"/>
          <w:lang w:val="en-US"/>
        </w:rPr>
        <w:instrText>has</w:instrText>
      </w:r>
      <w:r w:rsidR="00765C06" w:rsidRPr="00015FE3">
        <w:rPr>
          <w:rStyle w:val="fontstyle01"/>
          <w:color w:val="auto"/>
        </w:rPr>
        <w:instrText xml:space="preserve"> </w:instrText>
      </w:r>
      <w:r w:rsidR="00765C06">
        <w:rPr>
          <w:rStyle w:val="fontstyle01"/>
          <w:color w:val="auto"/>
          <w:lang w:val="en-US"/>
        </w:rPr>
        <w:instrText>been</w:instrText>
      </w:r>
      <w:r w:rsidR="00765C06" w:rsidRPr="00015FE3">
        <w:rPr>
          <w:rStyle w:val="fontstyle01"/>
          <w:color w:val="auto"/>
        </w:rPr>
        <w:instrText xml:space="preserve"> </w:instrText>
      </w:r>
      <w:r w:rsidR="00765C06">
        <w:rPr>
          <w:rStyle w:val="fontstyle01"/>
          <w:color w:val="auto"/>
          <w:lang w:val="en-US"/>
        </w:rPr>
        <w:instrText>shown</w:instrText>
      </w:r>
      <w:r w:rsidR="00765C06" w:rsidRPr="00015FE3">
        <w:rPr>
          <w:rStyle w:val="fontstyle01"/>
          <w:color w:val="auto"/>
        </w:rPr>
        <w:instrText xml:space="preserve"> </w:instrText>
      </w:r>
      <w:r w:rsidR="00765C06">
        <w:rPr>
          <w:rStyle w:val="fontstyle01"/>
          <w:color w:val="auto"/>
          <w:lang w:val="en-US"/>
        </w:rPr>
        <w:instrText>to</w:instrText>
      </w:r>
      <w:r w:rsidR="00765C06" w:rsidRPr="00015FE3">
        <w:rPr>
          <w:rStyle w:val="fontstyle01"/>
          <w:color w:val="auto"/>
        </w:rPr>
        <w:instrText xml:space="preserve"> </w:instrText>
      </w:r>
      <w:r w:rsidR="00765C06">
        <w:rPr>
          <w:rStyle w:val="fontstyle01"/>
          <w:color w:val="auto"/>
          <w:lang w:val="en-US"/>
        </w:rPr>
        <w:instrText>modify</w:instrText>
      </w:r>
      <w:r w:rsidR="00765C06" w:rsidRPr="00015FE3">
        <w:rPr>
          <w:rStyle w:val="fontstyle01"/>
          <w:color w:val="auto"/>
        </w:rPr>
        <w:instrText xml:space="preserve"> </w:instrText>
      </w:r>
      <w:r w:rsidR="00765C06">
        <w:rPr>
          <w:rStyle w:val="fontstyle01"/>
          <w:color w:val="auto"/>
          <w:lang w:val="en-US"/>
        </w:rPr>
        <w:instrText>the</w:instrText>
      </w:r>
      <w:r w:rsidR="00765C06" w:rsidRPr="00015FE3">
        <w:rPr>
          <w:rStyle w:val="fontstyle01"/>
          <w:color w:val="auto"/>
        </w:rPr>
        <w:instrText xml:space="preserve"> </w:instrText>
      </w:r>
      <w:r w:rsidR="00765C06">
        <w:rPr>
          <w:rStyle w:val="fontstyle01"/>
          <w:color w:val="auto"/>
          <w:lang w:val="en-US"/>
        </w:rPr>
        <w:instrText>underlying</w:instrText>
      </w:r>
      <w:r w:rsidR="00765C06" w:rsidRPr="00015FE3">
        <w:rPr>
          <w:rStyle w:val="fontstyle01"/>
          <w:color w:val="auto"/>
        </w:rPr>
        <w:instrText xml:space="preserve"> </w:instrText>
      </w:r>
      <w:r w:rsidR="00765C06">
        <w:rPr>
          <w:rStyle w:val="fontstyle01"/>
          <w:color w:val="auto"/>
          <w:lang w:val="en-US"/>
        </w:rPr>
        <w:instrText>cause</w:instrText>
      </w:r>
      <w:r w:rsidR="00765C06" w:rsidRPr="00015FE3">
        <w:rPr>
          <w:rStyle w:val="fontstyle01"/>
          <w:color w:val="auto"/>
        </w:rPr>
        <w:instrText xml:space="preserve"> </w:instrText>
      </w:r>
      <w:r w:rsidR="00765C06">
        <w:rPr>
          <w:rStyle w:val="fontstyle01"/>
          <w:color w:val="auto"/>
          <w:lang w:val="en-US"/>
        </w:rPr>
        <w:instrText>of</w:instrText>
      </w:r>
      <w:r w:rsidR="00765C06" w:rsidRPr="00015FE3">
        <w:rPr>
          <w:rStyle w:val="fontstyle01"/>
          <w:color w:val="auto"/>
        </w:rPr>
        <w:instrText xml:space="preserve"> </w:instrText>
      </w:r>
      <w:r w:rsidR="00765C06">
        <w:rPr>
          <w:rStyle w:val="fontstyle01"/>
          <w:color w:val="auto"/>
          <w:lang w:val="en-US"/>
        </w:rPr>
        <w:instrText>the</w:instrText>
      </w:r>
      <w:r w:rsidR="00765C06" w:rsidRPr="00015FE3">
        <w:rPr>
          <w:rStyle w:val="fontstyle01"/>
          <w:color w:val="auto"/>
        </w:rPr>
        <w:instrText xml:space="preserve"> </w:instrText>
      </w:r>
      <w:r w:rsidR="00765C06">
        <w:rPr>
          <w:rStyle w:val="fontstyle01"/>
          <w:color w:val="auto"/>
          <w:lang w:val="en-US"/>
        </w:rPr>
        <w:instrText>disease</w:instrText>
      </w:r>
      <w:r w:rsidR="00765C06" w:rsidRPr="00015FE3">
        <w:rPr>
          <w:rStyle w:val="fontstyle01"/>
          <w:color w:val="auto"/>
        </w:rPr>
        <w:instrText xml:space="preserve">, </w:instrText>
      </w:r>
      <w:r w:rsidR="00765C06">
        <w:rPr>
          <w:rStyle w:val="fontstyle01"/>
          <w:color w:val="auto"/>
          <w:lang w:val="en-US"/>
        </w:rPr>
        <w:instrText>with</w:instrText>
      </w:r>
      <w:r w:rsidR="00765C06" w:rsidRPr="00015FE3">
        <w:rPr>
          <w:rStyle w:val="fontstyle01"/>
          <w:color w:val="auto"/>
        </w:rPr>
        <w:instrText xml:space="preserve"> </w:instrText>
      </w:r>
      <w:r w:rsidR="00765C06">
        <w:rPr>
          <w:rStyle w:val="fontstyle01"/>
          <w:color w:val="auto"/>
          <w:lang w:val="en-US"/>
        </w:rPr>
        <w:instrText>proved</w:instrText>
      </w:r>
      <w:r w:rsidR="00765C06" w:rsidRPr="00015FE3">
        <w:rPr>
          <w:rStyle w:val="fontstyle01"/>
          <w:color w:val="auto"/>
        </w:rPr>
        <w:instrText xml:space="preserve"> </w:instrText>
      </w:r>
      <w:r w:rsidR="00765C06">
        <w:rPr>
          <w:rStyle w:val="fontstyle01"/>
          <w:color w:val="auto"/>
          <w:lang w:val="en-US"/>
        </w:rPr>
        <w:instrText>long</w:instrText>
      </w:r>
      <w:r w:rsidR="00765C06" w:rsidRPr="00015FE3">
        <w:rPr>
          <w:rStyle w:val="fontstyle01"/>
          <w:color w:val="auto"/>
        </w:rPr>
        <w:instrText>-</w:instrText>
      </w:r>
      <w:r w:rsidR="00765C06">
        <w:rPr>
          <w:rStyle w:val="fontstyle01"/>
          <w:color w:val="auto"/>
          <w:lang w:val="en-US"/>
        </w:rPr>
        <w:instrText>term</w:instrText>
      </w:r>
      <w:r w:rsidR="00765C06" w:rsidRPr="00015FE3">
        <w:rPr>
          <w:rStyle w:val="fontstyle01"/>
          <w:color w:val="auto"/>
        </w:rPr>
        <w:instrText xml:space="preserve"> </w:instrText>
      </w:r>
      <w:r w:rsidR="00765C06">
        <w:rPr>
          <w:rStyle w:val="fontstyle01"/>
          <w:color w:val="auto"/>
          <w:lang w:val="en-US"/>
        </w:rPr>
        <w:instrText>benefits</w:instrText>
      </w:r>
      <w:r w:rsidR="00765C06" w:rsidRPr="00015FE3">
        <w:rPr>
          <w:rStyle w:val="fontstyle01"/>
          <w:color w:val="auto"/>
        </w:rPr>
        <w:instrText xml:space="preserve">. </w:instrText>
      </w:r>
      <w:r w:rsidR="00765C06">
        <w:rPr>
          <w:rStyle w:val="fontstyle01"/>
          <w:color w:val="auto"/>
          <w:lang w:val="en-US"/>
        </w:rPr>
        <w:instrText>Subcutaneous</w:instrText>
      </w:r>
      <w:r w:rsidR="00765C06" w:rsidRPr="00015FE3">
        <w:rPr>
          <w:rStyle w:val="fontstyle01"/>
          <w:color w:val="auto"/>
        </w:rPr>
        <w:instrText xml:space="preserve"> </w:instrText>
      </w:r>
      <w:r w:rsidR="00765C06">
        <w:rPr>
          <w:rStyle w:val="fontstyle01"/>
          <w:color w:val="auto"/>
          <w:lang w:val="en-US"/>
        </w:rPr>
        <w:instrText>immunotherapy</w:instrText>
      </w:r>
      <w:r w:rsidR="00765C06" w:rsidRPr="00015FE3">
        <w:rPr>
          <w:rStyle w:val="fontstyle01"/>
          <w:color w:val="auto"/>
        </w:rPr>
        <w:instrText xml:space="preserve"> (</w:instrText>
      </w:r>
      <w:r w:rsidR="00765C06">
        <w:rPr>
          <w:rStyle w:val="fontstyle01"/>
          <w:color w:val="auto"/>
          <w:lang w:val="en-US"/>
        </w:rPr>
        <w:instrText>SCIT</w:instrText>
      </w:r>
      <w:r w:rsidR="00765C06" w:rsidRPr="00015FE3">
        <w:rPr>
          <w:rStyle w:val="fontstyle01"/>
          <w:color w:val="auto"/>
        </w:rPr>
        <w:instrText xml:space="preserve">) </w:instrText>
      </w:r>
      <w:r w:rsidR="00765C06">
        <w:rPr>
          <w:rStyle w:val="fontstyle01"/>
          <w:color w:val="auto"/>
          <w:lang w:val="en-US"/>
        </w:rPr>
        <w:instrText>has</w:instrText>
      </w:r>
      <w:r w:rsidR="00765C06" w:rsidRPr="00015FE3">
        <w:rPr>
          <w:rStyle w:val="fontstyle01"/>
          <w:color w:val="auto"/>
        </w:rPr>
        <w:instrText xml:space="preserve"> </w:instrText>
      </w:r>
      <w:r w:rsidR="00765C06">
        <w:rPr>
          <w:rStyle w:val="fontstyle01"/>
          <w:color w:val="auto"/>
          <w:lang w:val="en-US"/>
        </w:rPr>
        <w:instrText>been</w:instrText>
      </w:r>
      <w:r w:rsidR="00765C06" w:rsidRPr="00015FE3">
        <w:rPr>
          <w:rStyle w:val="fontstyle01"/>
          <w:color w:val="auto"/>
        </w:rPr>
        <w:instrText xml:space="preserve"> </w:instrText>
      </w:r>
      <w:r w:rsidR="00765C06">
        <w:rPr>
          <w:rStyle w:val="fontstyle01"/>
          <w:color w:val="auto"/>
          <w:lang w:val="en-US"/>
        </w:rPr>
        <w:instrText>the</w:instrText>
      </w:r>
      <w:r w:rsidR="00765C06" w:rsidRPr="00015FE3">
        <w:rPr>
          <w:rStyle w:val="fontstyle01"/>
          <w:color w:val="auto"/>
        </w:rPr>
        <w:instrText xml:space="preserve"> </w:instrText>
      </w:r>
      <w:r w:rsidR="00765C06">
        <w:rPr>
          <w:rStyle w:val="fontstyle01"/>
          <w:color w:val="auto"/>
          <w:lang w:val="en-US"/>
        </w:rPr>
        <w:instrText>gold</w:instrText>
      </w:r>
      <w:r w:rsidR="00765C06" w:rsidRPr="00015FE3">
        <w:rPr>
          <w:rStyle w:val="fontstyle01"/>
          <w:color w:val="auto"/>
        </w:rPr>
        <w:instrText xml:space="preserve"> </w:instrText>
      </w:r>
      <w:r w:rsidR="00765C06">
        <w:rPr>
          <w:rStyle w:val="fontstyle01"/>
          <w:color w:val="auto"/>
          <w:lang w:val="en-US"/>
        </w:rPr>
        <w:instrText>standard</w:instrText>
      </w:r>
      <w:r w:rsidR="00765C06" w:rsidRPr="00015FE3">
        <w:rPr>
          <w:rStyle w:val="fontstyle01"/>
          <w:color w:val="auto"/>
        </w:rPr>
        <w:instrText xml:space="preserve">, </w:instrText>
      </w:r>
      <w:r w:rsidR="00765C06">
        <w:rPr>
          <w:rStyle w:val="fontstyle01"/>
          <w:color w:val="auto"/>
          <w:lang w:val="en-US"/>
        </w:rPr>
        <w:instrText>whereas</w:instrText>
      </w:r>
      <w:r w:rsidR="00765C06" w:rsidRPr="00015FE3">
        <w:rPr>
          <w:rStyle w:val="fontstyle01"/>
          <w:color w:val="auto"/>
        </w:rPr>
        <w:instrText xml:space="preserve"> </w:instrText>
      </w:r>
      <w:r w:rsidR="00765C06">
        <w:rPr>
          <w:rStyle w:val="fontstyle01"/>
          <w:color w:val="auto"/>
          <w:lang w:val="en-US"/>
        </w:rPr>
        <w:instrText>sublingual</w:instrText>
      </w:r>
      <w:r w:rsidR="00765C06" w:rsidRPr="00015FE3">
        <w:rPr>
          <w:rStyle w:val="fontstyle01"/>
          <w:color w:val="auto"/>
        </w:rPr>
        <w:instrText xml:space="preserve"> </w:instrText>
      </w:r>
      <w:r w:rsidR="00765C06">
        <w:rPr>
          <w:rStyle w:val="fontstyle01"/>
          <w:color w:val="auto"/>
          <w:lang w:val="en-US"/>
        </w:rPr>
        <w:instrText>immunotherapy</w:instrText>
      </w:r>
      <w:r w:rsidR="00765C06" w:rsidRPr="00015FE3">
        <w:rPr>
          <w:rStyle w:val="fontstyle01"/>
          <w:color w:val="auto"/>
        </w:rPr>
        <w:instrText xml:space="preserve"> (</w:instrText>
      </w:r>
      <w:r w:rsidR="00765C06">
        <w:rPr>
          <w:rStyle w:val="fontstyle01"/>
          <w:color w:val="auto"/>
          <w:lang w:val="en-US"/>
        </w:rPr>
        <w:instrText>SLIT</w:instrText>
      </w:r>
      <w:r w:rsidR="00765C06" w:rsidRPr="00015FE3">
        <w:rPr>
          <w:rStyle w:val="fontstyle01"/>
          <w:color w:val="auto"/>
        </w:rPr>
        <w:instrText xml:space="preserve">) </w:instrText>
      </w:r>
      <w:r w:rsidR="00765C06">
        <w:rPr>
          <w:rStyle w:val="fontstyle01"/>
          <w:color w:val="auto"/>
          <w:lang w:val="en-US"/>
        </w:rPr>
        <w:instrText>has</w:instrText>
      </w:r>
      <w:r w:rsidR="00765C06" w:rsidRPr="00015FE3">
        <w:rPr>
          <w:rStyle w:val="fontstyle01"/>
          <w:color w:val="auto"/>
        </w:rPr>
        <w:instrText xml:space="preserve"> </w:instrText>
      </w:r>
      <w:r w:rsidR="00765C06">
        <w:rPr>
          <w:rStyle w:val="fontstyle01"/>
          <w:color w:val="auto"/>
          <w:lang w:val="en-US"/>
        </w:rPr>
        <w:instrText>emerged</w:instrText>
      </w:r>
      <w:r w:rsidR="00765C06" w:rsidRPr="00015FE3">
        <w:rPr>
          <w:rStyle w:val="fontstyle01"/>
          <w:color w:val="auto"/>
        </w:rPr>
        <w:instrText xml:space="preserve"> </w:instrText>
      </w:r>
      <w:r w:rsidR="00765C06">
        <w:rPr>
          <w:rStyle w:val="fontstyle01"/>
          <w:color w:val="auto"/>
          <w:lang w:val="en-US"/>
        </w:rPr>
        <w:instrText>as</w:instrText>
      </w:r>
      <w:r w:rsidR="00765C06" w:rsidRPr="00015FE3">
        <w:rPr>
          <w:rStyle w:val="fontstyle01"/>
          <w:color w:val="auto"/>
        </w:rPr>
        <w:instrText xml:space="preserve"> </w:instrText>
      </w:r>
      <w:r w:rsidR="00765C06">
        <w:rPr>
          <w:rStyle w:val="fontstyle01"/>
          <w:color w:val="auto"/>
          <w:lang w:val="en-US"/>
        </w:rPr>
        <w:instrText>an</w:instrText>
      </w:r>
      <w:r w:rsidR="00765C06" w:rsidRPr="00015FE3">
        <w:rPr>
          <w:rStyle w:val="fontstyle01"/>
          <w:color w:val="auto"/>
        </w:rPr>
        <w:instrText xml:space="preserve"> </w:instrText>
      </w:r>
      <w:r w:rsidR="00765C06">
        <w:rPr>
          <w:rStyle w:val="fontstyle01"/>
          <w:color w:val="auto"/>
          <w:lang w:val="en-US"/>
        </w:rPr>
        <w:instrText>effective</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safe</w:instrText>
      </w:r>
      <w:r w:rsidR="00765C06" w:rsidRPr="00015FE3">
        <w:rPr>
          <w:rStyle w:val="fontstyle01"/>
          <w:color w:val="auto"/>
        </w:rPr>
        <w:instrText xml:space="preserve"> </w:instrText>
      </w:r>
      <w:r w:rsidR="00765C06">
        <w:rPr>
          <w:rStyle w:val="fontstyle01"/>
          <w:color w:val="auto"/>
          <w:lang w:val="en-US"/>
        </w:rPr>
        <w:instrText>alternative</w:instrText>
      </w:r>
      <w:r w:rsidR="00765C06" w:rsidRPr="00015FE3">
        <w:rPr>
          <w:rStyle w:val="fontstyle01"/>
          <w:color w:val="auto"/>
        </w:rPr>
        <w:instrText xml:space="preserve">. </w:instrText>
      </w:r>
      <w:r w:rsidR="00765C06">
        <w:rPr>
          <w:rStyle w:val="fontstyle01"/>
          <w:color w:val="auto"/>
          <w:lang w:val="en-US"/>
        </w:rPr>
        <w:instrText>Previous</w:instrText>
      </w:r>
      <w:r w:rsidR="00765C06" w:rsidRPr="00015FE3">
        <w:rPr>
          <w:rStyle w:val="fontstyle01"/>
          <w:color w:val="auto"/>
        </w:rPr>
        <w:instrText xml:space="preserve"> </w:instrText>
      </w:r>
      <w:r w:rsidR="00765C06">
        <w:rPr>
          <w:rStyle w:val="fontstyle01"/>
          <w:color w:val="auto"/>
          <w:lang w:val="en-US"/>
        </w:rPr>
        <w:instrText>Cochrane</w:instrText>
      </w:r>
      <w:r w:rsidR="00765C06" w:rsidRPr="00015FE3">
        <w:rPr>
          <w:rStyle w:val="fontstyle01"/>
          <w:color w:val="auto"/>
        </w:rPr>
        <w:instrText xml:space="preserve"> </w:instrText>
      </w:r>
      <w:r w:rsidR="00765C06">
        <w:rPr>
          <w:rStyle w:val="fontstyle01"/>
          <w:color w:val="auto"/>
          <w:lang w:val="en-US"/>
        </w:rPr>
        <w:instrText>systematic</w:instrText>
      </w:r>
      <w:r w:rsidR="00765C06" w:rsidRPr="00015FE3">
        <w:rPr>
          <w:rStyle w:val="fontstyle01"/>
          <w:color w:val="auto"/>
        </w:rPr>
        <w:instrText xml:space="preserve"> </w:instrText>
      </w:r>
      <w:r w:rsidR="00765C06">
        <w:rPr>
          <w:rStyle w:val="fontstyle01"/>
          <w:color w:val="auto"/>
          <w:lang w:val="en-US"/>
        </w:rPr>
        <w:instrText>reviews</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meta</w:instrText>
      </w:r>
      <w:r w:rsidR="00765C06" w:rsidRPr="00015FE3">
        <w:rPr>
          <w:rStyle w:val="fontstyle01"/>
          <w:color w:val="auto"/>
        </w:rPr>
        <w:instrText>-</w:instrText>
      </w:r>
      <w:r w:rsidR="00765C06">
        <w:rPr>
          <w:rStyle w:val="fontstyle01"/>
          <w:color w:val="auto"/>
          <w:lang w:val="en-US"/>
        </w:rPr>
        <w:instrText>analyses</w:instrText>
      </w:r>
      <w:r w:rsidR="00765C06" w:rsidRPr="00015FE3">
        <w:rPr>
          <w:rStyle w:val="fontstyle01"/>
          <w:color w:val="auto"/>
        </w:rPr>
        <w:instrText xml:space="preserve"> </w:instrText>
      </w:r>
      <w:r w:rsidR="00765C06">
        <w:rPr>
          <w:rStyle w:val="fontstyle01"/>
          <w:color w:val="auto"/>
          <w:lang w:val="en-US"/>
        </w:rPr>
        <w:instrText>have</w:instrText>
      </w:r>
      <w:r w:rsidR="00765C06" w:rsidRPr="00015FE3">
        <w:rPr>
          <w:rStyle w:val="fontstyle01"/>
          <w:color w:val="auto"/>
        </w:rPr>
        <w:instrText xml:space="preserve"> </w:instrText>
      </w:r>
      <w:r w:rsidR="00765C06">
        <w:rPr>
          <w:rStyle w:val="fontstyle01"/>
          <w:color w:val="auto"/>
          <w:lang w:val="en-US"/>
        </w:rPr>
        <w:instrText>confirmed</w:instrText>
      </w:r>
      <w:r w:rsidR="00765C06" w:rsidRPr="00015FE3">
        <w:rPr>
          <w:rStyle w:val="fontstyle01"/>
          <w:color w:val="auto"/>
        </w:rPr>
        <w:instrText xml:space="preserve"> </w:instrText>
      </w:r>
      <w:r w:rsidR="00765C06">
        <w:rPr>
          <w:rStyle w:val="fontstyle01"/>
          <w:color w:val="auto"/>
          <w:lang w:val="en-US"/>
        </w:rPr>
        <w:instrText>that</w:instrText>
      </w:r>
      <w:r w:rsidR="00765C06" w:rsidRPr="00015FE3">
        <w:rPr>
          <w:rStyle w:val="fontstyle01"/>
          <w:color w:val="auto"/>
        </w:rPr>
        <w:instrText xml:space="preserve"> </w:instrText>
      </w:r>
      <w:r w:rsidR="00765C06">
        <w:rPr>
          <w:rStyle w:val="fontstyle01"/>
          <w:color w:val="auto"/>
          <w:lang w:val="en-US"/>
        </w:rPr>
        <w:instrText>both</w:instrText>
      </w:r>
      <w:r w:rsidR="00765C06" w:rsidRPr="00015FE3">
        <w:rPr>
          <w:rStyle w:val="fontstyle01"/>
          <w:color w:val="auto"/>
        </w:rPr>
        <w:instrText xml:space="preserve"> </w:instrText>
      </w:r>
      <w:r w:rsidR="00765C06">
        <w:rPr>
          <w:rStyle w:val="fontstyle01"/>
          <w:color w:val="auto"/>
          <w:lang w:val="en-US"/>
        </w:rPr>
        <w:instrText>SLIT</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SCIT</w:instrText>
      </w:r>
      <w:r w:rsidR="00765C06" w:rsidRPr="00015FE3">
        <w:rPr>
          <w:rStyle w:val="fontstyle01"/>
          <w:color w:val="auto"/>
        </w:rPr>
        <w:instrText xml:space="preserve"> </w:instrText>
      </w:r>
      <w:r w:rsidR="00765C06">
        <w:rPr>
          <w:rStyle w:val="fontstyle01"/>
          <w:color w:val="auto"/>
          <w:lang w:val="en-US"/>
        </w:rPr>
        <w:instrText>are</w:instrText>
      </w:r>
      <w:r w:rsidR="00765C06" w:rsidRPr="00015FE3">
        <w:rPr>
          <w:rStyle w:val="fontstyle01"/>
          <w:color w:val="auto"/>
        </w:rPr>
        <w:instrText xml:space="preserve"> </w:instrText>
      </w:r>
      <w:r w:rsidR="00765C06">
        <w:rPr>
          <w:rStyle w:val="fontstyle01"/>
          <w:color w:val="auto"/>
          <w:lang w:val="en-US"/>
        </w:rPr>
        <w:instrText>effective</w:instrText>
      </w:r>
      <w:r w:rsidR="00765C06" w:rsidRPr="00015FE3">
        <w:rPr>
          <w:rStyle w:val="fontstyle01"/>
          <w:color w:val="auto"/>
        </w:rPr>
        <w:instrText xml:space="preserve"> </w:instrText>
      </w:r>
      <w:r w:rsidR="00765C06">
        <w:rPr>
          <w:rStyle w:val="fontstyle01"/>
          <w:color w:val="auto"/>
          <w:lang w:val="en-US"/>
        </w:rPr>
        <w:instrText>in</w:instrText>
      </w:r>
      <w:r w:rsidR="00765C06" w:rsidRPr="00015FE3">
        <w:rPr>
          <w:rStyle w:val="fontstyle01"/>
          <w:color w:val="auto"/>
        </w:rPr>
        <w:instrText xml:space="preserve"> </w:instrText>
      </w:r>
      <w:r w:rsidR="00765C06">
        <w:rPr>
          <w:rStyle w:val="fontstyle01"/>
          <w:color w:val="auto"/>
          <w:lang w:val="en-US"/>
        </w:rPr>
        <w:instrText>patients</w:instrText>
      </w:r>
      <w:r w:rsidR="00765C06" w:rsidRPr="00015FE3">
        <w:rPr>
          <w:rStyle w:val="fontstyle01"/>
          <w:color w:val="auto"/>
        </w:rPr>
        <w:instrText xml:space="preserve"> </w:instrText>
      </w:r>
      <w:r w:rsidR="00765C06">
        <w:rPr>
          <w:rStyle w:val="fontstyle01"/>
          <w:color w:val="auto"/>
          <w:lang w:val="en-US"/>
        </w:rPr>
        <w:instrText>with</w:instrText>
      </w:r>
      <w:r w:rsidR="00765C06" w:rsidRPr="00015FE3">
        <w:rPr>
          <w:rStyle w:val="fontstyle01"/>
          <w:color w:val="auto"/>
        </w:rPr>
        <w:instrText xml:space="preserve"> </w:instrText>
      </w:r>
      <w:r w:rsidR="00765C06">
        <w:rPr>
          <w:rStyle w:val="fontstyle01"/>
          <w:color w:val="auto"/>
          <w:lang w:val="en-US"/>
        </w:rPr>
        <w:instrText>seasonal</w:instrText>
      </w:r>
      <w:r w:rsidR="00765C06" w:rsidRPr="00015FE3">
        <w:rPr>
          <w:rStyle w:val="fontstyle01"/>
          <w:color w:val="auto"/>
        </w:rPr>
        <w:instrText xml:space="preserve"> </w:instrText>
      </w:r>
      <w:r w:rsidR="00765C06">
        <w:rPr>
          <w:rStyle w:val="fontstyle01"/>
          <w:color w:val="auto"/>
          <w:lang w:val="en-US"/>
        </w:rPr>
        <w:instrText>AR</w:instrText>
      </w:r>
      <w:r w:rsidR="00765C06" w:rsidRPr="00015FE3">
        <w:rPr>
          <w:rStyle w:val="fontstyle01"/>
          <w:color w:val="auto"/>
        </w:rPr>
        <w:instrText xml:space="preserve">, </w:instrText>
      </w:r>
      <w:r w:rsidR="00765C06">
        <w:rPr>
          <w:rStyle w:val="fontstyle01"/>
          <w:color w:val="auto"/>
          <w:lang w:val="en-US"/>
        </w:rPr>
        <w:instrText>whereas</w:instrText>
      </w:r>
      <w:r w:rsidR="00765C06" w:rsidRPr="00015FE3">
        <w:rPr>
          <w:rStyle w:val="fontstyle01"/>
          <w:color w:val="auto"/>
        </w:rPr>
        <w:instrText xml:space="preserve"> </w:instrText>
      </w:r>
      <w:r w:rsidR="00765C06">
        <w:rPr>
          <w:rStyle w:val="fontstyle01"/>
          <w:color w:val="auto"/>
          <w:lang w:val="en-US"/>
        </w:rPr>
        <w:instrText>evidence</w:instrText>
      </w:r>
      <w:r w:rsidR="00765C06" w:rsidRPr="00015FE3">
        <w:rPr>
          <w:rStyle w:val="fontstyle01"/>
          <w:color w:val="auto"/>
        </w:rPr>
        <w:instrText xml:space="preserve"> </w:instrText>
      </w:r>
      <w:r w:rsidR="00765C06">
        <w:rPr>
          <w:rStyle w:val="fontstyle01"/>
          <w:color w:val="auto"/>
          <w:lang w:val="en-US"/>
        </w:rPr>
        <w:instrText>for</w:instrText>
      </w:r>
      <w:r w:rsidR="00765C06" w:rsidRPr="00015FE3">
        <w:rPr>
          <w:rStyle w:val="fontstyle01"/>
          <w:color w:val="auto"/>
        </w:rPr>
        <w:instrText xml:space="preserve"> </w:instrText>
      </w:r>
      <w:r w:rsidR="00765C06">
        <w:rPr>
          <w:rStyle w:val="fontstyle01"/>
          <w:color w:val="auto"/>
          <w:lang w:val="en-US"/>
        </w:rPr>
        <w:instrText>their</w:instrText>
      </w:r>
      <w:r w:rsidR="00765C06" w:rsidRPr="00015FE3">
        <w:rPr>
          <w:rStyle w:val="fontstyle01"/>
          <w:color w:val="auto"/>
        </w:rPr>
        <w:instrText xml:space="preserve"> </w:instrText>
      </w:r>
      <w:r w:rsidR="00765C06">
        <w:rPr>
          <w:rStyle w:val="fontstyle01"/>
          <w:color w:val="auto"/>
          <w:lang w:val="en-US"/>
        </w:rPr>
        <w:instrText>efficacy</w:instrText>
      </w:r>
      <w:r w:rsidR="00765C06" w:rsidRPr="00015FE3">
        <w:rPr>
          <w:rStyle w:val="fontstyle01"/>
          <w:color w:val="auto"/>
        </w:rPr>
        <w:instrText xml:space="preserve"> </w:instrText>
      </w:r>
      <w:r w:rsidR="00765C06">
        <w:rPr>
          <w:rStyle w:val="fontstyle01"/>
          <w:color w:val="auto"/>
          <w:lang w:val="en-US"/>
        </w:rPr>
        <w:instrText>in</w:instrText>
      </w:r>
      <w:r w:rsidR="00765C06" w:rsidRPr="00015FE3">
        <w:rPr>
          <w:rStyle w:val="fontstyle01"/>
          <w:color w:val="auto"/>
        </w:rPr>
        <w:instrText xml:space="preserve"> </w:instrText>
      </w:r>
      <w:r w:rsidR="00765C06">
        <w:rPr>
          <w:rStyle w:val="fontstyle01"/>
          <w:color w:val="auto"/>
          <w:lang w:val="en-US"/>
        </w:rPr>
        <w:instrText>patients</w:instrText>
      </w:r>
      <w:r w:rsidR="00765C06" w:rsidRPr="00015FE3">
        <w:rPr>
          <w:rStyle w:val="fontstyle01"/>
          <w:color w:val="auto"/>
        </w:rPr>
        <w:instrText xml:space="preserve"> </w:instrText>
      </w:r>
      <w:r w:rsidR="00765C06">
        <w:rPr>
          <w:rStyle w:val="fontstyle01"/>
          <w:color w:val="auto"/>
          <w:lang w:val="en-US"/>
        </w:rPr>
        <w:instrText>with</w:instrText>
      </w:r>
      <w:r w:rsidR="00765C06" w:rsidRPr="00015FE3">
        <w:rPr>
          <w:rStyle w:val="fontstyle01"/>
          <w:color w:val="auto"/>
        </w:rPr>
        <w:instrText xml:space="preserve"> </w:instrText>
      </w:r>
      <w:r w:rsidR="00765C06">
        <w:rPr>
          <w:rStyle w:val="fontstyle01"/>
          <w:color w:val="auto"/>
          <w:lang w:val="en-US"/>
        </w:rPr>
        <w:instrText>perennial</w:instrText>
      </w:r>
      <w:r w:rsidR="00765C06" w:rsidRPr="00015FE3">
        <w:rPr>
          <w:rStyle w:val="fontstyle01"/>
          <w:color w:val="auto"/>
        </w:rPr>
        <w:instrText xml:space="preserve"> </w:instrText>
      </w:r>
      <w:r w:rsidR="00765C06">
        <w:rPr>
          <w:rStyle w:val="fontstyle01"/>
          <w:color w:val="auto"/>
          <w:lang w:val="en-US"/>
        </w:rPr>
        <w:instrText>disease</w:instrText>
      </w:r>
      <w:r w:rsidR="00765C06" w:rsidRPr="00015FE3">
        <w:rPr>
          <w:rStyle w:val="fontstyle01"/>
          <w:color w:val="auto"/>
        </w:rPr>
        <w:instrText xml:space="preserve"> </w:instrText>
      </w:r>
      <w:r w:rsidR="00765C06">
        <w:rPr>
          <w:rStyle w:val="fontstyle01"/>
          <w:color w:val="auto"/>
          <w:lang w:val="en-US"/>
        </w:rPr>
        <w:instrText>has</w:instrText>
      </w:r>
      <w:r w:rsidR="00765C06" w:rsidRPr="00015FE3">
        <w:rPr>
          <w:rStyle w:val="fontstyle01"/>
          <w:color w:val="auto"/>
        </w:rPr>
        <w:instrText xml:space="preserve"> </w:instrText>
      </w:r>
      <w:r w:rsidR="00765C06">
        <w:rPr>
          <w:rStyle w:val="fontstyle01"/>
          <w:color w:val="auto"/>
          <w:lang w:val="en-US"/>
        </w:rPr>
        <w:instrText>been</w:instrText>
      </w:r>
      <w:r w:rsidR="00765C06" w:rsidRPr="00015FE3">
        <w:rPr>
          <w:rStyle w:val="fontstyle01"/>
          <w:color w:val="auto"/>
        </w:rPr>
        <w:instrText xml:space="preserve"> </w:instrText>
      </w:r>
      <w:r w:rsidR="00765C06">
        <w:rPr>
          <w:rStyle w:val="fontstyle01"/>
          <w:color w:val="auto"/>
          <w:lang w:val="en-US"/>
        </w:rPr>
        <w:instrText>less</w:instrText>
      </w:r>
      <w:r w:rsidR="00765C06" w:rsidRPr="00015FE3">
        <w:rPr>
          <w:rStyle w:val="fontstyle01"/>
          <w:color w:val="auto"/>
        </w:rPr>
        <w:instrText xml:space="preserve"> </w:instrText>
      </w:r>
      <w:r w:rsidR="00765C06">
        <w:rPr>
          <w:rStyle w:val="fontstyle01"/>
          <w:color w:val="auto"/>
          <w:lang w:val="en-US"/>
        </w:rPr>
        <w:instrText>convincing</w:instrText>
      </w:r>
      <w:r w:rsidR="00765C06" w:rsidRPr="00015FE3">
        <w:rPr>
          <w:rStyle w:val="fontstyle01"/>
          <w:color w:val="auto"/>
        </w:rPr>
        <w:instrText xml:space="preserve">. </w:instrText>
      </w:r>
      <w:r w:rsidR="00765C06">
        <w:rPr>
          <w:rStyle w:val="fontstyle01"/>
          <w:color w:val="auto"/>
          <w:lang w:val="en-US"/>
        </w:rPr>
        <w:instrText>Recent</w:instrText>
      </w:r>
      <w:r w:rsidR="00765C06" w:rsidRPr="00015FE3">
        <w:rPr>
          <w:rStyle w:val="fontstyle01"/>
          <w:color w:val="auto"/>
        </w:rPr>
        <w:instrText xml:space="preserve"> </w:instrText>
      </w:r>
      <w:r w:rsidR="00765C06">
        <w:rPr>
          <w:rStyle w:val="fontstyle01"/>
          <w:color w:val="auto"/>
          <w:lang w:val="en-US"/>
        </w:rPr>
        <w:instrText>large</w:instrText>
      </w:r>
      <w:r w:rsidR="00765C06" w:rsidRPr="00015FE3">
        <w:rPr>
          <w:rStyle w:val="fontstyle01"/>
          <w:color w:val="auto"/>
        </w:rPr>
        <w:instrText xml:space="preserve">, </w:instrText>
      </w:r>
      <w:r w:rsidR="00765C06">
        <w:rPr>
          <w:rStyle w:val="fontstyle01"/>
          <w:color w:val="auto"/>
          <w:lang w:val="en-US"/>
        </w:rPr>
        <w:instrText>adequately</w:instrText>
      </w:r>
      <w:r w:rsidR="00765C06" w:rsidRPr="00015FE3">
        <w:rPr>
          <w:rStyle w:val="fontstyle01"/>
          <w:color w:val="auto"/>
        </w:rPr>
        <w:instrText xml:space="preserve"> </w:instrText>
      </w:r>
      <w:r w:rsidR="00765C06">
        <w:rPr>
          <w:rStyle w:val="fontstyle01"/>
          <w:color w:val="auto"/>
          <w:lang w:val="en-US"/>
        </w:rPr>
        <w:instrText>powered</w:instrText>
      </w:r>
      <w:r w:rsidR="00765C06" w:rsidRPr="00015FE3">
        <w:rPr>
          <w:rStyle w:val="fontstyle01"/>
          <w:color w:val="auto"/>
        </w:rPr>
        <w:instrText xml:space="preserve"> </w:instrText>
      </w:r>
      <w:r w:rsidR="00765C06">
        <w:rPr>
          <w:rStyle w:val="fontstyle01"/>
          <w:color w:val="auto"/>
          <w:lang w:val="en-US"/>
        </w:rPr>
        <w:instrText>trials</w:instrText>
      </w:r>
      <w:r w:rsidR="00765C06" w:rsidRPr="00015FE3">
        <w:rPr>
          <w:rStyle w:val="fontstyle01"/>
          <w:color w:val="auto"/>
        </w:rPr>
        <w:instrText xml:space="preserve"> </w:instrText>
      </w:r>
      <w:r w:rsidR="00765C06">
        <w:rPr>
          <w:rStyle w:val="fontstyle01"/>
          <w:color w:val="auto"/>
          <w:lang w:val="en-US"/>
        </w:rPr>
        <w:instrText>have</w:instrText>
      </w:r>
      <w:r w:rsidR="00765C06" w:rsidRPr="00015FE3">
        <w:rPr>
          <w:rStyle w:val="fontstyle01"/>
          <w:color w:val="auto"/>
        </w:rPr>
        <w:instrText xml:space="preserve"> </w:instrText>
      </w:r>
      <w:r w:rsidR="00765C06">
        <w:rPr>
          <w:rStyle w:val="fontstyle01"/>
          <w:color w:val="auto"/>
          <w:lang w:val="en-US"/>
        </w:rPr>
        <w:instrText>demonstrated</w:instrText>
      </w:r>
      <w:r w:rsidR="00765C06" w:rsidRPr="00015FE3">
        <w:rPr>
          <w:rStyle w:val="fontstyle01"/>
          <w:color w:val="auto"/>
        </w:rPr>
        <w:instrText xml:space="preserve"> </w:instrText>
      </w:r>
      <w:r w:rsidR="00765C06">
        <w:rPr>
          <w:rStyle w:val="fontstyle01"/>
          <w:color w:val="auto"/>
          <w:lang w:val="en-US"/>
        </w:rPr>
        <w:instrText>reductions</w:instrText>
      </w:r>
      <w:r w:rsidR="00765C06" w:rsidRPr="00015FE3">
        <w:rPr>
          <w:rStyle w:val="fontstyle01"/>
          <w:color w:val="auto"/>
        </w:rPr>
        <w:instrText xml:space="preserve"> </w:instrText>
      </w:r>
      <w:r w:rsidR="00765C06">
        <w:rPr>
          <w:rStyle w:val="fontstyle01"/>
          <w:color w:val="auto"/>
          <w:lang w:val="en-US"/>
        </w:rPr>
        <w:instrText>in</w:instrText>
      </w:r>
      <w:r w:rsidR="00765C06" w:rsidRPr="00015FE3">
        <w:rPr>
          <w:rStyle w:val="fontstyle01"/>
          <w:color w:val="auto"/>
        </w:rPr>
        <w:instrText xml:space="preserve"> </w:instrText>
      </w:r>
      <w:r w:rsidR="00765C06">
        <w:rPr>
          <w:rStyle w:val="fontstyle01"/>
          <w:color w:val="auto"/>
          <w:lang w:val="en-US"/>
        </w:rPr>
        <w:instrText>both</w:instrText>
      </w:r>
      <w:r w:rsidR="00765C06" w:rsidRPr="00015FE3">
        <w:rPr>
          <w:rStyle w:val="fontstyle01"/>
          <w:color w:val="auto"/>
        </w:rPr>
        <w:instrText xml:space="preserve"> </w:instrText>
      </w:r>
      <w:r w:rsidR="00765C06">
        <w:rPr>
          <w:rStyle w:val="fontstyle01"/>
          <w:color w:val="auto"/>
          <w:lang w:val="en-US"/>
        </w:rPr>
        <w:instrText>symptoms</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use</w:instrText>
      </w:r>
      <w:r w:rsidR="00765C06" w:rsidRPr="00015FE3">
        <w:rPr>
          <w:rStyle w:val="fontstyle01"/>
          <w:color w:val="auto"/>
        </w:rPr>
        <w:instrText xml:space="preserve"> </w:instrText>
      </w:r>
      <w:r w:rsidR="00765C06">
        <w:rPr>
          <w:rStyle w:val="fontstyle01"/>
          <w:color w:val="auto"/>
          <w:lang w:val="en-US"/>
        </w:rPr>
        <w:instrText>of</w:instrText>
      </w:r>
      <w:r w:rsidR="00765C06" w:rsidRPr="00015FE3">
        <w:rPr>
          <w:rStyle w:val="fontstyle01"/>
          <w:color w:val="auto"/>
        </w:rPr>
        <w:instrText xml:space="preserve"> </w:instrText>
      </w:r>
      <w:r w:rsidR="00765C06">
        <w:rPr>
          <w:rStyle w:val="fontstyle01"/>
          <w:color w:val="auto"/>
          <w:lang w:val="en-US"/>
        </w:rPr>
        <w:instrText>rescue</w:instrText>
      </w:r>
      <w:r w:rsidR="00765C06" w:rsidRPr="00015FE3">
        <w:rPr>
          <w:rStyle w:val="fontstyle01"/>
          <w:color w:val="auto"/>
        </w:rPr>
        <w:instrText xml:space="preserve"> </w:instrText>
      </w:r>
      <w:r w:rsidR="00765C06">
        <w:rPr>
          <w:rStyle w:val="fontstyle01"/>
          <w:color w:val="auto"/>
          <w:lang w:val="en-US"/>
        </w:rPr>
        <w:instrText>medication</w:instrText>
      </w:r>
      <w:r w:rsidR="00765C06" w:rsidRPr="00015FE3">
        <w:rPr>
          <w:rStyle w:val="fontstyle01"/>
          <w:color w:val="auto"/>
        </w:rPr>
        <w:instrText xml:space="preserve"> </w:instrText>
      </w:r>
      <w:r w:rsidR="00765C06">
        <w:rPr>
          <w:rStyle w:val="fontstyle01"/>
          <w:color w:val="auto"/>
          <w:lang w:val="en-US"/>
        </w:rPr>
        <w:instrText>in</w:instrText>
      </w:r>
      <w:r w:rsidR="00765C06" w:rsidRPr="00015FE3">
        <w:rPr>
          <w:rStyle w:val="fontstyle01"/>
          <w:color w:val="auto"/>
        </w:rPr>
        <w:instrText xml:space="preserve"> </w:instrText>
      </w:r>
      <w:r w:rsidR="00765C06">
        <w:rPr>
          <w:rStyle w:val="fontstyle01"/>
          <w:color w:val="auto"/>
          <w:lang w:val="en-US"/>
        </w:rPr>
        <w:instrText>patients</w:instrText>
      </w:r>
      <w:r w:rsidR="00765C06" w:rsidRPr="00015FE3">
        <w:rPr>
          <w:rStyle w:val="fontstyle01"/>
          <w:color w:val="auto"/>
        </w:rPr>
        <w:instrText xml:space="preserve"> </w:instrText>
      </w:r>
      <w:r w:rsidR="00765C06">
        <w:rPr>
          <w:rStyle w:val="fontstyle01"/>
          <w:color w:val="auto"/>
          <w:lang w:val="en-US"/>
        </w:rPr>
        <w:instrText>with</w:instrText>
      </w:r>
      <w:r w:rsidR="00765C06" w:rsidRPr="00015FE3">
        <w:rPr>
          <w:rStyle w:val="fontstyle01"/>
          <w:color w:val="auto"/>
        </w:rPr>
        <w:instrText xml:space="preserve"> </w:instrText>
      </w:r>
      <w:r w:rsidR="00765C06">
        <w:rPr>
          <w:rStyle w:val="fontstyle01"/>
          <w:color w:val="auto"/>
          <w:lang w:val="en-US"/>
        </w:rPr>
        <w:instrText>seasonal</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those</w:instrText>
      </w:r>
      <w:r w:rsidR="00765C06" w:rsidRPr="00015FE3">
        <w:rPr>
          <w:rStyle w:val="fontstyle01"/>
          <w:color w:val="auto"/>
        </w:rPr>
        <w:instrText xml:space="preserve"> </w:instrText>
      </w:r>
      <w:r w:rsidR="00765C06">
        <w:rPr>
          <w:rStyle w:val="fontstyle01"/>
          <w:color w:val="auto"/>
          <w:lang w:val="en-US"/>
        </w:rPr>
        <w:instrText>with</w:instrText>
      </w:r>
      <w:r w:rsidR="00765C06" w:rsidRPr="00015FE3">
        <w:rPr>
          <w:rStyle w:val="fontstyle01"/>
          <w:color w:val="auto"/>
        </w:rPr>
        <w:instrText xml:space="preserve"> </w:instrText>
      </w:r>
      <w:r w:rsidR="00765C06">
        <w:rPr>
          <w:rStyle w:val="fontstyle01"/>
          <w:color w:val="auto"/>
          <w:lang w:val="en-US"/>
        </w:rPr>
        <w:instrText>perennial</w:instrText>
      </w:r>
      <w:r w:rsidR="00765C06" w:rsidRPr="00015FE3">
        <w:rPr>
          <w:rStyle w:val="fontstyle01"/>
          <w:color w:val="auto"/>
        </w:rPr>
        <w:instrText xml:space="preserve"> </w:instrText>
      </w:r>
      <w:r w:rsidR="00765C06">
        <w:rPr>
          <w:rStyle w:val="fontstyle01"/>
          <w:color w:val="auto"/>
          <w:lang w:val="en-US"/>
        </w:rPr>
        <w:instrText>AR</w:instrText>
      </w:r>
      <w:r w:rsidR="00765C06" w:rsidRPr="00015FE3">
        <w:rPr>
          <w:rStyle w:val="fontstyle01"/>
          <w:color w:val="auto"/>
        </w:rPr>
        <w:instrText xml:space="preserve">. </w:instrText>
      </w:r>
      <w:r w:rsidR="00765C06">
        <w:rPr>
          <w:rStyle w:val="fontstyle01"/>
          <w:color w:val="auto"/>
          <w:lang w:val="en-US"/>
        </w:rPr>
        <w:instrText>Here</w:instrText>
      </w:r>
      <w:r w:rsidR="00765C06" w:rsidRPr="00015FE3">
        <w:rPr>
          <w:rStyle w:val="fontstyle01"/>
          <w:color w:val="auto"/>
        </w:rPr>
        <w:instrText xml:space="preserve"> </w:instrText>
      </w:r>
      <w:r w:rsidR="00765C06">
        <w:rPr>
          <w:rStyle w:val="fontstyle01"/>
          <w:color w:val="auto"/>
          <w:lang w:val="en-US"/>
        </w:rPr>
        <w:instrText>we</w:instrText>
      </w:r>
      <w:r w:rsidR="00765C06" w:rsidRPr="00015FE3">
        <w:rPr>
          <w:rStyle w:val="fontstyle01"/>
          <w:color w:val="auto"/>
        </w:rPr>
        <w:instrText xml:space="preserve"> </w:instrText>
      </w:r>
      <w:r w:rsidR="00765C06">
        <w:rPr>
          <w:rStyle w:val="fontstyle01"/>
          <w:color w:val="auto"/>
          <w:lang w:val="en-US"/>
        </w:rPr>
        <w:instrText>appraise</w:instrText>
      </w:r>
      <w:r w:rsidR="00765C06" w:rsidRPr="00015FE3">
        <w:rPr>
          <w:rStyle w:val="fontstyle01"/>
          <w:color w:val="auto"/>
        </w:rPr>
        <w:instrText xml:space="preserve"> </w:instrText>
      </w:r>
      <w:r w:rsidR="00765C06">
        <w:rPr>
          <w:rStyle w:val="fontstyle01"/>
          <w:color w:val="auto"/>
          <w:lang w:val="en-US"/>
        </w:rPr>
        <w:instrText>evidence</w:instrText>
      </w:r>
      <w:r w:rsidR="00765C06" w:rsidRPr="00015FE3">
        <w:rPr>
          <w:rStyle w:val="fontstyle01"/>
          <w:color w:val="auto"/>
        </w:rPr>
        <w:instrText xml:space="preserve"> </w:instrText>
      </w:r>
      <w:r w:rsidR="00765C06">
        <w:rPr>
          <w:rStyle w:val="fontstyle01"/>
          <w:color w:val="auto"/>
          <w:lang w:val="en-US"/>
        </w:rPr>
        <w:instrText>for</w:instrText>
      </w:r>
      <w:r w:rsidR="00765C06" w:rsidRPr="00015FE3">
        <w:rPr>
          <w:rStyle w:val="fontstyle01"/>
          <w:color w:val="auto"/>
        </w:rPr>
        <w:instrText xml:space="preserve"> </w:instrText>
      </w:r>
      <w:r w:rsidR="00765C06">
        <w:rPr>
          <w:rStyle w:val="fontstyle01"/>
          <w:color w:val="auto"/>
          <w:lang w:val="en-US"/>
        </w:rPr>
        <w:instrText>SCIT</w:instrText>
      </w:r>
      <w:r w:rsidR="00765C06" w:rsidRPr="00015FE3">
        <w:rPr>
          <w:rStyle w:val="fontstyle01"/>
          <w:color w:val="auto"/>
        </w:rPr>
        <w:instrText xml:space="preserve"> </w:instrText>
      </w:r>
      <w:r w:rsidR="00765C06">
        <w:rPr>
          <w:rStyle w:val="fontstyle01"/>
          <w:color w:val="auto"/>
          <w:lang w:val="en-US"/>
        </w:rPr>
        <w:instrText>versus</w:instrText>
      </w:r>
      <w:r w:rsidR="00765C06" w:rsidRPr="00015FE3">
        <w:rPr>
          <w:rStyle w:val="fontstyle01"/>
          <w:color w:val="auto"/>
        </w:rPr>
        <w:instrText xml:space="preserve"> </w:instrText>
      </w:r>
      <w:r w:rsidR="00765C06">
        <w:rPr>
          <w:rStyle w:val="fontstyle01"/>
          <w:color w:val="auto"/>
          <w:lang w:val="en-US"/>
        </w:rPr>
        <w:instrText>SLIT</w:instrText>
      </w:r>
      <w:r w:rsidR="00765C06" w:rsidRPr="00015FE3">
        <w:rPr>
          <w:rStyle w:val="fontstyle01"/>
          <w:color w:val="auto"/>
        </w:rPr>
        <w:instrText xml:space="preserve"> </w:instrText>
      </w:r>
      <w:r w:rsidR="00765C06">
        <w:rPr>
          <w:rStyle w:val="fontstyle01"/>
          <w:color w:val="auto"/>
          <w:lang w:val="en-US"/>
        </w:rPr>
        <w:instrText>based</w:instrText>
      </w:r>
      <w:r w:rsidR="00765C06" w:rsidRPr="00015FE3">
        <w:rPr>
          <w:rStyle w:val="fontstyle01"/>
          <w:color w:val="auto"/>
        </w:rPr>
        <w:instrText xml:space="preserve"> </w:instrText>
      </w:r>
      <w:r w:rsidR="00765C06">
        <w:rPr>
          <w:rStyle w:val="fontstyle01"/>
          <w:color w:val="auto"/>
          <w:lang w:val="en-US"/>
        </w:rPr>
        <w:instrText>on</w:instrText>
      </w:r>
      <w:r w:rsidR="00765C06" w:rsidRPr="00015FE3">
        <w:rPr>
          <w:rStyle w:val="fontstyle01"/>
          <w:color w:val="auto"/>
        </w:rPr>
        <w:instrText xml:space="preserve"> </w:instrText>
      </w:r>
      <w:r w:rsidR="00765C06">
        <w:rPr>
          <w:rStyle w:val="fontstyle01"/>
          <w:color w:val="auto"/>
          <w:lang w:val="en-US"/>
        </w:rPr>
        <w:instrText>indirect</w:instrText>
      </w:r>
      <w:r w:rsidR="00765C06" w:rsidRPr="00015FE3">
        <w:rPr>
          <w:rStyle w:val="fontstyle01"/>
          <w:color w:val="auto"/>
        </w:rPr>
        <w:instrText xml:space="preserve"> </w:instrText>
      </w:r>
      <w:r w:rsidR="00765C06">
        <w:rPr>
          <w:rStyle w:val="fontstyle01"/>
          <w:color w:val="auto"/>
          <w:lang w:val="en-US"/>
        </w:rPr>
        <w:instrText>evidence</w:instrText>
      </w:r>
      <w:r w:rsidR="00765C06" w:rsidRPr="00015FE3">
        <w:rPr>
          <w:rStyle w:val="fontstyle01"/>
          <w:color w:val="auto"/>
        </w:rPr>
        <w:instrText xml:space="preserve"> </w:instrText>
      </w:r>
      <w:r w:rsidR="00765C06">
        <w:rPr>
          <w:rStyle w:val="fontstyle01"/>
          <w:color w:val="auto"/>
          <w:lang w:val="en-US"/>
        </w:rPr>
        <w:instrText>from</w:instrText>
      </w:r>
      <w:r w:rsidR="00765C06" w:rsidRPr="00015FE3">
        <w:rPr>
          <w:rStyle w:val="fontstyle01"/>
          <w:color w:val="auto"/>
        </w:rPr>
        <w:instrText xml:space="preserve"> </w:instrText>
      </w:r>
      <w:r w:rsidR="00765C06">
        <w:rPr>
          <w:rStyle w:val="fontstyle01"/>
          <w:color w:val="auto"/>
          <w:lang w:val="en-US"/>
        </w:rPr>
        <w:instrText>Cochrane</w:instrText>
      </w:r>
      <w:r w:rsidR="00765C06" w:rsidRPr="00015FE3">
        <w:rPr>
          <w:rStyle w:val="fontstyle01"/>
          <w:color w:val="auto"/>
        </w:rPr>
        <w:instrText xml:space="preserve"> </w:instrText>
      </w:r>
      <w:r w:rsidR="00765C06">
        <w:rPr>
          <w:rStyle w:val="fontstyle01"/>
          <w:color w:val="auto"/>
          <w:lang w:val="en-US"/>
        </w:rPr>
        <w:instrText>reviews</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recent</w:instrText>
      </w:r>
      <w:r w:rsidR="00765C06" w:rsidRPr="00015FE3">
        <w:rPr>
          <w:rStyle w:val="fontstyle01"/>
          <w:color w:val="auto"/>
        </w:rPr>
        <w:instrText xml:space="preserve"> </w:instrText>
      </w:r>
      <w:r w:rsidR="00765C06">
        <w:rPr>
          <w:rStyle w:val="fontstyle01"/>
          <w:color w:val="auto"/>
          <w:lang w:val="en-US"/>
        </w:rPr>
        <w:instrText>well</w:instrText>
      </w:r>
      <w:r w:rsidR="00765C06" w:rsidRPr="00015FE3">
        <w:rPr>
          <w:rStyle w:val="fontstyle01"/>
          <w:color w:val="auto"/>
        </w:rPr>
        <w:instrText>-</w:instrText>
      </w:r>
      <w:r w:rsidR="00765C06">
        <w:rPr>
          <w:rStyle w:val="fontstyle01"/>
          <w:color w:val="auto"/>
          <w:lang w:val="en-US"/>
        </w:rPr>
        <w:instrText>powered</w:instrText>
      </w:r>
      <w:r w:rsidR="00765C06" w:rsidRPr="00015FE3">
        <w:rPr>
          <w:rStyle w:val="fontstyle01"/>
          <w:color w:val="auto"/>
        </w:rPr>
        <w:instrText xml:space="preserve"> </w:instrText>
      </w:r>
      <w:r w:rsidR="00765C06">
        <w:rPr>
          <w:rStyle w:val="fontstyle01"/>
          <w:color w:val="auto"/>
          <w:lang w:val="en-US"/>
        </w:rPr>
        <w:instrText>double</w:instrText>
      </w:r>
      <w:r w:rsidR="00765C06" w:rsidRPr="00015FE3">
        <w:rPr>
          <w:rStyle w:val="fontstyle01"/>
          <w:color w:val="auto"/>
        </w:rPr>
        <w:instrText>-</w:instrText>
      </w:r>
      <w:r w:rsidR="00765C06">
        <w:rPr>
          <w:rStyle w:val="fontstyle01"/>
          <w:color w:val="auto"/>
          <w:lang w:val="en-US"/>
        </w:rPr>
        <w:instrText>blind</w:instrText>
      </w:r>
      <w:r w:rsidR="00765C06" w:rsidRPr="00015FE3">
        <w:rPr>
          <w:rStyle w:val="fontstyle01"/>
          <w:color w:val="auto"/>
        </w:rPr>
        <w:instrText xml:space="preserve">, </w:instrText>
      </w:r>
      <w:r w:rsidR="00765C06">
        <w:rPr>
          <w:rStyle w:val="fontstyle01"/>
          <w:color w:val="auto"/>
          <w:lang w:val="en-US"/>
        </w:rPr>
        <w:instrText>randomized</w:instrText>
      </w:r>
      <w:r w:rsidR="00765C06" w:rsidRPr="00015FE3">
        <w:rPr>
          <w:rStyle w:val="fontstyle01"/>
          <w:color w:val="auto"/>
        </w:rPr>
        <w:instrText xml:space="preserve"> </w:instrText>
      </w:r>
      <w:r w:rsidR="00765C06">
        <w:rPr>
          <w:rStyle w:val="fontstyle01"/>
          <w:color w:val="auto"/>
          <w:lang w:val="en-US"/>
        </w:rPr>
        <w:instrText>controlled</w:instrText>
      </w:r>
      <w:r w:rsidR="00765C06" w:rsidRPr="00015FE3">
        <w:rPr>
          <w:rStyle w:val="fontstyle01"/>
          <w:color w:val="auto"/>
        </w:rPr>
        <w:instrText xml:space="preserve"> </w:instrText>
      </w:r>
      <w:r w:rsidR="00765C06">
        <w:rPr>
          <w:rStyle w:val="fontstyle01"/>
          <w:color w:val="auto"/>
          <w:lang w:val="en-US"/>
        </w:rPr>
        <w:instrText>trials</w:instrText>
      </w:r>
      <w:r w:rsidR="00765C06" w:rsidRPr="00015FE3">
        <w:rPr>
          <w:rStyle w:val="fontstyle01"/>
          <w:color w:val="auto"/>
        </w:rPr>
        <w:instrText xml:space="preserve"> </w:instrText>
      </w:r>
      <w:r w:rsidR="00765C06">
        <w:rPr>
          <w:rStyle w:val="fontstyle01"/>
          <w:color w:val="auto"/>
          <w:lang w:val="en-US"/>
        </w:rPr>
        <w:instrText>versus</w:instrText>
      </w:r>
      <w:r w:rsidR="00765C06" w:rsidRPr="00015FE3">
        <w:rPr>
          <w:rStyle w:val="fontstyle01"/>
          <w:color w:val="auto"/>
        </w:rPr>
        <w:instrText xml:space="preserve"> </w:instrText>
      </w:r>
      <w:r w:rsidR="00765C06">
        <w:rPr>
          <w:rStyle w:val="fontstyle01"/>
          <w:color w:val="auto"/>
          <w:lang w:val="en-US"/>
        </w:rPr>
        <w:instrText>placebo</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the</w:instrText>
      </w:r>
      <w:r w:rsidR="00765C06" w:rsidRPr="00015FE3">
        <w:rPr>
          <w:rStyle w:val="fontstyle01"/>
          <w:color w:val="auto"/>
        </w:rPr>
        <w:instrText xml:space="preserve"> </w:instrText>
      </w:r>
      <w:r w:rsidR="00765C06">
        <w:rPr>
          <w:rStyle w:val="fontstyle01"/>
          <w:color w:val="auto"/>
          <w:lang w:val="en-US"/>
        </w:rPr>
        <w:instrText>limited</w:instrText>
      </w:r>
      <w:r w:rsidR="00765C06" w:rsidRPr="00015FE3">
        <w:rPr>
          <w:rStyle w:val="fontstyle01"/>
          <w:color w:val="auto"/>
        </w:rPr>
        <w:instrText xml:space="preserve"> </w:instrText>
      </w:r>
      <w:r w:rsidR="00765C06">
        <w:rPr>
          <w:rStyle w:val="fontstyle01"/>
          <w:color w:val="auto"/>
          <w:lang w:val="en-US"/>
        </w:rPr>
        <w:instrText>direct</w:instrText>
      </w:r>
      <w:r w:rsidR="00765C06" w:rsidRPr="00015FE3">
        <w:rPr>
          <w:rStyle w:val="fontstyle01"/>
          <w:color w:val="auto"/>
        </w:rPr>
        <w:instrText xml:space="preserve"> </w:instrText>
      </w:r>
      <w:r w:rsidR="00765C06">
        <w:rPr>
          <w:rStyle w:val="fontstyle01"/>
          <w:color w:val="auto"/>
          <w:lang w:val="en-US"/>
        </w:rPr>
        <w:instrText>evidence</w:instrText>
      </w:r>
      <w:r w:rsidR="00765C06" w:rsidRPr="00015FE3">
        <w:rPr>
          <w:rStyle w:val="fontstyle01"/>
          <w:color w:val="auto"/>
        </w:rPr>
        <w:instrText xml:space="preserve"> </w:instrText>
      </w:r>
      <w:r w:rsidR="00765C06">
        <w:rPr>
          <w:rStyle w:val="fontstyle01"/>
          <w:color w:val="auto"/>
          <w:lang w:val="en-US"/>
        </w:rPr>
        <w:instrText>available</w:instrText>
      </w:r>
      <w:r w:rsidR="00765C06" w:rsidRPr="00015FE3">
        <w:rPr>
          <w:rStyle w:val="fontstyle01"/>
          <w:color w:val="auto"/>
        </w:rPr>
        <w:instrText xml:space="preserve"> </w:instrText>
      </w:r>
      <w:r w:rsidR="00765C06">
        <w:rPr>
          <w:rStyle w:val="fontstyle01"/>
          <w:color w:val="auto"/>
          <w:lang w:val="en-US"/>
        </w:rPr>
        <w:instrText>from</w:instrText>
      </w:r>
      <w:r w:rsidR="00765C06" w:rsidRPr="00015FE3">
        <w:rPr>
          <w:rStyle w:val="fontstyle01"/>
          <w:color w:val="auto"/>
        </w:rPr>
        <w:instrText xml:space="preserve"> </w:instrText>
      </w:r>
      <w:r w:rsidR="00765C06">
        <w:rPr>
          <w:rStyle w:val="fontstyle01"/>
          <w:color w:val="auto"/>
          <w:lang w:val="en-US"/>
        </w:rPr>
        <w:instrText>randomized</w:instrText>
      </w:r>
      <w:r w:rsidR="00765C06" w:rsidRPr="00015FE3">
        <w:rPr>
          <w:rStyle w:val="fontstyle01"/>
          <w:color w:val="auto"/>
        </w:rPr>
        <w:instrText xml:space="preserve"> </w:instrText>
      </w:r>
      <w:r w:rsidR="00765C06">
        <w:rPr>
          <w:rStyle w:val="fontstyle01"/>
          <w:color w:val="auto"/>
          <w:lang w:val="en-US"/>
        </w:rPr>
        <w:instrText>blind</w:instrText>
      </w:r>
      <w:r w:rsidR="00765C06" w:rsidRPr="00015FE3">
        <w:rPr>
          <w:rStyle w:val="fontstyle01"/>
          <w:color w:val="auto"/>
        </w:rPr>
        <w:instrText xml:space="preserve"> </w:instrText>
      </w:r>
      <w:r w:rsidR="00765C06">
        <w:rPr>
          <w:rStyle w:val="fontstyle01"/>
          <w:color w:val="auto"/>
          <w:lang w:val="en-US"/>
        </w:rPr>
        <w:instrText>head</w:instrText>
      </w:r>
      <w:r w:rsidR="00765C06" w:rsidRPr="00015FE3">
        <w:rPr>
          <w:rStyle w:val="fontstyle01"/>
          <w:color w:val="auto"/>
        </w:rPr>
        <w:instrText>-</w:instrText>
      </w:r>
      <w:r w:rsidR="00765C06">
        <w:rPr>
          <w:rStyle w:val="fontstyle01"/>
          <w:color w:val="auto"/>
          <w:lang w:val="en-US"/>
        </w:rPr>
        <w:instrText>to</w:instrText>
      </w:r>
      <w:r w:rsidR="00765C06" w:rsidRPr="00015FE3">
        <w:rPr>
          <w:rStyle w:val="fontstyle01"/>
          <w:color w:val="auto"/>
        </w:rPr>
        <w:instrText>-</w:instrText>
      </w:r>
      <w:r w:rsidR="00765C06">
        <w:rPr>
          <w:rStyle w:val="fontstyle01"/>
          <w:color w:val="auto"/>
          <w:lang w:val="en-US"/>
        </w:rPr>
        <w:instrText>head</w:instrText>
      </w:r>
      <w:r w:rsidR="00765C06" w:rsidRPr="00015FE3">
        <w:rPr>
          <w:rStyle w:val="fontstyle01"/>
          <w:color w:val="auto"/>
        </w:rPr>
        <w:instrText xml:space="preserve"> </w:instrText>
      </w:r>
      <w:r w:rsidR="00765C06">
        <w:rPr>
          <w:rStyle w:val="fontstyle01"/>
          <w:color w:val="auto"/>
          <w:lang w:val="en-US"/>
        </w:rPr>
        <w:instrText>comparisons</w:instrText>
      </w:r>
      <w:r w:rsidR="00765C06" w:rsidRPr="00015FE3">
        <w:rPr>
          <w:rStyle w:val="fontstyle01"/>
          <w:color w:val="auto"/>
        </w:rPr>
        <w:instrText xml:space="preserve">. </w:instrText>
      </w:r>
      <w:r w:rsidR="00765C06">
        <w:rPr>
          <w:rStyle w:val="fontstyle01"/>
          <w:color w:val="auto"/>
          <w:lang w:val="en-US"/>
        </w:rPr>
        <w:instrText>At</w:instrText>
      </w:r>
      <w:r w:rsidR="00765C06" w:rsidRPr="00015FE3">
        <w:rPr>
          <w:rStyle w:val="fontstyle01"/>
          <w:color w:val="auto"/>
        </w:rPr>
        <w:instrText xml:space="preserve"> </w:instrText>
      </w:r>
      <w:r w:rsidR="00765C06">
        <w:rPr>
          <w:rStyle w:val="fontstyle01"/>
          <w:color w:val="auto"/>
          <w:lang w:val="en-US"/>
        </w:rPr>
        <w:instrText>present</w:instrText>
      </w:r>
      <w:r w:rsidR="00765C06" w:rsidRPr="00015FE3">
        <w:rPr>
          <w:rStyle w:val="fontstyle01"/>
          <w:color w:val="auto"/>
        </w:rPr>
        <w:instrText xml:space="preserve">, </w:instrText>
      </w:r>
      <w:r w:rsidR="00765C06">
        <w:rPr>
          <w:rStyle w:val="fontstyle01"/>
          <w:color w:val="auto"/>
          <w:lang w:val="en-US"/>
        </w:rPr>
        <w:instrText>based</w:instrText>
      </w:r>
      <w:r w:rsidR="00765C06" w:rsidRPr="00015FE3">
        <w:rPr>
          <w:rStyle w:val="fontstyle01"/>
          <w:color w:val="auto"/>
        </w:rPr>
        <w:instrText xml:space="preserve"> </w:instrText>
      </w:r>
      <w:r w:rsidR="00765C06">
        <w:rPr>
          <w:rStyle w:val="fontstyle01"/>
          <w:color w:val="auto"/>
          <w:lang w:val="en-US"/>
        </w:rPr>
        <w:instrText>on</w:instrText>
      </w:r>
      <w:r w:rsidR="00765C06" w:rsidRPr="00015FE3">
        <w:rPr>
          <w:rStyle w:val="fontstyle01"/>
          <w:color w:val="auto"/>
        </w:rPr>
        <w:instrText xml:space="preserve"> </w:instrText>
      </w:r>
      <w:r w:rsidR="00765C06">
        <w:rPr>
          <w:rStyle w:val="fontstyle01"/>
          <w:color w:val="auto"/>
          <w:lang w:val="en-US"/>
        </w:rPr>
        <w:instrText>an</w:instrText>
      </w:r>
      <w:r w:rsidR="00765C06" w:rsidRPr="00015FE3">
        <w:rPr>
          <w:rStyle w:val="fontstyle01"/>
          <w:color w:val="auto"/>
        </w:rPr>
        <w:instrText xml:space="preserve"> </w:instrText>
      </w:r>
      <w:r w:rsidR="00765C06">
        <w:rPr>
          <w:rStyle w:val="fontstyle01"/>
          <w:color w:val="auto"/>
          <w:lang w:val="en-US"/>
        </w:rPr>
        <w:instrText>overall</w:instrText>
      </w:r>
      <w:r w:rsidR="00765C06" w:rsidRPr="00015FE3">
        <w:rPr>
          <w:rStyle w:val="fontstyle01"/>
          <w:color w:val="auto"/>
        </w:rPr>
        <w:instrText xml:space="preserve"> </w:instrText>
      </w:r>
      <w:r w:rsidR="00765C06">
        <w:rPr>
          <w:rStyle w:val="fontstyle01"/>
          <w:color w:val="auto"/>
          <w:lang w:val="en-US"/>
        </w:rPr>
        <w:instrText>balance</w:instrText>
      </w:r>
      <w:r w:rsidR="00765C06" w:rsidRPr="00015FE3">
        <w:rPr>
          <w:rStyle w:val="fontstyle01"/>
          <w:color w:val="auto"/>
        </w:rPr>
        <w:instrText xml:space="preserve"> </w:instrText>
      </w:r>
      <w:r w:rsidR="00765C06">
        <w:rPr>
          <w:rStyle w:val="fontstyle01"/>
          <w:color w:val="auto"/>
          <w:lang w:val="en-US"/>
        </w:rPr>
        <w:instrText>of</w:instrText>
      </w:r>
      <w:r w:rsidR="00765C06" w:rsidRPr="00015FE3">
        <w:rPr>
          <w:rStyle w:val="fontstyle01"/>
          <w:color w:val="auto"/>
        </w:rPr>
        <w:instrText xml:space="preserve"> </w:instrText>
      </w:r>
      <w:r w:rsidR="00765C06">
        <w:rPr>
          <w:rStyle w:val="fontstyle01"/>
          <w:color w:val="auto"/>
          <w:lang w:val="en-US"/>
        </w:rPr>
        <w:instrText>efficacy</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side</w:instrText>
      </w:r>
      <w:r w:rsidR="00765C06" w:rsidRPr="00015FE3">
        <w:rPr>
          <w:rStyle w:val="fontstyle01"/>
          <w:color w:val="auto"/>
        </w:rPr>
        <w:instrText xml:space="preserve"> </w:instrText>
      </w:r>
      <w:r w:rsidR="00765C06">
        <w:rPr>
          <w:rStyle w:val="fontstyle01"/>
          <w:color w:val="auto"/>
          <w:lang w:val="en-US"/>
        </w:rPr>
        <w:instrText>effects</w:instrText>
      </w:r>
      <w:r w:rsidR="00765C06" w:rsidRPr="00015FE3">
        <w:rPr>
          <w:rStyle w:val="fontstyle01"/>
          <w:color w:val="auto"/>
        </w:rPr>
        <w:instrText xml:space="preserve">, </w:instrText>
      </w:r>
      <w:r w:rsidR="00765C06">
        <w:rPr>
          <w:rStyle w:val="fontstyle01"/>
          <w:color w:val="auto"/>
          <w:lang w:val="en-US"/>
        </w:rPr>
        <w:instrText>the</w:instrText>
      </w:r>
      <w:r w:rsidR="00765C06" w:rsidRPr="00015FE3">
        <w:rPr>
          <w:rStyle w:val="fontstyle01"/>
          <w:color w:val="auto"/>
        </w:rPr>
        <w:instrText xml:space="preserve"> </w:instrText>
      </w:r>
      <w:r w:rsidR="00765C06">
        <w:rPr>
          <w:rStyle w:val="fontstyle01"/>
          <w:color w:val="auto"/>
          <w:lang w:val="en-US"/>
        </w:rPr>
        <w:instrText>patient</w:instrText>
      </w:r>
      <w:r w:rsidR="00765C06" w:rsidRPr="00015FE3">
        <w:rPr>
          <w:rStyle w:val="fontstyle01"/>
          <w:color w:val="auto"/>
        </w:rPr>
        <w:instrText xml:space="preserve"> </w:instrText>
      </w:r>
      <w:r w:rsidR="00765C06">
        <w:rPr>
          <w:rStyle w:val="fontstyle01"/>
          <w:color w:val="auto"/>
          <w:lang w:val="en-US"/>
        </w:rPr>
        <w:instrText>is</w:instrText>
      </w:r>
      <w:r w:rsidR="00765C06" w:rsidRPr="00015FE3">
        <w:rPr>
          <w:rStyle w:val="fontstyle01"/>
          <w:color w:val="auto"/>
        </w:rPr>
        <w:instrText xml:space="preserve"> </w:instrText>
      </w:r>
      <w:r w:rsidR="00765C06">
        <w:rPr>
          <w:rStyle w:val="fontstyle01"/>
          <w:color w:val="auto"/>
          <w:lang w:val="en-US"/>
        </w:rPr>
        <w:instrText>in</w:instrText>
      </w:r>
      <w:r w:rsidR="00765C06" w:rsidRPr="00015FE3">
        <w:rPr>
          <w:rStyle w:val="fontstyle01"/>
          <w:color w:val="auto"/>
        </w:rPr>
        <w:instrText xml:space="preserve"> </w:instrText>
      </w:r>
      <w:r w:rsidR="00765C06">
        <w:rPr>
          <w:rStyle w:val="fontstyle01"/>
          <w:color w:val="auto"/>
          <w:lang w:val="en-US"/>
        </w:rPr>
        <w:instrText>equipoise</w:instrText>
      </w:r>
      <w:r w:rsidR="00765C06" w:rsidRPr="00015FE3">
        <w:rPr>
          <w:rStyle w:val="fontstyle01"/>
          <w:color w:val="auto"/>
        </w:rPr>
        <w:instrText xml:space="preserve">. </w:instrText>
      </w:r>
      <w:r w:rsidR="00765C06">
        <w:rPr>
          <w:rStyle w:val="fontstyle01"/>
          <w:color w:val="auto"/>
          <w:lang w:val="en-US"/>
        </w:rPr>
        <w:instrText>Pending</w:instrText>
      </w:r>
      <w:r w:rsidR="00765C06" w:rsidRPr="00015FE3">
        <w:rPr>
          <w:rStyle w:val="fontstyle01"/>
          <w:color w:val="auto"/>
        </w:rPr>
        <w:instrText xml:space="preserve"> </w:instrText>
      </w:r>
      <w:r w:rsidR="00765C06">
        <w:rPr>
          <w:rStyle w:val="fontstyle01"/>
          <w:color w:val="auto"/>
          <w:lang w:val="en-US"/>
        </w:rPr>
        <w:instrText>definitive</w:instrText>
      </w:r>
      <w:r w:rsidR="00765C06" w:rsidRPr="00015FE3">
        <w:rPr>
          <w:rStyle w:val="fontstyle01"/>
          <w:color w:val="auto"/>
        </w:rPr>
        <w:instrText xml:space="preserve"> </w:instrText>
      </w:r>
      <w:r w:rsidR="00765C06">
        <w:rPr>
          <w:rStyle w:val="fontstyle01"/>
          <w:color w:val="auto"/>
          <w:lang w:val="en-US"/>
        </w:rPr>
        <w:instrText>comparative</w:instrText>
      </w:r>
      <w:r w:rsidR="00765C06" w:rsidRPr="00015FE3">
        <w:rPr>
          <w:rStyle w:val="fontstyle01"/>
          <w:color w:val="auto"/>
        </w:rPr>
        <w:instrText xml:space="preserve"> </w:instrText>
      </w:r>
      <w:r w:rsidR="00765C06">
        <w:rPr>
          <w:rStyle w:val="fontstyle01"/>
          <w:color w:val="auto"/>
          <w:lang w:val="en-US"/>
        </w:rPr>
        <w:instrText>trials</w:instrText>
      </w:r>
      <w:r w:rsidR="00765C06" w:rsidRPr="00015FE3">
        <w:rPr>
          <w:rStyle w:val="fontstyle01"/>
          <w:color w:val="auto"/>
        </w:rPr>
        <w:instrText xml:space="preserve">, </w:instrText>
      </w:r>
      <w:r w:rsidR="00765C06">
        <w:rPr>
          <w:rStyle w:val="fontstyle01"/>
          <w:color w:val="auto"/>
          <w:lang w:val="en-US"/>
        </w:rPr>
        <w:instrText>choice</w:instrText>
      </w:r>
      <w:r w:rsidR="00765C06" w:rsidRPr="00015FE3">
        <w:rPr>
          <w:rStyle w:val="fontstyle01"/>
          <w:color w:val="auto"/>
        </w:rPr>
        <w:instrText xml:space="preserve"> </w:instrText>
      </w:r>
      <w:r w:rsidR="00765C06">
        <w:rPr>
          <w:rStyle w:val="fontstyle01"/>
          <w:color w:val="auto"/>
          <w:lang w:val="en-US"/>
        </w:rPr>
        <w:instrText>might</w:instrText>
      </w:r>
      <w:r w:rsidR="00765C06" w:rsidRPr="00015FE3">
        <w:rPr>
          <w:rStyle w:val="fontstyle01"/>
          <w:color w:val="auto"/>
        </w:rPr>
        <w:instrText xml:space="preserve"> </w:instrText>
      </w:r>
      <w:r w:rsidR="00765C06">
        <w:rPr>
          <w:rStyle w:val="fontstyle01"/>
          <w:color w:val="auto"/>
          <w:lang w:val="en-US"/>
        </w:rPr>
        <w:instrText>be</w:instrText>
      </w:r>
      <w:r w:rsidR="00765C06" w:rsidRPr="00015FE3">
        <w:rPr>
          <w:rStyle w:val="fontstyle01"/>
          <w:color w:val="auto"/>
        </w:rPr>
        <w:instrText xml:space="preserve"> </w:instrText>
      </w:r>
      <w:r w:rsidR="00765C06">
        <w:rPr>
          <w:rStyle w:val="fontstyle01"/>
          <w:color w:val="auto"/>
          <w:lang w:val="en-US"/>
        </w:rPr>
        <w:instrText>determined</w:instrText>
      </w:r>
      <w:r w:rsidR="00765C06" w:rsidRPr="00015FE3">
        <w:rPr>
          <w:rStyle w:val="fontstyle01"/>
          <w:color w:val="auto"/>
        </w:rPr>
        <w:instrText xml:space="preserve"> </w:instrText>
      </w:r>
      <w:r w:rsidR="00765C06">
        <w:rPr>
          <w:rStyle w:val="fontstyle01"/>
          <w:color w:val="auto"/>
          <w:lang w:val="en-US"/>
        </w:rPr>
        <w:instrText>largely</w:instrText>
      </w:r>
      <w:r w:rsidR="00765C06" w:rsidRPr="00015FE3">
        <w:rPr>
          <w:rStyle w:val="fontstyle01"/>
          <w:color w:val="auto"/>
        </w:rPr>
        <w:instrText xml:space="preserve"> </w:instrText>
      </w:r>
      <w:r w:rsidR="00765C06">
        <w:rPr>
          <w:rStyle w:val="fontstyle01"/>
          <w:color w:val="auto"/>
          <w:lang w:val="en-US"/>
        </w:rPr>
        <w:instrText>by</w:instrText>
      </w:r>
      <w:r w:rsidR="00765C06" w:rsidRPr="00015FE3">
        <w:rPr>
          <w:rStyle w:val="fontstyle01"/>
          <w:color w:val="auto"/>
        </w:rPr>
        <w:instrText xml:space="preserve"> </w:instrText>
      </w:r>
      <w:r w:rsidR="00765C06">
        <w:rPr>
          <w:rStyle w:val="fontstyle01"/>
          <w:color w:val="auto"/>
          <w:lang w:val="en-US"/>
        </w:rPr>
        <w:instrText>the</w:instrText>
      </w:r>
      <w:r w:rsidR="00765C06" w:rsidRPr="00015FE3">
        <w:rPr>
          <w:rStyle w:val="fontstyle01"/>
          <w:color w:val="auto"/>
        </w:rPr>
        <w:instrText xml:space="preserve"> </w:instrText>
      </w:r>
      <w:r w:rsidR="00765C06">
        <w:rPr>
          <w:rStyle w:val="fontstyle01"/>
          <w:color w:val="auto"/>
          <w:lang w:val="en-US"/>
        </w:rPr>
        <w:instrText>local</w:instrText>
      </w:r>
      <w:r w:rsidR="00765C06" w:rsidRPr="00015FE3">
        <w:rPr>
          <w:rStyle w:val="fontstyle01"/>
          <w:color w:val="auto"/>
        </w:rPr>
        <w:instrText xml:space="preserve"> </w:instrText>
      </w:r>
      <w:r w:rsidR="00765C06">
        <w:rPr>
          <w:rStyle w:val="fontstyle01"/>
          <w:color w:val="auto"/>
          <w:lang w:val="en-US"/>
        </w:rPr>
        <w:instrText>availability</w:instrText>
      </w:r>
      <w:r w:rsidR="00765C06" w:rsidRPr="00015FE3">
        <w:rPr>
          <w:rStyle w:val="fontstyle01"/>
          <w:color w:val="auto"/>
        </w:rPr>
        <w:instrText xml:space="preserve"> </w:instrText>
      </w:r>
      <w:r w:rsidR="00765C06">
        <w:rPr>
          <w:rStyle w:val="fontstyle01"/>
          <w:color w:val="auto"/>
          <w:lang w:val="en-US"/>
        </w:rPr>
        <w:instrText>of</w:instrText>
      </w:r>
      <w:r w:rsidR="00765C06" w:rsidRPr="00015FE3">
        <w:rPr>
          <w:rStyle w:val="fontstyle01"/>
          <w:color w:val="auto"/>
        </w:rPr>
        <w:instrText xml:space="preserve"> </w:instrText>
      </w:r>
      <w:r w:rsidR="00765C06">
        <w:rPr>
          <w:rStyle w:val="fontstyle01"/>
          <w:color w:val="auto"/>
          <w:lang w:val="en-US"/>
        </w:rPr>
        <w:instrText>SCIT</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SLIT</w:instrText>
      </w:r>
      <w:r w:rsidR="00765C06" w:rsidRPr="00015FE3">
        <w:rPr>
          <w:rStyle w:val="fontstyle01"/>
          <w:color w:val="auto"/>
        </w:rPr>
        <w:instrText xml:space="preserve"> </w:instrText>
      </w:r>
      <w:r w:rsidR="00765C06">
        <w:rPr>
          <w:rStyle w:val="fontstyle01"/>
          <w:color w:val="auto"/>
          <w:lang w:val="en-US"/>
        </w:rPr>
        <w:instrText>products</w:instrText>
      </w:r>
      <w:r w:rsidR="00765C06" w:rsidRPr="00015FE3">
        <w:rPr>
          <w:rStyle w:val="fontstyle01"/>
          <w:color w:val="auto"/>
        </w:rPr>
        <w:instrText xml:space="preserve"> </w:instrText>
      </w:r>
      <w:r w:rsidR="00765C06">
        <w:rPr>
          <w:rStyle w:val="fontstyle01"/>
          <w:color w:val="auto"/>
          <w:lang w:val="en-US"/>
        </w:rPr>
        <w:instrText>of</w:instrText>
      </w:r>
      <w:r w:rsidR="00765C06" w:rsidRPr="00015FE3">
        <w:rPr>
          <w:rStyle w:val="fontstyle01"/>
          <w:color w:val="auto"/>
        </w:rPr>
        <w:instrText xml:space="preserve"> </w:instrText>
      </w:r>
      <w:r w:rsidR="00765C06">
        <w:rPr>
          <w:rStyle w:val="fontstyle01"/>
          <w:color w:val="auto"/>
          <w:lang w:val="en-US"/>
        </w:rPr>
        <w:instrText>proved</w:instrText>
      </w:r>
      <w:r w:rsidR="00765C06" w:rsidRPr="00015FE3">
        <w:rPr>
          <w:rStyle w:val="fontstyle01"/>
          <w:color w:val="auto"/>
        </w:rPr>
        <w:instrText xml:space="preserve"> </w:instrText>
      </w:r>
      <w:r w:rsidR="00765C06">
        <w:rPr>
          <w:rStyle w:val="fontstyle01"/>
          <w:color w:val="auto"/>
          <w:lang w:val="en-US"/>
        </w:rPr>
        <w:instrText>value</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personal</w:instrText>
      </w:r>
      <w:r w:rsidR="00765C06" w:rsidRPr="00015FE3">
        <w:rPr>
          <w:rStyle w:val="fontstyle01"/>
          <w:color w:val="auto"/>
        </w:rPr>
        <w:instrText xml:space="preserve"> (</w:instrText>
      </w:r>
      <w:r w:rsidR="00765C06">
        <w:rPr>
          <w:rStyle w:val="fontstyle01"/>
          <w:color w:val="auto"/>
          <w:lang w:val="en-US"/>
        </w:rPr>
        <w:instrText>patient</w:instrText>
      </w:r>
      <w:r w:rsidR="00765C06" w:rsidRPr="00015FE3">
        <w:rPr>
          <w:rStyle w:val="fontstyle01"/>
          <w:color w:val="auto"/>
        </w:rPr>
        <w:instrText xml:space="preserve">) </w:instrText>
      </w:r>
      <w:r w:rsidR="00765C06">
        <w:rPr>
          <w:rStyle w:val="fontstyle01"/>
          <w:color w:val="auto"/>
          <w:lang w:val="en-US"/>
        </w:rPr>
        <w:instrText>preference</w:instrText>
      </w:r>
      <w:r w:rsidR="00765C06" w:rsidRPr="00015FE3">
        <w:rPr>
          <w:rStyle w:val="fontstyle01"/>
          <w:color w:val="auto"/>
        </w:rPr>
        <w:instrText>.","</w:instrText>
      </w:r>
      <w:r w:rsidR="00765C06">
        <w:rPr>
          <w:rStyle w:val="fontstyle01"/>
          <w:color w:val="auto"/>
          <w:lang w:val="en-US"/>
        </w:rPr>
        <w:instrText>author</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family</w:instrText>
      </w:r>
      <w:r w:rsidR="00765C06" w:rsidRPr="00015FE3">
        <w:rPr>
          <w:rStyle w:val="fontstyle01"/>
          <w:color w:val="auto"/>
        </w:rPr>
        <w:instrText>":"</w:instrText>
      </w:r>
      <w:r w:rsidR="00765C06">
        <w:rPr>
          <w:rStyle w:val="fontstyle01"/>
          <w:color w:val="auto"/>
          <w:lang w:val="en-US"/>
        </w:rPr>
        <w:instrText>Durham</w:instrText>
      </w:r>
      <w:r w:rsidR="00765C06" w:rsidRPr="00015FE3">
        <w:rPr>
          <w:rStyle w:val="fontstyle01"/>
          <w:color w:val="auto"/>
        </w:rPr>
        <w:instrText>","</w:instrText>
      </w:r>
      <w:r w:rsidR="00765C06">
        <w:rPr>
          <w:rStyle w:val="fontstyle01"/>
          <w:color w:val="auto"/>
          <w:lang w:val="en-US"/>
        </w:rPr>
        <w:instrText>given</w:instrText>
      </w:r>
      <w:r w:rsidR="00765C06" w:rsidRPr="00015FE3">
        <w:rPr>
          <w:rStyle w:val="fontstyle01"/>
          <w:color w:val="auto"/>
        </w:rPr>
        <w:instrText>":"</w:instrText>
      </w:r>
      <w:r w:rsidR="00765C06">
        <w:rPr>
          <w:rStyle w:val="fontstyle01"/>
          <w:color w:val="auto"/>
          <w:lang w:val="en-US"/>
        </w:rPr>
        <w:instrText>Stephen</w:instrText>
      </w:r>
      <w:r w:rsidR="00765C06" w:rsidRPr="00015FE3">
        <w:rPr>
          <w:rStyle w:val="fontstyle01"/>
          <w:color w:val="auto"/>
        </w:rPr>
        <w:instrText xml:space="preserve"> </w:instrText>
      </w:r>
      <w:r w:rsidR="00765C06">
        <w:rPr>
          <w:rStyle w:val="fontstyle01"/>
          <w:color w:val="auto"/>
          <w:lang w:val="en-US"/>
        </w:rPr>
        <w:instrText>R</w:instrText>
      </w:r>
      <w:r w:rsidR="00765C06" w:rsidRPr="00015FE3">
        <w:rPr>
          <w:rStyle w:val="fontstyle01"/>
          <w:color w:val="auto"/>
        </w:rPr>
        <w:instrText>.","</w:instrText>
      </w:r>
      <w:r w:rsidR="00765C06">
        <w:rPr>
          <w:rStyle w:val="fontstyle01"/>
          <w:color w:val="auto"/>
          <w:lang w:val="en-US"/>
        </w:rPr>
        <w:instrText>non</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parse</w:instrText>
      </w:r>
      <w:r w:rsidR="00765C06" w:rsidRPr="00015FE3">
        <w:rPr>
          <w:rStyle w:val="fontstyle01"/>
          <w:color w:val="auto"/>
        </w:rPr>
        <w:instrText>-</w:instrText>
      </w:r>
      <w:r w:rsidR="00765C06">
        <w:rPr>
          <w:rStyle w:val="fontstyle01"/>
          <w:color w:val="auto"/>
          <w:lang w:val="en-US"/>
        </w:rPr>
        <w:instrText>names</w:instrText>
      </w:r>
      <w:r w:rsidR="00765C06" w:rsidRPr="00015FE3">
        <w:rPr>
          <w:rStyle w:val="fontstyle01"/>
          <w:color w:val="auto"/>
        </w:rPr>
        <w:instrText>":</w:instrText>
      </w:r>
      <w:r w:rsidR="00765C06">
        <w:rPr>
          <w:rStyle w:val="fontstyle01"/>
          <w:color w:val="auto"/>
          <w:lang w:val="en-US"/>
        </w:rPr>
        <w:instrText>false</w:instrText>
      </w:r>
      <w:r w:rsidR="00765C06" w:rsidRPr="00015FE3">
        <w:rPr>
          <w:rStyle w:val="fontstyle01"/>
          <w:color w:val="auto"/>
        </w:rPr>
        <w:instrText>,"</w:instrText>
      </w:r>
      <w:r w:rsidR="00765C06">
        <w:rPr>
          <w:rStyle w:val="fontstyle01"/>
          <w:color w:val="auto"/>
          <w:lang w:val="en-US"/>
        </w:rPr>
        <w:instrText>suffix</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family</w:instrText>
      </w:r>
      <w:r w:rsidR="00765C06" w:rsidRPr="00015FE3">
        <w:rPr>
          <w:rStyle w:val="fontstyle01"/>
          <w:color w:val="auto"/>
        </w:rPr>
        <w:instrText>":"</w:instrText>
      </w:r>
      <w:r w:rsidR="00765C06">
        <w:rPr>
          <w:rStyle w:val="fontstyle01"/>
          <w:color w:val="auto"/>
          <w:lang w:val="en-US"/>
        </w:rPr>
        <w:instrText>Penagos</w:instrText>
      </w:r>
      <w:r w:rsidR="00765C06" w:rsidRPr="00015FE3">
        <w:rPr>
          <w:rStyle w:val="fontstyle01"/>
          <w:color w:val="auto"/>
        </w:rPr>
        <w:instrText>","</w:instrText>
      </w:r>
      <w:r w:rsidR="00765C06">
        <w:rPr>
          <w:rStyle w:val="fontstyle01"/>
          <w:color w:val="auto"/>
          <w:lang w:val="en-US"/>
        </w:rPr>
        <w:instrText>given</w:instrText>
      </w:r>
      <w:r w:rsidR="00765C06" w:rsidRPr="00015FE3">
        <w:rPr>
          <w:rStyle w:val="fontstyle01"/>
          <w:color w:val="auto"/>
        </w:rPr>
        <w:instrText>":"</w:instrText>
      </w:r>
      <w:r w:rsidR="00765C06">
        <w:rPr>
          <w:rStyle w:val="fontstyle01"/>
          <w:color w:val="auto"/>
          <w:lang w:val="en-US"/>
        </w:rPr>
        <w:instrText>Martin</w:instrText>
      </w:r>
      <w:r w:rsidR="00765C06" w:rsidRPr="00015FE3">
        <w:rPr>
          <w:rStyle w:val="fontstyle01"/>
          <w:color w:val="auto"/>
        </w:rPr>
        <w:instrText>","</w:instrText>
      </w:r>
      <w:r w:rsidR="00765C06">
        <w:rPr>
          <w:rStyle w:val="fontstyle01"/>
          <w:color w:val="auto"/>
          <w:lang w:val="en-US"/>
        </w:rPr>
        <w:instrText>non</w:instrText>
      </w:r>
      <w:r w:rsidR="00765C06" w:rsidRPr="00015FE3">
        <w:rPr>
          <w:rStyle w:val="fontstyle01"/>
          <w:color w:val="auto"/>
        </w:rPr>
        <w:instrText>-</w:instrText>
      </w:r>
      <w:r w:rsidR="00765C06">
        <w:rPr>
          <w:rStyle w:val="fontstyle01"/>
          <w:color w:val="auto"/>
          <w:lang w:val="en-US"/>
        </w:rPr>
        <w:instrText>dropping</w:instrText>
      </w:r>
      <w:r w:rsidR="00765C06" w:rsidRPr="00015FE3">
        <w:rPr>
          <w:rStyle w:val="fontstyle01"/>
          <w:color w:val="auto"/>
        </w:rPr>
        <w:instrText>-</w:instrText>
      </w:r>
      <w:r w:rsidR="00765C06">
        <w:rPr>
          <w:rStyle w:val="fontstyle01"/>
          <w:color w:val="auto"/>
          <w:lang w:val="en-US"/>
        </w:rPr>
        <w:instrText>particle</w:instrText>
      </w:r>
      <w:r w:rsidR="00765C06" w:rsidRPr="00015FE3">
        <w:rPr>
          <w:rStyle w:val="fontstyle01"/>
          <w:color w:val="auto"/>
        </w:rPr>
        <w:instrText>":"","</w:instrText>
      </w:r>
      <w:r w:rsidR="00765C06">
        <w:rPr>
          <w:rStyle w:val="fontstyle01"/>
          <w:color w:val="auto"/>
          <w:lang w:val="en-US"/>
        </w:rPr>
        <w:instrText>parse</w:instrText>
      </w:r>
      <w:r w:rsidR="00765C06" w:rsidRPr="00015FE3">
        <w:rPr>
          <w:rStyle w:val="fontstyle01"/>
          <w:color w:val="auto"/>
        </w:rPr>
        <w:instrText>-</w:instrText>
      </w:r>
      <w:r w:rsidR="00765C06">
        <w:rPr>
          <w:rStyle w:val="fontstyle01"/>
          <w:color w:val="auto"/>
          <w:lang w:val="en-US"/>
        </w:rPr>
        <w:instrText>names</w:instrText>
      </w:r>
      <w:r w:rsidR="00765C06" w:rsidRPr="00015FE3">
        <w:rPr>
          <w:rStyle w:val="fontstyle01"/>
          <w:color w:val="auto"/>
        </w:rPr>
        <w:instrText>":</w:instrText>
      </w:r>
      <w:r w:rsidR="00765C06">
        <w:rPr>
          <w:rStyle w:val="fontstyle01"/>
          <w:color w:val="auto"/>
          <w:lang w:val="en-US"/>
        </w:rPr>
        <w:instrText>false</w:instrText>
      </w:r>
      <w:r w:rsidR="00765C06" w:rsidRPr="00015FE3">
        <w:rPr>
          <w:rStyle w:val="fontstyle01"/>
          <w:color w:val="auto"/>
        </w:rPr>
        <w:instrText>,"</w:instrText>
      </w:r>
      <w:r w:rsidR="00765C06">
        <w:rPr>
          <w:rStyle w:val="fontstyle01"/>
          <w:color w:val="auto"/>
          <w:lang w:val="en-US"/>
        </w:rPr>
        <w:instrText>suffix</w:instrText>
      </w:r>
      <w:r w:rsidR="00765C06" w:rsidRPr="00015FE3">
        <w:rPr>
          <w:rStyle w:val="fontstyle01"/>
          <w:color w:val="auto"/>
        </w:rPr>
        <w:instrText>":""}],"</w:instrText>
      </w:r>
      <w:r w:rsidR="00765C06">
        <w:rPr>
          <w:rStyle w:val="fontstyle01"/>
          <w:color w:val="auto"/>
          <w:lang w:val="en-US"/>
        </w:rPr>
        <w:instrText>container</w:instrText>
      </w:r>
      <w:r w:rsidR="00765C06" w:rsidRPr="00015FE3">
        <w:rPr>
          <w:rStyle w:val="fontstyle01"/>
          <w:color w:val="auto"/>
        </w:rPr>
        <w:instrText>-</w:instrText>
      </w:r>
      <w:r w:rsidR="00765C06">
        <w:rPr>
          <w:rStyle w:val="fontstyle01"/>
          <w:color w:val="auto"/>
          <w:lang w:val="en-US"/>
        </w:rPr>
        <w:instrText>title</w:instrText>
      </w:r>
      <w:r w:rsidR="00765C06" w:rsidRPr="00015FE3">
        <w:rPr>
          <w:rStyle w:val="fontstyle01"/>
          <w:color w:val="auto"/>
        </w:rPr>
        <w:instrText>":"</w:instrText>
      </w:r>
      <w:r w:rsidR="00765C06">
        <w:rPr>
          <w:rStyle w:val="fontstyle01"/>
          <w:color w:val="auto"/>
          <w:lang w:val="en-US"/>
        </w:rPr>
        <w:instrText>Journal</w:instrText>
      </w:r>
      <w:r w:rsidR="00765C06" w:rsidRPr="00015FE3">
        <w:rPr>
          <w:rStyle w:val="fontstyle01"/>
          <w:color w:val="auto"/>
        </w:rPr>
        <w:instrText xml:space="preserve"> </w:instrText>
      </w:r>
      <w:r w:rsidR="00765C06">
        <w:rPr>
          <w:rStyle w:val="fontstyle01"/>
          <w:color w:val="auto"/>
          <w:lang w:val="en-US"/>
        </w:rPr>
        <w:instrText>of</w:instrText>
      </w:r>
      <w:r w:rsidR="00765C06" w:rsidRPr="00015FE3">
        <w:rPr>
          <w:rStyle w:val="fontstyle01"/>
          <w:color w:val="auto"/>
        </w:rPr>
        <w:instrText xml:space="preserve"> </w:instrText>
      </w:r>
      <w:r w:rsidR="00765C06">
        <w:rPr>
          <w:rStyle w:val="fontstyle01"/>
          <w:color w:val="auto"/>
          <w:lang w:val="en-US"/>
        </w:rPr>
        <w:instrText>Allergy</w:instrText>
      </w:r>
      <w:r w:rsidR="00765C06" w:rsidRPr="00015FE3">
        <w:rPr>
          <w:rStyle w:val="fontstyle01"/>
          <w:color w:val="auto"/>
        </w:rPr>
        <w:instrText xml:space="preserve"> </w:instrText>
      </w:r>
      <w:r w:rsidR="00765C06">
        <w:rPr>
          <w:rStyle w:val="fontstyle01"/>
          <w:color w:val="auto"/>
          <w:lang w:val="en-US"/>
        </w:rPr>
        <w:instrText>and</w:instrText>
      </w:r>
      <w:r w:rsidR="00765C06" w:rsidRPr="00015FE3">
        <w:rPr>
          <w:rStyle w:val="fontstyle01"/>
          <w:color w:val="auto"/>
        </w:rPr>
        <w:instrText xml:space="preserve"> </w:instrText>
      </w:r>
      <w:r w:rsidR="00765C06">
        <w:rPr>
          <w:rStyle w:val="fontstyle01"/>
          <w:color w:val="auto"/>
          <w:lang w:val="en-US"/>
        </w:rPr>
        <w:instrText>Clinical</w:instrText>
      </w:r>
      <w:r w:rsidR="00765C06" w:rsidRPr="00015FE3">
        <w:rPr>
          <w:rStyle w:val="fontstyle01"/>
          <w:color w:val="auto"/>
        </w:rPr>
        <w:instrText xml:space="preserve"> </w:instrText>
      </w:r>
      <w:r w:rsidR="00765C06">
        <w:rPr>
          <w:rStyle w:val="fontstyle01"/>
          <w:color w:val="auto"/>
          <w:lang w:val="en-US"/>
        </w:rPr>
        <w:instrText>Immunology</w:instrText>
      </w:r>
      <w:r w:rsidR="00765C06" w:rsidRPr="00015FE3">
        <w:rPr>
          <w:rStyle w:val="fontstyle01"/>
          <w:color w:val="auto"/>
        </w:rPr>
        <w:instrText>","</w:instrText>
      </w:r>
      <w:r w:rsidR="00765C06">
        <w:rPr>
          <w:rStyle w:val="fontstyle01"/>
          <w:color w:val="auto"/>
          <w:lang w:val="en-US"/>
        </w:rPr>
        <w:instrText>id</w:instrText>
      </w:r>
      <w:r w:rsidR="00765C06" w:rsidRPr="00015FE3">
        <w:rPr>
          <w:rStyle w:val="fontstyle01"/>
          <w:color w:val="auto"/>
        </w:rPr>
        <w:instrText>":"</w:instrText>
      </w:r>
      <w:r w:rsidR="00765C06">
        <w:rPr>
          <w:rStyle w:val="fontstyle01"/>
          <w:color w:val="auto"/>
          <w:lang w:val="en-US"/>
        </w:rPr>
        <w:instrText>ITEM</w:instrText>
      </w:r>
      <w:r w:rsidR="00765C06" w:rsidRPr="00015FE3">
        <w:rPr>
          <w:rStyle w:val="fontstyle01"/>
          <w:color w:val="auto"/>
        </w:rPr>
        <w:instrText>-1","</w:instrText>
      </w:r>
      <w:r w:rsidR="00765C06">
        <w:rPr>
          <w:rStyle w:val="fontstyle01"/>
          <w:color w:val="auto"/>
          <w:lang w:val="en-US"/>
        </w:rPr>
        <w:instrText>issue</w:instrText>
      </w:r>
      <w:r w:rsidR="00765C06" w:rsidRPr="00015FE3">
        <w:rPr>
          <w:rStyle w:val="fontstyle01"/>
          <w:color w:val="auto"/>
        </w:rPr>
        <w:instrText>":"2","</w:instrText>
      </w:r>
      <w:r w:rsidR="00765C06">
        <w:rPr>
          <w:rStyle w:val="fontstyle01"/>
          <w:color w:val="auto"/>
          <w:lang w:val="en-US"/>
        </w:rPr>
        <w:instrText>issued</w:instrText>
      </w:r>
      <w:r w:rsidR="00765C06" w:rsidRPr="00015FE3">
        <w:rPr>
          <w:rStyle w:val="fontstyle01"/>
          <w:color w:val="auto"/>
        </w:rPr>
        <w:instrText>":{"</w:instrText>
      </w:r>
      <w:r w:rsidR="00765C06">
        <w:rPr>
          <w:rStyle w:val="fontstyle01"/>
          <w:color w:val="auto"/>
          <w:lang w:val="en-US"/>
        </w:rPr>
        <w:instrText>date</w:instrText>
      </w:r>
      <w:r w:rsidR="00765C06" w:rsidRPr="00015FE3">
        <w:rPr>
          <w:rStyle w:val="fontstyle01"/>
          <w:color w:val="auto"/>
        </w:rPr>
        <w:instrText>-</w:instrText>
      </w:r>
      <w:r w:rsidR="00765C06">
        <w:rPr>
          <w:rStyle w:val="fontstyle01"/>
          <w:color w:val="auto"/>
          <w:lang w:val="en-US"/>
        </w:rPr>
        <w:instrText>parts</w:instrText>
      </w:r>
      <w:r w:rsidR="00765C06" w:rsidRPr="00015FE3">
        <w:rPr>
          <w:rStyle w:val="fontstyle01"/>
          <w:color w:val="auto"/>
        </w:rPr>
        <w:instrText>":[["2016"]]},"</w:instrText>
      </w:r>
      <w:r w:rsidR="00765C06">
        <w:rPr>
          <w:rStyle w:val="fontstyle01"/>
          <w:color w:val="auto"/>
          <w:lang w:val="en-US"/>
        </w:rPr>
        <w:instrText>page</w:instrText>
      </w:r>
      <w:r w:rsidR="00765C06" w:rsidRPr="00015FE3">
        <w:rPr>
          <w:rStyle w:val="fontstyle01"/>
          <w:color w:val="auto"/>
        </w:rPr>
        <w:instrText>":"339-349.</w:instrText>
      </w:r>
      <w:r w:rsidR="00765C06">
        <w:rPr>
          <w:rStyle w:val="fontstyle01"/>
          <w:color w:val="auto"/>
          <w:lang w:val="en-US"/>
        </w:rPr>
        <w:instrText>e</w:instrText>
      </w:r>
      <w:r w:rsidR="00765C06" w:rsidRPr="00015FE3">
        <w:rPr>
          <w:rStyle w:val="fontstyle01"/>
          <w:color w:val="auto"/>
        </w:rPr>
        <w:instrText>10","</w:instrText>
      </w:r>
      <w:r w:rsidR="00765C06">
        <w:rPr>
          <w:rStyle w:val="fontstyle01"/>
          <w:color w:val="auto"/>
          <w:lang w:val="en-US"/>
        </w:rPr>
        <w:instrText>publisher</w:instrText>
      </w:r>
      <w:r w:rsidR="00765C06" w:rsidRPr="00015FE3">
        <w:rPr>
          <w:rStyle w:val="fontstyle01"/>
          <w:color w:val="auto"/>
        </w:rPr>
        <w:instrText>":"</w:instrText>
      </w:r>
      <w:r w:rsidR="00765C06">
        <w:rPr>
          <w:rStyle w:val="fontstyle01"/>
          <w:color w:val="auto"/>
          <w:lang w:val="en-US"/>
        </w:rPr>
        <w:instrText>Elsevier</w:instrText>
      </w:r>
      <w:r w:rsidR="00765C06" w:rsidRPr="00015FE3">
        <w:rPr>
          <w:rStyle w:val="fontstyle01"/>
          <w:color w:val="auto"/>
        </w:rPr>
        <w:instrText xml:space="preserve"> </w:instrText>
      </w:r>
      <w:r w:rsidR="00765C06">
        <w:rPr>
          <w:rStyle w:val="fontstyle01"/>
          <w:color w:val="auto"/>
          <w:lang w:val="en-US"/>
        </w:rPr>
        <w:instrText>Ltd</w:instrText>
      </w:r>
      <w:r w:rsidR="00765C06" w:rsidRPr="00015FE3">
        <w:rPr>
          <w:rStyle w:val="fontstyle01"/>
          <w:color w:val="auto"/>
        </w:rPr>
        <w:instrText>","</w:instrText>
      </w:r>
      <w:r w:rsidR="00765C06">
        <w:rPr>
          <w:rStyle w:val="fontstyle01"/>
          <w:color w:val="auto"/>
          <w:lang w:val="en-US"/>
        </w:rPr>
        <w:instrText>title</w:instrText>
      </w:r>
      <w:r w:rsidR="00765C06" w:rsidRPr="00015FE3">
        <w:rPr>
          <w:rStyle w:val="fontstyle01"/>
          <w:color w:val="auto"/>
        </w:rPr>
        <w:instrText>":"</w:instrText>
      </w:r>
      <w:r w:rsidR="00765C06">
        <w:rPr>
          <w:rStyle w:val="fontstyle01"/>
          <w:color w:val="auto"/>
          <w:lang w:val="en-US"/>
        </w:rPr>
        <w:instrText>Sublingual</w:instrText>
      </w:r>
      <w:r w:rsidR="00765C06" w:rsidRPr="00015FE3">
        <w:rPr>
          <w:rStyle w:val="fontstyle01"/>
          <w:color w:val="auto"/>
        </w:rPr>
        <w:instrText xml:space="preserve"> </w:instrText>
      </w:r>
      <w:r w:rsidR="00765C06">
        <w:rPr>
          <w:rStyle w:val="fontstyle01"/>
          <w:color w:val="auto"/>
          <w:lang w:val="en-US"/>
        </w:rPr>
        <w:instrText>or</w:instrText>
      </w:r>
      <w:r w:rsidR="00765C06" w:rsidRPr="00015FE3">
        <w:rPr>
          <w:rStyle w:val="fontstyle01"/>
          <w:color w:val="auto"/>
        </w:rPr>
        <w:instrText xml:space="preserve"> </w:instrText>
      </w:r>
      <w:r w:rsidR="00765C06">
        <w:rPr>
          <w:rStyle w:val="fontstyle01"/>
          <w:color w:val="auto"/>
          <w:lang w:val="en-US"/>
        </w:rPr>
        <w:instrText>subcutaneous</w:instrText>
      </w:r>
      <w:r w:rsidR="00765C06" w:rsidRPr="00015FE3">
        <w:rPr>
          <w:rStyle w:val="fontstyle01"/>
          <w:color w:val="auto"/>
        </w:rPr>
        <w:instrText xml:space="preserve"> </w:instrText>
      </w:r>
      <w:r w:rsidR="00765C06">
        <w:rPr>
          <w:rStyle w:val="fontstyle01"/>
          <w:color w:val="auto"/>
          <w:lang w:val="en-US"/>
        </w:rPr>
        <w:instrText>immunotherapy</w:instrText>
      </w:r>
      <w:r w:rsidR="00765C06" w:rsidRPr="00015FE3">
        <w:rPr>
          <w:rStyle w:val="fontstyle01"/>
          <w:color w:val="auto"/>
        </w:rPr>
        <w:instrText xml:space="preserve"> </w:instrText>
      </w:r>
      <w:r w:rsidR="00765C06">
        <w:rPr>
          <w:rStyle w:val="fontstyle01"/>
          <w:color w:val="auto"/>
          <w:lang w:val="en-US"/>
        </w:rPr>
        <w:instrText>for</w:instrText>
      </w:r>
      <w:r w:rsidR="00765C06" w:rsidRPr="00015FE3">
        <w:rPr>
          <w:rStyle w:val="fontstyle01"/>
          <w:color w:val="auto"/>
        </w:rPr>
        <w:instrText xml:space="preserve"> </w:instrText>
      </w:r>
      <w:r w:rsidR="00765C06">
        <w:rPr>
          <w:rStyle w:val="fontstyle01"/>
          <w:color w:val="auto"/>
          <w:lang w:val="en-US"/>
        </w:rPr>
        <w:instrText>allergic</w:instrText>
      </w:r>
      <w:r w:rsidR="00765C06" w:rsidRPr="00015FE3">
        <w:rPr>
          <w:rStyle w:val="fontstyle01"/>
          <w:color w:val="auto"/>
        </w:rPr>
        <w:instrText xml:space="preserve"> </w:instrText>
      </w:r>
      <w:r w:rsidR="00765C06">
        <w:rPr>
          <w:rStyle w:val="fontstyle01"/>
          <w:color w:val="auto"/>
          <w:lang w:val="en-US"/>
        </w:rPr>
        <w:instrText>rhinitis</w:instrText>
      </w:r>
      <w:r w:rsidR="00765C06" w:rsidRPr="00015FE3">
        <w:rPr>
          <w:rStyle w:val="fontstyle01"/>
          <w:color w:val="auto"/>
        </w:rPr>
        <w:instrText>?","</w:instrText>
      </w:r>
      <w:r w:rsidR="00765C06">
        <w:rPr>
          <w:rStyle w:val="fontstyle01"/>
          <w:color w:val="auto"/>
          <w:lang w:val="en-US"/>
        </w:rPr>
        <w:instrText>type</w:instrText>
      </w:r>
      <w:r w:rsidR="00765C06" w:rsidRPr="00015FE3">
        <w:rPr>
          <w:rStyle w:val="fontstyle01"/>
          <w:color w:val="auto"/>
        </w:rPr>
        <w:instrText>":"</w:instrText>
      </w:r>
      <w:r w:rsidR="00765C06">
        <w:rPr>
          <w:rStyle w:val="fontstyle01"/>
          <w:color w:val="auto"/>
          <w:lang w:val="en-US"/>
        </w:rPr>
        <w:instrText>article</w:instrText>
      </w:r>
      <w:r w:rsidR="00765C06" w:rsidRPr="00015FE3">
        <w:rPr>
          <w:rStyle w:val="fontstyle01"/>
          <w:color w:val="auto"/>
        </w:rPr>
        <w:instrText>-</w:instrText>
      </w:r>
      <w:r w:rsidR="00765C06">
        <w:rPr>
          <w:rStyle w:val="fontstyle01"/>
          <w:color w:val="auto"/>
          <w:lang w:val="en-US"/>
        </w:rPr>
        <w:instrText>journal</w:instrText>
      </w:r>
      <w:r w:rsidR="00765C06" w:rsidRPr="00015FE3">
        <w:rPr>
          <w:rStyle w:val="fontstyle01"/>
          <w:color w:val="auto"/>
        </w:rPr>
        <w:instrText>","</w:instrText>
      </w:r>
      <w:r w:rsidR="00765C06">
        <w:rPr>
          <w:rStyle w:val="fontstyle01"/>
          <w:color w:val="auto"/>
          <w:lang w:val="en-US"/>
        </w:rPr>
        <w:instrText>volume</w:instrText>
      </w:r>
      <w:r w:rsidR="00765C06" w:rsidRPr="00015FE3">
        <w:rPr>
          <w:rStyle w:val="fontstyle01"/>
          <w:color w:val="auto"/>
        </w:rPr>
        <w:instrText>":"137"},"</w:instrText>
      </w:r>
      <w:r w:rsidR="00765C06">
        <w:rPr>
          <w:rStyle w:val="fontstyle01"/>
          <w:color w:val="auto"/>
          <w:lang w:val="en-US"/>
        </w:rPr>
        <w:instrText>uris</w:instrText>
      </w:r>
      <w:r w:rsidR="00765C06" w:rsidRPr="00015FE3">
        <w:rPr>
          <w:rStyle w:val="fontstyle01"/>
          <w:color w:val="auto"/>
        </w:rPr>
        <w:instrText>":["</w:instrText>
      </w:r>
      <w:r w:rsidR="00765C06">
        <w:rPr>
          <w:rStyle w:val="fontstyle01"/>
          <w:color w:val="auto"/>
          <w:lang w:val="en-US"/>
        </w:rPr>
        <w:instrText>http</w:instrText>
      </w:r>
      <w:r w:rsidR="00765C06" w:rsidRPr="00015FE3">
        <w:rPr>
          <w:rStyle w:val="fontstyle01"/>
          <w:color w:val="auto"/>
        </w:rPr>
        <w:instrText>://</w:instrText>
      </w:r>
      <w:r w:rsidR="00765C06">
        <w:rPr>
          <w:rStyle w:val="fontstyle01"/>
          <w:color w:val="auto"/>
          <w:lang w:val="en-US"/>
        </w:rPr>
        <w:instrText>www</w:instrText>
      </w:r>
      <w:r w:rsidR="00765C06" w:rsidRPr="00015FE3">
        <w:rPr>
          <w:rStyle w:val="fontstyle01"/>
          <w:color w:val="auto"/>
        </w:rPr>
        <w:instrText>.</w:instrText>
      </w:r>
      <w:r w:rsidR="00765C06">
        <w:rPr>
          <w:rStyle w:val="fontstyle01"/>
          <w:color w:val="auto"/>
          <w:lang w:val="en-US"/>
        </w:rPr>
        <w:instrText>mendeley</w:instrText>
      </w:r>
      <w:r w:rsidR="00765C06" w:rsidRPr="00015FE3">
        <w:rPr>
          <w:rStyle w:val="fontstyle01"/>
          <w:color w:val="auto"/>
        </w:rPr>
        <w:instrText>.</w:instrText>
      </w:r>
      <w:r w:rsidR="00765C06">
        <w:rPr>
          <w:rStyle w:val="fontstyle01"/>
          <w:color w:val="auto"/>
          <w:lang w:val="en-US"/>
        </w:rPr>
        <w:instrText>com</w:instrText>
      </w:r>
      <w:r w:rsidR="00765C06" w:rsidRPr="00015FE3">
        <w:rPr>
          <w:rStyle w:val="fontstyle01"/>
          <w:color w:val="auto"/>
        </w:rPr>
        <w:instrText>/</w:instrText>
      </w:r>
      <w:r w:rsidR="00765C06">
        <w:rPr>
          <w:rStyle w:val="fontstyle01"/>
          <w:color w:val="auto"/>
          <w:lang w:val="en-US"/>
        </w:rPr>
        <w:instrText>documents</w:instrText>
      </w:r>
      <w:r w:rsidR="00765C06" w:rsidRPr="00015FE3">
        <w:rPr>
          <w:rStyle w:val="fontstyle01"/>
          <w:color w:val="auto"/>
        </w:rPr>
        <w:instrText>/?</w:instrText>
      </w:r>
      <w:r w:rsidR="00765C06">
        <w:rPr>
          <w:rStyle w:val="fontstyle01"/>
          <w:color w:val="auto"/>
          <w:lang w:val="en-US"/>
        </w:rPr>
        <w:instrText>uuid</w:instrText>
      </w:r>
      <w:r w:rsidR="00765C06" w:rsidRPr="00015FE3">
        <w:rPr>
          <w:rStyle w:val="fontstyle01"/>
          <w:color w:val="auto"/>
        </w:rPr>
        <w:instrText>=63</w:instrText>
      </w:r>
      <w:r w:rsidR="00765C06">
        <w:rPr>
          <w:rStyle w:val="fontstyle01"/>
          <w:color w:val="auto"/>
          <w:lang w:val="en-US"/>
        </w:rPr>
        <w:instrText>ea</w:instrText>
      </w:r>
      <w:r w:rsidR="00765C06" w:rsidRPr="00015FE3">
        <w:rPr>
          <w:rStyle w:val="fontstyle01"/>
          <w:color w:val="auto"/>
        </w:rPr>
        <w:instrText>546</w:instrText>
      </w:r>
      <w:r w:rsidR="00765C06">
        <w:rPr>
          <w:rStyle w:val="fontstyle01"/>
          <w:color w:val="auto"/>
          <w:lang w:val="en-US"/>
        </w:rPr>
        <w:instrText>b</w:instrText>
      </w:r>
      <w:r w:rsidR="00765C06" w:rsidRPr="00015FE3">
        <w:rPr>
          <w:rStyle w:val="fontstyle01"/>
          <w:color w:val="auto"/>
        </w:rPr>
        <w:instrText>-</w:instrText>
      </w:r>
      <w:r w:rsidR="00765C06">
        <w:rPr>
          <w:rStyle w:val="fontstyle01"/>
          <w:color w:val="auto"/>
          <w:lang w:val="en-US"/>
        </w:rPr>
        <w:instrText>faa</w:instrText>
      </w:r>
      <w:r w:rsidR="00765C06" w:rsidRPr="00015FE3">
        <w:rPr>
          <w:rStyle w:val="fontstyle01"/>
          <w:color w:val="auto"/>
        </w:rPr>
        <w:instrText>2-47</w:instrText>
      </w:r>
      <w:r w:rsidR="00765C06">
        <w:rPr>
          <w:rStyle w:val="fontstyle01"/>
          <w:color w:val="auto"/>
          <w:lang w:val="en-US"/>
        </w:rPr>
        <w:instrText>aa</w:instrText>
      </w:r>
      <w:r w:rsidR="00765C06" w:rsidRPr="00015FE3">
        <w:rPr>
          <w:rStyle w:val="fontstyle01"/>
          <w:color w:val="auto"/>
        </w:rPr>
        <w:instrText>-</w:instrText>
      </w:r>
      <w:r w:rsidR="00765C06">
        <w:rPr>
          <w:rStyle w:val="fontstyle01"/>
          <w:color w:val="auto"/>
          <w:lang w:val="en-US"/>
        </w:rPr>
        <w:instrText>ac</w:instrText>
      </w:r>
      <w:r w:rsidR="00765C06" w:rsidRPr="00015FE3">
        <w:rPr>
          <w:rStyle w:val="fontstyle01"/>
          <w:color w:val="auto"/>
        </w:rPr>
        <w:instrText>5</w:instrText>
      </w:r>
      <w:r w:rsidR="00765C06">
        <w:rPr>
          <w:rStyle w:val="fontstyle01"/>
          <w:color w:val="auto"/>
          <w:lang w:val="en-US"/>
        </w:rPr>
        <w:instrText>a</w:instrText>
      </w:r>
      <w:r w:rsidR="00765C06" w:rsidRPr="00015FE3">
        <w:rPr>
          <w:rStyle w:val="fontstyle01"/>
          <w:color w:val="auto"/>
        </w:rPr>
        <w:instrText>-</w:instrText>
      </w:r>
      <w:r w:rsidR="00765C06">
        <w:rPr>
          <w:rStyle w:val="fontstyle01"/>
          <w:color w:val="auto"/>
          <w:lang w:val="en-US"/>
        </w:rPr>
        <w:instrText>d</w:instrText>
      </w:r>
      <w:r w:rsidR="00765C06" w:rsidRPr="00015FE3">
        <w:rPr>
          <w:rStyle w:val="fontstyle01"/>
          <w:color w:val="auto"/>
        </w:rPr>
        <w:instrText>2</w:instrText>
      </w:r>
      <w:r w:rsidR="00765C06">
        <w:rPr>
          <w:rStyle w:val="fontstyle01"/>
          <w:color w:val="auto"/>
          <w:lang w:val="en-US"/>
        </w:rPr>
        <w:instrText>fe</w:instrText>
      </w:r>
      <w:r w:rsidR="00765C06" w:rsidRPr="00015FE3">
        <w:rPr>
          <w:rStyle w:val="fontstyle01"/>
          <w:color w:val="auto"/>
        </w:rPr>
        <w:instrText>255</w:instrText>
      </w:r>
      <w:r w:rsidR="00765C06">
        <w:rPr>
          <w:rStyle w:val="fontstyle01"/>
          <w:color w:val="auto"/>
          <w:lang w:val="en-US"/>
        </w:rPr>
        <w:instrText>b</w:instrText>
      </w:r>
      <w:r w:rsidR="00765C06" w:rsidRPr="00015FE3">
        <w:rPr>
          <w:rStyle w:val="fontstyle01"/>
          <w:color w:val="auto"/>
        </w:rPr>
        <w:instrText>15</w:instrText>
      </w:r>
      <w:r w:rsidR="00765C06">
        <w:rPr>
          <w:rStyle w:val="fontstyle01"/>
          <w:color w:val="auto"/>
          <w:lang w:val="en-US"/>
        </w:rPr>
        <w:instrText>d</w:instrText>
      </w:r>
      <w:r w:rsidR="00765C06" w:rsidRPr="00015FE3">
        <w:rPr>
          <w:rStyle w:val="fontstyle01"/>
          <w:color w:val="auto"/>
        </w:rPr>
        <w:instrText>3"]}],"</w:instrText>
      </w:r>
      <w:r w:rsidR="00765C06">
        <w:rPr>
          <w:rStyle w:val="fontstyle01"/>
          <w:color w:val="auto"/>
          <w:lang w:val="en-US"/>
        </w:rPr>
        <w:instrText>mendeley</w:instrText>
      </w:r>
      <w:r w:rsidR="00765C06" w:rsidRPr="00015FE3">
        <w:rPr>
          <w:rStyle w:val="fontstyle01"/>
          <w:color w:val="auto"/>
        </w:rPr>
        <w:instrText>":{"</w:instrText>
      </w:r>
      <w:r w:rsidR="00765C06">
        <w:rPr>
          <w:rStyle w:val="fontstyle01"/>
          <w:color w:val="auto"/>
          <w:lang w:val="en-US"/>
        </w:rPr>
        <w:instrText>formattedCitation</w:instrText>
      </w:r>
      <w:r w:rsidR="00765C06" w:rsidRPr="00015FE3">
        <w:rPr>
          <w:rStyle w:val="fontstyle01"/>
          <w:color w:val="auto"/>
        </w:rPr>
        <w:instrText>":"[54]","</w:instrText>
      </w:r>
      <w:r w:rsidR="00765C06">
        <w:rPr>
          <w:rStyle w:val="fontstyle01"/>
          <w:color w:val="auto"/>
          <w:lang w:val="en-US"/>
        </w:rPr>
        <w:instrText>plainTextFormattedCitation</w:instrText>
      </w:r>
      <w:r w:rsidR="00765C06" w:rsidRPr="00015FE3">
        <w:rPr>
          <w:rStyle w:val="fontstyle01"/>
          <w:color w:val="auto"/>
        </w:rPr>
        <w:instrText>":"[54]","</w:instrText>
      </w:r>
      <w:r w:rsidR="00765C06">
        <w:rPr>
          <w:rStyle w:val="fontstyle01"/>
          <w:color w:val="auto"/>
          <w:lang w:val="en-US"/>
        </w:rPr>
        <w:instrText>previouslyFormattedCitation</w:instrText>
      </w:r>
      <w:r w:rsidR="00765C06" w:rsidRPr="00015FE3">
        <w:rPr>
          <w:rStyle w:val="fontstyle01"/>
          <w:color w:val="auto"/>
        </w:rPr>
        <w:instrText>":"[54]"},"</w:instrText>
      </w:r>
      <w:r w:rsidR="00765C06">
        <w:rPr>
          <w:rStyle w:val="fontstyle01"/>
          <w:color w:val="auto"/>
          <w:lang w:val="en-US"/>
        </w:rPr>
        <w:instrText>properties</w:instrText>
      </w:r>
      <w:r w:rsidR="00765C06" w:rsidRPr="00015FE3">
        <w:rPr>
          <w:rStyle w:val="fontstyle01"/>
          <w:color w:val="auto"/>
        </w:rPr>
        <w:instrText>":{"</w:instrText>
      </w:r>
      <w:r w:rsidR="00765C06">
        <w:rPr>
          <w:rStyle w:val="fontstyle01"/>
          <w:color w:val="auto"/>
          <w:lang w:val="en-US"/>
        </w:rPr>
        <w:instrText>noteIndex</w:instrText>
      </w:r>
      <w:r w:rsidR="00765C06" w:rsidRPr="00015FE3">
        <w:rPr>
          <w:rStyle w:val="fontstyle01"/>
          <w:color w:val="auto"/>
        </w:rPr>
        <w:instrText>":0},"</w:instrText>
      </w:r>
      <w:r w:rsidR="00765C06">
        <w:rPr>
          <w:rStyle w:val="fontstyle01"/>
          <w:color w:val="auto"/>
          <w:lang w:val="en-US"/>
        </w:rPr>
        <w:instrText>schema</w:instrText>
      </w:r>
      <w:r w:rsidR="00765C06" w:rsidRPr="00015FE3">
        <w:rPr>
          <w:rStyle w:val="fontstyle01"/>
          <w:color w:val="auto"/>
        </w:rPr>
        <w:instrText>":"</w:instrText>
      </w:r>
      <w:r w:rsidR="00765C06">
        <w:rPr>
          <w:rStyle w:val="fontstyle01"/>
          <w:color w:val="auto"/>
          <w:lang w:val="en-US"/>
        </w:rPr>
        <w:instrText>https</w:instrText>
      </w:r>
      <w:r w:rsidR="00765C06" w:rsidRPr="00015FE3">
        <w:rPr>
          <w:rStyle w:val="fontstyle01"/>
          <w:color w:val="auto"/>
        </w:rPr>
        <w:instrText>://</w:instrText>
      </w:r>
      <w:r w:rsidR="00765C06">
        <w:rPr>
          <w:rStyle w:val="fontstyle01"/>
          <w:color w:val="auto"/>
          <w:lang w:val="en-US"/>
        </w:rPr>
        <w:instrText>github</w:instrText>
      </w:r>
      <w:r w:rsidR="00765C06" w:rsidRPr="00015FE3">
        <w:rPr>
          <w:rStyle w:val="fontstyle01"/>
          <w:color w:val="auto"/>
        </w:rPr>
        <w:instrText>.</w:instrText>
      </w:r>
      <w:r w:rsidR="00765C06">
        <w:rPr>
          <w:rStyle w:val="fontstyle01"/>
          <w:color w:val="auto"/>
          <w:lang w:val="en-US"/>
        </w:rPr>
        <w:instrText>com</w:instrText>
      </w:r>
      <w:r w:rsidR="00765C06" w:rsidRPr="00015FE3">
        <w:rPr>
          <w:rStyle w:val="fontstyle01"/>
          <w:color w:val="auto"/>
        </w:rPr>
        <w:instrText>/</w:instrText>
      </w:r>
      <w:r w:rsidR="00765C06">
        <w:rPr>
          <w:rStyle w:val="fontstyle01"/>
          <w:color w:val="auto"/>
          <w:lang w:val="en-US"/>
        </w:rPr>
        <w:instrText>citation</w:instrText>
      </w:r>
      <w:r w:rsidR="00765C06" w:rsidRPr="00015FE3">
        <w:rPr>
          <w:rStyle w:val="fontstyle01"/>
          <w:color w:val="auto"/>
        </w:rPr>
        <w:instrText>-</w:instrText>
      </w:r>
      <w:r w:rsidR="00765C06">
        <w:rPr>
          <w:rStyle w:val="fontstyle01"/>
          <w:color w:val="auto"/>
          <w:lang w:val="en-US"/>
        </w:rPr>
        <w:instrText>style</w:instrText>
      </w:r>
      <w:r w:rsidR="00765C06" w:rsidRPr="00015FE3">
        <w:rPr>
          <w:rStyle w:val="fontstyle01"/>
          <w:color w:val="auto"/>
        </w:rPr>
        <w:instrText>-</w:instrText>
      </w:r>
      <w:r w:rsidR="00765C06">
        <w:rPr>
          <w:rStyle w:val="fontstyle01"/>
          <w:color w:val="auto"/>
          <w:lang w:val="en-US"/>
        </w:rPr>
        <w:instrText>language</w:instrText>
      </w:r>
      <w:r w:rsidR="00765C06" w:rsidRPr="00015FE3">
        <w:rPr>
          <w:rStyle w:val="fontstyle01"/>
          <w:color w:val="auto"/>
        </w:rPr>
        <w:instrText>/</w:instrText>
      </w:r>
      <w:r w:rsidR="00765C06">
        <w:rPr>
          <w:rStyle w:val="fontstyle01"/>
          <w:color w:val="auto"/>
          <w:lang w:val="en-US"/>
        </w:rPr>
        <w:instrText>schema</w:instrText>
      </w:r>
      <w:r w:rsidR="00765C06" w:rsidRPr="00015FE3">
        <w:rPr>
          <w:rStyle w:val="fontstyle01"/>
          <w:color w:val="auto"/>
        </w:rPr>
        <w:instrText>/</w:instrText>
      </w:r>
      <w:r w:rsidR="00765C06">
        <w:rPr>
          <w:rStyle w:val="fontstyle01"/>
          <w:color w:val="auto"/>
          <w:lang w:val="en-US"/>
        </w:rPr>
        <w:instrText>raw</w:instrText>
      </w:r>
      <w:r w:rsidR="00765C06" w:rsidRPr="00015FE3">
        <w:rPr>
          <w:rStyle w:val="fontstyle01"/>
          <w:color w:val="auto"/>
        </w:rPr>
        <w:instrText>/</w:instrText>
      </w:r>
      <w:r w:rsidR="00765C06">
        <w:rPr>
          <w:rStyle w:val="fontstyle01"/>
          <w:color w:val="auto"/>
          <w:lang w:val="en-US"/>
        </w:rPr>
        <w:instrText>master</w:instrText>
      </w:r>
      <w:r w:rsidR="00765C06" w:rsidRPr="00015FE3">
        <w:rPr>
          <w:rStyle w:val="fontstyle01"/>
          <w:color w:val="auto"/>
        </w:rPr>
        <w:instrText>/</w:instrText>
      </w:r>
      <w:r w:rsidR="00765C06">
        <w:rPr>
          <w:rStyle w:val="fontstyle01"/>
          <w:color w:val="auto"/>
          <w:lang w:val="en-US"/>
        </w:rPr>
        <w:instrText>csl</w:instrText>
      </w:r>
      <w:r w:rsidR="00765C06" w:rsidRPr="00015FE3">
        <w:rPr>
          <w:rStyle w:val="fontstyle01"/>
          <w:color w:val="auto"/>
        </w:rPr>
        <w:instrText>-</w:instrText>
      </w:r>
      <w:r w:rsidR="00765C06">
        <w:rPr>
          <w:rStyle w:val="fontstyle01"/>
          <w:color w:val="auto"/>
          <w:lang w:val="en-US"/>
        </w:rPr>
        <w:instrText>citation</w:instrText>
      </w:r>
      <w:r w:rsidR="00765C06" w:rsidRPr="00015FE3">
        <w:rPr>
          <w:rStyle w:val="fontstyle01"/>
          <w:color w:val="auto"/>
        </w:rPr>
        <w:instrText>.</w:instrText>
      </w:r>
      <w:r w:rsidR="00765C06">
        <w:rPr>
          <w:rStyle w:val="fontstyle01"/>
          <w:color w:val="auto"/>
          <w:lang w:val="en-US"/>
        </w:rPr>
        <w:instrText>json</w:instrText>
      </w:r>
      <w:r w:rsidR="00765C06" w:rsidRPr="00015FE3">
        <w:rPr>
          <w:rStyle w:val="fontstyle01"/>
          <w:color w:val="auto"/>
        </w:rPr>
        <w:instrText>"}</w:instrText>
      </w:r>
      <w:r w:rsidRPr="001B27F8">
        <w:rPr>
          <w:rStyle w:val="fontstyle01"/>
          <w:color w:val="auto"/>
          <w:lang w:val="en-US"/>
        </w:rPr>
        <w:fldChar w:fldCharType="separate"/>
      </w:r>
      <w:r w:rsidR="00877069" w:rsidRPr="00877069">
        <w:rPr>
          <w:rStyle w:val="fontstyle01"/>
          <w:noProof/>
          <w:color w:val="auto"/>
        </w:rPr>
        <w:t>[54]</w:t>
      </w:r>
      <w:r w:rsidRPr="001B27F8">
        <w:rPr>
          <w:rStyle w:val="fontstyle01"/>
          <w:color w:val="auto"/>
          <w:lang w:val="en-US"/>
        </w:rPr>
        <w:fldChar w:fldCharType="end"/>
      </w:r>
      <w:r w:rsidR="009F0A65" w:rsidRPr="001B27F8">
        <w:rPr>
          <w:rStyle w:val="fontstyle01"/>
          <w:color w:val="auto"/>
        </w:rPr>
        <w:t xml:space="preserve">. Большинство местных реакций возникают вскоре после начала лечения и обычно проходят самостоятельно в течение нескольких минут без какого-либо медицинского вмешательства </w:t>
      </w:r>
      <w:r w:rsidR="009F0A65" w:rsidRPr="001B27F8">
        <w:rPr>
          <w:rStyle w:val="fontstyle01"/>
          <w:color w:val="auto"/>
        </w:rPr>
        <w:fldChar w:fldCharType="begin" w:fldLock="1"/>
      </w:r>
      <w:r w:rsidR="00A02E0E">
        <w:rPr>
          <w:rStyle w:val="fontstyle01"/>
          <w:color w:val="auto"/>
        </w:rPr>
        <w:instrText>ADDIN CSL_CITATION {"citationItems":[{"id":"ITEM-1","itemData":{"author":[{"dropping-particle":"","family":"Курбачева","given":"О. М.","non-dropping-particle":"","parse-names":false,"suffix":""}],"container-title":"Российский Аллергологический Журнал","id":"ITEM-1","issued":{"date-parts":[["2016"]]},"page":"55-61","title":"Аллерген-специфическая иммунотерапия","type":"article-journal"},"uris":["http://www.mendeley.com/documents/?uuid=d2d5db48-28b6-4435-b68e-191f66b11be1"]}],"mendeley":{"formattedCitation":"[133]","plainTextFormattedCitation":"[133]","previouslyFormattedCitation":"[133]"},"properties":{"noteIndex":0},"schema":"https://github.com/citation-style-language/schema/raw/master/csl-citation.json"}</w:instrText>
      </w:r>
      <w:r w:rsidR="009F0A65" w:rsidRPr="001B27F8">
        <w:rPr>
          <w:rStyle w:val="fontstyle01"/>
          <w:color w:val="auto"/>
        </w:rPr>
        <w:fldChar w:fldCharType="separate"/>
      </w:r>
      <w:r w:rsidR="00332566" w:rsidRPr="00332566">
        <w:rPr>
          <w:rStyle w:val="fontstyle01"/>
          <w:noProof/>
          <w:color w:val="auto"/>
        </w:rPr>
        <w:t>[133]</w:t>
      </w:r>
      <w:r w:rsidR="009F0A65" w:rsidRPr="001B27F8">
        <w:rPr>
          <w:rStyle w:val="fontstyle01"/>
          <w:color w:val="auto"/>
        </w:rPr>
        <w:fldChar w:fldCharType="end"/>
      </w:r>
      <w:r w:rsidR="009F0A65" w:rsidRPr="001B27F8">
        <w:rPr>
          <w:rStyle w:val="fontstyle01"/>
          <w:color w:val="auto"/>
        </w:rPr>
        <w:t>.</w:t>
      </w:r>
    </w:p>
    <w:p w14:paraId="6727CF86" w14:textId="1D62258C" w:rsidR="002C5EC3" w:rsidRPr="001B27F8" w:rsidRDefault="002C5EC3" w:rsidP="001B27F8">
      <w:pPr>
        <w:tabs>
          <w:tab w:val="left" w:pos="851"/>
        </w:tabs>
        <w:spacing w:after="0" w:line="240" w:lineRule="auto"/>
        <w:ind w:firstLine="567"/>
        <w:jc w:val="both"/>
        <w:rPr>
          <w:rStyle w:val="fontstyle01"/>
          <w:color w:val="auto"/>
        </w:rPr>
      </w:pPr>
      <w:r w:rsidRPr="001B27F8">
        <w:rPr>
          <w:rStyle w:val="fontstyle01"/>
          <w:color w:val="auto"/>
        </w:rPr>
        <w:t>Системные побочные реакции возникают вне области введения аллергена и развиваются в течение нескольких минут. По степени тяжести системные реакции разделяют на те, которые не угрожают жизни пациента (легкие и средней тяжести), и угрожающие жизни (тяжелые). Легкие системные реакции могут сопровождаться заложенностью носа, чиханьем, зудом в носу, зудом век, покраснением глаз, слезотечением, першением в горле, сухим кашлем; реакции средней тяжести могут выражаться затруднением дыхания, появлением кожного зуда и высыпаний по всему телу. К тяжелым реакциям относят выраженный бронхоспазм, генерализованную крапивницу, отек гортани, анафилактический шок</w:t>
      </w:r>
      <w:r w:rsidR="006D72C8" w:rsidRPr="001B27F8">
        <w:rPr>
          <w:rStyle w:val="fontstyle01"/>
          <w:color w:val="auto"/>
        </w:rPr>
        <w:t xml:space="preserve"> </w:t>
      </w:r>
      <w:r w:rsidR="006D72C8" w:rsidRPr="001B27F8">
        <w:rPr>
          <w:rStyle w:val="fontstyle01"/>
          <w:color w:val="auto"/>
        </w:rPr>
        <w:fldChar w:fldCharType="begin" w:fldLock="1"/>
      </w:r>
      <w:r w:rsidR="00A02E0E">
        <w:rPr>
          <w:rStyle w:val="fontstyle01"/>
          <w:color w:val="auto"/>
        </w:rPr>
        <w:instrText>ADDIN CSL_CITATION {"citationItems":[{"id":"ITEM-1","itemData":{"author":[{"dropping-particle":"","family":"Курбачева","given":"О. М.","non-dropping-particle":"","parse-names":false,"suffix":""}],"container-title":"Российский Аллергологический Журнал","id":"ITEM-1","issued":{"date-parts":[["2016"]]},"page":"55-61","title":"Аллерген-специфическая иммунотерапия","type":"article-journal"},"uris":["http://www.mendeley.com/documents/?uuid=d2d5db48-28b6-4435-b68e-191f66b11be1"]}],"mendeley":{"formattedCitation":"[133]","plainTextFormattedCitation":"[133]","previouslyFormattedCitation":"[133]"},"properties":{"noteIndex":0},"schema":"https://github.com/citation-style-language/schema/raw/master/csl-citation.json"}</w:instrText>
      </w:r>
      <w:r w:rsidR="006D72C8" w:rsidRPr="001B27F8">
        <w:rPr>
          <w:rStyle w:val="fontstyle01"/>
          <w:color w:val="auto"/>
        </w:rPr>
        <w:fldChar w:fldCharType="separate"/>
      </w:r>
      <w:r w:rsidR="00332566" w:rsidRPr="00332566">
        <w:rPr>
          <w:rStyle w:val="fontstyle01"/>
          <w:noProof/>
          <w:color w:val="auto"/>
        </w:rPr>
        <w:t>[133]</w:t>
      </w:r>
      <w:r w:rsidR="006D72C8" w:rsidRPr="001B27F8">
        <w:rPr>
          <w:rStyle w:val="fontstyle01"/>
          <w:color w:val="auto"/>
        </w:rPr>
        <w:fldChar w:fldCharType="end"/>
      </w:r>
      <w:r w:rsidRPr="001B27F8">
        <w:rPr>
          <w:rStyle w:val="fontstyle01"/>
          <w:color w:val="auto"/>
        </w:rPr>
        <w:t xml:space="preserve">. </w:t>
      </w:r>
    </w:p>
    <w:p w14:paraId="5B690929" w14:textId="598B4CBE" w:rsidR="00A61B88" w:rsidRPr="001B27F8" w:rsidRDefault="00F87F0A" w:rsidP="001B27F8">
      <w:pPr>
        <w:tabs>
          <w:tab w:val="left" w:pos="851"/>
        </w:tabs>
        <w:spacing w:after="0" w:line="240" w:lineRule="auto"/>
        <w:ind w:firstLine="567"/>
        <w:jc w:val="both"/>
        <w:rPr>
          <w:rStyle w:val="fontstyle01"/>
          <w:color w:val="auto"/>
        </w:rPr>
      </w:pPr>
      <w:r w:rsidRPr="001B27F8">
        <w:rPr>
          <w:rStyle w:val="fontstyle01"/>
          <w:color w:val="auto"/>
        </w:rPr>
        <w:t>Результаты клинических испытаний</w:t>
      </w:r>
      <w:r w:rsidR="00A61B88" w:rsidRPr="001B27F8">
        <w:rPr>
          <w:rStyle w:val="fontstyle01"/>
          <w:color w:val="auto"/>
        </w:rPr>
        <w:t xml:space="preserve"> за 20-летний период</w:t>
      </w:r>
      <w:r w:rsidRPr="001B27F8">
        <w:rPr>
          <w:rStyle w:val="fontstyle01"/>
          <w:color w:val="auto"/>
        </w:rPr>
        <w:t xml:space="preserve"> показали, что системные побочные реакции при СЛИТ возникают редких случаях</w:t>
      </w:r>
      <w:r w:rsidR="006D72C8" w:rsidRPr="001B27F8">
        <w:rPr>
          <w:rStyle w:val="fontstyle01"/>
          <w:color w:val="auto"/>
        </w:rPr>
        <w:t>, характеризуются легкими проявлениями без анафилаксии</w:t>
      </w:r>
      <w:r w:rsidR="0007459B">
        <w:rPr>
          <w:rStyle w:val="fontstyle01"/>
          <w:color w:val="auto"/>
        </w:rPr>
        <w:t xml:space="preserve"> </w:t>
      </w:r>
      <w:r w:rsidR="003A0F8C" w:rsidRPr="001B27F8">
        <w:rPr>
          <w:rStyle w:val="fontstyle01"/>
          <w:color w:val="auto"/>
        </w:rPr>
        <w:fldChar w:fldCharType="begin" w:fldLock="1"/>
      </w:r>
      <w:r w:rsidR="00A02E0E">
        <w:rPr>
          <w:rStyle w:val="fontstyle01"/>
          <w:color w:val="auto"/>
        </w:rPr>
        <w:instrText>ADDIN CSL_CITATION {"citationItems":[{"id":"ITEM-1","itemData":{"DOI":"10.1016/j.jaci.2013.11.012","ISSN":"10976825","PMID":"24388010","abstract":"Background Preliminary studies have suggested the efficacy of sublingual tablets of house dust mite (HDM) extracts in adults with allergic rhinitis. Objectives We sought to assess the efficacy and safety of 2 doses of HDM sublingual tablets over 1 treatment year and the subsequent immunotherapy-free year. Methods Adults with HDM-associated allergic rhinitis were randomized in a double-blind, placebo-controlled study to receive 500 index of reactivity (IR) tablets, 300IR tablets, or placebo administered once daily for 1 year and were followed for the subsequent year. The primary efficacy variable was the Average Adjusted Symptom Score over the year 1 primary period (ie, October 1 to December 31). Symptoms and rescue medication scores, onset of action, patient-reported outcomes, and safety were secondary variables. The same end points were evaluated during the immunotherapy-free year. The primary efficacy end point was analyzed by using analysis of covariance. Results Five hundred nine participants were randomized, and 427 continued in the immunotherapy-free year. Both the 500IR and 300IR HDM sublingual tablets significantly reduced mean Average Adjusted Symptom Scores compared with placebo by -20.2% (P =.0066) and -17.9% (P =.0150), respectively. Efficacy of both doses was maintained during the treatment-free follow-up phase. The onset of action was at 4 months. Participants' global evaluation of treatment success was significantly higher in the 500IR and 300IR groups compared with the placebo group (P =.0206 and P =.0001, respectively). Adverse events were generally application-site reactions. There were no reports of anaphylaxis. Conclusions Twelve months of treatment with 500IR and 300IR sublingual tablets of HDM allergen extracts was efficacious and well tolerated. Efficacy was maintained during the treatment-free follow-up year. © 2014 American Academy of Allergy, Asthma &amp; Immunology.","author":[{"dropping-particle":"","family":"Bergmann","given":"Karl Christian","non-dropping-particle":"","parse-names":false,"suffix":""},{"dropping-particle":"","family":"Demoly","given":"Pascal","non-dropping-particle":"","parse-names":false,"suffix":""},{"dropping-particle":"","family":"Worm","given":"Margitta","non-dropping-particle":"","parse-names":false,"suffix":""},{"dropping-particle":"","family":"Fokkens","given":"Wytske J.","non-dropping-particle":"","parse-names":false,"suffix":""},{"dropping-particle":"","family":"Carrillo","given":"Teresa","non-dropping-particle":"","parse-names":false,"suffix":""},{"dropping-particle":"","family":"Tabar","given":"Ana I.","non-dropping-particle":"","parse-names":false,"suffix":""},{"dropping-particle":"","family":"Nguyen","given":"Hélène","non-dropping-particle":"","parse-names":false,"suffix":""},{"dropping-particle":"","family":"Montagut","given":"Armelle","non-dropping-particle":"","parse-names":false,"suffix":""},{"dropping-particle":"","family":"Zeldin","given":"Robert K.","non-dropping-particle":"","parse-names":false,"suffix":""}],"container-title":"Journal of Allergy and Clinical Immunology","id":"ITEM-1","issue":"6","issued":{"date-parts":[["2014"]]},"title":"Efficacy and safety of sublingual tablets of house dust mite allergen extracts in adults with allergic rhinitis","type":"article-journal","volume":"133"},"uris":["http://www.mendeley.com/documents/?uuid=3efba721-ce98-4926-a10f-acdf9d89adab"]},{"id":"ITEM-2","itemData":{"DOI":"10.1016/j.anai.2014.11.015","ISBN":"2006001795","ISSN":"15344436","PMID":"25624131","abstract":"Background House dust mite (HDM) allergy is associated with persistent allergic rhinitis (AR) and allergic asthma. Objective To investigate the efficacy and safety of a SQ HDM sublingually administered immunotherapy tablet (ALK, Hørsholm, Denmark) in adults and adolescents with HDM respiratory allergic disease and report the AR results. Methods Six hundred four subjects at least 14 years old with HDM AR and mild to moderate HDM allergic asthma were randomized 1:1:1:1 to double-blinded daily treatment with 1, 3, 6 SQ-HDM or placebo. End-of-treatment rhinoconjunctivitis symptoms and medication score were predefined extrapulmonary end points. A subgroup analysis was conducted post hoc in subjects with a total combined rhinitis score (TCRS) &gt; 0 (ie, with AR symptoms and/or AR medication use during the 4-week baseline period). The subgroup was comprised of 498 subjects (82%). Results In the subgroup, the absolute difference in end-of-treatment TCRS between 6 SQ-HDM and placebo was -0.78 (95% confidence interval -1.47 to -0.07, relative difference 28.8%, P =.0357). Furthermore, a significant difference was found for the total score of the Rhinitis Quality of Life Questionnaire with Standardized Activities RQLQ(S) and for the individual domains: activities, sleep, non-nose and non-eye symptoms, and nasal symptoms. For the TCRS and Rhinitis Quality of Life Questionnaire score, a dose response was seen, with numerically lower, nonsignificant differences for 1 and 3 SQ-HDM. The predefined analysis for the entire trial population showed no statistically significant difference between the placebo and actively treated groups. No safety concerns were observed. Conclusion Efficacy in mild to severe AR of 6 SQ-HDM compared with placebo was demonstrated by statistically significant improvements in TCRS and Rhinitis Quality of Life Questionnaire score in subjects with AR present at baseline. The treatment was well tolerated. Trial Registration EudraCT, no 2006-001795-20; ClinicalTrials.gov, identifier NCT00389363.","author":[{"dropping-particle":"","family":"Mosbech","given":"Holger","non-dropping-particle":"","parse-names":false,"suffix":""},{"dropping-particle":"","family":"Canonica","given":"G. Walter","non-dropping-particle":"","parse-names":false,"suffix":""},{"dropping-particle":"","family":"Backer","given":"Vibeke","non-dropping-particle":"","parse-names":false,"suffix":""},{"dropping-particle":"","family":"Blay","given":"Frederic","non-dropping-particle":"De","parse-names":false,"suffix":""},{"dropping-particle":"","family":"Klimek","given":"Ludger","non-dropping-particle":"","parse-names":false,"suffix":""},{"dropping-particle":"","family":"Broge","given":"Louise","non-dropping-particle":"","parse-names":false,"suffix":""},{"dropping-particle":"","family":"Ljørring","given":"Christian","non-dropping-particle":"","parse-names":false,"suffix":""}],"container-title":"Annals of Allergy, Asthma and Immunology","id":"ITEM-2","issue":"2","issued":{"date-parts":[["2015"]]},"page":"134-140.e1","publisher":"American College of Allergy, Asthma &amp; Immunology","title":"SQ house dust mite sublingually administered immunotherapy tablet (ALK) improves allergic rhinitis in patients with house dust mite allergic asthma and rhinitis symptoms","type":"article-journal","volume":"114"},"uris":["http://www.mendeley.com/documents/?uuid=2a8cb045-8d65-4fca-b01e-7570917b63ee"]},{"id":"ITEM-3","itemData":{"DOI":"10.1016/j.jaci.2015.06.036","ISSN":"10976825","PMID":"26292778","abstract":"Background The SQ HDM SLIT-tablet (ALK) has been developed for treatment of house dust mite (HDM)-induced respiratory allergic disease. Objective This trial investigated the efficacy and safety of the SQ HDM SLIT-tablet in adults with moderate-to-severe HDM-induced allergic rhinitis (AR). Methods The trial was a randomized, double-blind, placebo-controlled phase III trial conducted in 12 European countries including 992 adults with moderate-to-severe HDM-induced AR despite treatment with pharmacotherapy. Subjects were randomized 1:1:1 to 1 year of daily treatment with placebo, 6 SQ-HDM, or 12 SQ-HDM. The primary end point was the total combined rhinitis score (ie, the sum of rhinitis symptom and medication scores) during the efficacy assessment period (approximately the last 8 weeks of the treatment period). Key secondary end points were rhinitis symptoms, medication scores, quality of life, and the combined rhinoconjunctivitis score. Results Analysis of the primary end point (observed data) demonstrated absolute reductions in total combined rhinitis score of 1.18 (P =.002) and 1.22 (P =.001) compared with placebo for 6 SQ-HDM and 12 SQ-HDM, respectively. The statistically significant treatment effect was evident from 14 weeks of treatment onward. For all key secondary end points, efficacy was confirmed for 12 SQ-HDM, with statistically significant reductions of rhinitis symptoms and medication scores, improved quality of life, and a reduced combined rhinoconjunctivitis score in the efficacy assessment period compared with placebo. The treatment was well tolerated. Conclusion The trial confirmed the efficacy and favorable safety profile of both 6 SQ-HDM and 12 SQ-HDM in adults with HDM-induced AR. The treatment effect was present from 14 weeks of treatment onward.","author":[{"dropping-particle":"","family":"Demoly","given":"Pascal","non-dropping-particle":"","parse-names":false,"suffix":""},{"dropping-particle":"","family":"Emminger","given":"Waltraud","non-dropping-particle":"","parse-names":false,"suffix":""},{"dropping-particle":"","family":"Rehm","given":"Dorte","non-dropping-particle":"","parse-names":false,"suffix":""},{"dropping-particle":"","family":"Backer","given":"Vibeke","non-dropping-particle":"","parse-names":false,"suffix":""},{"dropping-particle":"","family":"Tommerup","given":"Lene","non-dropping-particle":"","parse-names":false,"suffix":""},{"dropping-particle":"","family":"Kleine-Tebbe","given":"Jörg","non-dropping-particle":"","parse-names":false,"suffix":""}],"container-title":"Journal of Allergy and Clinical Immunology","id":"ITEM-3","issue":"2","issued":{"date-parts":[["2016"]]},"page":"444-451","title":"Effective treatment of house dust mite-induced allergic rhinitis with 2 doses of the SQ HDM SLIT-tablet: Results from a randomized, double-blind, placebo-controlled phase III trial","type":"article-journal","volume":"137"},"uris":["http://www.mendeley.com/documents/?uuid=952b1d0f-cb9d-4278-945c-f3c220f20bc7"]},{"id":"ITEM-4","itemData":{"DOI":"10.1159/000381059","ISSN":"14230097","PMID":"25895909","abstract":"Background: Japanese cedar (JC) pollinosis is the most common seasonal allergic rhinitis in Japan. Standardized JC pollen extract is available for subcutaneous immunotherapy, but this treatment is limited by potentially serious side effects. The aim of this double-blind, randomized comparative study was to evaluate the efficacy and safety of standardized JC pollen extract in a new oral formulation (CEDARTOLEN®, Torii Pharmaceutical Co., Ltd., Tokyo, Japan) for sublingual immunotherapy (SLIT) for JC pollinosis. Methods: A total of 531 subjects with JC pollinosis were randomized into 2 groups at a ratio of 1:1 to receive daily sublingual administration of standardized JC pollen extract with a maintenance dose of 2,000 Japanese allergy units (JAU) or placebo for 2 consecutive pollen seasons. The efficacy was evaluated using the total nasal symptom and medication score (TNSMS) as the primary end point. Secondary end points included the total ocular symptom and medication score (TOSMS) and scores for individual symptoms and medication. Results: The TNSMS was significantly lower (p &lt; 0.0001) in the SLIT group than in the placebo group in the peak symptom period by 18 and 30% in the first and second seasons, respectively. All secondary end points were also significantly lower in the SLIT group in both seasons. No systemic anaphylaxis occurred. Conclusions: SLIT with daily administration of standardized JC pollen extract was effective for improving nasal and ocular symptoms of JC pollinosis and reducing the use of relief medication. The JC pollen extract was well tolerated with only local adverse events.","author":[{"dropping-particle":"","family":"Okamoto","given":"Yoshitaka","non-dropping-particle":"","parse-names":false,"suffix":""},{"dropping-particle":"","family":"Okubo","given":"Kimihiro","non-dropping-particle":"","parse-names":false,"suffix":""},{"dropping-particle":"","family":"Yonekura","given":"Syuji","non-dropping-particle":"","parse-names":false,"suffix":""},{"dropping-particle":"","family":"Hashiguchi","given":"Kazuhiro","non-dropping-particle":"","parse-names":false,"suffix":""},{"dropping-particle":"","family":"Goto","given":"Minoru","non-dropping-particle":"","parse-names":false,"suffix":""},{"dropping-particle":"","family":"Otsuka","given":"Takashi","non-dropping-particle":"","parse-names":false,"suffix":""},{"dropping-particle":"","family":"Murata","given":"Tadayuki","non-dropping-particle":"","parse-names":false,"suffix":""},{"dropping-particle":"","family":"Nakao","given":"Yuji","non-dropping-particle":"","parse-names":false,"suffix":""},{"dropping-particle":"","family":"Kanazawa","given":"Chigiri","non-dropping-particle":"","parse-names":false,"suffix":""},{"dropping-particle":"","family":"Nagakura","given":"Hitoshi","non-dropping-particle":"","parse-names":false,"suffix":""},{"dropping-particle":"","family":"Okawa","given":"Toru","non-dropping-particle":"","parse-names":false,"suffix":""},{"dropping-particle":"","family":"Nakano","given":"Koichi","non-dropping-particle":"","parse-names":false,"suffix":""},{"dropping-particle":"","family":"Hisamitsu","given":"Minako","non-dropping-particle":"","parse-names":false,"suffix":""},{"dropping-particle":"","family":"Kaneko","given":"Shinya","non-dropping-particle":"","parse-names":false,"suffix":""},{"dropping-particle":"","family":"Konno","given":"Akiyoshi","non-dropping-particle":"","parse-names":false,"suffix":""}],"container-title":"International Archives of Allergy and Immunology","id":"ITEM-4","issue":"3","issued":{"date-parts":[["2015"]]},"page":"177-188","title":"Efficacy and safety of sublingual immunotherapy for two seasons in patients with Japanese cedar pollinosis","type":"article-journal","volume":"166"},"uris":["http://www.mendeley.com/documents/?uuid=11e8da39-7b48-416f-b84d-949b926e141a"]},{"id":"ITEM-5","itemData":{"DOI":"10.1016/j.anai.2013.11.018","ISSN":"15344436","PMID":"24468255","abstract":"Background In North America, few studies have evaluated sublingual immunotherapy for allergic rhinitis with or without conjunctivitis (AR/C); pediatric data are sparse. The authors report findings from the largest published immunotherapy trial yet conducted in adults and children. Objective To evaluate grass sublingual immunotherapy tablet (MK-7243) treatment in subjects with AR/C. Methods North American subjects (5-65 years old) with grass allergy were randomized 1:1 to once-daily MK-7243 (2,800 BAU Phleum pratense) or placebo. The first dose was given at the investigator's office; subsequent doses were self-administered at home. The primary end point was total combined score (TCS; rhinoconjunctivitis daily symptom score [DSS] plus daily medication score [DMS]) over the entire grass pollen season (GPS). Key secondary end points included entire-season DSS, DMS, peak-season TCS, and rhinoconjunctivitis quality-of-life questionnaire scores. Safety outcomes included adverse events (AEs). Results One thousand five hundred one subjects were randomized (85% polysensitized, 25% had asthma). MK-7243 yielded improvements vs placebo of 23% in entire-season TCS (median difference -0.98, P &lt;.001), 29% in peak-season TCS (median difference -1.33, P &lt;.001), 20% in entire-season DSS (median difference -0.64, P =.001), 35% in entire-season DMS (mean difference -0.48, P &lt;.001), and 12% in peak-season rhinoconjunctivitis quality-of-life questionnaire (median difference -0.13, P =.027). Efficacy between children and adults was similar. Most AEs were transient local application-site reactions, with no serious treatment-related AEs or anaphylactic shock. Three subjects (1 placebo, 2 MK-7243) had moderate systemic allergic reactions. Conclusion MK-7243 was effective in polysensitized grass-allergic North American children and adults with AR/C in this large trial, confirming previous research. © 2014 American College of Allergy, Asthma and Immunology. Published by Elsevier Inc. All rights reserved.","author":[{"dropping-particle":"","family":"Maloney","given":"Jennifer","non-dropping-particle":"","parse-names":false,"suffix":""},{"dropping-particle":"","family":"Bernstein","given":"David I.","non-dropping-particle":"","parse-names":false,"suffix":""},{"dropping-particle":"","family":"Nelson","given":"Harold","non-dropping-particle":"","parse-names":false,"suffix":""},{"dropping-particle":"","family":"Creticos","given":"Peter","non-dropping-particle":"","parse-names":false,"suffix":""},{"dropping-particle":"","family":"Hébert","given":"Jacques","non-dropping-particle":"","parse-names":false,"suffix":""},{"dropping-particle":"","family":"Noonan","given":"Michael","non-dropping-particle":"","parse-names":false,"suffix":""},{"dropping-particle":"","family":"Skoner","given":"David","non-dropping-particle":"","parse-names":false,"suffix":""},{"dropping-particle":"","family":"Zhou","given":"Yijie","non-dropping-particle":"","parse-names":false,"suffix":""},{"dropping-particle":"","family":"Kaur","given":"Amarjot","non-dropping-particle":"","parse-names":false,"suffix":""},{"dropping-particle":"","family":"Nolte","given":"Hendrik","non-dropping-particle":"","parse-names":false,"suffix":""}],"container-title":"Annals of Allergy, Asthma and Immunology","id":"ITEM-5","issue":"2","issued":{"date-parts":[["2014"]]},"page":"146-153.e2","publisher":"American College of Allergy, Asthma &amp; Immunology","title":"Efficacy and safety of grass sublingual immunotherapy tablet, MK-7243: A large randomized controlled trial","type":"article-journal","volume":"112"},"uris":["http://www.mendeley.com/documents/?uuid=46b4e791-a2eb-40ae-9c3c-1c5722db5595"]}],"mendeley":{"formattedCitation":"[134–138]","plainTextFormattedCitation":"[134–138]","previouslyFormattedCitation":"[134–138]"},"properties":{"noteIndex":0},"schema":"https://github.com/citation-style-language/schema/raw/master/csl-citation.json"}</w:instrText>
      </w:r>
      <w:r w:rsidR="003A0F8C" w:rsidRPr="001B27F8">
        <w:rPr>
          <w:rStyle w:val="fontstyle01"/>
          <w:color w:val="auto"/>
        </w:rPr>
        <w:fldChar w:fldCharType="separate"/>
      </w:r>
      <w:r w:rsidR="00332566" w:rsidRPr="00332566">
        <w:rPr>
          <w:rStyle w:val="fontstyle01"/>
          <w:noProof/>
          <w:color w:val="auto"/>
        </w:rPr>
        <w:t>[134–138]</w:t>
      </w:r>
      <w:r w:rsidR="003A0F8C" w:rsidRPr="001B27F8">
        <w:rPr>
          <w:rStyle w:val="fontstyle01"/>
          <w:color w:val="auto"/>
        </w:rPr>
        <w:fldChar w:fldCharType="end"/>
      </w:r>
      <w:r w:rsidRPr="001B27F8">
        <w:rPr>
          <w:rStyle w:val="fontstyle01"/>
          <w:color w:val="auto"/>
        </w:rPr>
        <w:t xml:space="preserve">. </w:t>
      </w:r>
      <w:r w:rsidR="00A61B88" w:rsidRPr="001B27F8">
        <w:rPr>
          <w:rStyle w:val="fontstyle01"/>
          <w:color w:val="auto"/>
        </w:rPr>
        <w:t xml:space="preserve">Основными причинами развития системных реакции при СЛИТ оказались многократное превышение рекомендованных доз, прием первой дозы в домашних условиях, отсутствие контроля заболевания, то есть грубое нарушение протокола лечения </w:t>
      </w:r>
      <w:r w:rsidR="00A61B88" w:rsidRPr="001B27F8">
        <w:rPr>
          <w:rStyle w:val="fontstyle01"/>
          <w:color w:val="auto"/>
        </w:rPr>
        <w:fldChar w:fldCharType="begin" w:fldLock="1"/>
      </w:r>
      <w:r w:rsidR="00765C06">
        <w:rPr>
          <w:rStyle w:val="fontstyle01"/>
          <w:color w:val="auto"/>
        </w:rPr>
        <w:instrText>ADDIN CSL_CITATION {"citationItems":[{"id":"ITEM-1","itemData":{"author":[{"dropping-particle":"","family":"Павлова","given":"К.С.","non-dropping-particle":"","parse-names":false,"suffix":""}],"container-title":"Педиатрия","id":"ITEM-1","issue":"4","issued":{"date-parts":[["2017"]]},"page":"56-58","title":"Новые возможности аллерген-специфической иммунотерапии","type":"article-journal"},"uris":["http://www.mendeley.com/documents/?uuid=bf421c99-5afc-4874-a77d-fd00a437b930"]}],"mendeley":{"formattedCitation":"[58]","plainTextFormattedCitation":"[58]","previouslyFormattedCitation":"[58]"},"properties":{"noteIndex":0},"schema":"https://github.com/citation-style-language/schema/raw/master/csl-citation.json"}</w:instrText>
      </w:r>
      <w:r w:rsidR="00A61B88" w:rsidRPr="001B27F8">
        <w:rPr>
          <w:rStyle w:val="fontstyle01"/>
          <w:color w:val="auto"/>
        </w:rPr>
        <w:fldChar w:fldCharType="separate"/>
      </w:r>
      <w:r w:rsidR="00877069" w:rsidRPr="00877069">
        <w:rPr>
          <w:rStyle w:val="fontstyle01"/>
          <w:noProof/>
          <w:color w:val="auto"/>
        </w:rPr>
        <w:t>[58]</w:t>
      </w:r>
      <w:r w:rsidR="00A61B88" w:rsidRPr="001B27F8">
        <w:rPr>
          <w:rStyle w:val="fontstyle01"/>
          <w:color w:val="auto"/>
        </w:rPr>
        <w:fldChar w:fldCharType="end"/>
      </w:r>
      <w:r w:rsidR="00A61B88" w:rsidRPr="001B27F8">
        <w:rPr>
          <w:rStyle w:val="fontstyle01"/>
          <w:color w:val="auto"/>
        </w:rPr>
        <w:t xml:space="preserve">. </w:t>
      </w:r>
    </w:p>
    <w:p w14:paraId="45A44CAB" w14:textId="771A7F77" w:rsidR="001B57F9" w:rsidRPr="001B27F8" w:rsidRDefault="000321A1" w:rsidP="001B27F8">
      <w:pPr>
        <w:tabs>
          <w:tab w:val="left" w:pos="851"/>
        </w:tabs>
        <w:spacing w:after="0" w:line="240" w:lineRule="auto"/>
        <w:ind w:firstLine="567"/>
        <w:jc w:val="both"/>
        <w:rPr>
          <w:rStyle w:val="fontstyle01"/>
          <w:color w:val="auto"/>
        </w:rPr>
      </w:pPr>
      <w:r w:rsidRPr="001B27F8">
        <w:rPr>
          <w:rFonts w:ascii="Times New Roman" w:hAnsi="Times New Roman" w:cs="Times New Roman"/>
          <w:sz w:val="28"/>
          <w:szCs w:val="28"/>
        </w:rPr>
        <w:t xml:space="preserve">На сегодняшний день не было подтвержденных сообщений о смертельных случаях, связанных со СЛИТ, но сообщалось о реакциях средней </w:t>
      </w:r>
      <w:r w:rsidR="00DE43F1" w:rsidRPr="001B27F8">
        <w:rPr>
          <w:rFonts w:ascii="Times New Roman" w:hAnsi="Times New Roman" w:cs="Times New Roman"/>
          <w:sz w:val="28"/>
          <w:szCs w:val="28"/>
        </w:rPr>
        <w:t>степени тяжести</w:t>
      </w:r>
      <w:r w:rsidRPr="001B27F8">
        <w:rPr>
          <w:rFonts w:ascii="Times New Roman" w:hAnsi="Times New Roman" w:cs="Times New Roman"/>
          <w:sz w:val="28"/>
          <w:szCs w:val="28"/>
        </w:rPr>
        <w:t xml:space="preserve"> </w:t>
      </w:r>
      <w:r w:rsidRPr="001B27F8">
        <w:rPr>
          <w:rFonts w:ascii="Times New Roman" w:hAnsi="Times New Roman" w:cs="Times New Roman"/>
          <w:sz w:val="28"/>
          <w:szCs w:val="28"/>
        </w:rPr>
        <w:fldChar w:fldCharType="begin" w:fldLock="1"/>
      </w:r>
      <w:r w:rsidR="00A02E0E">
        <w:rPr>
          <w:rFonts w:ascii="Times New Roman" w:hAnsi="Times New Roman" w:cs="Times New Roman"/>
          <w:sz w:val="28"/>
          <w:szCs w:val="28"/>
        </w:rPr>
        <w:instrText>ADDIN CSL_CITATION {"citationItems":[{"id":"ITEM-1","itemData":{"DOI":"10.1111/j.1398-9995.2011.02761.x","ISSN":"01054538","PMID":"22150126","abstract":"Allergen immunotherapy reorients inappropriate immune responses in allergic patients. Sublingual allergen immunotherapy (SLIT) has been approved, notably in the European Union, as an effective alternative to subcutaneous allergen immunotherapy (SCIT) for allergic rhinitis patients. Compared with SCIT, SLIT has a better safety profile. This is possibly because oral antigen-presenting cells (mostly Langerhans and myeloid dendritic cells) exhibit a tolerogenic phenotype, despite constant exposure to danger signals from food and microbes. This reduces the induction of pro-inflammatory immune responses leading to systemic allergic reactions. Oral tissues contain relatively few mast cells and eosinophils (mostly located in submucosal areas) and, in comparison with subcutaneous tissue, are less likely to give rise to anaphylactic reactions. SLIT-associated immune responses include the induction of circulating, allergen-specific Th1 and regulatory CD4+ T cells, leading to clinical tolerance. Although 40-75% of patients receiving SLIT experience mild, transient local reactions in the oral mucosa, these primary reactions rarely necessitate dose reduction or treatment interruption. We discuss 11 published case reports of anaphylaxis (all nonfatal) diagnosed according to the World Allergy Organization criteria and relate this figure to the approximately 1 billion SLIT doses administered worldwide since 2000. Anaphylaxis risk factors associated with SCIT and/or SLIT should be characterized further. © 2011 John Wiley &amp; Sons A/S.","author":[{"dropping-particle":"","family":"Calderõn","given":"M. A.","non-dropping-particle":"","parse-names":false,"suffix":""},{"dropping-particle":"","family":"Simons","given":"F. E.R.","non-dropping-particle":"","parse-names":false,"suffix":""},{"dropping-particle":"","family":"Malling","given":"H. J.","non-dropping-particle":"","parse-names":false,"suffix":""},{"dropping-particle":"","family":"Lockey","given":"R. F.","non-dropping-particle":"","parse-names":false,"suffix":""},{"dropping-particle":"","family":"Moingeon","given":"P.","non-dropping-particle":"","parse-names":false,"suffix":""},{"dropping-particle":"","family":"Demoly","given":"P.","non-dropping-particle":"","parse-names":false,"suffix":""}],"container-title":"Allergy: European Journal of Allergy and Clinical Immunology","id":"ITEM-1","issue":"3","issued":{"date-parts":[["2012"]]},"page":"302-311","title":"Sublingual allergen immunotherapy: Mode of action and its relationship with the safety profile","type":"article","volume":"67"},"uris":["http://www.mendeley.com/documents/?uuid=03860434-345e-4502-880c-a695ee32500e"]},{"id":"ITEM-2","itemData":{"DOI":"10.5604/12321966.1196851","ISSN":"18982263","PMID":"27012173","abstract":"SLIT (sublingual immunotherapy,) induces allergen-specific immune tolerance by sublingual administration of a gradually increasing dose of an allergen. The mechanism of SLIT is comparable to those during SCIT (subcutaneous immunotherapy), with the exception of local oral dendritic cells, pre-programmed to elicit tolerance. In the SLIT dose, to achieve the same efficacy as in SCIT, it should be 50-100 times higher with better safety profile. The highest quality evidence supporting the efficacy of SLIT lasting 1-3 years has been provided by the large scale double-blind, placebo-controlled (DBPC) trials for grass pollen extracts, both in children and adults with allergic rhinitis. Current indications for SLIT are allergic rhinitis (and conjunctivitis) in both children and adults sensitized to pollen allergens (trees, grass, Parietaria), house dust mites (Dermatophagoides pteronyssinus, Dermatophagoides farinae), cat fur, as well as mild to moderate controlled atopic asthma in children sensitized to house dust mites. There are positive findings for both asthma and new sensitization prevention. Severe adverse events, including anaphylaxis, are very rare, and no fatalities have been reported. Local adverse reactions develop in up to 70-80% of patients. Risk factors for SLIT adverse events have not been clearly identified. Risk factors of non-adherence to treatment might be dependent on the patient, disease treatment, physician-patient relationship, and variables in the health care system organization.","author":[{"dropping-particle":"","family":"Jutel","given":"Marek","non-dropping-particle":"","parse-names":false,"suffix":""},{"dropping-particle":"","family":"Bartkowiak-Emeryk","given":"Małgorzata","non-dropping-particle":"","parse-names":false,"suffix":""},{"dropping-particle":"","family":"Bręborowicz","given":"Anna","non-dropping-particle":"","parse-names":false,"suffix":""},{"dropping-particle":"","family":"Cichocka-Jarosz","given":"Ewa","non-dropping-particle":"","parse-names":false,"suffix":""},{"dropping-particle":"","family":"Emeryk","given":"Andrzej","non-dropping-particle":"","parse-names":false,"suffix":""},{"dropping-particle":"","family":"Gawlik","given":"Radosław","non-dropping-particle":"","parse-names":false,"suffix":""},{"dropping-particle":"","family":"Gonerko","given":"Paweł","non-dropping-particle":"","parse-names":false,"suffix":""},{"dropping-particle":"","family":"Rogala","given":"Barbara","non-dropping-particle":"","parse-names":false,"suffix":""},{"dropping-particle":"","family":"Nowak-Węgrzyn","given":"Anna","non-dropping-particle":"","parse-names":false,"suffix":""},{"dropping-particle":"","family":"Samoliński","given":"Bolesław","non-dropping-particle":"","parse-names":false,"suffix":""}],"container-title":"Annals of Agricultural and Environmental Medicine","id":"ITEM-2","issue":"1","issued":{"date-parts":[["2016"]]},"page":"44-53","title":"Sublingual immunotherapy (SLIT) - Indications, mechanism, and efficacy: Position paper prepared by the section of immunotherapy, polish society of allergy","type":"article-journal","volume":"23"},"uris":["http://www.mendeley.com/documents/?uuid=9ec46454-ce39-4ea6-b7cb-f400816bfb1a"]}],"mendeley":{"formattedCitation":"[131,139]","plainTextFormattedCitation":"[131,139]","previouslyFormattedCitation":"[131,139]"},"properties":{"noteIndex":0},"schema":"https://github.com/citation-style-language/schema/raw/master/csl-citation.json"}</w:instrText>
      </w:r>
      <w:r w:rsidRPr="001B27F8">
        <w:rPr>
          <w:rFonts w:ascii="Times New Roman" w:hAnsi="Times New Roman" w:cs="Times New Roman"/>
          <w:sz w:val="28"/>
          <w:szCs w:val="28"/>
        </w:rPr>
        <w:fldChar w:fldCharType="separate"/>
      </w:r>
      <w:r w:rsidR="00332566" w:rsidRPr="00332566">
        <w:rPr>
          <w:rFonts w:ascii="Times New Roman" w:hAnsi="Times New Roman" w:cs="Times New Roman"/>
          <w:noProof/>
          <w:sz w:val="28"/>
          <w:szCs w:val="28"/>
        </w:rPr>
        <w:t>[131,139]</w:t>
      </w:r>
      <w:r w:rsidRPr="001B27F8">
        <w:rPr>
          <w:rFonts w:ascii="Times New Roman" w:hAnsi="Times New Roman" w:cs="Times New Roman"/>
          <w:sz w:val="28"/>
          <w:szCs w:val="28"/>
        </w:rPr>
        <w:fldChar w:fldCharType="end"/>
      </w:r>
      <w:r w:rsidRPr="001B27F8">
        <w:rPr>
          <w:rFonts w:ascii="Times New Roman" w:hAnsi="Times New Roman" w:cs="Times New Roman"/>
          <w:sz w:val="28"/>
          <w:szCs w:val="28"/>
        </w:rPr>
        <w:t xml:space="preserve">. </w:t>
      </w:r>
      <w:r w:rsidR="001B57F9" w:rsidRPr="001B27F8">
        <w:rPr>
          <w:rStyle w:val="fontstyle01"/>
          <w:color w:val="auto"/>
        </w:rPr>
        <w:t xml:space="preserve">Многочисленные крупные плацебо-контролируемые исследования продемонстрировали безопасность СЛИТ у пациентов как с сезонным, так и многолетним аллергическим ринитом </w:t>
      </w:r>
      <w:r w:rsidR="001B57F9" w:rsidRPr="001B27F8">
        <w:rPr>
          <w:rStyle w:val="fontstyle01"/>
          <w:color w:val="auto"/>
        </w:rPr>
        <w:fldChar w:fldCharType="begin" w:fldLock="1"/>
      </w:r>
      <w:r w:rsidR="00A02E0E">
        <w:rPr>
          <w:rStyle w:val="fontstyle01"/>
          <w:color w:val="auto"/>
        </w:rPr>
        <w:instrText>ADDIN CSL_CITATION {"citationItems":[{"id":"ITEM-1","itemData":{"DOI":"10.1016/j.anai.2013.11.018","ISSN":"15344436","PMID":"24468255","abstract":"Background In North America, few studies have evaluated sublingual immunotherapy for allergic rhinitis with or without conjunctivitis (AR/C); pediatric data are sparse. The authors report findings from the largest published immunotherapy trial yet conducted in adults and children. Objective To evaluate grass sublingual immunotherapy tablet (MK-7243) treatment in subjects with AR/C. Methods North American subjects (5-65 years old) with grass allergy were randomized 1:1 to once-daily MK-7243 (2,800 BAU Phleum pratense) or placebo. The first dose was given at the investigator's office; subsequent doses were self-administered at home. The primary end point was total combined score (TCS; rhinoconjunctivitis daily symptom score [DSS] plus daily medication score [DMS]) over the entire grass pollen season (GPS). Key secondary end points included entire-season DSS, DMS, peak-season TCS, and rhinoconjunctivitis quality-of-life questionnaire scores. Safety outcomes included adverse events (AEs). Results One thousand five hundred one subjects were randomized (85% polysensitized, 25% had asthma). MK-7243 yielded improvements vs placebo of 23% in entire-season TCS (median difference -0.98, P &lt;.001), 29% in peak-season TCS (median difference -1.33, P &lt;.001), 20% in entire-season DSS (median difference -0.64, P =.001), 35% in entire-season DMS (mean difference -0.48, P &lt;.001), and 12% in peak-season rhinoconjunctivitis quality-of-life questionnaire (median difference -0.13, P =.027). Efficacy between children and adults was similar. Most AEs were transient local application-site reactions, with no serious treatment-related AEs or anaphylactic shock. Three subjects (1 placebo, 2 MK-7243) had moderate systemic allergic reactions. Conclusion MK-7243 was effective in polysensitized grass-allergic North American children and adults with AR/C in this large trial, confirming previous research. © 2014 American College of Allergy, Asthma and Immunology. Published by Elsevier Inc. All rights reserved.","author":[{"dropping-particle":"","family":"Maloney","given":"Jennifer","non-dropping-particle":"","parse-names":false,"suffix":""},{"dropping-particle":"","family":"Bernstein","given":"David I.","non-dropping-particle":"","parse-names":false,"suffix":""},{"dropping-particle":"","family":"Nelson","given":"Harold","non-dropping-particle":"","parse-names":false,"suffix":""},{"dropping-particle":"","family":"Creticos","given":"Peter","non-dropping-particle":"","parse-names":false,"suffix":""},{"dropping-particle":"","family":"Hébert","given":"Jacques","non-dropping-particle":"","parse-names":false,"suffix":""},{"dropping-particle":"","family":"Noonan","given":"Michael","non-dropping-particle":"","parse-names":false,"suffix":""},{"dropping-particle":"","family":"Skoner","given":"David","non-dropping-particle":"","parse-names":false,"suffix":""},{"dropping-particle":"","family":"Zhou","given":"Yijie","non-dropping-particle":"","parse-names":false,"suffix":""},{"dropping-particle":"","family":"Kaur","given":"Amarjot","non-dropping-particle":"","parse-names":false,"suffix":""},{"dropping-particle":"","family":"Nolte","given":"Hendrik","non-dropping-particle":"","parse-names":false,"suffix":""}],"container-title":"Annals of Allergy, Asthma and Immunology","id":"ITEM-1","issue":"2","issued":{"date-parts":[["2014"]]},"page":"146-153.e2","publisher":"American College of Allergy, Asthma &amp; Immunology","title":"Efficacy and safety of grass sublingual immunotherapy tablet, MK-7243: A large randomized controlled trial","type":"article-journal","volume":"112"},"uris":["http://www.mendeley.com/documents/?uuid=46b4e791-a2eb-40ae-9c3c-1c5722db5595"]}],"mendeley":{"formattedCitation":"[138]","plainTextFormattedCitation":"[138]","previouslyFormattedCitation":"[138]"},"properties":{"noteIndex":0},"schema":"https://github.com/citation-style-language/schema/raw/master/csl-citation.json"}</w:instrText>
      </w:r>
      <w:r w:rsidR="001B57F9" w:rsidRPr="001B27F8">
        <w:rPr>
          <w:rStyle w:val="fontstyle01"/>
          <w:color w:val="auto"/>
        </w:rPr>
        <w:fldChar w:fldCharType="separate"/>
      </w:r>
      <w:r w:rsidR="00332566" w:rsidRPr="00332566">
        <w:rPr>
          <w:rStyle w:val="fontstyle01"/>
          <w:noProof/>
          <w:color w:val="auto"/>
        </w:rPr>
        <w:t>[138]</w:t>
      </w:r>
      <w:r w:rsidR="001B57F9" w:rsidRPr="001B27F8">
        <w:rPr>
          <w:rStyle w:val="fontstyle01"/>
          <w:color w:val="auto"/>
        </w:rPr>
        <w:fldChar w:fldCharType="end"/>
      </w:r>
      <w:r w:rsidR="001B57F9" w:rsidRPr="001B27F8">
        <w:rPr>
          <w:rStyle w:val="fontstyle01"/>
          <w:color w:val="auto"/>
        </w:rPr>
        <w:t xml:space="preserve">. При этом сообщилось лишь о местных побочных реакциях, которые были преходящими и </w:t>
      </w:r>
      <w:r w:rsidR="00772FE4" w:rsidRPr="001B27F8">
        <w:rPr>
          <w:rStyle w:val="fontstyle01"/>
          <w:color w:val="auto"/>
        </w:rPr>
        <w:t>купировались самостоятельно</w:t>
      </w:r>
      <w:r w:rsidR="001B57F9" w:rsidRPr="001B27F8">
        <w:rPr>
          <w:rStyle w:val="fontstyle01"/>
          <w:color w:val="auto"/>
        </w:rPr>
        <w:t>.</w:t>
      </w:r>
    </w:p>
    <w:p w14:paraId="657A7B3D" w14:textId="5AE5BBDF" w:rsidR="00E43D1F" w:rsidRDefault="00222413" w:rsidP="00FD01EB">
      <w:pPr>
        <w:tabs>
          <w:tab w:val="left" w:pos="851"/>
        </w:tabs>
        <w:spacing w:after="0" w:line="240" w:lineRule="auto"/>
        <w:ind w:firstLine="567"/>
        <w:jc w:val="both"/>
        <w:rPr>
          <w:rStyle w:val="fontstyle01"/>
          <w:color w:val="auto"/>
        </w:rPr>
      </w:pPr>
      <w:r w:rsidRPr="001B27F8">
        <w:rPr>
          <w:rStyle w:val="fontstyle01"/>
          <w:color w:val="auto"/>
        </w:rPr>
        <w:t>Таким образом,</w:t>
      </w:r>
      <w:r w:rsidR="006C07AF" w:rsidRPr="001B27F8">
        <w:rPr>
          <w:rStyle w:val="fontstyle01"/>
          <w:color w:val="auto"/>
        </w:rPr>
        <w:t xml:space="preserve"> отчеты, мета-анализы и обзорные статьи свидетельствуют о превосходном профиле безопасности СЛИТ в сравнении с ПКИТ, а также о высокой переносимости используемых аллергенных препаратов</w:t>
      </w:r>
      <w:r w:rsidRPr="001B27F8">
        <w:rPr>
          <w:rStyle w:val="fontstyle01"/>
          <w:color w:val="auto"/>
        </w:rPr>
        <w:t xml:space="preserve"> </w:t>
      </w:r>
      <w:r w:rsidR="00705155" w:rsidRPr="001B27F8">
        <w:rPr>
          <w:rStyle w:val="fontstyle01"/>
          <w:color w:val="auto"/>
          <w:lang w:val="en-US"/>
        </w:rPr>
        <w:fldChar w:fldCharType="begin" w:fldLock="1"/>
      </w:r>
      <w:r w:rsidR="00A02E0E">
        <w:rPr>
          <w:rStyle w:val="fontstyle01"/>
          <w:color w:val="auto"/>
          <w:lang w:val="en-US"/>
        </w:rPr>
        <w:instrText>ADDIN</w:instrText>
      </w:r>
      <w:r w:rsidR="00A02E0E" w:rsidRPr="00A02E0E">
        <w:rPr>
          <w:rStyle w:val="fontstyle01"/>
          <w:color w:val="auto"/>
        </w:rPr>
        <w:instrText xml:space="preserve"> </w:instrText>
      </w:r>
      <w:r w:rsidR="00A02E0E">
        <w:rPr>
          <w:rStyle w:val="fontstyle01"/>
          <w:color w:val="auto"/>
          <w:lang w:val="en-US"/>
        </w:rPr>
        <w:instrText>CSL</w:instrText>
      </w:r>
      <w:r w:rsidR="00A02E0E" w:rsidRPr="00A02E0E">
        <w:rPr>
          <w:rStyle w:val="fontstyle01"/>
          <w:color w:val="auto"/>
        </w:rPr>
        <w:instrText>_</w:instrText>
      </w:r>
      <w:r w:rsidR="00A02E0E">
        <w:rPr>
          <w:rStyle w:val="fontstyle01"/>
          <w:color w:val="auto"/>
          <w:lang w:val="en-US"/>
        </w:rPr>
        <w:instrText>CITATION</w:instrText>
      </w:r>
      <w:r w:rsidR="00A02E0E" w:rsidRPr="00A02E0E">
        <w:rPr>
          <w:rStyle w:val="fontstyle01"/>
          <w:color w:val="auto"/>
        </w:rPr>
        <w:instrText xml:space="preserve"> {"</w:instrText>
      </w:r>
      <w:r w:rsidR="00A02E0E">
        <w:rPr>
          <w:rStyle w:val="fontstyle01"/>
          <w:color w:val="auto"/>
          <w:lang w:val="en-US"/>
        </w:rPr>
        <w:instrText>citationItems</w:instrText>
      </w:r>
      <w:r w:rsidR="00A02E0E" w:rsidRPr="00A02E0E">
        <w:rPr>
          <w:rStyle w:val="fontstyle01"/>
          <w:color w:val="auto"/>
        </w:rPr>
        <w:instrText>":[{"</w:instrText>
      </w:r>
      <w:r w:rsidR="00A02E0E">
        <w:rPr>
          <w:rStyle w:val="fontstyle01"/>
          <w:color w:val="auto"/>
          <w:lang w:val="en-US"/>
        </w:rPr>
        <w:instrText>id</w:instrText>
      </w:r>
      <w:r w:rsidR="00A02E0E" w:rsidRPr="00A02E0E">
        <w:rPr>
          <w:rStyle w:val="fontstyle01"/>
          <w:color w:val="auto"/>
        </w:rPr>
        <w:instrText>":"</w:instrText>
      </w:r>
      <w:r w:rsidR="00A02E0E">
        <w:rPr>
          <w:rStyle w:val="fontstyle01"/>
          <w:color w:val="auto"/>
          <w:lang w:val="en-US"/>
        </w:rPr>
        <w:instrText>ITEM</w:instrText>
      </w:r>
      <w:r w:rsidR="00A02E0E" w:rsidRPr="00A02E0E">
        <w:rPr>
          <w:rStyle w:val="fontstyle01"/>
          <w:color w:val="auto"/>
        </w:rPr>
        <w:instrText>-1","</w:instrText>
      </w:r>
      <w:r w:rsidR="00A02E0E">
        <w:rPr>
          <w:rStyle w:val="fontstyle01"/>
          <w:color w:val="auto"/>
          <w:lang w:val="en-US"/>
        </w:rPr>
        <w:instrText>itemData</w:instrText>
      </w:r>
      <w:r w:rsidR="00A02E0E" w:rsidRPr="00A02E0E">
        <w:rPr>
          <w:rStyle w:val="fontstyle01"/>
          <w:color w:val="auto"/>
        </w:rPr>
        <w:instrText>":{"</w:instrText>
      </w:r>
      <w:r w:rsidR="00A02E0E">
        <w:rPr>
          <w:rStyle w:val="fontstyle01"/>
          <w:color w:val="auto"/>
          <w:lang w:val="en-US"/>
        </w:rPr>
        <w:instrText>DOI</w:instrText>
      </w:r>
      <w:r w:rsidR="00A02E0E" w:rsidRPr="00A02E0E">
        <w:rPr>
          <w:rStyle w:val="fontstyle01"/>
          <w:color w:val="auto"/>
        </w:rPr>
        <w:instrText>":"10.1016/</w:instrText>
      </w:r>
      <w:r w:rsidR="00A02E0E">
        <w:rPr>
          <w:rStyle w:val="fontstyle01"/>
          <w:color w:val="auto"/>
          <w:lang w:val="en-US"/>
        </w:rPr>
        <w:instrText>j</w:instrText>
      </w:r>
      <w:r w:rsidR="00A02E0E" w:rsidRPr="00A02E0E">
        <w:rPr>
          <w:rStyle w:val="fontstyle01"/>
          <w:color w:val="auto"/>
        </w:rPr>
        <w:instrText>.</w:instrText>
      </w:r>
      <w:r w:rsidR="00A02E0E">
        <w:rPr>
          <w:rStyle w:val="fontstyle01"/>
          <w:color w:val="auto"/>
          <w:lang w:val="en-US"/>
        </w:rPr>
        <w:instrText>anai</w:instrText>
      </w:r>
      <w:r w:rsidR="00A02E0E" w:rsidRPr="00A02E0E">
        <w:rPr>
          <w:rStyle w:val="fontstyle01"/>
          <w:color w:val="auto"/>
        </w:rPr>
        <w:instrText>.2019.12.025","</w:instrText>
      </w:r>
      <w:r w:rsidR="00A02E0E">
        <w:rPr>
          <w:rStyle w:val="fontstyle01"/>
          <w:color w:val="auto"/>
          <w:lang w:val="en-US"/>
        </w:rPr>
        <w:instrText>ISSN</w:instrText>
      </w:r>
      <w:r w:rsidR="00A02E0E" w:rsidRPr="00A02E0E">
        <w:rPr>
          <w:rStyle w:val="fontstyle01"/>
          <w:color w:val="auto"/>
        </w:rPr>
        <w:instrText>":"15344436","</w:instrText>
      </w:r>
      <w:r w:rsidR="00A02E0E">
        <w:rPr>
          <w:rStyle w:val="fontstyle01"/>
          <w:color w:val="auto"/>
          <w:lang w:val="en-US"/>
        </w:rPr>
        <w:instrText>PMID</w:instrText>
      </w:r>
      <w:r w:rsidR="00A02E0E" w:rsidRPr="00A02E0E">
        <w:rPr>
          <w:rStyle w:val="fontstyle01"/>
          <w:color w:val="auto"/>
        </w:rPr>
        <w:instrText>":"31923544","</w:instrText>
      </w:r>
      <w:r w:rsidR="00A02E0E">
        <w:rPr>
          <w:rStyle w:val="fontstyle01"/>
          <w:color w:val="auto"/>
          <w:lang w:val="en-US"/>
        </w:rPr>
        <w:instrText>abstract</w:instrText>
      </w:r>
      <w:r w:rsidR="00A02E0E" w:rsidRPr="00A02E0E">
        <w:rPr>
          <w:rStyle w:val="fontstyle01"/>
          <w:color w:val="auto"/>
        </w:rPr>
        <w:instrText>":"</w:instrText>
      </w:r>
      <w:r w:rsidR="00A02E0E">
        <w:rPr>
          <w:rStyle w:val="fontstyle01"/>
          <w:color w:val="auto"/>
          <w:lang w:val="en-US"/>
        </w:rPr>
        <w:instrText>Background</w:instrText>
      </w:r>
      <w:r w:rsidR="00A02E0E" w:rsidRPr="00A02E0E">
        <w:rPr>
          <w:rStyle w:val="fontstyle01"/>
          <w:color w:val="auto"/>
        </w:rPr>
        <w:instrText xml:space="preserve">: </w:instrText>
      </w:r>
      <w:r w:rsidR="00A02E0E">
        <w:rPr>
          <w:rStyle w:val="fontstyle01"/>
          <w:color w:val="auto"/>
          <w:lang w:val="en-US"/>
        </w:rPr>
        <w:instrText>Sublingual</w:instrText>
      </w:r>
      <w:r w:rsidR="00A02E0E" w:rsidRPr="00A02E0E">
        <w:rPr>
          <w:rStyle w:val="fontstyle01"/>
          <w:color w:val="auto"/>
        </w:rPr>
        <w:instrText xml:space="preserve"> </w:instrText>
      </w:r>
      <w:r w:rsidR="00A02E0E">
        <w:rPr>
          <w:rStyle w:val="fontstyle01"/>
          <w:color w:val="auto"/>
          <w:lang w:val="en-US"/>
        </w:rPr>
        <w:instrText>immunotherapy</w:instrText>
      </w:r>
      <w:r w:rsidR="00A02E0E" w:rsidRPr="00A02E0E">
        <w:rPr>
          <w:rStyle w:val="fontstyle01"/>
          <w:color w:val="auto"/>
        </w:rPr>
        <w:instrText xml:space="preserve"> (</w:instrText>
      </w:r>
      <w:r w:rsidR="00A02E0E">
        <w:rPr>
          <w:rStyle w:val="fontstyle01"/>
          <w:color w:val="auto"/>
          <w:lang w:val="en-US"/>
        </w:rPr>
        <w:instrText>SLIT</w:instrText>
      </w:r>
      <w:r w:rsidR="00A02E0E" w:rsidRPr="00A02E0E">
        <w:rPr>
          <w:rStyle w:val="fontstyle01"/>
          <w:color w:val="auto"/>
        </w:rPr>
        <w:instrText xml:space="preserve">) </w:instrText>
      </w:r>
      <w:r w:rsidR="00A02E0E">
        <w:rPr>
          <w:rStyle w:val="fontstyle01"/>
          <w:color w:val="auto"/>
          <w:lang w:val="en-US"/>
        </w:rPr>
        <w:instrText>is</w:instrText>
      </w:r>
      <w:r w:rsidR="00A02E0E" w:rsidRPr="00A02E0E">
        <w:rPr>
          <w:rStyle w:val="fontstyle01"/>
          <w:color w:val="auto"/>
        </w:rPr>
        <w:instrText xml:space="preserve"> </w:instrText>
      </w:r>
      <w:r w:rsidR="00A02E0E">
        <w:rPr>
          <w:rStyle w:val="fontstyle01"/>
          <w:color w:val="auto"/>
          <w:lang w:val="en-US"/>
        </w:rPr>
        <w:instrText>administered</w:instrText>
      </w:r>
      <w:r w:rsidR="00A02E0E" w:rsidRPr="00A02E0E">
        <w:rPr>
          <w:rStyle w:val="fontstyle01"/>
          <w:color w:val="auto"/>
        </w:rPr>
        <w:instrText xml:space="preserve"> </w:instrText>
      </w:r>
      <w:r w:rsidR="00A02E0E">
        <w:rPr>
          <w:rStyle w:val="fontstyle01"/>
          <w:color w:val="auto"/>
          <w:lang w:val="en-US"/>
        </w:rPr>
        <w:instrText>via</w:instrText>
      </w:r>
      <w:r w:rsidR="00A02E0E" w:rsidRPr="00A02E0E">
        <w:rPr>
          <w:rStyle w:val="fontstyle01"/>
          <w:color w:val="auto"/>
        </w:rPr>
        <w:instrText xml:space="preserve"> </w:instrText>
      </w:r>
      <w:r w:rsidR="00A02E0E">
        <w:rPr>
          <w:rStyle w:val="fontstyle01"/>
          <w:color w:val="auto"/>
          <w:lang w:val="en-US"/>
        </w:rPr>
        <w:instrText>tablets</w:instrText>
      </w:r>
      <w:r w:rsidR="00A02E0E" w:rsidRPr="00A02E0E">
        <w:rPr>
          <w:rStyle w:val="fontstyle01"/>
          <w:color w:val="auto"/>
        </w:rPr>
        <w:instrText xml:space="preserve"> (</w:instrText>
      </w:r>
      <w:r w:rsidR="00A02E0E">
        <w:rPr>
          <w:rStyle w:val="fontstyle01"/>
          <w:color w:val="auto"/>
          <w:lang w:val="en-US"/>
        </w:rPr>
        <w:instrText>SLIT</w:instrText>
      </w:r>
      <w:r w:rsidR="00A02E0E" w:rsidRPr="00A02E0E">
        <w:rPr>
          <w:rStyle w:val="fontstyle01"/>
          <w:color w:val="auto"/>
        </w:rPr>
        <w:instrText>-</w:instrText>
      </w:r>
      <w:r w:rsidR="00A02E0E">
        <w:rPr>
          <w:rStyle w:val="fontstyle01"/>
          <w:color w:val="auto"/>
          <w:lang w:val="en-US"/>
        </w:rPr>
        <w:instrText>T</w:instrText>
      </w:r>
      <w:r w:rsidR="00A02E0E" w:rsidRPr="00A02E0E">
        <w:rPr>
          <w:rStyle w:val="fontstyle01"/>
          <w:color w:val="auto"/>
        </w:rPr>
        <w:instrText xml:space="preserve">) </w:instrText>
      </w:r>
      <w:r w:rsidR="00A02E0E">
        <w:rPr>
          <w:rStyle w:val="fontstyle01"/>
          <w:color w:val="auto"/>
          <w:lang w:val="en-US"/>
        </w:rPr>
        <w:instrText>or</w:instrText>
      </w:r>
      <w:r w:rsidR="00A02E0E" w:rsidRPr="00A02E0E">
        <w:rPr>
          <w:rStyle w:val="fontstyle01"/>
          <w:color w:val="auto"/>
        </w:rPr>
        <w:instrText xml:space="preserve"> </w:instrText>
      </w:r>
      <w:r w:rsidR="00A02E0E">
        <w:rPr>
          <w:rStyle w:val="fontstyle01"/>
          <w:color w:val="auto"/>
          <w:lang w:val="en-US"/>
        </w:rPr>
        <w:instrText>liquid</w:instrText>
      </w:r>
      <w:r w:rsidR="00A02E0E" w:rsidRPr="00A02E0E">
        <w:rPr>
          <w:rStyle w:val="fontstyle01"/>
          <w:color w:val="auto"/>
        </w:rPr>
        <w:instrText xml:space="preserve"> </w:instrText>
      </w:r>
      <w:r w:rsidR="00A02E0E">
        <w:rPr>
          <w:rStyle w:val="fontstyle01"/>
          <w:color w:val="auto"/>
          <w:lang w:val="en-US"/>
        </w:rPr>
        <w:instrText>drops</w:instrText>
      </w:r>
      <w:r w:rsidR="00A02E0E" w:rsidRPr="00A02E0E">
        <w:rPr>
          <w:rStyle w:val="fontstyle01"/>
          <w:color w:val="auto"/>
        </w:rPr>
        <w:instrText xml:space="preserve"> (</w:instrText>
      </w:r>
      <w:r w:rsidR="00A02E0E">
        <w:rPr>
          <w:rStyle w:val="fontstyle01"/>
          <w:color w:val="auto"/>
          <w:lang w:val="en-US"/>
        </w:rPr>
        <w:instrText>SLIT</w:instrText>
      </w:r>
      <w:r w:rsidR="00A02E0E" w:rsidRPr="00A02E0E">
        <w:rPr>
          <w:rStyle w:val="fontstyle01"/>
          <w:color w:val="auto"/>
        </w:rPr>
        <w:instrText>-</w:instrText>
      </w:r>
      <w:r w:rsidR="00A02E0E">
        <w:rPr>
          <w:rStyle w:val="fontstyle01"/>
          <w:color w:val="auto"/>
          <w:lang w:val="en-US"/>
        </w:rPr>
        <w:instrText>D</w:instrText>
      </w:r>
      <w:r w:rsidR="00A02E0E" w:rsidRPr="00A02E0E">
        <w:rPr>
          <w:rStyle w:val="fontstyle01"/>
          <w:color w:val="auto"/>
        </w:rPr>
        <w:instrText xml:space="preserve">). </w:instrText>
      </w:r>
      <w:r w:rsidR="00A02E0E">
        <w:rPr>
          <w:rStyle w:val="fontstyle01"/>
          <w:color w:val="auto"/>
          <w:lang w:val="en-US"/>
        </w:rPr>
        <w:instrText>In</w:instrText>
      </w:r>
      <w:r w:rsidR="00A02E0E" w:rsidRPr="00A02E0E">
        <w:rPr>
          <w:rStyle w:val="fontstyle01"/>
          <w:color w:val="auto"/>
        </w:rPr>
        <w:instrText xml:space="preserve"> </w:instrText>
      </w:r>
      <w:r w:rsidR="00A02E0E">
        <w:rPr>
          <w:rStyle w:val="fontstyle01"/>
          <w:color w:val="auto"/>
          <w:lang w:val="en-US"/>
        </w:rPr>
        <w:instrText>North</w:instrText>
      </w:r>
      <w:r w:rsidR="00A02E0E" w:rsidRPr="00A02E0E">
        <w:rPr>
          <w:rStyle w:val="fontstyle01"/>
          <w:color w:val="auto"/>
        </w:rPr>
        <w:instrText xml:space="preserve"> </w:instrText>
      </w:r>
      <w:r w:rsidR="00A02E0E">
        <w:rPr>
          <w:rStyle w:val="fontstyle01"/>
          <w:color w:val="auto"/>
          <w:lang w:val="en-US"/>
        </w:rPr>
        <w:instrText>America</w:instrText>
      </w:r>
      <w:r w:rsidR="00A02E0E" w:rsidRPr="00A02E0E">
        <w:rPr>
          <w:rStyle w:val="fontstyle01"/>
          <w:color w:val="auto"/>
        </w:rPr>
        <w:instrText xml:space="preserve">, </w:instrText>
      </w:r>
      <w:r w:rsidR="00A02E0E">
        <w:rPr>
          <w:rStyle w:val="fontstyle01"/>
          <w:color w:val="auto"/>
          <w:lang w:val="en-US"/>
        </w:rPr>
        <w:instrText>currently</w:instrText>
      </w:r>
      <w:r w:rsidR="00A02E0E" w:rsidRPr="00A02E0E">
        <w:rPr>
          <w:rStyle w:val="fontstyle01"/>
          <w:color w:val="auto"/>
        </w:rPr>
        <w:instrText xml:space="preserve"> 4 </w:instrText>
      </w:r>
      <w:r w:rsidR="00A02E0E">
        <w:rPr>
          <w:rStyle w:val="fontstyle01"/>
          <w:color w:val="auto"/>
          <w:lang w:val="en-US"/>
        </w:rPr>
        <w:instrText>SLIT</w:instrText>
      </w:r>
      <w:r w:rsidR="00A02E0E" w:rsidRPr="00A02E0E">
        <w:rPr>
          <w:rStyle w:val="fontstyle01"/>
          <w:color w:val="auto"/>
        </w:rPr>
        <w:instrText>-</w:instrText>
      </w:r>
      <w:r w:rsidR="00A02E0E">
        <w:rPr>
          <w:rStyle w:val="fontstyle01"/>
          <w:color w:val="auto"/>
          <w:lang w:val="en-US"/>
        </w:rPr>
        <w:instrText>T</w:instrText>
      </w:r>
      <w:r w:rsidR="00A02E0E" w:rsidRPr="00A02E0E">
        <w:rPr>
          <w:rStyle w:val="fontstyle01"/>
          <w:color w:val="auto"/>
        </w:rPr>
        <w:instrText xml:space="preserve"> </w:instrText>
      </w:r>
      <w:r w:rsidR="00A02E0E">
        <w:rPr>
          <w:rStyle w:val="fontstyle01"/>
          <w:color w:val="auto"/>
          <w:lang w:val="en-US"/>
        </w:rPr>
        <w:instrText>formulations</w:instrText>
      </w:r>
      <w:r w:rsidR="00A02E0E" w:rsidRPr="00A02E0E">
        <w:rPr>
          <w:rStyle w:val="fontstyle01"/>
          <w:color w:val="auto"/>
        </w:rPr>
        <w:instrText xml:space="preserve"> </w:instrText>
      </w:r>
      <w:r w:rsidR="00A02E0E">
        <w:rPr>
          <w:rStyle w:val="fontstyle01"/>
          <w:color w:val="auto"/>
          <w:lang w:val="en-US"/>
        </w:rPr>
        <w:instrText>are</w:instrText>
      </w:r>
      <w:r w:rsidR="00A02E0E" w:rsidRPr="00A02E0E">
        <w:rPr>
          <w:rStyle w:val="fontstyle01"/>
          <w:color w:val="auto"/>
        </w:rPr>
        <w:instrText xml:space="preserve"> </w:instrText>
      </w:r>
      <w:r w:rsidR="00A02E0E">
        <w:rPr>
          <w:rStyle w:val="fontstyle01"/>
          <w:color w:val="auto"/>
          <w:lang w:val="en-US"/>
        </w:rPr>
        <w:instrText>approved</w:instrText>
      </w:r>
      <w:r w:rsidR="00A02E0E" w:rsidRPr="00A02E0E">
        <w:rPr>
          <w:rStyle w:val="fontstyle01"/>
          <w:color w:val="auto"/>
        </w:rPr>
        <w:instrText xml:space="preserve"> </w:instrText>
      </w:r>
      <w:r w:rsidR="00A02E0E">
        <w:rPr>
          <w:rStyle w:val="fontstyle01"/>
          <w:color w:val="auto"/>
          <w:lang w:val="en-US"/>
        </w:rPr>
        <w:instrText>by</w:instrText>
      </w:r>
      <w:r w:rsidR="00A02E0E" w:rsidRPr="00A02E0E">
        <w:rPr>
          <w:rStyle w:val="fontstyle01"/>
          <w:color w:val="auto"/>
        </w:rPr>
        <w:instrText xml:space="preserve"> </w:instrText>
      </w:r>
      <w:r w:rsidR="00A02E0E">
        <w:rPr>
          <w:rStyle w:val="fontstyle01"/>
          <w:color w:val="auto"/>
          <w:lang w:val="en-US"/>
        </w:rPr>
        <w:instrText>the</w:instrText>
      </w:r>
      <w:r w:rsidR="00A02E0E" w:rsidRPr="00A02E0E">
        <w:rPr>
          <w:rStyle w:val="fontstyle01"/>
          <w:color w:val="auto"/>
        </w:rPr>
        <w:instrText xml:space="preserve"> </w:instrText>
      </w:r>
      <w:r w:rsidR="00A02E0E">
        <w:rPr>
          <w:rStyle w:val="fontstyle01"/>
          <w:color w:val="auto"/>
          <w:lang w:val="en-US"/>
        </w:rPr>
        <w:instrText>US</w:instrText>
      </w:r>
      <w:r w:rsidR="00A02E0E" w:rsidRPr="00A02E0E">
        <w:rPr>
          <w:rStyle w:val="fontstyle01"/>
          <w:color w:val="auto"/>
        </w:rPr>
        <w:instrText xml:space="preserve"> </w:instrText>
      </w:r>
      <w:r w:rsidR="00A02E0E">
        <w:rPr>
          <w:rStyle w:val="fontstyle01"/>
          <w:color w:val="auto"/>
          <w:lang w:val="en-US"/>
        </w:rPr>
        <w:instrText>Food</w:instrText>
      </w:r>
      <w:r w:rsidR="00A02E0E" w:rsidRPr="00A02E0E">
        <w:rPr>
          <w:rStyle w:val="fontstyle01"/>
          <w:color w:val="auto"/>
        </w:rPr>
        <w:instrText xml:space="preserve"> </w:instrText>
      </w:r>
      <w:r w:rsidR="00A02E0E">
        <w:rPr>
          <w:rStyle w:val="fontstyle01"/>
          <w:color w:val="auto"/>
          <w:lang w:val="en-US"/>
        </w:rPr>
        <w:instrText>and</w:instrText>
      </w:r>
      <w:r w:rsidR="00A02E0E" w:rsidRPr="00A02E0E">
        <w:rPr>
          <w:rStyle w:val="fontstyle01"/>
          <w:color w:val="auto"/>
        </w:rPr>
        <w:instrText xml:space="preserve"> </w:instrText>
      </w:r>
      <w:r w:rsidR="00A02E0E">
        <w:rPr>
          <w:rStyle w:val="fontstyle01"/>
          <w:color w:val="auto"/>
          <w:lang w:val="en-US"/>
        </w:rPr>
        <w:instrText>Drug</w:instrText>
      </w:r>
      <w:r w:rsidR="00A02E0E" w:rsidRPr="00A02E0E">
        <w:rPr>
          <w:rStyle w:val="fontstyle01"/>
          <w:color w:val="auto"/>
        </w:rPr>
        <w:instrText xml:space="preserve"> </w:instrText>
      </w:r>
      <w:r w:rsidR="00A02E0E">
        <w:rPr>
          <w:rStyle w:val="fontstyle01"/>
          <w:color w:val="auto"/>
          <w:lang w:val="en-US"/>
        </w:rPr>
        <w:instrText>Administration</w:instrText>
      </w:r>
      <w:r w:rsidR="00A02E0E" w:rsidRPr="00A02E0E">
        <w:rPr>
          <w:rStyle w:val="fontstyle01"/>
          <w:color w:val="auto"/>
        </w:rPr>
        <w:instrText xml:space="preserve"> </w:instrText>
      </w:r>
      <w:r w:rsidR="00A02E0E">
        <w:rPr>
          <w:rStyle w:val="fontstyle01"/>
          <w:color w:val="auto"/>
          <w:lang w:val="en-US"/>
        </w:rPr>
        <w:instrText>for</w:instrText>
      </w:r>
      <w:r w:rsidR="00A02E0E" w:rsidRPr="00A02E0E">
        <w:rPr>
          <w:rStyle w:val="fontstyle01"/>
          <w:color w:val="auto"/>
        </w:rPr>
        <w:instrText xml:space="preserve"> </w:instrText>
      </w:r>
      <w:r w:rsidR="00A02E0E">
        <w:rPr>
          <w:rStyle w:val="fontstyle01"/>
          <w:color w:val="auto"/>
          <w:lang w:val="en-US"/>
        </w:rPr>
        <w:instrText>allergy</w:instrText>
      </w:r>
      <w:r w:rsidR="00A02E0E" w:rsidRPr="00A02E0E">
        <w:rPr>
          <w:rStyle w:val="fontstyle01"/>
          <w:color w:val="auto"/>
        </w:rPr>
        <w:instrText xml:space="preserve"> </w:instrText>
      </w:r>
      <w:r w:rsidR="00A02E0E">
        <w:rPr>
          <w:rStyle w:val="fontstyle01"/>
          <w:color w:val="auto"/>
          <w:lang w:val="en-US"/>
        </w:rPr>
        <w:instrText>immunotherapy</w:instrText>
      </w:r>
      <w:r w:rsidR="00A02E0E" w:rsidRPr="00A02E0E">
        <w:rPr>
          <w:rStyle w:val="fontstyle01"/>
          <w:color w:val="auto"/>
        </w:rPr>
        <w:instrText xml:space="preserve">, </w:instrText>
      </w:r>
      <w:r w:rsidR="00A02E0E">
        <w:rPr>
          <w:rStyle w:val="fontstyle01"/>
          <w:color w:val="auto"/>
          <w:lang w:val="en-US"/>
        </w:rPr>
        <w:instrText>and</w:instrText>
      </w:r>
      <w:r w:rsidR="00A02E0E" w:rsidRPr="00A02E0E">
        <w:rPr>
          <w:rStyle w:val="fontstyle01"/>
          <w:color w:val="auto"/>
        </w:rPr>
        <w:instrText xml:space="preserve"> </w:instrText>
      </w:r>
      <w:r w:rsidR="00A02E0E">
        <w:rPr>
          <w:rStyle w:val="fontstyle01"/>
          <w:color w:val="auto"/>
          <w:lang w:val="en-US"/>
        </w:rPr>
        <w:instrText>SLIT</w:instrText>
      </w:r>
      <w:r w:rsidR="00A02E0E" w:rsidRPr="00A02E0E">
        <w:rPr>
          <w:rStyle w:val="fontstyle01"/>
          <w:color w:val="auto"/>
        </w:rPr>
        <w:instrText>-</w:instrText>
      </w:r>
      <w:r w:rsidR="00A02E0E">
        <w:rPr>
          <w:rStyle w:val="fontstyle01"/>
          <w:color w:val="auto"/>
          <w:lang w:val="en-US"/>
        </w:rPr>
        <w:instrText>D</w:instrText>
      </w:r>
      <w:r w:rsidR="00A02E0E" w:rsidRPr="00A02E0E">
        <w:rPr>
          <w:rStyle w:val="fontstyle01"/>
          <w:color w:val="auto"/>
        </w:rPr>
        <w:instrText xml:space="preserve"> </w:instrText>
      </w:r>
      <w:r w:rsidR="00A02E0E">
        <w:rPr>
          <w:rStyle w:val="fontstyle01"/>
          <w:color w:val="auto"/>
          <w:lang w:val="en-US"/>
        </w:rPr>
        <w:instrText>is</w:instrText>
      </w:r>
      <w:r w:rsidR="00A02E0E" w:rsidRPr="00A02E0E">
        <w:rPr>
          <w:rStyle w:val="fontstyle01"/>
          <w:color w:val="auto"/>
        </w:rPr>
        <w:instrText xml:space="preserve"> </w:instrText>
      </w:r>
      <w:r w:rsidR="00A02E0E">
        <w:rPr>
          <w:rStyle w:val="fontstyle01"/>
          <w:color w:val="auto"/>
          <w:lang w:val="en-US"/>
        </w:rPr>
        <w:instrText>an</w:instrText>
      </w:r>
      <w:r w:rsidR="00A02E0E" w:rsidRPr="00A02E0E">
        <w:rPr>
          <w:rStyle w:val="fontstyle01"/>
          <w:color w:val="auto"/>
        </w:rPr>
        <w:instrText xml:space="preserve"> </w:instrText>
      </w:r>
      <w:r w:rsidR="00A02E0E">
        <w:rPr>
          <w:rStyle w:val="fontstyle01"/>
          <w:color w:val="auto"/>
          <w:lang w:val="en-US"/>
        </w:rPr>
        <w:instrText>off</w:instrText>
      </w:r>
      <w:r w:rsidR="00A02E0E" w:rsidRPr="00A02E0E">
        <w:rPr>
          <w:rStyle w:val="fontstyle01"/>
          <w:color w:val="auto"/>
        </w:rPr>
        <w:instrText>-</w:instrText>
      </w:r>
      <w:r w:rsidR="00A02E0E">
        <w:rPr>
          <w:rStyle w:val="fontstyle01"/>
          <w:color w:val="auto"/>
          <w:lang w:val="en-US"/>
        </w:rPr>
        <w:instrText>label</w:instrText>
      </w:r>
      <w:r w:rsidR="00A02E0E" w:rsidRPr="00A02E0E">
        <w:rPr>
          <w:rStyle w:val="fontstyle01"/>
          <w:color w:val="auto"/>
        </w:rPr>
        <w:instrText xml:space="preserve"> </w:instrText>
      </w:r>
      <w:r w:rsidR="00A02E0E">
        <w:rPr>
          <w:rStyle w:val="fontstyle01"/>
          <w:color w:val="auto"/>
          <w:lang w:val="en-US"/>
        </w:rPr>
        <w:instrText>use</w:instrText>
      </w:r>
      <w:r w:rsidR="00A02E0E" w:rsidRPr="00A02E0E">
        <w:rPr>
          <w:rStyle w:val="fontstyle01"/>
          <w:color w:val="auto"/>
        </w:rPr>
        <w:instrText xml:space="preserve"> </w:instrText>
      </w:r>
      <w:r w:rsidR="00A02E0E">
        <w:rPr>
          <w:rStyle w:val="fontstyle01"/>
          <w:color w:val="auto"/>
          <w:lang w:val="en-US"/>
        </w:rPr>
        <w:instrText>of</w:instrText>
      </w:r>
      <w:r w:rsidR="00A02E0E" w:rsidRPr="00A02E0E">
        <w:rPr>
          <w:rStyle w:val="fontstyle01"/>
          <w:color w:val="auto"/>
        </w:rPr>
        <w:instrText xml:space="preserve"> </w:instrText>
      </w:r>
      <w:r w:rsidR="00A02E0E">
        <w:rPr>
          <w:rStyle w:val="fontstyle01"/>
          <w:color w:val="auto"/>
          <w:lang w:val="en-US"/>
        </w:rPr>
        <w:instrText>subcutaneous</w:instrText>
      </w:r>
      <w:r w:rsidR="00A02E0E" w:rsidRPr="00A02E0E">
        <w:rPr>
          <w:rStyle w:val="fontstyle01"/>
          <w:color w:val="auto"/>
        </w:rPr>
        <w:instrText xml:space="preserve"> </w:instrText>
      </w:r>
      <w:r w:rsidR="00A02E0E">
        <w:rPr>
          <w:rStyle w:val="fontstyle01"/>
          <w:color w:val="auto"/>
          <w:lang w:val="en-US"/>
        </w:rPr>
        <w:instrText>immunotherapy</w:instrText>
      </w:r>
      <w:r w:rsidR="00A02E0E" w:rsidRPr="00A02E0E">
        <w:rPr>
          <w:rStyle w:val="fontstyle01"/>
          <w:color w:val="auto"/>
        </w:rPr>
        <w:instrText xml:space="preserve"> (</w:instrText>
      </w:r>
      <w:r w:rsidR="00A02E0E">
        <w:rPr>
          <w:rStyle w:val="fontstyle01"/>
          <w:color w:val="auto"/>
          <w:lang w:val="en-US"/>
        </w:rPr>
        <w:instrText>SCIT</w:instrText>
      </w:r>
      <w:r w:rsidR="00A02E0E" w:rsidRPr="00A02E0E">
        <w:rPr>
          <w:rStyle w:val="fontstyle01"/>
          <w:color w:val="auto"/>
        </w:rPr>
        <w:instrText xml:space="preserve">) </w:instrText>
      </w:r>
      <w:r w:rsidR="00A02E0E">
        <w:rPr>
          <w:rStyle w:val="fontstyle01"/>
          <w:color w:val="auto"/>
          <w:lang w:val="en-US"/>
        </w:rPr>
        <w:instrText>extracts</w:instrText>
      </w:r>
      <w:r w:rsidR="00A02E0E" w:rsidRPr="00A02E0E">
        <w:rPr>
          <w:rStyle w:val="fontstyle01"/>
          <w:color w:val="auto"/>
        </w:rPr>
        <w:instrText xml:space="preserve">. </w:instrText>
      </w:r>
      <w:r w:rsidR="00A02E0E">
        <w:rPr>
          <w:rStyle w:val="fontstyle01"/>
          <w:color w:val="auto"/>
          <w:lang w:val="en-US"/>
        </w:rPr>
        <w:instrText>Objective</w:instrText>
      </w:r>
      <w:r w:rsidR="00A02E0E" w:rsidRPr="00A02E0E">
        <w:rPr>
          <w:rStyle w:val="fontstyle01"/>
          <w:color w:val="auto"/>
        </w:rPr>
        <w:instrText xml:space="preserve">: </w:instrText>
      </w:r>
      <w:r w:rsidR="00A02E0E">
        <w:rPr>
          <w:rStyle w:val="fontstyle01"/>
          <w:color w:val="auto"/>
          <w:lang w:val="en-US"/>
        </w:rPr>
        <w:instrText>To</w:instrText>
      </w:r>
      <w:r w:rsidR="00A02E0E" w:rsidRPr="00A02E0E">
        <w:rPr>
          <w:rStyle w:val="fontstyle01"/>
          <w:color w:val="auto"/>
        </w:rPr>
        <w:instrText xml:space="preserve"> </w:instrText>
      </w:r>
      <w:r w:rsidR="00A02E0E">
        <w:rPr>
          <w:rStyle w:val="fontstyle01"/>
          <w:color w:val="auto"/>
          <w:lang w:val="en-US"/>
        </w:rPr>
        <w:instrText>compare</w:instrText>
      </w:r>
      <w:r w:rsidR="00A02E0E" w:rsidRPr="00A02E0E">
        <w:rPr>
          <w:rStyle w:val="fontstyle01"/>
          <w:color w:val="auto"/>
        </w:rPr>
        <w:instrText xml:space="preserve"> </w:instrText>
      </w:r>
      <w:r w:rsidR="00A02E0E">
        <w:rPr>
          <w:rStyle w:val="fontstyle01"/>
          <w:color w:val="auto"/>
          <w:lang w:val="en-US"/>
        </w:rPr>
        <w:instrText>and</w:instrText>
      </w:r>
      <w:r w:rsidR="00A02E0E" w:rsidRPr="00A02E0E">
        <w:rPr>
          <w:rStyle w:val="fontstyle01"/>
          <w:color w:val="auto"/>
        </w:rPr>
        <w:instrText xml:space="preserve"> </w:instrText>
      </w:r>
      <w:r w:rsidR="00A02E0E">
        <w:rPr>
          <w:rStyle w:val="fontstyle01"/>
          <w:color w:val="auto"/>
          <w:lang w:val="en-US"/>
        </w:rPr>
        <w:instrText>contrast</w:instrText>
      </w:r>
      <w:r w:rsidR="00A02E0E" w:rsidRPr="00A02E0E">
        <w:rPr>
          <w:rStyle w:val="fontstyle01"/>
          <w:color w:val="auto"/>
        </w:rPr>
        <w:instrText xml:space="preserve"> </w:instrText>
      </w:r>
      <w:r w:rsidR="00A02E0E">
        <w:rPr>
          <w:rStyle w:val="fontstyle01"/>
          <w:color w:val="auto"/>
          <w:lang w:val="en-US"/>
        </w:rPr>
        <w:instrText>aspects</w:instrText>
      </w:r>
      <w:r w:rsidR="00A02E0E" w:rsidRPr="00A02E0E">
        <w:rPr>
          <w:rStyle w:val="fontstyle01"/>
          <w:color w:val="auto"/>
        </w:rPr>
        <w:instrText xml:space="preserve"> </w:instrText>
      </w:r>
      <w:r w:rsidR="00A02E0E">
        <w:rPr>
          <w:rStyle w:val="fontstyle01"/>
          <w:color w:val="auto"/>
          <w:lang w:val="en-US"/>
        </w:rPr>
        <w:instrText>of</w:instrText>
      </w:r>
      <w:r w:rsidR="00A02E0E" w:rsidRPr="00A02E0E">
        <w:rPr>
          <w:rStyle w:val="fontstyle01"/>
          <w:color w:val="auto"/>
        </w:rPr>
        <w:instrText xml:space="preserve"> </w:instrText>
      </w:r>
      <w:r w:rsidR="00A02E0E">
        <w:rPr>
          <w:rStyle w:val="fontstyle01"/>
          <w:color w:val="auto"/>
          <w:lang w:val="en-US"/>
        </w:rPr>
        <w:instrText>SLIT</w:instrText>
      </w:r>
      <w:r w:rsidR="00A02E0E" w:rsidRPr="00A02E0E">
        <w:rPr>
          <w:rStyle w:val="fontstyle01"/>
          <w:color w:val="auto"/>
        </w:rPr>
        <w:instrText>-</w:instrText>
      </w:r>
      <w:r w:rsidR="00A02E0E">
        <w:rPr>
          <w:rStyle w:val="fontstyle01"/>
          <w:color w:val="auto"/>
          <w:lang w:val="en-US"/>
        </w:rPr>
        <w:instrText>T</w:instrText>
      </w:r>
      <w:r w:rsidR="00A02E0E" w:rsidRPr="00A02E0E">
        <w:rPr>
          <w:rStyle w:val="fontstyle01"/>
          <w:color w:val="auto"/>
        </w:rPr>
        <w:instrText xml:space="preserve"> </w:instrText>
      </w:r>
      <w:r w:rsidR="00A02E0E">
        <w:rPr>
          <w:rStyle w:val="fontstyle01"/>
          <w:color w:val="auto"/>
          <w:lang w:val="en-US"/>
        </w:rPr>
        <w:instrText>and</w:instrText>
      </w:r>
      <w:r w:rsidR="00A02E0E" w:rsidRPr="00A02E0E">
        <w:rPr>
          <w:rStyle w:val="fontstyle01"/>
          <w:color w:val="auto"/>
        </w:rPr>
        <w:instrText xml:space="preserve"> </w:instrText>
      </w:r>
      <w:r w:rsidR="00A02E0E">
        <w:rPr>
          <w:rStyle w:val="fontstyle01"/>
          <w:color w:val="auto"/>
          <w:lang w:val="en-US"/>
        </w:rPr>
        <w:instrText>SLIT</w:instrText>
      </w:r>
      <w:r w:rsidR="00A02E0E" w:rsidRPr="00A02E0E">
        <w:rPr>
          <w:rStyle w:val="fontstyle01"/>
          <w:color w:val="auto"/>
        </w:rPr>
        <w:instrText>-</w:instrText>
      </w:r>
      <w:r w:rsidR="00A02E0E">
        <w:rPr>
          <w:rStyle w:val="fontstyle01"/>
          <w:color w:val="auto"/>
          <w:lang w:val="en-US"/>
        </w:rPr>
        <w:instrText>D</w:instrText>
      </w:r>
      <w:r w:rsidR="00A02E0E" w:rsidRPr="00A02E0E">
        <w:rPr>
          <w:rStyle w:val="fontstyle01"/>
          <w:color w:val="auto"/>
        </w:rPr>
        <w:instrText xml:space="preserve">, </w:instrText>
      </w:r>
      <w:r w:rsidR="00A02E0E">
        <w:rPr>
          <w:rStyle w:val="fontstyle01"/>
          <w:color w:val="auto"/>
          <w:lang w:val="en-US"/>
        </w:rPr>
        <w:instrText>including</w:instrText>
      </w:r>
      <w:r w:rsidR="00A02E0E" w:rsidRPr="00A02E0E">
        <w:rPr>
          <w:rStyle w:val="fontstyle01"/>
          <w:color w:val="auto"/>
        </w:rPr>
        <w:instrText xml:space="preserve"> </w:instrText>
      </w:r>
      <w:r w:rsidR="00A02E0E">
        <w:rPr>
          <w:rStyle w:val="fontstyle01"/>
          <w:color w:val="auto"/>
          <w:lang w:val="en-US"/>
        </w:rPr>
        <w:instrText>physical</w:instrText>
      </w:r>
      <w:r w:rsidR="00A02E0E" w:rsidRPr="00A02E0E">
        <w:rPr>
          <w:rStyle w:val="fontstyle01"/>
          <w:color w:val="auto"/>
        </w:rPr>
        <w:instrText xml:space="preserve"> </w:instrText>
      </w:r>
      <w:r w:rsidR="00A02E0E">
        <w:rPr>
          <w:rStyle w:val="fontstyle01"/>
          <w:color w:val="auto"/>
          <w:lang w:val="en-US"/>
        </w:rPr>
        <w:instrText>characteristics</w:instrText>
      </w:r>
      <w:r w:rsidR="00A02E0E" w:rsidRPr="00A02E0E">
        <w:rPr>
          <w:rStyle w:val="fontstyle01"/>
          <w:color w:val="auto"/>
        </w:rPr>
        <w:instrText xml:space="preserve">, </w:instrText>
      </w:r>
      <w:r w:rsidR="00A02E0E">
        <w:rPr>
          <w:rStyle w:val="fontstyle01"/>
          <w:color w:val="auto"/>
          <w:lang w:val="en-US"/>
        </w:rPr>
        <w:instrText>mechanism</w:instrText>
      </w:r>
      <w:r w:rsidR="00A02E0E" w:rsidRPr="00A02E0E">
        <w:rPr>
          <w:rStyle w:val="fontstyle01"/>
          <w:color w:val="auto"/>
        </w:rPr>
        <w:instrText xml:space="preserve"> </w:instrText>
      </w:r>
      <w:r w:rsidR="00A02E0E">
        <w:rPr>
          <w:rStyle w:val="fontstyle01"/>
          <w:color w:val="auto"/>
          <w:lang w:val="en-US"/>
        </w:rPr>
        <w:instrText>of</w:instrText>
      </w:r>
      <w:r w:rsidR="00A02E0E" w:rsidRPr="00A02E0E">
        <w:rPr>
          <w:rStyle w:val="fontstyle01"/>
          <w:color w:val="auto"/>
        </w:rPr>
        <w:instrText xml:space="preserve"> </w:instrText>
      </w:r>
      <w:r w:rsidR="00A02E0E">
        <w:rPr>
          <w:rStyle w:val="fontstyle01"/>
          <w:color w:val="auto"/>
          <w:lang w:val="en-US"/>
        </w:rPr>
        <w:instrText>action</w:instrText>
      </w:r>
      <w:r w:rsidR="00A02E0E" w:rsidRPr="00A02E0E">
        <w:rPr>
          <w:rStyle w:val="fontstyle01"/>
          <w:color w:val="auto"/>
        </w:rPr>
        <w:instrText xml:space="preserve">, </w:instrText>
      </w:r>
      <w:r w:rsidR="00A02E0E">
        <w:rPr>
          <w:rStyle w:val="fontstyle01"/>
          <w:color w:val="auto"/>
          <w:lang w:val="en-US"/>
        </w:rPr>
        <w:instrText>dosing</w:instrText>
      </w:r>
      <w:r w:rsidR="00A02E0E" w:rsidRPr="00A02E0E">
        <w:rPr>
          <w:rStyle w:val="fontstyle01"/>
          <w:color w:val="auto"/>
        </w:rPr>
        <w:instrText xml:space="preserve">, </w:instrText>
      </w:r>
      <w:r w:rsidR="00A02E0E">
        <w:rPr>
          <w:rStyle w:val="fontstyle01"/>
          <w:color w:val="auto"/>
          <w:lang w:val="en-US"/>
        </w:rPr>
        <w:instrText>efficacy</w:instrText>
      </w:r>
      <w:r w:rsidR="00A02E0E" w:rsidRPr="00A02E0E">
        <w:rPr>
          <w:rStyle w:val="fontstyle01"/>
          <w:color w:val="auto"/>
        </w:rPr>
        <w:instrText xml:space="preserve">, </w:instrText>
      </w:r>
      <w:r w:rsidR="00A02E0E">
        <w:rPr>
          <w:rStyle w:val="fontstyle01"/>
          <w:color w:val="auto"/>
          <w:lang w:val="en-US"/>
        </w:rPr>
        <w:instrText>safety</w:instrText>
      </w:r>
      <w:r w:rsidR="00A02E0E" w:rsidRPr="00A02E0E">
        <w:rPr>
          <w:rStyle w:val="fontstyle01"/>
          <w:color w:val="auto"/>
        </w:rPr>
        <w:instrText xml:space="preserve">, </w:instrText>
      </w:r>
      <w:r w:rsidR="00A02E0E">
        <w:rPr>
          <w:rStyle w:val="fontstyle01"/>
          <w:color w:val="auto"/>
          <w:lang w:val="en-US"/>
        </w:rPr>
        <w:instrText>adherence</w:instrText>
      </w:r>
      <w:r w:rsidR="00A02E0E" w:rsidRPr="00A02E0E">
        <w:rPr>
          <w:rStyle w:val="fontstyle01"/>
          <w:color w:val="auto"/>
        </w:rPr>
        <w:instrText xml:space="preserve">, </w:instrText>
      </w:r>
      <w:r w:rsidR="00A02E0E">
        <w:rPr>
          <w:rStyle w:val="fontstyle01"/>
          <w:color w:val="auto"/>
          <w:lang w:val="en-US"/>
        </w:rPr>
        <w:instrText>and</w:instrText>
      </w:r>
      <w:r w:rsidR="00A02E0E" w:rsidRPr="00A02E0E">
        <w:rPr>
          <w:rStyle w:val="fontstyle01"/>
          <w:color w:val="auto"/>
        </w:rPr>
        <w:instrText xml:space="preserve"> </w:instrText>
      </w:r>
      <w:r w:rsidR="00A02E0E">
        <w:rPr>
          <w:rStyle w:val="fontstyle01"/>
          <w:color w:val="auto"/>
          <w:lang w:val="en-US"/>
        </w:rPr>
        <w:instrText>cost</w:instrText>
      </w:r>
      <w:r w:rsidR="00A02E0E" w:rsidRPr="00A02E0E">
        <w:rPr>
          <w:rStyle w:val="fontstyle01"/>
          <w:color w:val="auto"/>
        </w:rPr>
        <w:instrText xml:space="preserve">. </w:instrText>
      </w:r>
      <w:r w:rsidR="00A02E0E">
        <w:rPr>
          <w:rStyle w:val="fontstyle01"/>
          <w:color w:val="auto"/>
          <w:lang w:val="en-US"/>
        </w:rPr>
        <w:instrText>Data</w:instrText>
      </w:r>
      <w:r w:rsidR="00A02E0E" w:rsidRPr="00A02E0E">
        <w:rPr>
          <w:rStyle w:val="fontstyle01"/>
          <w:color w:val="auto"/>
        </w:rPr>
        <w:instrText xml:space="preserve"> </w:instrText>
      </w:r>
      <w:r w:rsidR="00A02E0E">
        <w:rPr>
          <w:rStyle w:val="fontstyle01"/>
          <w:color w:val="auto"/>
          <w:lang w:val="en-US"/>
        </w:rPr>
        <w:instrText>Sources</w:instrText>
      </w:r>
      <w:r w:rsidR="00A02E0E" w:rsidRPr="00A02E0E">
        <w:rPr>
          <w:rStyle w:val="fontstyle01"/>
          <w:color w:val="auto"/>
        </w:rPr>
        <w:instrText xml:space="preserve">: </w:instrText>
      </w:r>
      <w:r w:rsidR="00A02E0E">
        <w:rPr>
          <w:rStyle w:val="fontstyle01"/>
          <w:color w:val="auto"/>
          <w:lang w:val="en-US"/>
        </w:rPr>
        <w:instrText>PubMed</w:instrText>
      </w:r>
      <w:r w:rsidR="00A02E0E" w:rsidRPr="00A02E0E">
        <w:rPr>
          <w:rStyle w:val="fontstyle01"/>
          <w:color w:val="auto"/>
        </w:rPr>
        <w:instrText xml:space="preserve"> </w:instrText>
      </w:r>
      <w:r w:rsidR="00A02E0E">
        <w:rPr>
          <w:rStyle w:val="fontstyle01"/>
          <w:color w:val="auto"/>
          <w:lang w:val="en-US"/>
        </w:rPr>
        <w:instrText>literature</w:instrText>
      </w:r>
      <w:r w:rsidR="00A02E0E" w:rsidRPr="00A02E0E">
        <w:rPr>
          <w:rStyle w:val="fontstyle01"/>
          <w:color w:val="auto"/>
        </w:rPr>
        <w:instrText xml:space="preserve"> </w:instrText>
      </w:r>
      <w:r w:rsidR="00A02E0E">
        <w:rPr>
          <w:rStyle w:val="fontstyle01"/>
          <w:color w:val="auto"/>
          <w:lang w:val="en-US"/>
        </w:rPr>
        <w:instrText>review</w:instrText>
      </w:r>
      <w:r w:rsidR="00A02E0E" w:rsidRPr="00A02E0E">
        <w:rPr>
          <w:rStyle w:val="fontstyle01"/>
          <w:color w:val="auto"/>
        </w:rPr>
        <w:instrText xml:space="preserve"> (</w:instrText>
      </w:r>
      <w:r w:rsidR="00A02E0E">
        <w:rPr>
          <w:rStyle w:val="fontstyle01"/>
          <w:color w:val="auto"/>
          <w:lang w:val="en-US"/>
        </w:rPr>
        <w:instrText>no</w:instrText>
      </w:r>
      <w:r w:rsidR="00A02E0E" w:rsidRPr="00A02E0E">
        <w:rPr>
          <w:rStyle w:val="fontstyle01"/>
          <w:color w:val="auto"/>
        </w:rPr>
        <w:instrText xml:space="preserve"> </w:instrText>
      </w:r>
      <w:r w:rsidR="00A02E0E">
        <w:rPr>
          <w:rStyle w:val="fontstyle01"/>
          <w:color w:val="auto"/>
          <w:lang w:val="en-US"/>
        </w:rPr>
        <w:instrText>limits</w:instrText>
      </w:r>
      <w:r w:rsidR="00A02E0E" w:rsidRPr="00A02E0E">
        <w:rPr>
          <w:rStyle w:val="fontstyle01"/>
          <w:color w:val="auto"/>
        </w:rPr>
        <w:instrText xml:space="preserve">), </w:instrText>
      </w:r>
      <w:r w:rsidR="00A02E0E">
        <w:rPr>
          <w:rStyle w:val="fontstyle01"/>
          <w:color w:val="auto"/>
          <w:lang w:val="en-US"/>
        </w:rPr>
        <w:instrText>product</w:instrText>
      </w:r>
      <w:r w:rsidR="00A02E0E" w:rsidRPr="00A02E0E">
        <w:rPr>
          <w:rStyle w:val="fontstyle01"/>
          <w:color w:val="auto"/>
        </w:rPr>
        <w:instrText xml:space="preserve"> </w:instrText>
      </w:r>
      <w:r w:rsidR="00A02E0E">
        <w:rPr>
          <w:rStyle w:val="fontstyle01"/>
          <w:color w:val="auto"/>
          <w:lang w:val="en-US"/>
        </w:rPr>
        <w:instrText>prescribing</w:instrText>
      </w:r>
      <w:r w:rsidR="00A02E0E" w:rsidRPr="00A02E0E">
        <w:rPr>
          <w:rStyle w:val="fontstyle01"/>
          <w:color w:val="auto"/>
        </w:rPr>
        <w:instrText xml:space="preserve"> </w:instrText>
      </w:r>
      <w:r w:rsidR="00A02E0E">
        <w:rPr>
          <w:rStyle w:val="fontstyle01"/>
          <w:color w:val="auto"/>
          <w:lang w:val="en-US"/>
        </w:rPr>
        <w:instrText>information</w:instrText>
      </w:r>
      <w:r w:rsidR="00A02E0E" w:rsidRPr="00A02E0E">
        <w:rPr>
          <w:rStyle w:val="fontstyle01"/>
          <w:color w:val="auto"/>
        </w:rPr>
        <w:instrText xml:space="preserve">, </w:instrText>
      </w:r>
      <w:r w:rsidR="00A02E0E">
        <w:rPr>
          <w:rStyle w:val="fontstyle01"/>
          <w:color w:val="auto"/>
          <w:lang w:val="en-US"/>
        </w:rPr>
        <w:instrText>and</w:instrText>
      </w:r>
      <w:r w:rsidR="00A02E0E" w:rsidRPr="00A02E0E">
        <w:rPr>
          <w:rStyle w:val="fontstyle01"/>
          <w:color w:val="auto"/>
        </w:rPr>
        <w:instrText xml:space="preserve"> </w:instrText>
      </w:r>
      <w:r w:rsidR="00A02E0E">
        <w:rPr>
          <w:rStyle w:val="fontstyle01"/>
          <w:color w:val="auto"/>
          <w:lang w:val="en-US"/>
        </w:rPr>
        <w:instrText>manufacturer</w:instrText>
      </w:r>
      <w:r w:rsidR="00A02E0E" w:rsidRPr="00A02E0E">
        <w:rPr>
          <w:rStyle w:val="fontstyle01"/>
          <w:color w:val="auto"/>
        </w:rPr>
        <w:instrText xml:space="preserve"> </w:instrText>
      </w:r>
      <w:r w:rsidR="00A02E0E">
        <w:rPr>
          <w:rStyle w:val="fontstyle01"/>
          <w:color w:val="auto"/>
          <w:lang w:val="en-US"/>
        </w:rPr>
        <w:instrText>websites</w:instrText>
      </w:r>
      <w:r w:rsidR="00A02E0E" w:rsidRPr="00A02E0E">
        <w:rPr>
          <w:rStyle w:val="fontstyle01"/>
          <w:color w:val="auto"/>
        </w:rPr>
        <w:instrText xml:space="preserve">. </w:instrText>
      </w:r>
      <w:r w:rsidR="00A02E0E">
        <w:rPr>
          <w:rStyle w:val="fontstyle01"/>
          <w:color w:val="auto"/>
          <w:lang w:val="en-US"/>
        </w:rPr>
        <w:instrText>Study</w:instrText>
      </w:r>
      <w:r w:rsidR="00A02E0E" w:rsidRPr="00A02E0E">
        <w:rPr>
          <w:rStyle w:val="fontstyle01"/>
          <w:color w:val="auto"/>
        </w:rPr>
        <w:instrText xml:space="preserve"> </w:instrText>
      </w:r>
      <w:r w:rsidR="00A02E0E">
        <w:rPr>
          <w:rStyle w:val="fontstyle01"/>
          <w:color w:val="auto"/>
          <w:lang w:val="en-US"/>
        </w:rPr>
        <w:instrText>Selections</w:instrText>
      </w:r>
      <w:r w:rsidR="00A02E0E" w:rsidRPr="00A02E0E">
        <w:rPr>
          <w:rStyle w:val="fontstyle01"/>
          <w:color w:val="auto"/>
        </w:rPr>
        <w:instrText xml:space="preserve">: </w:instrText>
      </w:r>
      <w:r w:rsidR="00A02E0E">
        <w:rPr>
          <w:rStyle w:val="fontstyle01"/>
          <w:color w:val="auto"/>
          <w:lang w:val="en-US"/>
        </w:rPr>
        <w:instrText>Publications</w:instrText>
      </w:r>
      <w:r w:rsidR="00A02E0E" w:rsidRPr="00A02E0E">
        <w:rPr>
          <w:rStyle w:val="fontstyle01"/>
          <w:color w:val="auto"/>
        </w:rPr>
        <w:instrText xml:space="preserve"> </w:instrText>
      </w:r>
      <w:r w:rsidR="00A02E0E">
        <w:rPr>
          <w:rStyle w:val="fontstyle01"/>
          <w:color w:val="auto"/>
          <w:lang w:val="en-US"/>
        </w:rPr>
        <w:instrText>related</w:instrText>
      </w:r>
      <w:r w:rsidR="00A02E0E" w:rsidRPr="00A02E0E">
        <w:rPr>
          <w:rStyle w:val="fontstyle01"/>
          <w:color w:val="auto"/>
        </w:rPr>
        <w:instrText xml:space="preserve"> </w:instrText>
      </w:r>
      <w:r w:rsidR="00A02E0E">
        <w:rPr>
          <w:rStyle w:val="fontstyle01"/>
          <w:color w:val="auto"/>
          <w:lang w:val="en-US"/>
        </w:rPr>
        <w:instrText>to</w:instrText>
      </w:r>
      <w:r w:rsidR="00A02E0E" w:rsidRPr="00A02E0E">
        <w:rPr>
          <w:rStyle w:val="fontstyle01"/>
          <w:color w:val="auto"/>
        </w:rPr>
        <w:instrText xml:space="preserve"> </w:instrText>
      </w:r>
      <w:r w:rsidR="00A02E0E">
        <w:rPr>
          <w:rStyle w:val="fontstyle01"/>
          <w:color w:val="auto"/>
          <w:lang w:val="en-US"/>
        </w:rPr>
        <w:instrText>physical</w:instrText>
      </w:r>
      <w:r w:rsidR="00A02E0E" w:rsidRPr="00A02E0E">
        <w:rPr>
          <w:rStyle w:val="fontstyle01"/>
          <w:color w:val="auto"/>
        </w:rPr>
        <w:instrText xml:space="preserve"> </w:instrText>
      </w:r>
      <w:r w:rsidR="00A02E0E">
        <w:rPr>
          <w:rStyle w:val="fontstyle01"/>
          <w:color w:val="auto"/>
          <w:lang w:val="en-US"/>
        </w:rPr>
        <w:instrText>characteristics</w:instrText>
      </w:r>
      <w:r w:rsidR="00A02E0E" w:rsidRPr="00A02E0E">
        <w:rPr>
          <w:rStyle w:val="fontstyle01"/>
          <w:color w:val="auto"/>
        </w:rPr>
        <w:instrText xml:space="preserve">, </w:instrText>
      </w:r>
      <w:r w:rsidR="00A02E0E">
        <w:rPr>
          <w:rStyle w:val="fontstyle01"/>
          <w:color w:val="auto"/>
          <w:lang w:val="en-US"/>
        </w:rPr>
        <w:instrText>mechanism</w:instrText>
      </w:r>
      <w:r w:rsidR="00A02E0E" w:rsidRPr="00A02E0E">
        <w:rPr>
          <w:rStyle w:val="fontstyle01"/>
          <w:color w:val="auto"/>
        </w:rPr>
        <w:instrText xml:space="preserve"> </w:instrText>
      </w:r>
      <w:r w:rsidR="00A02E0E">
        <w:rPr>
          <w:rStyle w:val="fontstyle01"/>
          <w:color w:val="auto"/>
          <w:lang w:val="en-US"/>
        </w:rPr>
        <w:instrText>of</w:instrText>
      </w:r>
      <w:r w:rsidR="00A02E0E" w:rsidRPr="00A02E0E">
        <w:rPr>
          <w:rStyle w:val="fontstyle01"/>
          <w:color w:val="auto"/>
        </w:rPr>
        <w:instrText xml:space="preserve"> </w:instrText>
      </w:r>
      <w:r w:rsidR="00A02E0E">
        <w:rPr>
          <w:rStyle w:val="fontstyle01"/>
          <w:color w:val="auto"/>
          <w:lang w:val="en-US"/>
        </w:rPr>
        <w:instrText>action</w:instrText>
      </w:r>
      <w:r w:rsidR="00A02E0E" w:rsidRPr="00A02E0E">
        <w:rPr>
          <w:rStyle w:val="fontstyle01"/>
          <w:color w:val="auto"/>
        </w:rPr>
        <w:instrText xml:space="preserve">, </w:instrText>
      </w:r>
      <w:r w:rsidR="00A02E0E">
        <w:rPr>
          <w:rStyle w:val="fontstyle01"/>
          <w:color w:val="auto"/>
          <w:lang w:val="en-US"/>
        </w:rPr>
        <w:instrText>dosing</w:instrText>
      </w:r>
      <w:r w:rsidR="00A02E0E" w:rsidRPr="00A02E0E">
        <w:rPr>
          <w:rStyle w:val="fontstyle01"/>
          <w:color w:val="auto"/>
        </w:rPr>
        <w:instrText xml:space="preserve">, </w:instrText>
      </w:r>
      <w:r w:rsidR="00A02E0E">
        <w:rPr>
          <w:rStyle w:val="fontstyle01"/>
          <w:color w:val="auto"/>
          <w:lang w:val="en-US"/>
        </w:rPr>
        <w:instrText>efficacy</w:instrText>
      </w:r>
      <w:r w:rsidR="00A02E0E" w:rsidRPr="00A02E0E">
        <w:rPr>
          <w:rStyle w:val="fontstyle01"/>
          <w:color w:val="auto"/>
        </w:rPr>
        <w:instrText xml:space="preserve">, </w:instrText>
      </w:r>
      <w:r w:rsidR="00A02E0E">
        <w:rPr>
          <w:rStyle w:val="fontstyle01"/>
          <w:color w:val="auto"/>
          <w:lang w:val="en-US"/>
        </w:rPr>
        <w:instrText>safety</w:instrText>
      </w:r>
      <w:r w:rsidR="00A02E0E" w:rsidRPr="00A02E0E">
        <w:rPr>
          <w:rStyle w:val="fontstyle01"/>
          <w:color w:val="auto"/>
        </w:rPr>
        <w:instrText xml:space="preserve">, </w:instrText>
      </w:r>
      <w:r w:rsidR="00A02E0E">
        <w:rPr>
          <w:rStyle w:val="fontstyle01"/>
          <w:color w:val="auto"/>
          <w:lang w:val="en-US"/>
        </w:rPr>
        <w:instrText>and</w:instrText>
      </w:r>
      <w:r w:rsidR="00A02E0E" w:rsidRPr="00A02E0E">
        <w:rPr>
          <w:rStyle w:val="fontstyle01"/>
          <w:color w:val="auto"/>
        </w:rPr>
        <w:instrText xml:space="preserve"> </w:instrText>
      </w:r>
      <w:r w:rsidR="00A02E0E">
        <w:rPr>
          <w:rStyle w:val="fontstyle01"/>
          <w:color w:val="auto"/>
          <w:lang w:val="en-US"/>
        </w:rPr>
        <w:instrText>adherence</w:instrText>
      </w:r>
      <w:r w:rsidR="00A02E0E" w:rsidRPr="00A02E0E">
        <w:rPr>
          <w:rStyle w:val="fontstyle01"/>
          <w:color w:val="auto"/>
        </w:rPr>
        <w:instrText xml:space="preserve">. </w:instrText>
      </w:r>
      <w:r w:rsidR="00A02E0E">
        <w:rPr>
          <w:rStyle w:val="fontstyle01"/>
          <w:color w:val="auto"/>
          <w:lang w:val="en-US"/>
        </w:rPr>
        <w:instrText>Results</w:instrText>
      </w:r>
      <w:r w:rsidR="00A02E0E" w:rsidRPr="00A02E0E">
        <w:rPr>
          <w:rStyle w:val="fontstyle01"/>
          <w:color w:val="auto"/>
        </w:rPr>
        <w:instrText xml:space="preserve">: </w:instrText>
      </w:r>
      <w:r w:rsidR="00A02E0E">
        <w:rPr>
          <w:rStyle w:val="fontstyle01"/>
          <w:color w:val="auto"/>
          <w:lang w:val="en-US"/>
        </w:rPr>
        <w:instrText>Published</w:instrText>
      </w:r>
      <w:r w:rsidR="00A02E0E" w:rsidRPr="00A02E0E">
        <w:rPr>
          <w:rStyle w:val="fontstyle01"/>
          <w:color w:val="auto"/>
        </w:rPr>
        <w:instrText xml:space="preserve"> </w:instrText>
      </w:r>
      <w:r w:rsidR="00A02E0E">
        <w:rPr>
          <w:rStyle w:val="fontstyle01"/>
          <w:color w:val="auto"/>
          <w:lang w:val="en-US"/>
        </w:rPr>
        <w:instrText>evidence</w:instrText>
      </w:r>
      <w:r w:rsidR="00A02E0E" w:rsidRPr="00A02E0E">
        <w:rPr>
          <w:rStyle w:val="fontstyle01"/>
          <w:color w:val="auto"/>
        </w:rPr>
        <w:instrText xml:space="preserve"> </w:instrText>
      </w:r>
      <w:r w:rsidR="00A02E0E">
        <w:rPr>
          <w:rStyle w:val="fontstyle01"/>
          <w:color w:val="auto"/>
          <w:lang w:val="en-US"/>
        </w:rPr>
        <w:instrText>indicates</w:instrText>
      </w:r>
      <w:r w:rsidR="00A02E0E" w:rsidRPr="00A02E0E">
        <w:rPr>
          <w:rStyle w:val="fontstyle01"/>
          <w:color w:val="auto"/>
        </w:rPr>
        <w:instrText xml:space="preserve"> </w:instrText>
      </w:r>
      <w:r w:rsidR="00A02E0E">
        <w:rPr>
          <w:rStyle w:val="fontstyle01"/>
          <w:color w:val="auto"/>
          <w:lang w:val="en-US"/>
        </w:rPr>
        <w:instrText>that</w:instrText>
      </w:r>
      <w:r w:rsidR="00A02E0E" w:rsidRPr="00A02E0E">
        <w:rPr>
          <w:rStyle w:val="fontstyle01"/>
          <w:color w:val="auto"/>
        </w:rPr>
        <w:instrText xml:space="preserve"> </w:instrText>
      </w:r>
      <w:r w:rsidR="00A02E0E">
        <w:rPr>
          <w:rStyle w:val="fontstyle01"/>
          <w:color w:val="auto"/>
          <w:lang w:val="en-US"/>
        </w:rPr>
        <w:instrText>tablet</w:instrText>
      </w:r>
      <w:r w:rsidR="00A02E0E" w:rsidRPr="00A02E0E">
        <w:rPr>
          <w:rStyle w:val="fontstyle01"/>
          <w:color w:val="auto"/>
        </w:rPr>
        <w:instrText xml:space="preserve"> </w:instrText>
      </w:r>
      <w:r w:rsidR="00A02E0E">
        <w:rPr>
          <w:rStyle w:val="fontstyle01"/>
          <w:color w:val="auto"/>
          <w:lang w:val="en-US"/>
        </w:rPr>
        <w:instrText>and</w:instrText>
      </w:r>
      <w:r w:rsidR="00A02E0E" w:rsidRPr="00A02E0E">
        <w:rPr>
          <w:rStyle w:val="fontstyle01"/>
          <w:color w:val="auto"/>
        </w:rPr>
        <w:instrText xml:space="preserve"> </w:instrText>
      </w:r>
      <w:r w:rsidR="00A02E0E">
        <w:rPr>
          <w:rStyle w:val="fontstyle01"/>
          <w:color w:val="auto"/>
          <w:lang w:val="en-US"/>
        </w:rPr>
        <w:instrText>drop</w:instrText>
      </w:r>
      <w:r w:rsidR="00A02E0E" w:rsidRPr="00A02E0E">
        <w:rPr>
          <w:rStyle w:val="fontstyle01"/>
          <w:color w:val="auto"/>
        </w:rPr>
        <w:instrText xml:space="preserve"> </w:instrText>
      </w:r>
      <w:r w:rsidR="00A02E0E">
        <w:rPr>
          <w:rStyle w:val="fontstyle01"/>
          <w:color w:val="auto"/>
          <w:lang w:val="en-US"/>
        </w:rPr>
        <w:instrText>formulations</w:instrText>
      </w:r>
      <w:r w:rsidR="00A02E0E" w:rsidRPr="00A02E0E">
        <w:rPr>
          <w:rStyle w:val="fontstyle01"/>
          <w:color w:val="auto"/>
        </w:rPr>
        <w:instrText xml:space="preserve"> </w:instrText>
      </w:r>
      <w:r w:rsidR="00A02E0E">
        <w:rPr>
          <w:rStyle w:val="fontstyle01"/>
          <w:color w:val="auto"/>
          <w:lang w:val="en-US"/>
        </w:rPr>
        <w:instrText>differ</w:instrText>
      </w:r>
      <w:r w:rsidR="00A02E0E" w:rsidRPr="00A02E0E">
        <w:rPr>
          <w:rStyle w:val="fontstyle01"/>
          <w:color w:val="auto"/>
        </w:rPr>
        <w:instrText xml:space="preserve"> </w:instrText>
      </w:r>
      <w:r w:rsidR="00A02E0E">
        <w:rPr>
          <w:rStyle w:val="fontstyle01"/>
          <w:color w:val="auto"/>
          <w:lang w:val="en-US"/>
        </w:rPr>
        <w:instrText>in</w:instrText>
      </w:r>
      <w:r w:rsidR="00A02E0E" w:rsidRPr="00A02E0E">
        <w:rPr>
          <w:rStyle w:val="fontstyle01"/>
          <w:color w:val="auto"/>
        </w:rPr>
        <w:instrText xml:space="preserve"> </w:instrText>
      </w:r>
      <w:r w:rsidR="00A02E0E">
        <w:rPr>
          <w:rStyle w:val="fontstyle01"/>
          <w:color w:val="auto"/>
          <w:lang w:val="en-US"/>
        </w:rPr>
        <w:instrText>regard</w:instrText>
      </w:r>
      <w:r w:rsidR="00A02E0E" w:rsidRPr="00A02E0E">
        <w:rPr>
          <w:rStyle w:val="fontstyle01"/>
          <w:color w:val="auto"/>
        </w:rPr>
        <w:instrText xml:space="preserve"> </w:instrText>
      </w:r>
      <w:r w:rsidR="00A02E0E">
        <w:rPr>
          <w:rStyle w:val="fontstyle01"/>
          <w:color w:val="auto"/>
          <w:lang w:val="en-US"/>
        </w:rPr>
        <w:instrText>to</w:instrText>
      </w:r>
      <w:r w:rsidR="00A02E0E" w:rsidRPr="00A02E0E">
        <w:rPr>
          <w:rStyle w:val="fontstyle01"/>
          <w:color w:val="auto"/>
        </w:rPr>
        <w:instrText xml:space="preserve"> </w:instrText>
      </w:r>
      <w:r w:rsidR="00A02E0E">
        <w:rPr>
          <w:rStyle w:val="fontstyle01"/>
          <w:color w:val="auto"/>
          <w:lang w:val="en-US"/>
        </w:rPr>
        <w:instrText>physical</w:instrText>
      </w:r>
      <w:r w:rsidR="00A02E0E" w:rsidRPr="00A02E0E">
        <w:rPr>
          <w:rStyle w:val="fontstyle01"/>
          <w:color w:val="auto"/>
        </w:rPr>
        <w:instrText xml:space="preserve"> </w:instrText>
      </w:r>
      <w:r w:rsidR="00A02E0E">
        <w:rPr>
          <w:rStyle w:val="fontstyle01"/>
          <w:color w:val="auto"/>
          <w:lang w:val="en-US"/>
        </w:rPr>
        <w:instrText>characteristics</w:instrText>
      </w:r>
      <w:r w:rsidR="00A02E0E" w:rsidRPr="00A02E0E">
        <w:rPr>
          <w:rStyle w:val="fontstyle01"/>
          <w:color w:val="auto"/>
        </w:rPr>
        <w:instrText xml:space="preserve">, </w:instrText>
      </w:r>
      <w:r w:rsidR="00A02E0E">
        <w:rPr>
          <w:rStyle w:val="fontstyle01"/>
          <w:color w:val="auto"/>
          <w:lang w:val="en-US"/>
        </w:rPr>
        <w:instrText>dosing</w:instrText>
      </w:r>
      <w:r w:rsidR="00A02E0E" w:rsidRPr="00A02E0E">
        <w:rPr>
          <w:rStyle w:val="fontstyle01"/>
          <w:color w:val="auto"/>
        </w:rPr>
        <w:instrText xml:space="preserve">, </w:instrText>
      </w:r>
      <w:r w:rsidR="00A02E0E">
        <w:rPr>
          <w:rStyle w:val="fontstyle01"/>
          <w:color w:val="auto"/>
          <w:lang w:val="en-US"/>
        </w:rPr>
        <w:instrText>and</w:instrText>
      </w:r>
      <w:r w:rsidR="00A02E0E" w:rsidRPr="00A02E0E">
        <w:rPr>
          <w:rStyle w:val="fontstyle01"/>
          <w:color w:val="auto"/>
        </w:rPr>
        <w:instrText xml:space="preserve"> </w:instrText>
      </w:r>
      <w:r w:rsidR="00A02E0E">
        <w:rPr>
          <w:rStyle w:val="fontstyle01"/>
          <w:color w:val="auto"/>
          <w:lang w:val="en-US"/>
        </w:rPr>
        <w:instrText>strength</w:instrText>
      </w:r>
      <w:r w:rsidR="00A02E0E" w:rsidRPr="00A02E0E">
        <w:rPr>
          <w:rStyle w:val="fontstyle01"/>
          <w:color w:val="auto"/>
        </w:rPr>
        <w:instrText xml:space="preserve"> </w:instrText>
      </w:r>
      <w:r w:rsidR="00A02E0E">
        <w:rPr>
          <w:rStyle w:val="fontstyle01"/>
          <w:color w:val="auto"/>
          <w:lang w:val="en-US"/>
        </w:rPr>
        <w:instrText>of</w:instrText>
      </w:r>
      <w:r w:rsidR="00A02E0E" w:rsidRPr="00A02E0E">
        <w:rPr>
          <w:rStyle w:val="fontstyle01"/>
          <w:color w:val="auto"/>
        </w:rPr>
        <w:instrText xml:space="preserve"> </w:instrText>
      </w:r>
      <w:r w:rsidR="00A02E0E">
        <w:rPr>
          <w:rStyle w:val="fontstyle01"/>
          <w:color w:val="auto"/>
          <w:lang w:val="en-US"/>
        </w:rPr>
        <w:instrText>evidence</w:instrText>
      </w:r>
      <w:r w:rsidR="00A02E0E" w:rsidRPr="00A02E0E">
        <w:rPr>
          <w:rStyle w:val="fontstyle01"/>
          <w:color w:val="auto"/>
        </w:rPr>
        <w:instrText xml:space="preserve"> </w:instrText>
      </w:r>
      <w:r w:rsidR="00A02E0E">
        <w:rPr>
          <w:rStyle w:val="fontstyle01"/>
          <w:color w:val="auto"/>
          <w:lang w:val="en-US"/>
        </w:rPr>
        <w:instrText>for</w:instrText>
      </w:r>
      <w:r w:rsidR="00A02E0E" w:rsidRPr="00A02E0E">
        <w:rPr>
          <w:rStyle w:val="fontstyle01"/>
          <w:color w:val="auto"/>
        </w:rPr>
        <w:instrText xml:space="preserve"> </w:instrText>
      </w:r>
      <w:r w:rsidR="00A02E0E">
        <w:rPr>
          <w:rStyle w:val="fontstyle01"/>
          <w:color w:val="auto"/>
          <w:lang w:val="en-US"/>
        </w:rPr>
        <w:instrText>efficacy</w:instrText>
      </w:r>
      <w:r w:rsidR="00A02E0E" w:rsidRPr="00A02E0E">
        <w:rPr>
          <w:rStyle w:val="fontstyle01"/>
          <w:color w:val="auto"/>
        </w:rPr>
        <w:instrText xml:space="preserve">. </w:instrText>
      </w:r>
      <w:r w:rsidR="00A02E0E">
        <w:rPr>
          <w:rStyle w:val="fontstyle01"/>
          <w:color w:val="auto"/>
          <w:lang w:val="en-US"/>
        </w:rPr>
        <w:instrText>Whether</w:instrText>
      </w:r>
      <w:r w:rsidR="00A02E0E" w:rsidRPr="00A02E0E">
        <w:rPr>
          <w:rStyle w:val="fontstyle01"/>
          <w:color w:val="auto"/>
        </w:rPr>
        <w:instrText xml:space="preserve"> </w:instrText>
      </w:r>
      <w:r w:rsidR="00A02E0E">
        <w:rPr>
          <w:rStyle w:val="fontstyle01"/>
          <w:color w:val="auto"/>
          <w:lang w:val="en-US"/>
        </w:rPr>
        <w:instrText>there</w:instrText>
      </w:r>
      <w:r w:rsidR="00A02E0E" w:rsidRPr="00A02E0E">
        <w:rPr>
          <w:rStyle w:val="fontstyle01"/>
          <w:color w:val="auto"/>
        </w:rPr>
        <w:instrText xml:space="preserve"> </w:instrText>
      </w:r>
      <w:r w:rsidR="00A02E0E">
        <w:rPr>
          <w:rStyle w:val="fontstyle01"/>
          <w:color w:val="auto"/>
          <w:lang w:val="en-US"/>
        </w:rPr>
        <w:instrText>are</w:instrText>
      </w:r>
      <w:r w:rsidR="00A02E0E" w:rsidRPr="00A02E0E">
        <w:rPr>
          <w:rStyle w:val="fontstyle01"/>
          <w:color w:val="auto"/>
        </w:rPr>
        <w:instrText xml:space="preserve"> </w:instrText>
      </w:r>
      <w:r w:rsidR="00A02E0E">
        <w:rPr>
          <w:rStyle w:val="fontstyle01"/>
          <w:color w:val="auto"/>
          <w:lang w:val="en-US"/>
        </w:rPr>
        <w:instrText>any</w:instrText>
      </w:r>
      <w:r w:rsidR="00A02E0E" w:rsidRPr="00A02E0E">
        <w:rPr>
          <w:rStyle w:val="fontstyle01"/>
          <w:color w:val="auto"/>
        </w:rPr>
        <w:instrText xml:space="preserve"> </w:instrText>
      </w:r>
      <w:r w:rsidR="00A02E0E">
        <w:rPr>
          <w:rStyle w:val="fontstyle01"/>
          <w:color w:val="auto"/>
          <w:lang w:val="en-US"/>
        </w:rPr>
        <w:instrText>differences</w:instrText>
      </w:r>
      <w:r w:rsidR="00A02E0E" w:rsidRPr="00A02E0E">
        <w:rPr>
          <w:rStyle w:val="fontstyle01"/>
          <w:color w:val="auto"/>
        </w:rPr>
        <w:instrText xml:space="preserve"> </w:instrText>
      </w:r>
      <w:r w:rsidR="00A02E0E">
        <w:rPr>
          <w:rStyle w:val="fontstyle01"/>
          <w:color w:val="auto"/>
          <w:lang w:val="en-US"/>
        </w:rPr>
        <w:instrText>in</w:instrText>
      </w:r>
      <w:r w:rsidR="00A02E0E" w:rsidRPr="00A02E0E">
        <w:rPr>
          <w:rStyle w:val="fontstyle01"/>
          <w:color w:val="auto"/>
        </w:rPr>
        <w:instrText xml:space="preserve"> </w:instrText>
      </w:r>
      <w:r w:rsidR="00A02E0E">
        <w:rPr>
          <w:rStyle w:val="fontstyle01"/>
          <w:color w:val="auto"/>
          <w:lang w:val="en-US"/>
        </w:rPr>
        <w:instrText>absorption</w:instrText>
      </w:r>
      <w:r w:rsidR="00A02E0E" w:rsidRPr="00A02E0E">
        <w:rPr>
          <w:rStyle w:val="fontstyle01"/>
          <w:color w:val="auto"/>
        </w:rPr>
        <w:instrText xml:space="preserve"> </w:instrText>
      </w:r>
      <w:r w:rsidR="00A02E0E">
        <w:rPr>
          <w:rStyle w:val="fontstyle01"/>
          <w:color w:val="auto"/>
          <w:lang w:val="en-US"/>
        </w:rPr>
        <w:instrText>and</w:instrText>
      </w:r>
      <w:r w:rsidR="00A02E0E" w:rsidRPr="00A02E0E">
        <w:rPr>
          <w:rStyle w:val="fontstyle01"/>
          <w:color w:val="auto"/>
        </w:rPr>
        <w:instrText xml:space="preserve"> </w:instrText>
      </w:r>
      <w:r w:rsidR="00A02E0E">
        <w:rPr>
          <w:rStyle w:val="fontstyle01"/>
          <w:color w:val="auto"/>
          <w:lang w:val="en-US"/>
        </w:rPr>
        <w:instrText>mechanism</w:instrText>
      </w:r>
      <w:r w:rsidR="00A02E0E" w:rsidRPr="00A02E0E">
        <w:rPr>
          <w:rStyle w:val="fontstyle01"/>
          <w:color w:val="auto"/>
        </w:rPr>
        <w:instrText xml:space="preserve"> </w:instrText>
      </w:r>
      <w:r w:rsidR="00A02E0E">
        <w:rPr>
          <w:rStyle w:val="fontstyle01"/>
          <w:color w:val="auto"/>
          <w:lang w:val="en-US"/>
        </w:rPr>
        <w:instrText>of</w:instrText>
      </w:r>
      <w:r w:rsidR="00A02E0E" w:rsidRPr="00A02E0E">
        <w:rPr>
          <w:rStyle w:val="fontstyle01"/>
          <w:color w:val="auto"/>
        </w:rPr>
        <w:instrText xml:space="preserve"> </w:instrText>
      </w:r>
      <w:r w:rsidR="00A02E0E">
        <w:rPr>
          <w:rStyle w:val="fontstyle01"/>
          <w:color w:val="auto"/>
          <w:lang w:val="en-US"/>
        </w:rPr>
        <w:instrText>action</w:instrText>
      </w:r>
      <w:r w:rsidR="00A02E0E" w:rsidRPr="00A02E0E">
        <w:rPr>
          <w:rStyle w:val="fontstyle01"/>
          <w:color w:val="auto"/>
        </w:rPr>
        <w:instrText xml:space="preserve"> </w:instrText>
      </w:r>
      <w:r w:rsidR="00A02E0E">
        <w:rPr>
          <w:rStyle w:val="fontstyle01"/>
          <w:color w:val="auto"/>
          <w:lang w:val="en-US"/>
        </w:rPr>
        <w:instrText>between</w:instrText>
      </w:r>
      <w:r w:rsidR="00A02E0E" w:rsidRPr="00A02E0E">
        <w:rPr>
          <w:rStyle w:val="fontstyle01"/>
          <w:color w:val="auto"/>
        </w:rPr>
        <w:instrText xml:space="preserve"> </w:instrText>
      </w:r>
      <w:r w:rsidR="00A02E0E">
        <w:rPr>
          <w:rStyle w:val="fontstyle01"/>
          <w:color w:val="auto"/>
          <w:lang w:val="en-US"/>
        </w:rPr>
        <w:instrText>the</w:instrText>
      </w:r>
      <w:r w:rsidR="00A02E0E" w:rsidRPr="00A02E0E">
        <w:rPr>
          <w:rStyle w:val="fontstyle01"/>
          <w:color w:val="auto"/>
        </w:rPr>
        <w:instrText xml:space="preserve"> 2 </w:instrText>
      </w:r>
      <w:r w:rsidR="00A02E0E">
        <w:rPr>
          <w:rStyle w:val="fontstyle01"/>
          <w:color w:val="auto"/>
          <w:lang w:val="en-US"/>
        </w:rPr>
        <w:instrText>formulations</w:instrText>
      </w:r>
      <w:r w:rsidR="00A02E0E" w:rsidRPr="00A02E0E">
        <w:rPr>
          <w:rStyle w:val="fontstyle01"/>
          <w:color w:val="auto"/>
        </w:rPr>
        <w:instrText xml:space="preserve"> </w:instrText>
      </w:r>
      <w:r w:rsidR="00A02E0E">
        <w:rPr>
          <w:rStyle w:val="fontstyle01"/>
          <w:color w:val="auto"/>
          <w:lang w:val="en-US"/>
        </w:rPr>
        <w:instrText>is</w:instrText>
      </w:r>
      <w:r w:rsidR="00A02E0E" w:rsidRPr="00A02E0E">
        <w:rPr>
          <w:rStyle w:val="fontstyle01"/>
          <w:color w:val="auto"/>
        </w:rPr>
        <w:instrText xml:space="preserve"> </w:instrText>
      </w:r>
      <w:r w:rsidR="00A02E0E">
        <w:rPr>
          <w:rStyle w:val="fontstyle01"/>
          <w:color w:val="auto"/>
          <w:lang w:val="en-US"/>
        </w:rPr>
        <w:instrText>currently</w:instrText>
      </w:r>
      <w:r w:rsidR="00A02E0E" w:rsidRPr="00A02E0E">
        <w:rPr>
          <w:rStyle w:val="fontstyle01"/>
          <w:color w:val="auto"/>
        </w:rPr>
        <w:instrText xml:space="preserve"> </w:instrText>
      </w:r>
      <w:r w:rsidR="00A02E0E">
        <w:rPr>
          <w:rStyle w:val="fontstyle01"/>
          <w:color w:val="auto"/>
          <w:lang w:val="en-US"/>
        </w:rPr>
        <w:instrText>unknown</w:instrText>
      </w:r>
      <w:r w:rsidR="00A02E0E" w:rsidRPr="00A02E0E">
        <w:rPr>
          <w:rStyle w:val="fontstyle01"/>
          <w:color w:val="auto"/>
        </w:rPr>
        <w:instrText xml:space="preserve">. </w:instrText>
      </w:r>
      <w:r w:rsidR="00A02E0E">
        <w:rPr>
          <w:rStyle w:val="fontstyle01"/>
          <w:color w:val="auto"/>
          <w:lang w:val="en-US"/>
        </w:rPr>
        <w:instrText>Optimal</w:instrText>
      </w:r>
      <w:r w:rsidR="00A02E0E" w:rsidRPr="00A02E0E">
        <w:rPr>
          <w:rStyle w:val="fontstyle01"/>
          <w:color w:val="auto"/>
        </w:rPr>
        <w:instrText xml:space="preserve"> </w:instrText>
      </w:r>
      <w:r w:rsidR="00A02E0E">
        <w:rPr>
          <w:rStyle w:val="fontstyle01"/>
          <w:color w:val="auto"/>
          <w:lang w:val="en-US"/>
        </w:rPr>
        <w:instrText>dosing</w:instrText>
      </w:r>
      <w:r w:rsidR="00A02E0E" w:rsidRPr="00A02E0E">
        <w:rPr>
          <w:rStyle w:val="fontstyle01"/>
          <w:color w:val="auto"/>
        </w:rPr>
        <w:instrText xml:space="preserve">, </w:instrText>
      </w:r>
      <w:r w:rsidR="00A02E0E">
        <w:rPr>
          <w:rStyle w:val="fontstyle01"/>
          <w:color w:val="auto"/>
          <w:lang w:val="en-US"/>
        </w:rPr>
        <w:instrText>efficacy</w:instrText>
      </w:r>
      <w:r w:rsidR="00A02E0E" w:rsidRPr="00A02E0E">
        <w:rPr>
          <w:rStyle w:val="fontstyle01"/>
          <w:color w:val="auto"/>
        </w:rPr>
        <w:instrText xml:space="preserve">, </w:instrText>
      </w:r>
      <w:r w:rsidR="00A02E0E">
        <w:rPr>
          <w:rStyle w:val="fontstyle01"/>
          <w:color w:val="auto"/>
          <w:lang w:val="en-US"/>
        </w:rPr>
        <w:instrText>and</w:instrText>
      </w:r>
      <w:r w:rsidR="00A02E0E" w:rsidRPr="00A02E0E">
        <w:rPr>
          <w:rStyle w:val="fontstyle01"/>
          <w:color w:val="auto"/>
        </w:rPr>
        <w:instrText xml:space="preserve"> </w:instrText>
      </w:r>
      <w:r w:rsidR="00A02E0E">
        <w:rPr>
          <w:rStyle w:val="fontstyle01"/>
          <w:color w:val="auto"/>
          <w:lang w:val="en-US"/>
        </w:rPr>
        <w:instrText>safety</w:instrText>
      </w:r>
      <w:r w:rsidR="00A02E0E" w:rsidRPr="00A02E0E">
        <w:rPr>
          <w:rStyle w:val="fontstyle01"/>
          <w:color w:val="auto"/>
        </w:rPr>
        <w:instrText xml:space="preserve"> </w:instrText>
      </w:r>
      <w:r w:rsidR="00A02E0E">
        <w:rPr>
          <w:rStyle w:val="fontstyle01"/>
          <w:color w:val="auto"/>
          <w:lang w:val="en-US"/>
        </w:rPr>
        <w:instrText>have</w:instrText>
      </w:r>
      <w:r w:rsidR="00A02E0E" w:rsidRPr="00A02E0E">
        <w:rPr>
          <w:rStyle w:val="fontstyle01"/>
          <w:color w:val="auto"/>
        </w:rPr>
        <w:instrText xml:space="preserve"> </w:instrText>
      </w:r>
      <w:r w:rsidR="00A02E0E">
        <w:rPr>
          <w:rStyle w:val="fontstyle01"/>
          <w:color w:val="auto"/>
          <w:lang w:val="en-US"/>
        </w:rPr>
        <w:instrText>been</w:instrText>
      </w:r>
      <w:r w:rsidR="00A02E0E" w:rsidRPr="00A02E0E">
        <w:rPr>
          <w:rStyle w:val="fontstyle01"/>
          <w:color w:val="auto"/>
        </w:rPr>
        <w:instrText xml:space="preserve"> </w:instrText>
      </w:r>
      <w:r w:rsidR="00A02E0E">
        <w:rPr>
          <w:rStyle w:val="fontstyle01"/>
          <w:color w:val="auto"/>
          <w:lang w:val="en-US"/>
        </w:rPr>
        <w:instrText>established</w:instrText>
      </w:r>
      <w:r w:rsidR="00A02E0E" w:rsidRPr="00A02E0E">
        <w:rPr>
          <w:rStyle w:val="fontstyle01"/>
          <w:color w:val="auto"/>
        </w:rPr>
        <w:instrText xml:space="preserve"> </w:instrText>
      </w:r>
      <w:r w:rsidR="00A02E0E">
        <w:rPr>
          <w:rStyle w:val="fontstyle01"/>
          <w:color w:val="auto"/>
          <w:lang w:val="en-US"/>
        </w:rPr>
        <w:instrText>for</w:instrText>
      </w:r>
      <w:r w:rsidR="00A02E0E" w:rsidRPr="00A02E0E">
        <w:rPr>
          <w:rStyle w:val="fontstyle01"/>
          <w:color w:val="auto"/>
        </w:rPr>
        <w:instrText xml:space="preserve"> </w:instrText>
      </w:r>
      <w:r w:rsidR="00A02E0E">
        <w:rPr>
          <w:rStyle w:val="fontstyle01"/>
          <w:color w:val="auto"/>
          <w:lang w:val="en-US"/>
        </w:rPr>
        <w:instrText>SLIT</w:instrText>
      </w:r>
      <w:r w:rsidR="00A02E0E" w:rsidRPr="00A02E0E">
        <w:rPr>
          <w:rStyle w:val="fontstyle01"/>
          <w:color w:val="auto"/>
        </w:rPr>
        <w:instrText>-</w:instrText>
      </w:r>
      <w:r w:rsidR="00A02E0E">
        <w:rPr>
          <w:rStyle w:val="fontstyle01"/>
          <w:color w:val="auto"/>
          <w:lang w:val="en-US"/>
        </w:rPr>
        <w:instrText>T</w:instrText>
      </w:r>
      <w:r w:rsidR="00A02E0E" w:rsidRPr="00A02E0E">
        <w:rPr>
          <w:rStyle w:val="fontstyle01"/>
          <w:color w:val="auto"/>
        </w:rPr>
        <w:instrText xml:space="preserve">. </w:instrText>
      </w:r>
      <w:r w:rsidR="00A02E0E">
        <w:rPr>
          <w:rStyle w:val="fontstyle01"/>
          <w:color w:val="auto"/>
          <w:lang w:val="en-US"/>
        </w:rPr>
        <w:instrText>In</w:instrText>
      </w:r>
      <w:r w:rsidR="00A02E0E" w:rsidRPr="00A02E0E">
        <w:rPr>
          <w:rStyle w:val="fontstyle01"/>
          <w:color w:val="auto"/>
        </w:rPr>
        <w:instrText xml:space="preserve"> </w:instrText>
      </w:r>
      <w:r w:rsidR="00A02E0E">
        <w:rPr>
          <w:rStyle w:val="fontstyle01"/>
          <w:color w:val="auto"/>
          <w:lang w:val="en-US"/>
        </w:rPr>
        <w:instrText>contrast</w:instrText>
      </w:r>
      <w:r w:rsidR="00A02E0E" w:rsidRPr="00A02E0E">
        <w:rPr>
          <w:rStyle w:val="fontstyle01"/>
          <w:color w:val="auto"/>
        </w:rPr>
        <w:instrText xml:space="preserve">, </w:instrText>
      </w:r>
      <w:r w:rsidR="00A02E0E">
        <w:rPr>
          <w:rStyle w:val="fontstyle01"/>
          <w:color w:val="auto"/>
          <w:lang w:val="en-US"/>
        </w:rPr>
        <w:instrText>in</w:instrText>
      </w:r>
      <w:r w:rsidR="00A02E0E" w:rsidRPr="00A02E0E">
        <w:rPr>
          <w:rStyle w:val="fontstyle01"/>
          <w:color w:val="auto"/>
        </w:rPr>
        <w:instrText xml:space="preserve"> </w:instrText>
      </w:r>
      <w:r w:rsidR="00A02E0E">
        <w:rPr>
          <w:rStyle w:val="fontstyle01"/>
          <w:color w:val="auto"/>
          <w:lang w:val="en-US"/>
        </w:rPr>
        <w:instrText>North</w:instrText>
      </w:r>
      <w:r w:rsidR="00A02E0E" w:rsidRPr="00A02E0E">
        <w:rPr>
          <w:rStyle w:val="fontstyle01"/>
          <w:color w:val="auto"/>
        </w:rPr>
        <w:instrText xml:space="preserve"> </w:instrText>
      </w:r>
      <w:r w:rsidR="00A02E0E">
        <w:rPr>
          <w:rStyle w:val="fontstyle01"/>
          <w:color w:val="auto"/>
          <w:lang w:val="en-US"/>
        </w:rPr>
        <w:instrText>America</w:instrText>
      </w:r>
      <w:r w:rsidR="00A02E0E" w:rsidRPr="00A02E0E">
        <w:rPr>
          <w:rStyle w:val="fontstyle01"/>
          <w:color w:val="auto"/>
        </w:rPr>
        <w:instrText xml:space="preserve"> </w:instrText>
      </w:r>
      <w:r w:rsidR="00A02E0E">
        <w:rPr>
          <w:rStyle w:val="fontstyle01"/>
          <w:color w:val="auto"/>
          <w:lang w:val="en-US"/>
        </w:rPr>
        <w:instrText>there</w:instrText>
      </w:r>
      <w:r w:rsidR="00A02E0E" w:rsidRPr="00A02E0E">
        <w:rPr>
          <w:rStyle w:val="fontstyle01"/>
          <w:color w:val="auto"/>
        </w:rPr>
        <w:instrText xml:space="preserve"> </w:instrText>
      </w:r>
      <w:r w:rsidR="00A02E0E">
        <w:rPr>
          <w:rStyle w:val="fontstyle01"/>
          <w:color w:val="auto"/>
          <w:lang w:val="en-US"/>
        </w:rPr>
        <w:instrText>is</w:instrText>
      </w:r>
      <w:r w:rsidR="00A02E0E" w:rsidRPr="00A02E0E">
        <w:rPr>
          <w:rStyle w:val="fontstyle01"/>
          <w:color w:val="auto"/>
        </w:rPr>
        <w:instrText xml:space="preserve"> </w:instrText>
      </w:r>
      <w:r w:rsidR="00A02E0E">
        <w:rPr>
          <w:rStyle w:val="fontstyle01"/>
          <w:color w:val="auto"/>
          <w:lang w:val="en-US"/>
        </w:rPr>
        <w:instrText>little</w:instrText>
      </w:r>
      <w:r w:rsidR="00A02E0E" w:rsidRPr="00A02E0E">
        <w:rPr>
          <w:rStyle w:val="fontstyle01"/>
          <w:color w:val="auto"/>
        </w:rPr>
        <w:instrText xml:space="preserve"> </w:instrText>
      </w:r>
      <w:r w:rsidR="00A02E0E">
        <w:rPr>
          <w:rStyle w:val="fontstyle01"/>
          <w:color w:val="auto"/>
          <w:lang w:val="en-US"/>
        </w:rPr>
        <w:instrText>support</w:instrText>
      </w:r>
      <w:r w:rsidR="00A02E0E" w:rsidRPr="00A02E0E">
        <w:rPr>
          <w:rStyle w:val="fontstyle01"/>
          <w:color w:val="auto"/>
        </w:rPr>
        <w:instrText xml:space="preserve"> </w:instrText>
      </w:r>
      <w:r w:rsidR="00A02E0E">
        <w:rPr>
          <w:rStyle w:val="fontstyle01"/>
          <w:color w:val="auto"/>
          <w:lang w:val="en-US"/>
        </w:rPr>
        <w:instrText>for</w:instrText>
      </w:r>
      <w:r w:rsidR="00A02E0E" w:rsidRPr="00A02E0E">
        <w:rPr>
          <w:rStyle w:val="fontstyle01"/>
          <w:color w:val="auto"/>
        </w:rPr>
        <w:instrText xml:space="preserve"> </w:instrText>
      </w:r>
      <w:r w:rsidR="00A02E0E">
        <w:rPr>
          <w:rStyle w:val="fontstyle01"/>
          <w:color w:val="auto"/>
          <w:lang w:val="en-US"/>
        </w:rPr>
        <w:instrText>efficacy</w:instrText>
      </w:r>
      <w:r w:rsidR="00A02E0E" w:rsidRPr="00A02E0E">
        <w:rPr>
          <w:rStyle w:val="fontstyle01"/>
          <w:color w:val="auto"/>
        </w:rPr>
        <w:instrText xml:space="preserve"> </w:instrText>
      </w:r>
      <w:r w:rsidR="00A02E0E">
        <w:rPr>
          <w:rStyle w:val="fontstyle01"/>
          <w:color w:val="auto"/>
          <w:lang w:val="en-US"/>
        </w:rPr>
        <w:instrText>of</w:instrText>
      </w:r>
      <w:r w:rsidR="00A02E0E" w:rsidRPr="00A02E0E">
        <w:rPr>
          <w:rStyle w:val="fontstyle01"/>
          <w:color w:val="auto"/>
        </w:rPr>
        <w:instrText xml:space="preserve"> </w:instrText>
      </w:r>
      <w:r w:rsidR="00A02E0E">
        <w:rPr>
          <w:rStyle w:val="fontstyle01"/>
          <w:color w:val="auto"/>
          <w:lang w:val="en-US"/>
        </w:rPr>
        <w:instrText>SLIT</w:instrText>
      </w:r>
      <w:r w:rsidR="00A02E0E" w:rsidRPr="00A02E0E">
        <w:rPr>
          <w:rStyle w:val="fontstyle01"/>
          <w:color w:val="auto"/>
        </w:rPr>
        <w:instrText>-</w:instrText>
      </w:r>
      <w:r w:rsidR="00A02E0E">
        <w:rPr>
          <w:rStyle w:val="fontstyle01"/>
          <w:color w:val="auto"/>
          <w:lang w:val="en-US"/>
        </w:rPr>
        <w:instrText>D</w:instrText>
      </w:r>
      <w:r w:rsidR="00A02E0E" w:rsidRPr="00A02E0E">
        <w:rPr>
          <w:rStyle w:val="fontstyle01"/>
          <w:color w:val="auto"/>
        </w:rPr>
        <w:instrText xml:space="preserve"> </w:instrText>
      </w:r>
      <w:r w:rsidR="00A02E0E">
        <w:rPr>
          <w:rStyle w:val="fontstyle01"/>
          <w:color w:val="auto"/>
          <w:lang w:val="en-US"/>
        </w:rPr>
        <w:instrText>from</w:instrText>
      </w:r>
      <w:r w:rsidR="00A02E0E" w:rsidRPr="00A02E0E">
        <w:rPr>
          <w:rStyle w:val="fontstyle01"/>
          <w:color w:val="auto"/>
        </w:rPr>
        <w:instrText xml:space="preserve"> </w:instrText>
      </w:r>
      <w:r w:rsidR="00A02E0E">
        <w:rPr>
          <w:rStyle w:val="fontstyle01"/>
          <w:color w:val="auto"/>
          <w:lang w:val="en-US"/>
        </w:rPr>
        <w:instrText>randomized</w:instrText>
      </w:r>
      <w:r w:rsidR="00A02E0E" w:rsidRPr="00A02E0E">
        <w:rPr>
          <w:rStyle w:val="fontstyle01"/>
          <w:color w:val="auto"/>
        </w:rPr>
        <w:instrText xml:space="preserve"> </w:instrText>
      </w:r>
      <w:r w:rsidR="00A02E0E">
        <w:rPr>
          <w:rStyle w:val="fontstyle01"/>
          <w:color w:val="auto"/>
          <w:lang w:val="en-US"/>
        </w:rPr>
        <w:instrText>double</w:instrText>
      </w:r>
      <w:r w:rsidR="00A02E0E" w:rsidRPr="00A02E0E">
        <w:rPr>
          <w:rStyle w:val="fontstyle01"/>
          <w:color w:val="auto"/>
        </w:rPr>
        <w:instrText>-</w:instrText>
      </w:r>
      <w:r w:rsidR="00A02E0E">
        <w:rPr>
          <w:rStyle w:val="fontstyle01"/>
          <w:color w:val="auto"/>
          <w:lang w:val="en-US"/>
        </w:rPr>
        <w:instrText>blind</w:instrText>
      </w:r>
      <w:r w:rsidR="00A02E0E" w:rsidRPr="00A02E0E">
        <w:rPr>
          <w:rStyle w:val="fontstyle01"/>
          <w:color w:val="auto"/>
        </w:rPr>
        <w:instrText xml:space="preserve">, </w:instrText>
      </w:r>
      <w:r w:rsidR="00A02E0E">
        <w:rPr>
          <w:rStyle w:val="fontstyle01"/>
          <w:color w:val="auto"/>
          <w:lang w:val="en-US"/>
        </w:rPr>
        <w:instrText>placebo</w:instrText>
      </w:r>
      <w:r w:rsidR="00A02E0E" w:rsidRPr="00A02E0E">
        <w:rPr>
          <w:rStyle w:val="fontstyle01"/>
          <w:color w:val="auto"/>
        </w:rPr>
        <w:instrText>-</w:instrText>
      </w:r>
      <w:r w:rsidR="00A02E0E">
        <w:rPr>
          <w:rStyle w:val="fontstyle01"/>
          <w:color w:val="auto"/>
          <w:lang w:val="en-US"/>
        </w:rPr>
        <w:instrText>controlled</w:instrText>
      </w:r>
      <w:r w:rsidR="00A02E0E" w:rsidRPr="00A02E0E">
        <w:rPr>
          <w:rStyle w:val="fontstyle01"/>
          <w:color w:val="auto"/>
        </w:rPr>
        <w:instrText xml:space="preserve"> </w:instrText>
      </w:r>
      <w:r w:rsidR="00A02E0E">
        <w:rPr>
          <w:rStyle w:val="fontstyle01"/>
          <w:color w:val="auto"/>
          <w:lang w:val="en-US"/>
        </w:rPr>
        <w:instrText>trials</w:instrText>
      </w:r>
      <w:r w:rsidR="00A02E0E" w:rsidRPr="00A02E0E">
        <w:rPr>
          <w:rStyle w:val="fontstyle01"/>
          <w:color w:val="auto"/>
        </w:rPr>
        <w:instrText xml:space="preserve">, </w:instrText>
      </w:r>
      <w:r w:rsidR="00A02E0E">
        <w:rPr>
          <w:rStyle w:val="fontstyle01"/>
          <w:color w:val="auto"/>
          <w:lang w:val="en-US"/>
        </w:rPr>
        <w:instrText>and</w:instrText>
      </w:r>
      <w:r w:rsidR="00A02E0E" w:rsidRPr="00A02E0E">
        <w:rPr>
          <w:rStyle w:val="fontstyle01"/>
          <w:color w:val="auto"/>
        </w:rPr>
        <w:instrText xml:space="preserve"> </w:instrText>
      </w:r>
      <w:r w:rsidR="00A02E0E">
        <w:rPr>
          <w:rStyle w:val="fontstyle01"/>
          <w:color w:val="auto"/>
          <w:lang w:val="en-US"/>
        </w:rPr>
        <w:instrText>dose</w:instrText>
      </w:r>
      <w:r w:rsidR="00A02E0E" w:rsidRPr="00A02E0E">
        <w:rPr>
          <w:rStyle w:val="fontstyle01"/>
          <w:color w:val="auto"/>
        </w:rPr>
        <w:instrText xml:space="preserve"> </w:instrText>
      </w:r>
      <w:r w:rsidR="00A02E0E">
        <w:rPr>
          <w:rStyle w:val="fontstyle01"/>
          <w:color w:val="auto"/>
          <w:lang w:val="en-US"/>
        </w:rPr>
        <w:instrText>ranges</w:instrText>
      </w:r>
      <w:r w:rsidR="00A02E0E" w:rsidRPr="00A02E0E">
        <w:rPr>
          <w:rStyle w:val="fontstyle01"/>
          <w:color w:val="auto"/>
        </w:rPr>
        <w:instrText xml:space="preserve"> </w:instrText>
      </w:r>
      <w:r w:rsidR="00A02E0E">
        <w:rPr>
          <w:rStyle w:val="fontstyle01"/>
          <w:color w:val="auto"/>
          <w:lang w:val="en-US"/>
        </w:rPr>
        <w:instrText>have</w:instrText>
      </w:r>
      <w:r w:rsidR="00A02E0E" w:rsidRPr="00A02E0E">
        <w:rPr>
          <w:rStyle w:val="fontstyle01"/>
          <w:color w:val="auto"/>
        </w:rPr>
        <w:instrText xml:space="preserve"> </w:instrText>
      </w:r>
      <w:r w:rsidR="00A02E0E">
        <w:rPr>
          <w:rStyle w:val="fontstyle01"/>
          <w:color w:val="auto"/>
          <w:lang w:val="en-US"/>
        </w:rPr>
        <w:instrText>not</w:instrText>
      </w:r>
      <w:r w:rsidR="00A02E0E" w:rsidRPr="00A02E0E">
        <w:rPr>
          <w:rStyle w:val="fontstyle01"/>
          <w:color w:val="auto"/>
        </w:rPr>
        <w:instrText xml:space="preserve"> </w:instrText>
      </w:r>
      <w:r w:rsidR="00A02E0E">
        <w:rPr>
          <w:rStyle w:val="fontstyle01"/>
          <w:color w:val="auto"/>
          <w:lang w:val="en-US"/>
        </w:rPr>
        <w:instrText>been</w:instrText>
      </w:r>
      <w:r w:rsidR="00A02E0E" w:rsidRPr="00A02E0E">
        <w:rPr>
          <w:rStyle w:val="fontstyle01"/>
          <w:color w:val="auto"/>
        </w:rPr>
        <w:instrText xml:space="preserve"> </w:instrText>
      </w:r>
      <w:r w:rsidR="00A02E0E">
        <w:rPr>
          <w:rStyle w:val="fontstyle01"/>
          <w:color w:val="auto"/>
          <w:lang w:val="en-US"/>
        </w:rPr>
        <w:instrText>appropriately</w:instrText>
      </w:r>
      <w:r w:rsidR="00A02E0E" w:rsidRPr="00A02E0E">
        <w:rPr>
          <w:rStyle w:val="fontstyle01"/>
          <w:color w:val="auto"/>
        </w:rPr>
        <w:instrText xml:space="preserve"> </w:instrText>
      </w:r>
      <w:r w:rsidR="00A02E0E">
        <w:rPr>
          <w:rStyle w:val="fontstyle01"/>
          <w:color w:val="auto"/>
          <w:lang w:val="en-US"/>
        </w:rPr>
        <w:instrText>evaluated</w:instrText>
      </w:r>
      <w:r w:rsidR="00A02E0E" w:rsidRPr="00A02E0E">
        <w:rPr>
          <w:rStyle w:val="fontstyle01"/>
          <w:color w:val="auto"/>
        </w:rPr>
        <w:instrText xml:space="preserve">. </w:instrText>
      </w:r>
      <w:r w:rsidR="00A02E0E">
        <w:rPr>
          <w:rStyle w:val="fontstyle01"/>
          <w:color w:val="auto"/>
          <w:lang w:val="en-US"/>
        </w:rPr>
        <w:instrText>SLIT</w:instrText>
      </w:r>
      <w:r w:rsidR="00A02E0E" w:rsidRPr="00A02E0E">
        <w:rPr>
          <w:rStyle w:val="fontstyle01"/>
          <w:color w:val="auto"/>
        </w:rPr>
        <w:instrText>-</w:instrText>
      </w:r>
      <w:r w:rsidR="00A02E0E">
        <w:rPr>
          <w:rStyle w:val="fontstyle01"/>
          <w:color w:val="auto"/>
          <w:lang w:val="en-US"/>
        </w:rPr>
        <w:instrText>T</w:instrText>
      </w:r>
      <w:r w:rsidR="00A02E0E" w:rsidRPr="00A02E0E">
        <w:rPr>
          <w:rStyle w:val="fontstyle01"/>
          <w:color w:val="auto"/>
        </w:rPr>
        <w:instrText xml:space="preserve"> </w:instrText>
      </w:r>
      <w:r w:rsidR="00A02E0E">
        <w:rPr>
          <w:rStyle w:val="fontstyle01"/>
          <w:color w:val="auto"/>
          <w:lang w:val="en-US"/>
        </w:rPr>
        <w:instrText>treats</w:instrText>
      </w:r>
      <w:r w:rsidR="00A02E0E" w:rsidRPr="00A02E0E">
        <w:rPr>
          <w:rStyle w:val="fontstyle01"/>
          <w:color w:val="auto"/>
        </w:rPr>
        <w:instrText xml:space="preserve"> </w:instrText>
      </w:r>
      <w:r w:rsidR="00A02E0E">
        <w:rPr>
          <w:rStyle w:val="fontstyle01"/>
          <w:color w:val="auto"/>
          <w:lang w:val="en-US"/>
        </w:rPr>
        <w:instrText>a</w:instrText>
      </w:r>
      <w:r w:rsidR="00A02E0E" w:rsidRPr="00A02E0E">
        <w:rPr>
          <w:rStyle w:val="fontstyle01"/>
          <w:color w:val="auto"/>
        </w:rPr>
        <w:instrText xml:space="preserve"> </w:instrText>
      </w:r>
      <w:r w:rsidR="00A02E0E">
        <w:rPr>
          <w:rStyle w:val="fontstyle01"/>
          <w:color w:val="auto"/>
          <w:lang w:val="en-US"/>
        </w:rPr>
        <w:instrText>single</w:instrText>
      </w:r>
      <w:r w:rsidR="00A02E0E" w:rsidRPr="00A02E0E">
        <w:rPr>
          <w:rStyle w:val="fontstyle01"/>
          <w:color w:val="auto"/>
        </w:rPr>
        <w:instrText xml:space="preserve"> </w:instrText>
      </w:r>
      <w:r w:rsidR="00A02E0E">
        <w:rPr>
          <w:rStyle w:val="fontstyle01"/>
          <w:color w:val="auto"/>
          <w:lang w:val="en-US"/>
        </w:rPr>
        <w:instrText>allergen</w:instrText>
      </w:r>
      <w:r w:rsidR="00A02E0E" w:rsidRPr="00A02E0E">
        <w:rPr>
          <w:rStyle w:val="fontstyle01"/>
          <w:color w:val="auto"/>
        </w:rPr>
        <w:instrText xml:space="preserve">, </w:instrText>
      </w:r>
      <w:r w:rsidR="00A02E0E">
        <w:rPr>
          <w:rStyle w:val="fontstyle01"/>
          <w:color w:val="auto"/>
          <w:lang w:val="en-US"/>
        </w:rPr>
        <w:instrText>whereas</w:instrText>
      </w:r>
      <w:r w:rsidR="00A02E0E" w:rsidRPr="00A02E0E">
        <w:rPr>
          <w:rStyle w:val="fontstyle01"/>
          <w:color w:val="auto"/>
        </w:rPr>
        <w:instrText xml:space="preserve"> </w:instrText>
      </w:r>
      <w:r w:rsidR="00A02E0E">
        <w:rPr>
          <w:rStyle w:val="fontstyle01"/>
          <w:color w:val="auto"/>
          <w:lang w:val="en-US"/>
        </w:rPr>
        <w:instrText>in</w:instrText>
      </w:r>
      <w:r w:rsidR="00A02E0E" w:rsidRPr="00A02E0E">
        <w:rPr>
          <w:rStyle w:val="fontstyle01"/>
          <w:color w:val="auto"/>
        </w:rPr>
        <w:instrText xml:space="preserve"> </w:instrText>
      </w:r>
      <w:r w:rsidR="00A02E0E">
        <w:rPr>
          <w:rStyle w:val="fontstyle01"/>
          <w:color w:val="auto"/>
          <w:lang w:val="en-US"/>
        </w:rPr>
        <w:instrText>the</w:instrText>
      </w:r>
      <w:r w:rsidR="00A02E0E" w:rsidRPr="00A02E0E">
        <w:rPr>
          <w:rStyle w:val="fontstyle01"/>
          <w:color w:val="auto"/>
        </w:rPr>
        <w:instrText xml:space="preserve"> </w:instrText>
      </w:r>
      <w:r w:rsidR="00A02E0E">
        <w:rPr>
          <w:rStyle w:val="fontstyle01"/>
          <w:color w:val="auto"/>
          <w:lang w:val="en-US"/>
        </w:rPr>
        <w:instrText>United</w:instrText>
      </w:r>
      <w:r w:rsidR="00A02E0E" w:rsidRPr="00A02E0E">
        <w:rPr>
          <w:rStyle w:val="fontstyle01"/>
          <w:color w:val="auto"/>
        </w:rPr>
        <w:instrText xml:space="preserve"> </w:instrText>
      </w:r>
      <w:r w:rsidR="00A02E0E">
        <w:rPr>
          <w:rStyle w:val="fontstyle01"/>
          <w:color w:val="auto"/>
          <w:lang w:val="en-US"/>
        </w:rPr>
        <w:instrText>States</w:instrText>
      </w:r>
      <w:r w:rsidR="00A02E0E" w:rsidRPr="00A02E0E">
        <w:rPr>
          <w:rStyle w:val="fontstyle01"/>
          <w:color w:val="auto"/>
        </w:rPr>
        <w:instrText xml:space="preserve"> </w:instrText>
      </w:r>
      <w:r w:rsidR="00A02E0E">
        <w:rPr>
          <w:rStyle w:val="fontstyle01"/>
          <w:color w:val="auto"/>
          <w:lang w:val="en-US"/>
        </w:rPr>
        <w:instrText>SLIT</w:instrText>
      </w:r>
      <w:r w:rsidR="00A02E0E" w:rsidRPr="00A02E0E">
        <w:rPr>
          <w:rStyle w:val="fontstyle01"/>
          <w:color w:val="auto"/>
        </w:rPr>
        <w:instrText>-</w:instrText>
      </w:r>
      <w:r w:rsidR="00A02E0E">
        <w:rPr>
          <w:rStyle w:val="fontstyle01"/>
          <w:color w:val="auto"/>
          <w:lang w:val="en-US"/>
        </w:rPr>
        <w:instrText>D</w:instrText>
      </w:r>
      <w:r w:rsidR="00A02E0E" w:rsidRPr="00A02E0E">
        <w:rPr>
          <w:rStyle w:val="fontstyle01"/>
          <w:color w:val="auto"/>
        </w:rPr>
        <w:instrText xml:space="preserve"> </w:instrText>
      </w:r>
      <w:r w:rsidR="00A02E0E">
        <w:rPr>
          <w:rStyle w:val="fontstyle01"/>
          <w:color w:val="auto"/>
          <w:lang w:val="en-US"/>
        </w:rPr>
        <w:instrText>often</w:instrText>
      </w:r>
      <w:r w:rsidR="00A02E0E" w:rsidRPr="00A02E0E">
        <w:rPr>
          <w:rStyle w:val="fontstyle01"/>
          <w:color w:val="auto"/>
        </w:rPr>
        <w:instrText xml:space="preserve"> </w:instrText>
      </w:r>
      <w:r w:rsidR="00A02E0E">
        <w:rPr>
          <w:rStyle w:val="fontstyle01"/>
          <w:color w:val="auto"/>
          <w:lang w:val="en-US"/>
        </w:rPr>
        <w:instrText>contains</w:instrText>
      </w:r>
      <w:r w:rsidR="00A02E0E" w:rsidRPr="00A02E0E">
        <w:rPr>
          <w:rStyle w:val="fontstyle01"/>
          <w:color w:val="auto"/>
        </w:rPr>
        <w:instrText xml:space="preserve"> </w:instrText>
      </w:r>
      <w:r w:rsidR="00A02E0E">
        <w:rPr>
          <w:rStyle w:val="fontstyle01"/>
          <w:color w:val="auto"/>
          <w:lang w:val="en-US"/>
        </w:rPr>
        <w:instrText>multiple</w:instrText>
      </w:r>
      <w:r w:rsidR="00A02E0E" w:rsidRPr="00A02E0E">
        <w:rPr>
          <w:rStyle w:val="fontstyle01"/>
          <w:color w:val="auto"/>
        </w:rPr>
        <w:instrText xml:space="preserve"> </w:instrText>
      </w:r>
      <w:r w:rsidR="00A02E0E">
        <w:rPr>
          <w:rStyle w:val="fontstyle01"/>
          <w:color w:val="auto"/>
          <w:lang w:val="en-US"/>
        </w:rPr>
        <w:instrText>allergens</w:instrText>
      </w:r>
      <w:r w:rsidR="00A02E0E" w:rsidRPr="00A02E0E">
        <w:rPr>
          <w:rStyle w:val="fontstyle01"/>
          <w:color w:val="auto"/>
        </w:rPr>
        <w:instrText xml:space="preserve"> </w:instrText>
      </w:r>
      <w:r w:rsidR="00A02E0E">
        <w:rPr>
          <w:rStyle w:val="fontstyle01"/>
          <w:color w:val="auto"/>
          <w:lang w:val="en-US"/>
        </w:rPr>
        <w:instrText>to</w:instrText>
      </w:r>
      <w:r w:rsidR="00A02E0E" w:rsidRPr="00A02E0E">
        <w:rPr>
          <w:rStyle w:val="fontstyle01"/>
          <w:color w:val="auto"/>
        </w:rPr>
        <w:instrText xml:space="preserve"> </w:instrText>
      </w:r>
      <w:r w:rsidR="00A02E0E">
        <w:rPr>
          <w:rStyle w:val="fontstyle01"/>
          <w:color w:val="auto"/>
          <w:lang w:val="en-US"/>
        </w:rPr>
        <w:instrText>treat</w:instrText>
      </w:r>
      <w:r w:rsidR="00A02E0E" w:rsidRPr="00A02E0E">
        <w:rPr>
          <w:rStyle w:val="fontstyle01"/>
          <w:color w:val="auto"/>
        </w:rPr>
        <w:instrText xml:space="preserve"> </w:instrText>
      </w:r>
      <w:r w:rsidR="00A02E0E">
        <w:rPr>
          <w:rStyle w:val="fontstyle01"/>
          <w:color w:val="auto"/>
          <w:lang w:val="en-US"/>
        </w:rPr>
        <w:instrText>polysensitization</w:instrText>
      </w:r>
      <w:r w:rsidR="00A02E0E" w:rsidRPr="00A02E0E">
        <w:rPr>
          <w:rStyle w:val="fontstyle01"/>
          <w:color w:val="auto"/>
        </w:rPr>
        <w:instrText xml:space="preserve">. </w:instrText>
      </w:r>
      <w:r w:rsidR="00A02E0E">
        <w:rPr>
          <w:rStyle w:val="fontstyle01"/>
          <w:color w:val="auto"/>
          <w:lang w:val="en-US"/>
        </w:rPr>
        <w:instrText>The</w:instrText>
      </w:r>
      <w:r w:rsidR="00A02E0E" w:rsidRPr="00A02E0E">
        <w:rPr>
          <w:rStyle w:val="fontstyle01"/>
          <w:color w:val="auto"/>
        </w:rPr>
        <w:instrText xml:space="preserve"> </w:instrText>
      </w:r>
      <w:r w:rsidR="00A02E0E">
        <w:rPr>
          <w:rStyle w:val="fontstyle01"/>
          <w:color w:val="auto"/>
          <w:lang w:val="en-US"/>
        </w:rPr>
        <w:instrText>safety</w:instrText>
      </w:r>
      <w:r w:rsidR="00A02E0E" w:rsidRPr="00A02E0E">
        <w:rPr>
          <w:rStyle w:val="fontstyle01"/>
          <w:color w:val="auto"/>
        </w:rPr>
        <w:instrText xml:space="preserve"> </w:instrText>
      </w:r>
      <w:r w:rsidR="00A02E0E">
        <w:rPr>
          <w:rStyle w:val="fontstyle01"/>
          <w:color w:val="auto"/>
          <w:lang w:val="en-US"/>
        </w:rPr>
        <w:instrText>profiles</w:instrText>
      </w:r>
      <w:r w:rsidR="00A02E0E" w:rsidRPr="00A02E0E">
        <w:rPr>
          <w:rStyle w:val="fontstyle01"/>
          <w:color w:val="auto"/>
        </w:rPr>
        <w:instrText xml:space="preserve"> </w:instrText>
      </w:r>
      <w:r w:rsidR="00A02E0E">
        <w:rPr>
          <w:rStyle w:val="fontstyle01"/>
          <w:color w:val="auto"/>
          <w:lang w:val="en-US"/>
        </w:rPr>
        <w:instrText>of</w:instrText>
      </w:r>
      <w:r w:rsidR="00A02E0E" w:rsidRPr="00A02E0E">
        <w:rPr>
          <w:rStyle w:val="fontstyle01"/>
          <w:color w:val="auto"/>
        </w:rPr>
        <w:instrText xml:space="preserve"> </w:instrText>
      </w:r>
      <w:r w:rsidR="00A02E0E">
        <w:rPr>
          <w:rStyle w:val="fontstyle01"/>
          <w:color w:val="auto"/>
          <w:lang w:val="en-US"/>
        </w:rPr>
        <w:instrText>SLIT</w:instrText>
      </w:r>
      <w:r w:rsidR="00A02E0E" w:rsidRPr="00A02E0E">
        <w:rPr>
          <w:rStyle w:val="fontstyle01"/>
          <w:color w:val="auto"/>
        </w:rPr>
        <w:instrText>-</w:instrText>
      </w:r>
      <w:r w:rsidR="00A02E0E">
        <w:rPr>
          <w:rStyle w:val="fontstyle01"/>
          <w:color w:val="auto"/>
          <w:lang w:val="en-US"/>
        </w:rPr>
        <w:instrText>T</w:instrText>
      </w:r>
      <w:r w:rsidR="00A02E0E" w:rsidRPr="00A02E0E">
        <w:rPr>
          <w:rStyle w:val="fontstyle01"/>
          <w:color w:val="auto"/>
        </w:rPr>
        <w:instrText xml:space="preserve"> </w:instrText>
      </w:r>
      <w:r w:rsidR="00A02E0E">
        <w:rPr>
          <w:rStyle w:val="fontstyle01"/>
          <w:color w:val="auto"/>
          <w:lang w:val="en-US"/>
        </w:rPr>
        <w:instrText>and</w:instrText>
      </w:r>
      <w:r w:rsidR="00A02E0E" w:rsidRPr="00A02E0E">
        <w:rPr>
          <w:rStyle w:val="fontstyle01"/>
          <w:color w:val="auto"/>
        </w:rPr>
        <w:instrText xml:space="preserve"> </w:instrText>
      </w:r>
      <w:r w:rsidR="00A02E0E">
        <w:rPr>
          <w:rStyle w:val="fontstyle01"/>
          <w:color w:val="auto"/>
          <w:lang w:val="en-US"/>
        </w:rPr>
        <w:instrText>SLIT</w:instrText>
      </w:r>
      <w:r w:rsidR="00A02E0E" w:rsidRPr="00A02E0E">
        <w:rPr>
          <w:rStyle w:val="fontstyle01"/>
          <w:color w:val="auto"/>
        </w:rPr>
        <w:instrText>-</w:instrText>
      </w:r>
      <w:r w:rsidR="00A02E0E">
        <w:rPr>
          <w:rStyle w:val="fontstyle01"/>
          <w:color w:val="auto"/>
          <w:lang w:val="en-US"/>
        </w:rPr>
        <w:instrText>D</w:instrText>
      </w:r>
      <w:r w:rsidR="00A02E0E" w:rsidRPr="00A02E0E">
        <w:rPr>
          <w:rStyle w:val="fontstyle01"/>
          <w:color w:val="auto"/>
        </w:rPr>
        <w:instrText xml:space="preserve"> </w:instrText>
      </w:r>
      <w:r w:rsidR="00A02E0E">
        <w:rPr>
          <w:rStyle w:val="fontstyle01"/>
          <w:color w:val="auto"/>
          <w:lang w:val="en-US"/>
        </w:rPr>
        <w:instrText>appear</w:instrText>
      </w:r>
      <w:r w:rsidR="00A02E0E" w:rsidRPr="00A02E0E">
        <w:rPr>
          <w:rStyle w:val="fontstyle01"/>
          <w:color w:val="auto"/>
        </w:rPr>
        <w:instrText xml:space="preserve"> </w:instrText>
      </w:r>
      <w:r w:rsidR="00A02E0E">
        <w:rPr>
          <w:rStyle w:val="fontstyle01"/>
          <w:color w:val="auto"/>
          <w:lang w:val="en-US"/>
        </w:rPr>
        <w:instrText>similar</w:instrText>
      </w:r>
      <w:r w:rsidR="00A02E0E" w:rsidRPr="00A02E0E">
        <w:rPr>
          <w:rStyle w:val="fontstyle01"/>
          <w:color w:val="auto"/>
        </w:rPr>
        <w:instrText xml:space="preserve">, </w:instrText>
      </w:r>
      <w:r w:rsidR="00A02E0E">
        <w:rPr>
          <w:rStyle w:val="fontstyle01"/>
          <w:color w:val="auto"/>
          <w:lang w:val="en-US"/>
        </w:rPr>
        <w:instrText>and</w:instrText>
      </w:r>
      <w:r w:rsidR="00A02E0E" w:rsidRPr="00A02E0E">
        <w:rPr>
          <w:rStyle w:val="fontstyle01"/>
          <w:color w:val="auto"/>
        </w:rPr>
        <w:instrText xml:space="preserve"> </w:instrText>
      </w:r>
      <w:r w:rsidR="00A02E0E">
        <w:rPr>
          <w:rStyle w:val="fontstyle01"/>
          <w:color w:val="auto"/>
          <w:lang w:val="en-US"/>
        </w:rPr>
        <w:instrText>both</w:instrText>
      </w:r>
      <w:r w:rsidR="00A02E0E" w:rsidRPr="00A02E0E">
        <w:rPr>
          <w:rStyle w:val="fontstyle01"/>
          <w:color w:val="auto"/>
        </w:rPr>
        <w:instrText xml:space="preserve"> </w:instrText>
      </w:r>
      <w:r w:rsidR="00A02E0E">
        <w:rPr>
          <w:rStyle w:val="fontstyle01"/>
          <w:color w:val="auto"/>
          <w:lang w:val="en-US"/>
        </w:rPr>
        <w:instrText>formulations</w:instrText>
      </w:r>
      <w:r w:rsidR="00A02E0E" w:rsidRPr="00A02E0E">
        <w:rPr>
          <w:rStyle w:val="fontstyle01"/>
          <w:color w:val="auto"/>
        </w:rPr>
        <w:instrText xml:space="preserve"> </w:instrText>
      </w:r>
      <w:r w:rsidR="00A02E0E">
        <w:rPr>
          <w:rStyle w:val="fontstyle01"/>
          <w:color w:val="auto"/>
          <w:lang w:val="en-US"/>
        </w:rPr>
        <w:instrText>are</w:instrText>
      </w:r>
      <w:r w:rsidR="00A02E0E" w:rsidRPr="00A02E0E">
        <w:rPr>
          <w:rStyle w:val="fontstyle01"/>
          <w:color w:val="auto"/>
        </w:rPr>
        <w:instrText xml:space="preserve"> </w:instrText>
      </w:r>
      <w:r w:rsidR="00A02E0E">
        <w:rPr>
          <w:rStyle w:val="fontstyle01"/>
          <w:color w:val="auto"/>
          <w:lang w:val="en-US"/>
        </w:rPr>
        <w:instrText>considered</w:instrText>
      </w:r>
      <w:r w:rsidR="00A02E0E" w:rsidRPr="00A02E0E">
        <w:rPr>
          <w:rStyle w:val="fontstyle01"/>
          <w:color w:val="auto"/>
        </w:rPr>
        <w:instrText xml:space="preserve"> </w:instrText>
      </w:r>
      <w:r w:rsidR="00A02E0E">
        <w:rPr>
          <w:rStyle w:val="fontstyle01"/>
          <w:color w:val="auto"/>
          <w:lang w:val="en-US"/>
        </w:rPr>
        <w:instrText>safer</w:instrText>
      </w:r>
      <w:r w:rsidR="00A02E0E" w:rsidRPr="00A02E0E">
        <w:rPr>
          <w:rStyle w:val="fontstyle01"/>
          <w:color w:val="auto"/>
        </w:rPr>
        <w:instrText xml:space="preserve"> </w:instrText>
      </w:r>
      <w:r w:rsidR="00A02E0E">
        <w:rPr>
          <w:rStyle w:val="fontstyle01"/>
          <w:color w:val="auto"/>
          <w:lang w:val="en-US"/>
        </w:rPr>
        <w:instrText>than</w:instrText>
      </w:r>
      <w:r w:rsidR="00A02E0E" w:rsidRPr="00A02E0E">
        <w:rPr>
          <w:rStyle w:val="fontstyle01"/>
          <w:color w:val="auto"/>
        </w:rPr>
        <w:instrText xml:space="preserve"> </w:instrText>
      </w:r>
      <w:r w:rsidR="00A02E0E">
        <w:rPr>
          <w:rStyle w:val="fontstyle01"/>
          <w:color w:val="auto"/>
          <w:lang w:val="en-US"/>
        </w:rPr>
        <w:instrText>SCIT</w:instrText>
      </w:r>
      <w:r w:rsidR="00A02E0E" w:rsidRPr="00A02E0E">
        <w:rPr>
          <w:rStyle w:val="fontstyle01"/>
          <w:color w:val="auto"/>
        </w:rPr>
        <w:instrText xml:space="preserve">. </w:instrText>
      </w:r>
      <w:r w:rsidR="00A02E0E">
        <w:rPr>
          <w:rStyle w:val="fontstyle01"/>
          <w:color w:val="auto"/>
          <w:lang w:val="en-US"/>
        </w:rPr>
        <w:instrText>Conclusion</w:instrText>
      </w:r>
      <w:r w:rsidR="00A02E0E" w:rsidRPr="00A02E0E">
        <w:rPr>
          <w:rStyle w:val="fontstyle01"/>
          <w:color w:val="auto"/>
        </w:rPr>
        <w:instrText xml:space="preserve">: </w:instrText>
      </w:r>
      <w:r w:rsidR="00A02E0E">
        <w:rPr>
          <w:rStyle w:val="fontstyle01"/>
          <w:color w:val="auto"/>
          <w:lang w:val="en-US"/>
        </w:rPr>
        <w:instrText>Professional</w:instrText>
      </w:r>
      <w:r w:rsidR="00A02E0E" w:rsidRPr="00A02E0E">
        <w:rPr>
          <w:rStyle w:val="fontstyle01"/>
          <w:color w:val="auto"/>
        </w:rPr>
        <w:instrText xml:space="preserve"> </w:instrText>
      </w:r>
      <w:r w:rsidR="00A02E0E">
        <w:rPr>
          <w:rStyle w:val="fontstyle01"/>
          <w:color w:val="auto"/>
          <w:lang w:val="en-US"/>
        </w:rPr>
        <w:instrText>guidelines</w:instrText>
      </w:r>
      <w:r w:rsidR="00A02E0E" w:rsidRPr="00A02E0E">
        <w:rPr>
          <w:rStyle w:val="fontstyle01"/>
          <w:color w:val="auto"/>
        </w:rPr>
        <w:instrText xml:space="preserve"> </w:instrText>
      </w:r>
      <w:r w:rsidR="00A02E0E">
        <w:rPr>
          <w:rStyle w:val="fontstyle01"/>
          <w:color w:val="auto"/>
          <w:lang w:val="en-US"/>
        </w:rPr>
        <w:instrText>should</w:instrText>
      </w:r>
      <w:r w:rsidR="00A02E0E" w:rsidRPr="00A02E0E">
        <w:rPr>
          <w:rStyle w:val="fontstyle01"/>
          <w:color w:val="auto"/>
        </w:rPr>
        <w:instrText xml:space="preserve"> </w:instrText>
      </w:r>
      <w:r w:rsidR="00A02E0E">
        <w:rPr>
          <w:rStyle w:val="fontstyle01"/>
          <w:color w:val="auto"/>
          <w:lang w:val="en-US"/>
        </w:rPr>
        <w:instrText>make</w:instrText>
      </w:r>
      <w:r w:rsidR="00A02E0E" w:rsidRPr="00A02E0E">
        <w:rPr>
          <w:rStyle w:val="fontstyle01"/>
          <w:color w:val="auto"/>
        </w:rPr>
        <w:instrText xml:space="preserve"> </w:instrText>
      </w:r>
      <w:r w:rsidR="00A02E0E">
        <w:rPr>
          <w:rStyle w:val="fontstyle01"/>
          <w:color w:val="auto"/>
          <w:lang w:val="en-US"/>
        </w:rPr>
        <w:instrText>a</w:instrText>
      </w:r>
      <w:r w:rsidR="00A02E0E" w:rsidRPr="00A02E0E">
        <w:rPr>
          <w:rStyle w:val="fontstyle01"/>
          <w:color w:val="auto"/>
        </w:rPr>
        <w:instrText xml:space="preserve"> </w:instrText>
      </w:r>
      <w:r w:rsidR="00A02E0E">
        <w:rPr>
          <w:rStyle w:val="fontstyle01"/>
          <w:color w:val="auto"/>
          <w:lang w:val="en-US"/>
        </w:rPr>
        <w:instrText>clear</w:instrText>
      </w:r>
      <w:r w:rsidR="00A02E0E" w:rsidRPr="00A02E0E">
        <w:rPr>
          <w:rStyle w:val="fontstyle01"/>
          <w:color w:val="auto"/>
        </w:rPr>
        <w:instrText xml:space="preserve"> </w:instrText>
      </w:r>
      <w:r w:rsidR="00A02E0E">
        <w:rPr>
          <w:rStyle w:val="fontstyle01"/>
          <w:color w:val="auto"/>
          <w:lang w:val="en-US"/>
        </w:rPr>
        <w:instrText>distinction</w:instrText>
      </w:r>
      <w:r w:rsidR="00A02E0E" w:rsidRPr="00A02E0E">
        <w:rPr>
          <w:rStyle w:val="fontstyle01"/>
          <w:color w:val="auto"/>
        </w:rPr>
        <w:instrText xml:space="preserve"> </w:instrText>
      </w:r>
      <w:r w:rsidR="00A02E0E">
        <w:rPr>
          <w:rStyle w:val="fontstyle01"/>
          <w:color w:val="auto"/>
          <w:lang w:val="en-US"/>
        </w:rPr>
        <w:instrText>between</w:instrText>
      </w:r>
      <w:r w:rsidR="00A02E0E" w:rsidRPr="00A02E0E">
        <w:rPr>
          <w:rStyle w:val="fontstyle01"/>
          <w:color w:val="auto"/>
        </w:rPr>
        <w:instrText xml:space="preserve"> </w:instrText>
      </w:r>
      <w:r w:rsidR="00A02E0E">
        <w:rPr>
          <w:rStyle w:val="fontstyle01"/>
          <w:color w:val="auto"/>
          <w:lang w:val="en-US"/>
        </w:rPr>
        <w:instrText>SLIT</w:instrText>
      </w:r>
      <w:r w:rsidR="00A02E0E" w:rsidRPr="00A02E0E">
        <w:rPr>
          <w:rStyle w:val="fontstyle01"/>
          <w:color w:val="auto"/>
        </w:rPr>
        <w:instrText>-</w:instrText>
      </w:r>
      <w:r w:rsidR="00A02E0E">
        <w:rPr>
          <w:rStyle w:val="fontstyle01"/>
          <w:color w:val="auto"/>
          <w:lang w:val="en-US"/>
        </w:rPr>
        <w:instrText>T</w:instrText>
      </w:r>
      <w:r w:rsidR="00A02E0E" w:rsidRPr="00A02E0E">
        <w:rPr>
          <w:rStyle w:val="fontstyle01"/>
          <w:color w:val="auto"/>
        </w:rPr>
        <w:instrText xml:space="preserve"> </w:instrText>
      </w:r>
      <w:r w:rsidR="00A02E0E">
        <w:rPr>
          <w:rStyle w:val="fontstyle01"/>
          <w:color w:val="auto"/>
          <w:lang w:val="en-US"/>
        </w:rPr>
        <w:instrText>and</w:instrText>
      </w:r>
      <w:r w:rsidR="00A02E0E" w:rsidRPr="00A02E0E">
        <w:rPr>
          <w:rStyle w:val="fontstyle01"/>
          <w:color w:val="auto"/>
        </w:rPr>
        <w:instrText xml:space="preserve"> </w:instrText>
      </w:r>
      <w:r w:rsidR="00A02E0E">
        <w:rPr>
          <w:rStyle w:val="fontstyle01"/>
          <w:color w:val="auto"/>
          <w:lang w:val="en-US"/>
        </w:rPr>
        <w:instrText>SLIT</w:instrText>
      </w:r>
      <w:r w:rsidR="00A02E0E" w:rsidRPr="00A02E0E">
        <w:rPr>
          <w:rStyle w:val="fontstyle01"/>
          <w:color w:val="auto"/>
        </w:rPr>
        <w:instrText>-</w:instrText>
      </w:r>
      <w:r w:rsidR="00A02E0E">
        <w:rPr>
          <w:rStyle w:val="fontstyle01"/>
          <w:color w:val="auto"/>
          <w:lang w:val="en-US"/>
        </w:rPr>
        <w:instrText>D</w:instrText>
      </w:r>
      <w:r w:rsidR="00A02E0E" w:rsidRPr="00A02E0E">
        <w:rPr>
          <w:rStyle w:val="fontstyle01"/>
          <w:color w:val="auto"/>
        </w:rPr>
        <w:instrText xml:space="preserve"> </w:instrText>
      </w:r>
      <w:r w:rsidR="00A02E0E">
        <w:rPr>
          <w:rStyle w:val="fontstyle01"/>
          <w:color w:val="auto"/>
          <w:lang w:val="en-US"/>
        </w:rPr>
        <w:instrText>in</w:instrText>
      </w:r>
      <w:r w:rsidR="00A02E0E" w:rsidRPr="00A02E0E">
        <w:rPr>
          <w:rStyle w:val="fontstyle01"/>
          <w:color w:val="auto"/>
        </w:rPr>
        <w:instrText xml:space="preserve"> </w:instrText>
      </w:r>
      <w:r w:rsidR="00A02E0E">
        <w:rPr>
          <w:rStyle w:val="fontstyle01"/>
          <w:color w:val="auto"/>
          <w:lang w:val="en-US"/>
        </w:rPr>
        <w:instrText>their</w:instrText>
      </w:r>
      <w:r w:rsidR="00A02E0E" w:rsidRPr="00A02E0E">
        <w:rPr>
          <w:rStyle w:val="fontstyle01"/>
          <w:color w:val="auto"/>
        </w:rPr>
        <w:instrText xml:space="preserve"> </w:instrText>
      </w:r>
      <w:r w:rsidR="00A02E0E">
        <w:rPr>
          <w:rStyle w:val="fontstyle01"/>
          <w:color w:val="auto"/>
          <w:lang w:val="en-US"/>
        </w:rPr>
        <w:instrText>recommendations</w:instrText>
      </w:r>
      <w:r w:rsidR="00A02E0E" w:rsidRPr="00A02E0E">
        <w:rPr>
          <w:rStyle w:val="fontstyle01"/>
          <w:color w:val="auto"/>
        </w:rPr>
        <w:instrText xml:space="preserve"> </w:instrText>
      </w:r>
      <w:r w:rsidR="00A02E0E">
        <w:rPr>
          <w:rStyle w:val="fontstyle01"/>
          <w:color w:val="auto"/>
          <w:lang w:val="en-US"/>
        </w:rPr>
        <w:instrText>to</w:instrText>
      </w:r>
      <w:r w:rsidR="00A02E0E" w:rsidRPr="00A02E0E">
        <w:rPr>
          <w:rStyle w:val="fontstyle01"/>
          <w:color w:val="auto"/>
        </w:rPr>
        <w:instrText xml:space="preserve"> </w:instrText>
      </w:r>
      <w:r w:rsidR="00A02E0E">
        <w:rPr>
          <w:rStyle w:val="fontstyle01"/>
          <w:color w:val="auto"/>
          <w:lang w:val="en-US"/>
        </w:rPr>
        <w:instrText>minimize</w:instrText>
      </w:r>
      <w:r w:rsidR="00A02E0E" w:rsidRPr="00A02E0E">
        <w:rPr>
          <w:rStyle w:val="fontstyle01"/>
          <w:color w:val="auto"/>
        </w:rPr>
        <w:instrText xml:space="preserve"> </w:instrText>
      </w:r>
      <w:r w:rsidR="00A02E0E">
        <w:rPr>
          <w:rStyle w:val="fontstyle01"/>
          <w:color w:val="auto"/>
          <w:lang w:val="en-US"/>
        </w:rPr>
        <w:instrText>confusion</w:instrText>
      </w:r>
      <w:r w:rsidR="00A02E0E" w:rsidRPr="00A02E0E">
        <w:rPr>
          <w:rStyle w:val="fontstyle01"/>
          <w:color w:val="auto"/>
        </w:rPr>
        <w:instrText xml:space="preserve"> </w:instrText>
      </w:r>
      <w:r w:rsidR="00A02E0E">
        <w:rPr>
          <w:rStyle w:val="fontstyle01"/>
          <w:color w:val="auto"/>
          <w:lang w:val="en-US"/>
        </w:rPr>
        <w:instrText>with</w:instrText>
      </w:r>
      <w:r w:rsidR="00A02E0E" w:rsidRPr="00A02E0E">
        <w:rPr>
          <w:rStyle w:val="fontstyle01"/>
          <w:color w:val="auto"/>
        </w:rPr>
        <w:instrText xml:space="preserve"> </w:instrText>
      </w:r>
      <w:r w:rsidR="00A02E0E">
        <w:rPr>
          <w:rStyle w:val="fontstyle01"/>
          <w:color w:val="auto"/>
          <w:lang w:val="en-US"/>
        </w:rPr>
        <w:instrText>the</w:instrText>
      </w:r>
      <w:r w:rsidR="00A02E0E" w:rsidRPr="00A02E0E">
        <w:rPr>
          <w:rStyle w:val="fontstyle01"/>
          <w:color w:val="auto"/>
        </w:rPr>
        <w:instrText xml:space="preserve"> </w:instrText>
      </w:r>
      <w:r w:rsidR="00A02E0E">
        <w:rPr>
          <w:rStyle w:val="fontstyle01"/>
          <w:color w:val="auto"/>
          <w:lang w:val="en-US"/>
        </w:rPr>
        <w:instrText>umbrella</w:instrText>
      </w:r>
      <w:r w:rsidR="00A02E0E" w:rsidRPr="00A02E0E">
        <w:rPr>
          <w:rStyle w:val="fontstyle01"/>
          <w:color w:val="auto"/>
        </w:rPr>
        <w:instrText xml:space="preserve"> </w:instrText>
      </w:r>
      <w:r w:rsidR="00A02E0E">
        <w:rPr>
          <w:rStyle w:val="fontstyle01"/>
          <w:color w:val="auto"/>
          <w:lang w:val="en-US"/>
        </w:rPr>
        <w:instrText>term</w:instrText>
      </w:r>
      <w:r w:rsidR="00A02E0E" w:rsidRPr="00A02E0E">
        <w:rPr>
          <w:rStyle w:val="fontstyle01"/>
          <w:color w:val="auto"/>
        </w:rPr>
        <w:instrText xml:space="preserve"> </w:instrText>
      </w:r>
      <w:r w:rsidR="00A02E0E">
        <w:rPr>
          <w:rStyle w:val="fontstyle01"/>
          <w:color w:val="auto"/>
          <w:lang w:val="en-US"/>
        </w:rPr>
        <w:instrText>SLIT</w:instrText>
      </w:r>
      <w:r w:rsidR="00A02E0E" w:rsidRPr="00A02E0E">
        <w:rPr>
          <w:rStyle w:val="fontstyle01"/>
          <w:color w:val="auto"/>
        </w:rPr>
        <w:instrText>.","</w:instrText>
      </w:r>
      <w:r w:rsidR="00A02E0E">
        <w:rPr>
          <w:rStyle w:val="fontstyle01"/>
          <w:color w:val="auto"/>
          <w:lang w:val="en-US"/>
        </w:rPr>
        <w:instrText>author</w:instrText>
      </w:r>
      <w:r w:rsidR="00A02E0E" w:rsidRPr="00A02E0E">
        <w:rPr>
          <w:rStyle w:val="fontstyle01"/>
          <w:color w:val="auto"/>
        </w:rPr>
        <w:instrText>":[{"</w:instrText>
      </w:r>
      <w:r w:rsidR="00A02E0E">
        <w:rPr>
          <w:rStyle w:val="fontstyle01"/>
          <w:color w:val="auto"/>
          <w:lang w:val="en-US"/>
        </w:rPr>
        <w:instrText>dropping</w:instrText>
      </w:r>
      <w:r w:rsidR="00A02E0E" w:rsidRPr="00A02E0E">
        <w:rPr>
          <w:rStyle w:val="fontstyle01"/>
          <w:color w:val="auto"/>
        </w:rPr>
        <w:instrText>-</w:instrText>
      </w:r>
      <w:r w:rsidR="00A02E0E">
        <w:rPr>
          <w:rStyle w:val="fontstyle01"/>
          <w:color w:val="auto"/>
          <w:lang w:val="en-US"/>
        </w:rPr>
        <w:instrText>particle</w:instrText>
      </w:r>
      <w:r w:rsidR="00A02E0E" w:rsidRPr="00A02E0E">
        <w:rPr>
          <w:rStyle w:val="fontstyle01"/>
          <w:color w:val="auto"/>
        </w:rPr>
        <w:instrText>":"","</w:instrText>
      </w:r>
      <w:r w:rsidR="00A02E0E">
        <w:rPr>
          <w:rStyle w:val="fontstyle01"/>
          <w:color w:val="auto"/>
          <w:lang w:val="en-US"/>
        </w:rPr>
        <w:instrText>family</w:instrText>
      </w:r>
      <w:r w:rsidR="00A02E0E" w:rsidRPr="00A02E0E">
        <w:rPr>
          <w:rStyle w:val="fontstyle01"/>
          <w:color w:val="auto"/>
        </w:rPr>
        <w:instrText>":"</w:instrText>
      </w:r>
      <w:r w:rsidR="00A02E0E">
        <w:rPr>
          <w:rStyle w:val="fontstyle01"/>
          <w:color w:val="auto"/>
          <w:lang w:val="en-US"/>
        </w:rPr>
        <w:instrText>Tankersley</w:instrText>
      </w:r>
      <w:r w:rsidR="00A02E0E" w:rsidRPr="00A02E0E">
        <w:rPr>
          <w:rStyle w:val="fontstyle01"/>
          <w:color w:val="auto"/>
        </w:rPr>
        <w:instrText>","</w:instrText>
      </w:r>
      <w:r w:rsidR="00A02E0E">
        <w:rPr>
          <w:rStyle w:val="fontstyle01"/>
          <w:color w:val="auto"/>
          <w:lang w:val="en-US"/>
        </w:rPr>
        <w:instrText>given</w:instrText>
      </w:r>
      <w:r w:rsidR="00A02E0E" w:rsidRPr="00A02E0E">
        <w:rPr>
          <w:rStyle w:val="fontstyle01"/>
          <w:color w:val="auto"/>
        </w:rPr>
        <w:instrText>":"</w:instrText>
      </w:r>
      <w:r w:rsidR="00A02E0E">
        <w:rPr>
          <w:rStyle w:val="fontstyle01"/>
          <w:color w:val="auto"/>
          <w:lang w:val="en-US"/>
        </w:rPr>
        <w:instrText>Mike</w:instrText>
      </w:r>
      <w:r w:rsidR="00A02E0E" w:rsidRPr="00A02E0E">
        <w:rPr>
          <w:rStyle w:val="fontstyle01"/>
          <w:color w:val="auto"/>
        </w:rPr>
        <w:instrText>","</w:instrText>
      </w:r>
      <w:r w:rsidR="00A02E0E">
        <w:rPr>
          <w:rStyle w:val="fontstyle01"/>
          <w:color w:val="auto"/>
          <w:lang w:val="en-US"/>
        </w:rPr>
        <w:instrText>non</w:instrText>
      </w:r>
      <w:r w:rsidR="00A02E0E" w:rsidRPr="00A02E0E">
        <w:rPr>
          <w:rStyle w:val="fontstyle01"/>
          <w:color w:val="auto"/>
        </w:rPr>
        <w:instrText>-</w:instrText>
      </w:r>
      <w:r w:rsidR="00A02E0E">
        <w:rPr>
          <w:rStyle w:val="fontstyle01"/>
          <w:color w:val="auto"/>
          <w:lang w:val="en-US"/>
        </w:rPr>
        <w:instrText>dropping</w:instrText>
      </w:r>
      <w:r w:rsidR="00A02E0E" w:rsidRPr="00A02E0E">
        <w:rPr>
          <w:rStyle w:val="fontstyle01"/>
          <w:color w:val="auto"/>
        </w:rPr>
        <w:instrText>-</w:instrText>
      </w:r>
      <w:r w:rsidR="00A02E0E">
        <w:rPr>
          <w:rStyle w:val="fontstyle01"/>
          <w:color w:val="auto"/>
          <w:lang w:val="en-US"/>
        </w:rPr>
        <w:instrText>particle</w:instrText>
      </w:r>
      <w:r w:rsidR="00A02E0E" w:rsidRPr="00A02E0E">
        <w:rPr>
          <w:rStyle w:val="fontstyle01"/>
          <w:color w:val="auto"/>
        </w:rPr>
        <w:instrText>":"","</w:instrText>
      </w:r>
      <w:r w:rsidR="00A02E0E">
        <w:rPr>
          <w:rStyle w:val="fontstyle01"/>
          <w:color w:val="auto"/>
          <w:lang w:val="en-US"/>
        </w:rPr>
        <w:instrText>parse</w:instrText>
      </w:r>
      <w:r w:rsidR="00A02E0E" w:rsidRPr="00A02E0E">
        <w:rPr>
          <w:rStyle w:val="fontstyle01"/>
          <w:color w:val="auto"/>
        </w:rPr>
        <w:instrText>-</w:instrText>
      </w:r>
      <w:r w:rsidR="00A02E0E">
        <w:rPr>
          <w:rStyle w:val="fontstyle01"/>
          <w:color w:val="auto"/>
          <w:lang w:val="en-US"/>
        </w:rPr>
        <w:instrText>names</w:instrText>
      </w:r>
      <w:r w:rsidR="00A02E0E" w:rsidRPr="00A02E0E">
        <w:rPr>
          <w:rStyle w:val="fontstyle01"/>
          <w:color w:val="auto"/>
        </w:rPr>
        <w:instrText>":</w:instrText>
      </w:r>
      <w:r w:rsidR="00A02E0E">
        <w:rPr>
          <w:rStyle w:val="fontstyle01"/>
          <w:color w:val="auto"/>
          <w:lang w:val="en-US"/>
        </w:rPr>
        <w:instrText>false</w:instrText>
      </w:r>
      <w:r w:rsidR="00A02E0E" w:rsidRPr="00A02E0E">
        <w:rPr>
          <w:rStyle w:val="fontstyle01"/>
          <w:color w:val="auto"/>
        </w:rPr>
        <w:instrText>,"</w:instrText>
      </w:r>
      <w:r w:rsidR="00A02E0E">
        <w:rPr>
          <w:rStyle w:val="fontstyle01"/>
          <w:color w:val="auto"/>
          <w:lang w:val="en-US"/>
        </w:rPr>
        <w:instrText>suffix</w:instrText>
      </w:r>
      <w:r w:rsidR="00A02E0E" w:rsidRPr="00A02E0E">
        <w:rPr>
          <w:rStyle w:val="fontstyle01"/>
          <w:color w:val="auto"/>
        </w:rPr>
        <w:instrText>":""},{"</w:instrText>
      </w:r>
      <w:r w:rsidR="00A02E0E">
        <w:rPr>
          <w:rStyle w:val="fontstyle01"/>
          <w:color w:val="auto"/>
          <w:lang w:val="en-US"/>
        </w:rPr>
        <w:instrText>dropping</w:instrText>
      </w:r>
      <w:r w:rsidR="00A02E0E" w:rsidRPr="00A02E0E">
        <w:rPr>
          <w:rStyle w:val="fontstyle01"/>
          <w:color w:val="auto"/>
        </w:rPr>
        <w:instrText>-</w:instrText>
      </w:r>
      <w:r w:rsidR="00A02E0E">
        <w:rPr>
          <w:rStyle w:val="fontstyle01"/>
          <w:color w:val="auto"/>
          <w:lang w:val="en-US"/>
        </w:rPr>
        <w:instrText>particle</w:instrText>
      </w:r>
      <w:r w:rsidR="00A02E0E" w:rsidRPr="00A02E0E">
        <w:rPr>
          <w:rStyle w:val="fontstyle01"/>
          <w:color w:val="auto"/>
        </w:rPr>
        <w:instrText>":"","</w:instrText>
      </w:r>
      <w:r w:rsidR="00A02E0E">
        <w:rPr>
          <w:rStyle w:val="fontstyle01"/>
          <w:color w:val="auto"/>
          <w:lang w:val="en-US"/>
        </w:rPr>
        <w:instrText>family</w:instrText>
      </w:r>
      <w:r w:rsidR="00A02E0E" w:rsidRPr="00A02E0E">
        <w:rPr>
          <w:rStyle w:val="fontstyle01"/>
          <w:color w:val="auto"/>
        </w:rPr>
        <w:instrText>":"</w:instrText>
      </w:r>
      <w:r w:rsidR="00A02E0E">
        <w:rPr>
          <w:rStyle w:val="fontstyle01"/>
          <w:color w:val="auto"/>
          <w:lang w:val="en-US"/>
        </w:rPr>
        <w:instrText>Han</w:instrText>
      </w:r>
      <w:r w:rsidR="00A02E0E" w:rsidRPr="00A02E0E">
        <w:rPr>
          <w:rStyle w:val="fontstyle01"/>
          <w:color w:val="auto"/>
        </w:rPr>
        <w:instrText>","</w:instrText>
      </w:r>
      <w:r w:rsidR="00A02E0E">
        <w:rPr>
          <w:rStyle w:val="fontstyle01"/>
          <w:color w:val="auto"/>
          <w:lang w:val="en-US"/>
        </w:rPr>
        <w:instrText>given</w:instrText>
      </w:r>
      <w:r w:rsidR="00A02E0E" w:rsidRPr="00A02E0E">
        <w:rPr>
          <w:rStyle w:val="fontstyle01"/>
          <w:color w:val="auto"/>
        </w:rPr>
        <w:instrText>":"</w:instrText>
      </w:r>
      <w:r w:rsidR="00A02E0E">
        <w:rPr>
          <w:rStyle w:val="fontstyle01"/>
          <w:color w:val="auto"/>
          <w:lang w:val="en-US"/>
        </w:rPr>
        <w:instrText>Joseph</w:instrText>
      </w:r>
      <w:r w:rsidR="00A02E0E" w:rsidRPr="00A02E0E">
        <w:rPr>
          <w:rStyle w:val="fontstyle01"/>
          <w:color w:val="auto"/>
        </w:rPr>
        <w:instrText xml:space="preserve"> </w:instrText>
      </w:r>
      <w:r w:rsidR="00A02E0E">
        <w:rPr>
          <w:rStyle w:val="fontstyle01"/>
          <w:color w:val="auto"/>
          <w:lang w:val="en-US"/>
        </w:rPr>
        <w:instrText>K</w:instrText>
      </w:r>
      <w:r w:rsidR="00A02E0E" w:rsidRPr="00A02E0E">
        <w:rPr>
          <w:rStyle w:val="fontstyle01"/>
          <w:color w:val="auto"/>
        </w:rPr>
        <w:instrText>.","</w:instrText>
      </w:r>
      <w:r w:rsidR="00A02E0E">
        <w:rPr>
          <w:rStyle w:val="fontstyle01"/>
          <w:color w:val="auto"/>
          <w:lang w:val="en-US"/>
        </w:rPr>
        <w:instrText>non</w:instrText>
      </w:r>
      <w:r w:rsidR="00A02E0E" w:rsidRPr="00A02E0E">
        <w:rPr>
          <w:rStyle w:val="fontstyle01"/>
          <w:color w:val="auto"/>
        </w:rPr>
        <w:instrText>-</w:instrText>
      </w:r>
      <w:r w:rsidR="00A02E0E">
        <w:rPr>
          <w:rStyle w:val="fontstyle01"/>
          <w:color w:val="auto"/>
          <w:lang w:val="en-US"/>
        </w:rPr>
        <w:instrText>dropping</w:instrText>
      </w:r>
      <w:r w:rsidR="00A02E0E" w:rsidRPr="00A02E0E">
        <w:rPr>
          <w:rStyle w:val="fontstyle01"/>
          <w:color w:val="auto"/>
        </w:rPr>
        <w:instrText>-</w:instrText>
      </w:r>
      <w:r w:rsidR="00A02E0E">
        <w:rPr>
          <w:rStyle w:val="fontstyle01"/>
          <w:color w:val="auto"/>
          <w:lang w:val="en-US"/>
        </w:rPr>
        <w:instrText>particle</w:instrText>
      </w:r>
      <w:r w:rsidR="00A02E0E" w:rsidRPr="00A02E0E">
        <w:rPr>
          <w:rStyle w:val="fontstyle01"/>
          <w:color w:val="auto"/>
        </w:rPr>
        <w:instrText>":"","</w:instrText>
      </w:r>
      <w:r w:rsidR="00A02E0E">
        <w:rPr>
          <w:rStyle w:val="fontstyle01"/>
          <w:color w:val="auto"/>
          <w:lang w:val="en-US"/>
        </w:rPr>
        <w:instrText>parse</w:instrText>
      </w:r>
      <w:r w:rsidR="00A02E0E" w:rsidRPr="00A02E0E">
        <w:rPr>
          <w:rStyle w:val="fontstyle01"/>
          <w:color w:val="auto"/>
        </w:rPr>
        <w:instrText>-</w:instrText>
      </w:r>
      <w:r w:rsidR="00A02E0E">
        <w:rPr>
          <w:rStyle w:val="fontstyle01"/>
          <w:color w:val="auto"/>
          <w:lang w:val="en-US"/>
        </w:rPr>
        <w:instrText>names</w:instrText>
      </w:r>
      <w:r w:rsidR="00A02E0E" w:rsidRPr="00A02E0E">
        <w:rPr>
          <w:rStyle w:val="fontstyle01"/>
          <w:color w:val="auto"/>
        </w:rPr>
        <w:instrText>":</w:instrText>
      </w:r>
      <w:r w:rsidR="00A02E0E">
        <w:rPr>
          <w:rStyle w:val="fontstyle01"/>
          <w:color w:val="auto"/>
          <w:lang w:val="en-US"/>
        </w:rPr>
        <w:instrText>false</w:instrText>
      </w:r>
      <w:r w:rsidR="00A02E0E" w:rsidRPr="00A02E0E">
        <w:rPr>
          <w:rStyle w:val="fontstyle01"/>
          <w:color w:val="auto"/>
        </w:rPr>
        <w:instrText>,"</w:instrText>
      </w:r>
      <w:r w:rsidR="00A02E0E">
        <w:rPr>
          <w:rStyle w:val="fontstyle01"/>
          <w:color w:val="auto"/>
          <w:lang w:val="en-US"/>
        </w:rPr>
        <w:instrText>suffix</w:instrText>
      </w:r>
      <w:r w:rsidR="00A02E0E" w:rsidRPr="00A02E0E">
        <w:rPr>
          <w:rStyle w:val="fontstyle01"/>
          <w:color w:val="auto"/>
        </w:rPr>
        <w:instrText>":""},{"</w:instrText>
      </w:r>
      <w:r w:rsidR="00A02E0E">
        <w:rPr>
          <w:rStyle w:val="fontstyle01"/>
          <w:color w:val="auto"/>
          <w:lang w:val="en-US"/>
        </w:rPr>
        <w:instrText>dropping</w:instrText>
      </w:r>
      <w:r w:rsidR="00A02E0E" w:rsidRPr="00A02E0E">
        <w:rPr>
          <w:rStyle w:val="fontstyle01"/>
          <w:color w:val="auto"/>
        </w:rPr>
        <w:instrText>-</w:instrText>
      </w:r>
      <w:r w:rsidR="00A02E0E">
        <w:rPr>
          <w:rStyle w:val="fontstyle01"/>
          <w:color w:val="auto"/>
          <w:lang w:val="en-US"/>
        </w:rPr>
        <w:instrText>particle</w:instrText>
      </w:r>
      <w:r w:rsidR="00A02E0E" w:rsidRPr="00A02E0E">
        <w:rPr>
          <w:rStyle w:val="fontstyle01"/>
          <w:color w:val="auto"/>
        </w:rPr>
        <w:instrText>":"","</w:instrText>
      </w:r>
      <w:r w:rsidR="00A02E0E">
        <w:rPr>
          <w:rStyle w:val="fontstyle01"/>
          <w:color w:val="auto"/>
          <w:lang w:val="en-US"/>
        </w:rPr>
        <w:instrText>family</w:instrText>
      </w:r>
      <w:r w:rsidR="00A02E0E" w:rsidRPr="00A02E0E">
        <w:rPr>
          <w:rStyle w:val="fontstyle01"/>
          <w:color w:val="auto"/>
        </w:rPr>
        <w:instrText>":"</w:instrText>
      </w:r>
      <w:r w:rsidR="00A02E0E">
        <w:rPr>
          <w:rStyle w:val="fontstyle01"/>
          <w:color w:val="auto"/>
          <w:lang w:val="en-US"/>
        </w:rPr>
        <w:instrText>Nolte</w:instrText>
      </w:r>
      <w:r w:rsidR="00A02E0E" w:rsidRPr="00A02E0E">
        <w:rPr>
          <w:rStyle w:val="fontstyle01"/>
          <w:color w:val="auto"/>
        </w:rPr>
        <w:instrText>","</w:instrText>
      </w:r>
      <w:r w:rsidR="00A02E0E">
        <w:rPr>
          <w:rStyle w:val="fontstyle01"/>
          <w:color w:val="auto"/>
          <w:lang w:val="en-US"/>
        </w:rPr>
        <w:instrText>given</w:instrText>
      </w:r>
      <w:r w:rsidR="00A02E0E" w:rsidRPr="00A02E0E">
        <w:rPr>
          <w:rStyle w:val="fontstyle01"/>
          <w:color w:val="auto"/>
        </w:rPr>
        <w:instrText>":"</w:instrText>
      </w:r>
      <w:r w:rsidR="00A02E0E">
        <w:rPr>
          <w:rStyle w:val="fontstyle01"/>
          <w:color w:val="auto"/>
          <w:lang w:val="en-US"/>
        </w:rPr>
        <w:instrText>Hendrik</w:instrText>
      </w:r>
      <w:r w:rsidR="00A02E0E" w:rsidRPr="00A02E0E">
        <w:rPr>
          <w:rStyle w:val="fontstyle01"/>
          <w:color w:val="auto"/>
        </w:rPr>
        <w:instrText>","</w:instrText>
      </w:r>
      <w:r w:rsidR="00A02E0E">
        <w:rPr>
          <w:rStyle w:val="fontstyle01"/>
          <w:color w:val="auto"/>
          <w:lang w:val="en-US"/>
        </w:rPr>
        <w:instrText>non</w:instrText>
      </w:r>
      <w:r w:rsidR="00A02E0E" w:rsidRPr="00A02E0E">
        <w:rPr>
          <w:rStyle w:val="fontstyle01"/>
          <w:color w:val="auto"/>
        </w:rPr>
        <w:instrText>-</w:instrText>
      </w:r>
      <w:r w:rsidR="00A02E0E">
        <w:rPr>
          <w:rStyle w:val="fontstyle01"/>
          <w:color w:val="auto"/>
          <w:lang w:val="en-US"/>
        </w:rPr>
        <w:instrText>dropping</w:instrText>
      </w:r>
      <w:r w:rsidR="00A02E0E" w:rsidRPr="00A02E0E">
        <w:rPr>
          <w:rStyle w:val="fontstyle01"/>
          <w:color w:val="auto"/>
        </w:rPr>
        <w:instrText>-</w:instrText>
      </w:r>
      <w:r w:rsidR="00A02E0E">
        <w:rPr>
          <w:rStyle w:val="fontstyle01"/>
          <w:color w:val="auto"/>
          <w:lang w:val="en-US"/>
        </w:rPr>
        <w:instrText>particle</w:instrText>
      </w:r>
      <w:r w:rsidR="00A02E0E" w:rsidRPr="00A02E0E">
        <w:rPr>
          <w:rStyle w:val="fontstyle01"/>
          <w:color w:val="auto"/>
        </w:rPr>
        <w:instrText>":"","</w:instrText>
      </w:r>
      <w:r w:rsidR="00A02E0E">
        <w:rPr>
          <w:rStyle w:val="fontstyle01"/>
          <w:color w:val="auto"/>
          <w:lang w:val="en-US"/>
        </w:rPr>
        <w:instrText>parse</w:instrText>
      </w:r>
      <w:r w:rsidR="00A02E0E" w:rsidRPr="00A02E0E">
        <w:rPr>
          <w:rStyle w:val="fontstyle01"/>
          <w:color w:val="auto"/>
        </w:rPr>
        <w:instrText>-</w:instrText>
      </w:r>
      <w:r w:rsidR="00A02E0E">
        <w:rPr>
          <w:rStyle w:val="fontstyle01"/>
          <w:color w:val="auto"/>
          <w:lang w:val="en-US"/>
        </w:rPr>
        <w:instrText>names</w:instrText>
      </w:r>
      <w:r w:rsidR="00A02E0E" w:rsidRPr="00A02E0E">
        <w:rPr>
          <w:rStyle w:val="fontstyle01"/>
          <w:color w:val="auto"/>
        </w:rPr>
        <w:instrText>":</w:instrText>
      </w:r>
      <w:r w:rsidR="00A02E0E">
        <w:rPr>
          <w:rStyle w:val="fontstyle01"/>
          <w:color w:val="auto"/>
          <w:lang w:val="en-US"/>
        </w:rPr>
        <w:instrText>false</w:instrText>
      </w:r>
      <w:r w:rsidR="00A02E0E" w:rsidRPr="00A02E0E">
        <w:rPr>
          <w:rStyle w:val="fontstyle01"/>
          <w:color w:val="auto"/>
        </w:rPr>
        <w:instrText>,"</w:instrText>
      </w:r>
      <w:r w:rsidR="00A02E0E">
        <w:rPr>
          <w:rStyle w:val="fontstyle01"/>
          <w:color w:val="auto"/>
          <w:lang w:val="en-US"/>
        </w:rPr>
        <w:instrText>suffix</w:instrText>
      </w:r>
      <w:r w:rsidR="00A02E0E" w:rsidRPr="00A02E0E">
        <w:rPr>
          <w:rStyle w:val="fontstyle01"/>
          <w:color w:val="auto"/>
        </w:rPr>
        <w:instrText>":""}],"</w:instrText>
      </w:r>
      <w:r w:rsidR="00A02E0E">
        <w:rPr>
          <w:rStyle w:val="fontstyle01"/>
          <w:color w:val="auto"/>
          <w:lang w:val="en-US"/>
        </w:rPr>
        <w:instrText>container</w:instrText>
      </w:r>
      <w:r w:rsidR="00A02E0E" w:rsidRPr="00A02E0E">
        <w:rPr>
          <w:rStyle w:val="fontstyle01"/>
          <w:color w:val="auto"/>
        </w:rPr>
        <w:instrText>-</w:instrText>
      </w:r>
      <w:r w:rsidR="00A02E0E">
        <w:rPr>
          <w:rStyle w:val="fontstyle01"/>
          <w:color w:val="auto"/>
          <w:lang w:val="en-US"/>
        </w:rPr>
        <w:instrText>title</w:instrText>
      </w:r>
      <w:r w:rsidR="00A02E0E" w:rsidRPr="00A02E0E">
        <w:rPr>
          <w:rStyle w:val="fontstyle01"/>
          <w:color w:val="auto"/>
        </w:rPr>
        <w:instrText>":"</w:instrText>
      </w:r>
      <w:r w:rsidR="00A02E0E">
        <w:rPr>
          <w:rStyle w:val="fontstyle01"/>
          <w:color w:val="auto"/>
          <w:lang w:val="en-US"/>
        </w:rPr>
        <w:instrText>Annals</w:instrText>
      </w:r>
      <w:r w:rsidR="00A02E0E" w:rsidRPr="00A02E0E">
        <w:rPr>
          <w:rStyle w:val="fontstyle01"/>
          <w:color w:val="auto"/>
        </w:rPr>
        <w:instrText xml:space="preserve"> </w:instrText>
      </w:r>
      <w:r w:rsidR="00A02E0E">
        <w:rPr>
          <w:rStyle w:val="fontstyle01"/>
          <w:color w:val="auto"/>
          <w:lang w:val="en-US"/>
        </w:rPr>
        <w:instrText>of</w:instrText>
      </w:r>
      <w:r w:rsidR="00A02E0E" w:rsidRPr="00A02E0E">
        <w:rPr>
          <w:rStyle w:val="fontstyle01"/>
          <w:color w:val="auto"/>
        </w:rPr>
        <w:instrText xml:space="preserve"> </w:instrText>
      </w:r>
      <w:r w:rsidR="00A02E0E">
        <w:rPr>
          <w:rStyle w:val="fontstyle01"/>
          <w:color w:val="auto"/>
          <w:lang w:val="en-US"/>
        </w:rPr>
        <w:instrText>Allergy</w:instrText>
      </w:r>
      <w:r w:rsidR="00A02E0E" w:rsidRPr="00A02E0E">
        <w:rPr>
          <w:rStyle w:val="fontstyle01"/>
          <w:color w:val="auto"/>
        </w:rPr>
        <w:instrText xml:space="preserve">, </w:instrText>
      </w:r>
      <w:r w:rsidR="00A02E0E">
        <w:rPr>
          <w:rStyle w:val="fontstyle01"/>
          <w:color w:val="auto"/>
          <w:lang w:val="en-US"/>
        </w:rPr>
        <w:instrText>Asthma</w:instrText>
      </w:r>
      <w:r w:rsidR="00A02E0E" w:rsidRPr="00A02E0E">
        <w:rPr>
          <w:rStyle w:val="fontstyle01"/>
          <w:color w:val="auto"/>
        </w:rPr>
        <w:instrText xml:space="preserve"> </w:instrText>
      </w:r>
      <w:r w:rsidR="00A02E0E">
        <w:rPr>
          <w:rStyle w:val="fontstyle01"/>
          <w:color w:val="auto"/>
          <w:lang w:val="en-US"/>
        </w:rPr>
        <w:instrText>and</w:instrText>
      </w:r>
      <w:r w:rsidR="00A02E0E" w:rsidRPr="00A02E0E">
        <w:rPr>
          <w:rStyle w:val="fontstyle01"/>
          <w:color w:val="auto"/>
        </w:rPr>
        <w:instrText xml:space="preserve"> </w:instrText>
      </w:r>
      <w:r w:rsidR="00A02E0E">
        <w:rPr>
          <w:rStyle w:val="fontstyle01"/>
          <w:color w:val="auto"/>
          <w:lang w:val="en-US"/>
        </w:rPr>
        <w:instrText>Immunology</w:instrText>
      </w:r>
      <w:r w:rsidR="00A02E0E" w:rsidRPr="00A02E0E">
        <w:rPr>
          <w:rStyle w:val="fontstyle01"/>
          <w:color w:val="auto"/>
        </w:rPr>
        <w:instrText>","</w:instrText>
      </w:r>
      <w:r w:rsidR="00A02E0E">
        <w:rPr>
          <w:rStyle w:val="fontstyle01"/>
          <w:color w:val="auto"/>
          <w:lang w:val="en-US"/>
        </w:rPr>
        <w:instrText>id</w:instrText>
      </w:r>
      <w:r w:rsidR="00A02E0E" w:rsidRPr="00A02E0E">
        <w:rPr>
          <w:rStyle w:val="fontstyle01"/>
          <w:color w:val="auto"/>
        </w:rPr>
        <w:instrText>":"</w:instrText>
      </w:r>
      <w:r w:rsidR="00A02E0E">
        <w:rPr>
          <w:rStyle w:val="fontstyle01"/>
          <w:color w:val="auto"/>
          <w:lang w:val="en-US"/>
        </w:rPr>
        <w:instrText>ITEM</w:instrText>
      </w:r>
      <w:r w:rsidR="00A02E0E" w:rsidRPr="00A02E0E">
        <w:rPr>
          <w:rStyle w:val="fontstyle01"/>
          <w:color w:val="auto"/>
        </w:rPr>
        <w:instrText>-1","</w:instrText>
      </w:r>
      <w:r w:rsidR="00A02E0E">
        <w:rPr>
          <w:rStyle w:val="fontstyle01"/>
          <w:color w:val="auto"/>
          <w:lang w:val="en-US"/>
        </w:rPr>
        <w:instrText>issue</w:instrText>
      </w:r>
      <w:r w:rsidR="00A02E0E" w:rsidRPr="00A02E0E">
        <w:rPr>
          <w:rStyle w:val="fontstyle01"/>
          <w:color w:val="auto"/>
        </w:rPr>
        <w:instrText>":"6","</w:instrText>
      </w:r>
      <w:r w:rsidR="00A02E0E">
        <w:rPr>
          <w:rStyle w:val="fontstyle01"/>
          <w:color w:val="auto"/>
          <w:lang w:val="en-US"/>
        </w:rPr>
        <w:instrText>issued</w:instrText>
      </w:r>
      <w:r w:rsidR="00A02E0E" w:rsidRPr="00A02E0E">
        <w:rPr>
          <w:rStyle w:val="fontstyle01"/>
          <w:color w:val="auto"/>
        </w:rPr>
        <w:instrText>":{"</w:instrText>
      </w:r>
      <w:r w:rsidR="00A02E0E">
        <w:rPr>
          <w:rStyle w:val="fontstyle01"/>
          <w:color w:val="auto"/>
          <w:lang w:val="en-US"/>
        </w:rPr>
        <w:instrText>date</w:instrText>
      </w:r>
      <w:r w:rsidR="00A02E0E" w:rsidRPr="00A02E0E">
        <w:rPr>
          <w:rStyle w:val="fontstyle01"/>
          <w:color w:val="auto"/>
        </w:rPr>
        <w:instrText>-</w:instrText>
      </w:r>
      <w:r w:rsidR="00A02E0E">
        <w:rPr>
          <w:rStyle w:val="fontstyle01"/>
          <w:color w:val="auto"/>
          <w:lang w:val="en-US"/>
        </w:rPr>
        <w:instrText>parts</w:instrText>
      </w:r>
      <w:r w:rsidR="00A02E0E" w:rsidRPr="00A02E0E">
        <w:rPr>
          <w:rStyle w:val="fontstyle01"/>
          <w:color w:val="auto"/>
        </w:rPr>
        <w:instrText>":[["2020"]]},"</w:instrText>
      </w:r>
      <w:r w:rsidR="00A02E0E">
        <w:rPr>
          <w:rStyle w:val="fontstyle01"/>
          <w:color w:val="auto"/>
          <w:lang w:val="en-US"/>
        </w:rPr>
        <w:instrText>page</w:instrText>
      </w:r>
      <w:r w:rsidR="00A02E0E" w:rsidRPr="00A02E0E">
        <w:rPr>
          <w:rStyle w:val="fontstyle01"/>
          <w:color w:val="auto"/>
        </w:rPr>
        <w:instrText>":"573-582","</w:instrText>
      </w:r>
      <w:r w:rsidR="00A02E0E">
        <w:rPr>
          <w:rStyle w:val="fontstyle01"/>
          <w:color w:val="auto"/>
          <w:lang w:val="en-US"/>
        </w:rPr>
        <w:instrText>publisher</w:instrText>
      </w:r>
      <w:r w:rsidR="00A02E0E" w:rsidRPr="00A02E0E">
        <w:rPr>
          <w:rStyle w:val="fontstyle01"/>
          <w:color w:val="auto"/>
        </w:rPr>
        <w:instrText>":"</w:instrText>
      </w:r>
      <w:r w:rsidR="00A02E0E">
        <w:rPr>
          <w:rStyle w:val="fontstyle01"/>
          <w:color w:val="auto"/>
          <w:lang w:val="en-US"/>
        </w:rPr>
        <w:instrText>American</w:instrText>
      </w:r>
      <w:r w:rsidR="00A02E0E" w:rsidRPr="00A02E0E">
        <w:rPr>
          <w:rStyle w:val="fontstyle01"/>
          <w:color w:val="auto"/>
        </w:rPr>
        <w:instrText xml:space="preserve"> </w:instrText>
      </w:r>
      <w:r w:rsidR="00A02E0E">
        <w:rPr>
          <w:rStyle w:val="fontstyle01"/>
          <w:color w:val="auto"/>
          <w:lang w:val="en-US"/>
        </w:rPr>
        <w:instrText>College</w:instrText>
      </w:r>
      <w:r w:rsidR="00A02E0E" w:rsidRPr="00A02E0E">
        <w:rPr>
          <w:rStyle w:val="fontstyle01"/>
          <w:color w:val="auto"/>
        </w:rPr>
        <w:instrText xml:space="preserve"> </w:instrText>
      </w:r>
      <w:r w:rsidR="00A02E0E">
        <w:rPr>
          <w:rStyle w:val="fontstyle01"/>
          <w:color w:val="auto"/>
          <w:lang w:val="en-US"/>
        </w:rPr>
        <w:instrText>of</w:instrText>
      </w:r>
      <w:r w:rsidR="00A02E0E" w:rsidRPr="00A02E0E">
        <w:rPr>
          <w:rStyle w:val="fontstyle01"/>
          <w:color w:val="auto"/>
        </w:rPr>
        <w:instrText xml:space="preserve"> </w:instrText>
      </w:r>
      <w:r w:rsidR="00A02E0E">
        <w:rPr>
          <w:rStyle w:val="fontstyle01"/>
          <w:color w:val="auto"/>
          <w:lang w:val="en-US"/>
        </w:rPr>
        <w:instrText>Allergy</w:instrText>
      </w:r>
      <w:r w:rsidR="00A02E0E" w:rsidRPr="00A02E0E">
        <w:rPr>
          <w:rStyle w:val="fontstyle01"/>
          <w:color w:val="auto"/>
        </w:rPr>
        <w:instrText xml:space="preserve">, </w:instrText>
      </w:r>
      <w:r w:rsidR="00A02E0E">
        <w:rPr>
          <w:rStyle w:val="fontstyle01"/>
          <w:color w:val="auto"/>
          <w:lang w:val="en-US"/>
        </w:rPr>
        <w:instrText>Asthma</w:instrText>
      </w:r>
      <w:r w:rsidR="00A02E0E" w:rsidRPr="00A02E0E">
        <w:rPr>
          <w:rStyle w:val="fontstyle01"/>
          <w:color w:val="auto"/>
        </w:rPr>
        <w:instrText xml:space="preserve"> &amp; </w:instrText>
      </w:r>
      <w:r w:rsidR="00A02E0E">
        <w:rPr>
          <w:rStyle w:val="fontstyle01"/>
          <w:color w:val="auto"/>
          <w:lang w:val="en-US"/>
        </w:rPr>
        <w:instrText>Immunology</w:instrText>
      </w:r>
      <w:r w:rsidR="00A02E0E" w:rsidRPr="00A02E0E">
        <w:rPr>
          <w:rStyle w:val="fontstyle01"/>
          <w:color w:val="auto"/>
        </w:rPr>
        <w:instrText>","</w:instrText>
      </w:r>
      <w:r w:rsidR="00A02E0E">
        <w:rPr>
          <w:rStyle w:val="fontstyle01"/>
          <w:color w:val="auto"/>
          <w:lang w:val="en-US"/>
        </w:rPr>
        <w:instrText>title</w:instrText>
      </w:r>
      <w:r w:rsidR="00A02E0E" w:rsidRPr="00A02E0E">
        <w:rPr>
          <w:rStyle w:val="fontstyle01"/>
          <w:color w:val="auto"/>
        </w:rPr>
        <w:instrText>":"</w:instrText>
      </w:r>
      <w:r w:rsidR="00A02E0E">
        <w:rPr>
          <w:rStyle w:val="fontstyle01"/>
          <w:color w:val="auto"/>
          <w:lang w:val="en-US"/>
        </w:rPr>
        <w:instrText>Clinical</w:instrText>
      </w:r>
      <w:r w:rsidR="00A02E0E" w:rsidRPr="00A02E0E">
        <w:rPr>
          <w:rStyle w:val="fontstyle01"/>
          <w:color w:val="auto"/>
        </w:rPr>
        <w:instrText xml:space="preserve"> </w:instrText>
      </w:r>
      <w:r w:rsidR="00A02E0E">
        <w:rPr>
          <w:rStyle w:val="fontstyle01"/>
          <w:color w:val="auto"/>
          <w:lang w:val="en-US"/>
        </w:rPr>
        <w:instrText>aspects</w:instrText>
      </w:r>
      <w:r w:rsidR="00A02E0E" w:rsidRPr="00A02E0E">
        <w:rPr>
          <w:rStyle w:val="fontstyle01"/>
          <w:color w:val="auto"/>
        </w:rPr>
        <w:instrText xml:space="preserve"> </w:instrText>
      </w:r>
      <w:r w:rsidR="00A02E0E">
        <w:rPr>
          <w:rStyle w:val="fontstyle01"/>
          <w:color w:val="auto"/>
          <w:lang w:val="en-US"/>
        </w:rPr>
        <w:instrText>of</w:instrText>
      </w:r>
      <w:r w:rsidR="00A02E0E" w:rsidRPr="00A02E0E">
        <w:rPr>
          <w:rStyle w:val="fontstyle01"/>
          <w:color w:val="auto"/>
        </w:rPr>
        <w:instrText xml:space="preserve"> </w:instrText>
      </w:r>
      <w:r w:rsidR="00A02E0E">
        <w:rPr>
          <w:rStyle w:val="fontstyle01"/>
          <w:color w:val="auto"/>
          <w:lang w:val="en-US"/>
        </w:rPr>
        <w:instrText>sublingual</w:instrText>
      </w:r>
      <w:r w:rsidR="00A02E0E" w:rsidRPr="00A02E0E">
        <w:rPr>
          <w:rStyle w:val="fontstyle01"/>
          <w:color w:val="auto"/>
        </w:rPr>
        <w:instrText xml:space="preserve"> </w:instrText>
      </w:r>
      <w:r w:rsidR="00A02E0E">
        <w:rPr>
          <w:rStyle w:val="fontstyle01"/>
          <w:color w:val="auto"/>
          <w:lang w:val="en-US"/>
        </w:rPr>
        <w:instrText>immunotherapy</w:instrText>
      </w:r>
      <w:r w:rsidR="00A02E0E" w:rsidRPr="00A02E0E">
        <w:rPr>
          <w:rStyle w:val="fontstyle01"/>
          <w:color w:val="auto"/>
        </w:rPr>
        <w:instrText xml:space="preserve"> </w:instrText>
      </w:r>
      <w:r w:rsidR="00A02E0E">
        <w:rPr>
          <w:rStyle w:val="fontstyle01"/>
          <w:color w:val="auto"/>
          <w:lang w:val="en-US"/>
        </w:rPr>
        <w:instrText>tablets</w:instrText>
      </w:r>
      <w:r w:rsidR="00A02E0E" w:rsidRPr="00A02E0E">
        <w:rPr>
          <w:rStyle w:val="fontstyle01"/>
          <w:color w:val="auto"/>
        </w:rPr>
        <w:instrText xml:space="preserve"> </w:instrText>
      </w:r>
      <w:r w:rsidR="00A02E0E">
        <w:rPr>
          <w:rStyle w:val="fontstyle01"/>
          <w:color w:val="auto"/>
          <w:lang w:val="en-US"/>
        </w:rPr>
        <w:instrText>and</w:instrText>
      </w:r>
      <w:r w:rsidR="00A02E0E" w:rsidRPr="00A02E0E">
        <w:rPr>
          <w:rStyle w:val="fontstyle01"/>
          <w:color w:val="auto"/>
        </w:rPr>
        <w:instrText xml:space="preserve"> </w:instrText>
      </w:r>
      <w:r w:rsidR="00A02E0E">
        <w:rPr>
          <w:rStyle w:val="fontstyle01"/>
          <w:color w:val="auto"/>
          <w:lang w:val="en-US"/>
        </w:rPr>
        <w:instrText>drops</w:instrText>
      </w:r>
      <w:r w:rsidR="00A02E0E" w:rsidRPr="00A02E0E">
        <w:rPr>
          <w:rStyle w:val="fontstyle01"/>
          <w:color w:val="auto"/>
        </w:rPr>
        <w:instrText>","</w:instrText>
      </w:r>
      <w:r w:rsidR="00A02E0E">
        <w:rPr>
          <w:rStyle w:val="fontstyle01"/>
          <w:color w:val="auto"/>
          <w:lang w:val="en-US"/>
        </w:rPr>
        <w:instrText>type</w:instrText>
      </w:r>
      <w:r w:rsidR="00A02E0E" w:rsidRPr="00A02E0E">
        <w:rPr>
          <w:rStyle w:val="fontstyle01"/>
          <w:color w:val="auto"/>
        </w:rPr>
        <w:instrText>":"</w:instrText>
      </w:r>
      <w:r w:rsidR="00A02E0E">
        <w:rPr>
          <w:rStyle w:val="fontstyle01"/>
          <w:color w:val="auto"/>
          <w:lang w:val="en-US"/>
        </w:rPr>
        <w:instrText>article</w:instrText>
      </w:r>
      <w:r w:rsidR="00A02E0E" w:rsidRPr="00A02E0E">
        <w:rPr>
          <w:rStyle w:val="fontstyle01"/>
          <w:color w:val="auto"/>
        </w:rPr>
        <w:instrText>-</w:instrText>
      </w:r>
      <w:r w:rsidR="00A02E0E">
        <w:rPr>
          <w:rStyle w:val="fontstyle01"/>
          <w:color w:val="auto"/>
          <w:lang w:val="en-US"/>
        </w:rPr>
        <w:instrText>journal</w:instrText>
      </w:r>
      <w:r w:rsidR="00A02E0E" w:rsidRPr="00A02E0E">
        <w:rPr>
          <w:rStyle w:val="fontstyle01"/>
          <w:color w:val="auto"/>
        </w:rPr>
        <w:instrText>","</w:instrText>
      </w:r>
      <w:r w:rsidR="00A02E0E">
        <w:rPr>
          <w:rStyle w:val="fontstyle01"/>
          <w:color w:val="auto"/>
          <w:lang w:val="en-US"/>
        </w:rPr>
        <w:instrText>volume</w:instrText>
      </w:r>
      <w:r w:rsidR="00A02E0E" w:rsidRPr="00A02E0E">
        <w:rPr>
          <w:rStyle w:val="fontstyle01"/>
          <w:color w:val="auto"/>
        </w:rPr>
        <w:instrText>":"124"},"</w:instrText>
      </w:r>
      <w:r w:rsidR="00A02E0E">
        <w:rPr>
          <w:rStyle w:val="fontstyle01"/>
          <w:color w:val="auto"/>
          <w:lang w:val="en-US"/>
        </w:rPr>
        <w:instrText>uris</w:instrText>
      </w:r>
      <w:r w:rsidR="00A02E0E" w:rsidRPr="00A02E0E">
        <w:rPr>
          <w:rStyle w:val="fontstyle01"/>
          <w:color w:val="auto"/>
        </w:rPr>
        <w:instrText>":["</w:instrText>
      </w:r>
      <w:r w:rsidR="00A02E0E">
        <w:rPr>
          <w:rStyle w:val="fontstyle01"/>
          <w:color w:val="auto"/>
          <w:lang w:val="en-US"/>
        </w:rPr>
        <w:instrText>http</w:instrText>
      </w:r>
      <w:r w:rsidR="00A02E0E" w:rsidRPr="00A02E0E">
        <w:rPr>
          <w:rStyle w:val="fontstyle01"/>
          <w:color w:val="auto"/>
        </w:rPr>
        <w:instrText>://</w:instrText>
      </w:r>
      <w:r w:rsidR="00A02E0E">
        <w:rPr>
          <w:rStyle w:val="fontstyle01"/>
          <w:color w:val="auto"/>
          <w:lang w:val="en-US"/>
        </w:rPr>
        <w:instrText>www</w:instrText>
      </w:r>
      <w:r w:rsidR="00A02E0E" w:rsidRPr="00A02E0E">
        <w:rPr>
          <w:rStyle w:val="fontstyle01"/>
          <w:color w:val="auto"/>
        </w:rPr>
        <w:instrText>.</w:instrText>
      </w:r>
      <w:r w:rsidR="00A02E0E">
        <w:rPr>
          <w:rStyle w:val="fontstyle01"/>
          <w:color w:val="auto"/>
          <w:lang w:val="en-US"/>
        </w:rPr>
        <w:instrText>mendeley</w:instrText>
      </w:r>
      <w:r w:rsidR="00A02E0E" w:rsidRPr="00A02E0E">
        <w:rPr>
          <w:rStyle w:val="fontstyle01"/>
          <w:color w:val="auto"/>
        </w:rPr>
        <w:instrText>.</w:instrText>
      </w:r>
      <w:r w:rsidR="00A02E0E">
        <w:rPr>
          <w:rStyle w:val="fontstyle01"/>
          <w:color w:val="auto"/>
          <w:lang w:val="en-US"/>
        </w:rPr>
        <w:instrText>com</w:instrText>
      </w:r>
      <w:r w:rsidR="00A02E0E" w:rsidRPr="00A02E0E">
        <w:rPr>
          <w:rStyle w:val="fontstyle01"/>
          <w:color w:val="auto"/>
        </w:rPr>
        <w:instrText>/</w:instrText>
      </w:r>
      <w:r w:rsidR="00A02E0E">
        <w:rPr>
          <w:rStyle w:val="fontstyle01"/>
          <w:color w:val="auto"/>
          <w:lang w:val="en-US"/>
        </w:rPr>
        <w:instrText>documents</w:instrText>
      </w:r>
      <w:r w:rsidR="00A02E0E" w:rsidRPr="00A02E0E">
        <w:rPr>
          <w:rStyle w:val="fontstyle01"/>
          <w:color w:val="auto"/>
        </w:rPr>
        <w:instrText>/?</w:instrText>
      </w:r>
      <w:r w:rsidR="00A02E0E">
        <w:rPr>
          <w:rStyle w:val="fontstyle01"/>
          <w:color w:val="auto"/>
          <w:lang w:val="en-US"/>
        </w:rPr>
        <w:instrText>uuid</w:instrText>
      </w:r>
      <w:r w:rsidR="00A02E0E" w:rsidRPr="00A02E0E">
        <w:rPr>
          <w:rStyle w:val="fontstyle01"/>
          <w:color w:val="auto"/>
        </w:rPr>
        <w:instrText>=9</w:instrText>
      </w:r>
      <w:r w:rsidR="00A02E0E">
        <w:rPr>
          <w:rStyle w:val="fontstyle01"/>
          <w:color w:val="auto"/>
          <w:lang w:val="en-US"/>
        </w:rPr>
        <w:instrText>a</w:instrText>
      </w:r>
      <w:r w:rsidR="00A02E0E" w:rsidRPr="00A02E0E">
        <w:rPr>
          <w:rStyle w:val="fontstyle01"/>
          <w:color w:val="auto"/>
        </w:rPr>
        <w:instrText>385</w:instrText>
      </w:r>
      <w:r w:rsidR="00A02E0E">
        <w:rPr>
          <w:rStyle w:val="fontstyle01"/>
          <w:color w:val="auto"/>
          <w:lang w:val="en-US"/>
        </w:rPr>
        <w:instrText>bfd</w:instrText>
      </w:r>
      <w:r w:rsidR="00A02E0E" w:rsidRPr="00A02E0E">
        <w:rPr>
          <w:rStyle w:val="fontstyle01"/>
          <w:color w:val="auto"/>
        </w:rPr>
        <w:instrText>-6572-4</w:instrText>
      </w:r>
      <w:r w:rsidR="00A02E0E">
        <w:rPr>
          <w:rStyle w:val="fontstyle01"/>
          <w:color w:val="auto"/>
          <w:lang w:val="en-US"/>
        </w:rPr>
        <w:instrText>c</w:instrText>
      </w:r>
      <w:r w:rsidR="00A02E0E" w:rsidRPr="00A02E0E">
        <w:rPr>
          <w:rStyle w:val="fontstyle01"/>
          <w:color w:val="auto"/>
        </w:rPr>
        <w:instrText>09-9642-674</w:instrText>
      </w:r>
      <w:r w:rsidR="00A02E0E">
        <w:rPr>
          <w:rStyle w:val="fontstyle01"/>
          <w:color w:val="auto"/>
          <w:lang w:val="en-US"/>
        </w:rPr>
        <w:instrText>ddc</w:instrText>
      </w:r>
      <w:r w:rsidR="00A02E0E" w:rsidRPr="00A02E0E">
        <w:rPr>
          <w:rStyle w:val="fontstyle01"/>
          <w:color w:val="auto"/>
        </w:rPr>
        <w:instrText>10</w:instrText>
      </w:r>
      <w:r w:rsidR="00A02E0E">
        <w:rPr>
          <w:rStyle w:val="fontstyle01"/>
          <w:color w:val="auto"/>
          <w:lang w:val="en-US"/>
        </w:rPr>
        <w:instrText>eca</w:instrText>
      </w:r>
      <w:r w:rsidR="00A02E0E" w:rsidRPr="00A02E0E">
        <w:rPr>
          <w:rStyle w:val="fontstyle01"/>
          <w:color w:val="auto"/>
        </w:rPr>
        <w:instrText>1"]},{"</w:instrText>
      </w:r>
      <w:r w:rsidR="00A02E0E">
        <w:rPr>
          <w:rStyle w:val="fontstyle01"/>
          <w:color w:val="auto"/>
          <w:lang w:val="en-US"/>
        </w:rPr>
        <w:instrText>id</w:instrText>
      </w:r>
      <w:r w:rsidR="00A02E0E" w:rsidRPr="00A02E0E">
        <w:rPr>
          <w:rStyle w:val="fontstyle01"/>
          <w:color w:val="auto"/>
        </w:rPr>
        <w:instrText>":"</w:instrText>
      </w:r>
      <w:r w:rsidR="00A02E0E">
        <w:rPr>
          <w:rStyle w:val="fontstyle01"/>
          <w:color w:val="auto"/>
          <w:lang w:val="en-US"/>
        </w:rPr>
        <w:instrText>ITEM</w:instrText>
      </w:r>
      <w:r w:rsidR="00A02E0E" w:rsidRPr="00A02E0E">
        <w:rPr>
          <w:rStyle w:val="fontstyle01"/>
          <w:color w:val="auto"/>
        </w:rPr>
        <w:instrText>-2","</w:instrText>
      </w:r>
      <w:r w:rsidR="00A02E0E">
        <w:rPr>
          <w:rStyle w:val="fontstyle01"/>
          <w:color w:val="auto"/>
          <w:lang w:val="en-US"/>
        </w:rPr>
        <w:instrText>itemData</w:instrText>
      </w:r>
      <w:r w:rsidR="00A02E0E" w:rsidRPr="00A02E0E">
        <w:rPr>
          <w:rStyle w:val="fontstyle01"/>
          <w:color w:val="auto"/>
        </w:rPr>
        <w:instrText>":{"</w:instrText>
      </w:r>
      <w:r w:rsidR="00A02E0E">
        <w:rPr>
          <w:rStyle w:val="fontstyle01"/>
          <w:color w:val="auto"/>
          <w:lang w:val="en-US"/>
        </w:rPr>
        <w:instrText>DOI</w:instrText>
      </w:r>
      <w:r w:rsidR="00A02E0E" w:rsidRPr="00A02E0E">
        <w:rPr>
          <w:rStyle w:val="fontstyle01"/>
          <w:color w:val="auto"/>
        </w:rPr>
        <w:instrText>":"10.1111/</w:instrText>
      </w:r>
      <w:r w:rsidR="00A02E0E">
        <w:rPr>
          <w:rStyle w:val="fontstyle01"/>
          <w:color w:val="auto"/>
          <w:lang w:val="en-US"/>
        </w:rPr>
        <w:instrText>j</w:instrText>
      </w:r>
      <w:r w:rsidR="00A02E0E" w:rsidRPr="00A02E0E">
        <w:rPr>
          <w:rStyle w:val="fontstyle01"/>
          <w:color w:val="auto"/>
        </w:rPr>
        <w:instrText>.1398-9995.2011.02761.</w:instrText>
      </w:r>
      <w:r w:rsidR="00A02E0E">
        <w:rPr>
          <w:rStyle w:val="fontstyle01"/>
          <w:color w:val="auto"/>
          <w:lang w:val="en-US"/>
        </w:rPr>
        <w:instrText>x</w:instrText>
      </w:r>
      <w:r w:rsidR="00A02E0E" w:rsidRPr="00A02E0E">
        <w:rPr>
          <w:rStyle w:val="fontstyle01"/>
          <w:color w:val="auto"/>
        </w:rPr>
        <w:instrText>","</w:instrText>
      </w:r>
      <w:r w:rsidR="00A02E0E">
        <w:rPr>
          <w:rStyle w:val="fontstyle01"/>
          <w:color w:val="auto"/>
          <w:lang w:val="en-US"/>
        </w:rPr>
        <w:instrText>ISSN</w:instrText>
      </w:r>
      <w:r w:rsidR="00A02E0E" w:rsidRPr="00A02E0E">
        <w:rPr>
          <w:rStyle w:val="fontstyle01"/>
          <w:color w:val="auto"/>
        </w:rPr>
        <w:instrText>":"01054538","</w:instrText>
      </w:r>
      <w:r w:rsidR="00A02E0E">
        <w:rPr>
          <w:rStyle w:val="fontstyle01"/>
          <w:color w:val="auto"/>
          <w:lang w:val="en-US"/>
        </w:rPr>
        <w:instrText>PMID</w:instrText>
      </w:r>
      <w:r w:rsidR="00A02E0E" w:rsidRPr="00A02E0E">
        <w:rPr>
          <w:rStyle w:val="fontstyle01"/>
          <w:color w:val="auto"/>
        </w:rPr>
        <w:instrText>":"22150126","</w:instrText>
      </w:r>
      <w:r w:rsidR="00A02E0E">
        <w:rPr>
          <w:rStyle w:val="fontstyle01"/>
          <w:color w:val="auto"/>
          <w:lang w:val="en-US"/>
        </w:rPr>
        <w:instrText>abstract</w:instrText>
      </w:r>
      <w:r w:rsidR="00A02E0E" w:rsidRPr="00A02E0E">
        <w:rPr>
          <w:rStyle w:val="fontstyle01"/>
          <w:color w:val="auto"/>
        </w:rPr>
        <w:instrText>":"</w:instrText>
      </w:r>
      <w:r w:rsidR="00A02E0E">
        <w:rPr>
          <w:rStyle w:val="fontstyle01"/>
          <w:color w:val="auto"/>
          <w:lang w:val="en-US"/>
        </w:rPr>
        <w:instrText>Allergen</w:instrText>
      </w:r>
      <w:r w:rsidR="00A02E0E" w:rsidRPr="00A02E0E">
        <w:rPr>
          <w:rStyle w:val="fontstyle01"/>
          <w:color w:val="auto"/>
        </w:rPr>
        <w:instrText xml:space="preserve"> </w:instrText>
      </w:r>
      <w:r w:rsidR="00A02E0E">
        <w:rPr>
          <w:rStyle w:val="fontstyle01"/>
          <w:color w:val="auto"/>
          <w:lang w:val="en-US"/>
        </w:rPr>
        <w:instrText>immunotherapy</w:instrText>
      </w:r>
      <w:r w:rsidR="00A02E0E" w:rsidRPr="00A02E0E">
        <w:rPr>
          <w:rStyle w:val="fontstyle01"/>
          <w:color w:val="auto"/>
        </w:rPr>
        <w:instrText xml:space="preserve"> </w:instrText>
      </w:r>
      <w:r w:rsidR="00A02E0E">
        <w:rPr>
          <w:rStyle w:val="fontstyle01"/>
          <w:color w:val="auto"/>
          <w:lang w:val="en-US"/>
        </w:rPr>
        <w:instrText>reorients</w:instrText>
      </w:r>
      <w:r w:rsidR="00A02E0E" w:rsidRPr="00A02E0E">
        <w:rPr>
          <w:rStyle w:val="fontstyle01"/>
          <w:color w:val="auto"/>
        </w:rPr>
        <w:instrText xml:space="preserve"> </w:instrText>
      </w:r>
      <w:r w:rsidR="00A02E0E">
        <w:rPr>
          <w:rStyle w:val="fontstyle01"/>
          <w:color w:val="auto"/>
          <w:lang w:val="en-US"/>
        </w:rPr>
        <w:instrText>inappropriate</w:instrText>
      </w:r>
      <w:r w:rsidR="00A02E0E" w:rsidRPr="00A02E0E">
        <w:rPr>
          <w:rStyle w:val="fontstyle01"/>
          <w:color w:val="auto"/>
        </w:rPr>
        <w:instrText xml:space="preserve"> </w:instrText>
      </w:r>
      <w:r w:rsidR="00A02E0E">
        <w:rPr>
          <w:rStyle w:val="fontstyle01"/>
          <w:color w:val="auto"/>
          <w:lang w:val="en-US"/>
        </w:rPr>
        <w:instrText>immune</w:instrText>
      </w:r>
      <w:r w:rsidR="00A02E0E" w:rsidRPr="00A02E0E">
        <w:rPr>
          <w:rStyle w:val="fontstyle01"/>
          <w:color w:val="auto"/>
        </w:rPr>
        <w:instrText xml:space="preserve"> </w:instrText>
      </w:r>
      <w:r w:rsidR="00A02E0E">
        <w:rPr>
          <w:rStyle w:val="fontstyle01"/>
          <w:color w:val="auto"/>
          <w:lang w:val="en-US"/>
        </w:rPr>
        <w:instrText>responses</w:instrText>
      </w:r>
      <w:r w:rsidR="00A02E0E" w:rsidRPr="00A02E0E">
        <w:rPr>
          <w:rStyle w:val="fontstyle01"/>
          <w:color w:val="auto"/>
        </w:rPr>
        <w:instrText xml:space="preserve"> </w:instrText>
      </w:r>
      <w:r w:rsidR="00A02E0E">
        <w:rPr>
          <w:rStyle w:val="fontstyle01"/>
          <w:color w:val="auto"/>
          <w:lang w:val="en-US"/>
        </w:rPr>
        <w:instrText>in</w:instrText>
      </w:r>
      <w:r w:rsidR="00A02E0E" w:rsidRPr="00A02E0E">
        <w:rPr>
          <w:rStyle w:val="fontstyle01"/>
          <w:color w:val="auto"/>
        </w:rPr>
        <w:instrText xml:space="preserve"> </w:instrText>
      </w:r>
      <w:r w:rsidR="00A02E0E">
        <w:rPr>
          <w:rStyle w:val="fontstyle01"/>
          <w:color w:val="auto"/>
          <w:lang w:val="en-US"/>
        </w:rPr>
        <w:instrText>allergic</w:instrText>
      </w:r>
      <w:r w:rsidR="00A02E0E" w:rsidRPr="00A02E0E">
        <w:rPr>
          <w:rStyle w:val="fontstyle01"/>
          <w:color w:val="auto"/>
        </w:rPr>
        <w:instrText xml:space="preserve"> </w:instrText>
      </w:r>
      <w:r w:rsidR="00A02E0E">
        <w:rPr>
          <w:rStyle w:val="fontstyle01"/>
          <w:color w:val="auto"/>
          <w:lang w:val="en-US"/>
        </w:rPr>
        <w:instrText>patients. Sublingual allergen immunotherapy (SLIT) has been approved, notably in the European Union, as an effective alternative to subcutaneous allergen immunotherapy (SCIT) for allergic rhinitis patients. Compared with SCIT, SLIT has a better safety profile. This is possibly because oral antigen-presenting cells (mostly Langerhans and myeloid dendritic cells) exhibit a tolerogenic phenotype, despite constant exposure to danger signals from food and microbes. This reduces the induction of pro-inflammatory immune responses leading to systemic allergic reactions. Oral tissues contain relatively few mast cells and eosinophils (mostly located in submucosal areas) and, in comparison with subcutaneous tissue, are less likely to give rise to anaphylactic reactions. SLIT-associated immune responses include the induction of circulating, allergen-specific Th1 and regulatory CD4+ T cells, leading to clinical tolerance. Although 40-75% of patients receiving SLIT experience mild, transient local reactions in the oral mucosa, these primary reactions rarely necessitate dose reduction or treatment interruption. We discuss 11 published case reports of anaphylaxis (all nonfatal) diagnosed according to the World Allergy Organization criteria and relate this figure to the approximately 1 billion SLIT doses administered worldwide since 2000. Anaphylaxis risk factors associated with SCIT and/or SLIT should be characterized further. © 2011 John Wiley &amp; Sons A/S.","author":[{"dropping-particle":"","family":"Calderõn","given":"M. A.","non-dropping-particle":"","parse-names":false,"suffix":""},{"dropping-particle":"","family":"Simons","given":"F. E.R.","non-dropping-particle":"","parse-names":false,"suffix":""},{"dropping-particle":"","family":"Malling","given":"H. J.","non-dropping-particle":"","parse-names":false,"suffix":""},{"dropping-particle":"","family":"Lockey","given":"R. F.","non-dropping-particle":"","parse-names":false,"suffix":""},{"dropping-particle":"","family":"Moingeon","given":"P.","non-dropping-particle":"","parse-names":false,"suffix":""},{"dropping-particle":"","family":"Demoly","given":"P.","non-dropping-particle":"","parse-names":false,"suffix":""}],"container-title":"Allergy: European Journal of Allergy and Clinical Immunology","id":"ITEM-2","issue":"3","issued":{"date-parts":[["2012"]]},"page":"302-311","title":"Sublingual allergen immunotherapy: Mode of action and its relationship with the safety profile","type":"article","volume":"67"},"uris":["http://www.mendeley.com/documents/?uuid=03860434-345e-4502-880c-a695ee32500e"]},{"id":"ITEM-3","itemData":{"DOI":"10.1186/1939-4551-7-6","ISSN":"19394551","abstract":"We have prepared this document, \"Sublingual Immunotherapy: World Allergy Organization Position Paper 2013 Update\", according to the evidence-based criteria, revising and updating chapters of the originally published paper, \"Sublingual Immunotherapy: World Allergy Organization Position Paper 2009\", available at. Namely, these comprise: \"Mechanisms of sublingual immunotherapy;\" \"Clinical efficacy of sublingual immunotherapy\" - reporting all the data of all controlled trials published after 2009; \"Safety of sublingual immunotherapy\" - with the recently published Grading System for adverse reactions; \"Impact of sublingual immunotherapy on the natural history of respiratory allergy\" - with the relevant evidences published since 2009; \"Efficacy of SLIT in children\" - with detailed analysis of all the studies; \"Definition of SLIT patient selection\" - reporting the criteria for eligibility to sublingual immunotherapy; \"The future of immunotherapy in the community care setting\"; \"Methodology of clinical trials according to the current scientific and regulatory standards\"; and \"Guideline development: from evidence-based medicine to patients' views\" - including the evolution of the methods to make clinical recommendations. Additionally, we have added new chapters to cover a few emerging crucial topics: \"Practical aspects of schedules and dosages and counseling for adherence\" - which is crucial in clinical practice for all treatments; \"Perspectives and new approaches\" - including recombinant allergens, adjuvants, modified allergens, and the concept of validity of the single products. Furthermore, \"Raising public awareness about sublingual immunotherapy\", as a need for our patients, and strategies to increase awareness of allergen immunotherapy (AIT) among patients, the medical community, all healthcare stakeholders, and public opinion, are also reported in detail.","author":[{"dropping-particle":"","family":"Canonica","given":"Giorgio Walter","non-dropping-particle":"","parse-names":false,"suffix":""},{"dropping-particle":"","family":"Cox","given":"Linda","non-dropping-particle":"","parse-names":false,"suffix":""},{"dropping-particle":"","family":"Pawankar","given":"Ruby","non-dropping-particle":"","parse-names":false,"suffix":""},{"dropping-particle":"","family":"Baena-Cagnani","given":"Carlos E.","non-dropping-particle":"","parse-names":false,"suffix":""},{"dropping-particle":"","family":"Blaiss","given":"Michael","non-dropping-particle":"","parse-names":false,"suffix":""},{"dropping-particle":"","family":"Bonini","given":"Sergio","non-dropping-particle":"","parse-names":false,"suffix":""},{"dropping-particle":"","family":"Bousquet","given":"Jean","non-dropping-particle":"","parse-names":false,"suffix":""},{"dropping-particle":"","family":"Calderón","given":"Moises","non-dropping-particle":"","parse-names":false,"suffix":""},{"dropping-particle":"","family":"Compalati","given":"Enrico","non-dropping-particle":"","parse-names":false,"suffix":""},{"dropping-particle":"","family":"Durham","given":"Stephen R.","non-dropping-particle":"","parse-names":false,"suffix":""},{"dropping-particle":"","family":"Wijk","given":"Roy Gerth","non-dropping-particle":"Van","parse-names":false,"suffix":""},{"dropping-particle":"","family":"Larenas-Linnemann","given":"Désirée","non-dropping-particle":"","parse-names":false,"suffix":""},{"dropping-particle":"","family":"Nelson","given":"Harold","non-dropping-particle":"","parse-names":false,"suffix":""},{"dropping-particle":"","family":"Passalacqua","given":"Giovanni","non-dropping-particle":"","parse-names":false,"suffix":""},{"dropping-particle":"","family":"Pfaar","given":"Oliver","non-dropping-particle":"","parse-names":false,"suffix":""},{"dropping-particle":"","family":"Rosário","given":"Nelson","non-dropping-particle":"","parse-names":false,"suffix":""},{"dropping-particle":"","family":"Ryan","given":"Dermot","non-dropping-particle":"","parse-names":false,"suffix":""},{"dropping-particle":"","family":"Rosenwasser","given":"Lanny","non-dropping-particle":"","parse-names":false,"suffix":""},{"dropping-particle":"","family":"Schmid-Grendelmeier","given":"Peter","non-dropping-particle":"","parse-names":false,"suffix":""},{"dropping-particle":"","family":"Senna","given":"Gianenrico","non-dropping-particle":"","parse-names":false,"suffix":""},{"dropping-particle":"","family":"Valovirta","given":"Erkka","non-dropping-particle":"","parse-names":false,"suffix":""},{"dropping-particle":"","family":"Bever","given":"Hugo","non-dropping-particle":"Van","parse-names":false,"suffix":""},{"dropping-particle":"","family":"Vichyanond","given":"Pakit","non-dropping-particle":"","parse-names":false,"suffix":""},{"dropping-particle":"","family":"Wahn","given":"Ulrich","non-dropping-particle":"","parse-names":false,"suffix":""},{"dropping-particle":"","family":"Yusuf","given":"Osman","non-dropping-particle":"","parse-names":false,"suffix":""}],"container-title":"World Allergy Organization Journal","id":"ITEM-3","issue":"1","issued":{"date-parts":[["2014"]]},"note":"From Duplicate 2 (Sublingual immunotherapy: World Allergy Organization position paper 2013 update - Canonica, Giorgio Walter; Cox, Linda; Pawankar, Ruby; Baena-Cagnani, Carlos E.; Blaiss, Michael; Bonini, Sergio; Bousquet, Jean; Calderón, Moises; Compalati, Enrico; Durham, Stephen R.; Van Wijk, Roy Gerth; Larenas-Linnemann, Désirée; Nelson, Harold; Passalacqua, Giovanni; Pfaar, Oliver; Rosário, Nelson; Ryan, Dermot; Rosenwasser, Lanny; Schmid-Grendelmeier, Peter; Senna, Gianenrico; Valovirta, Erkka; Van Bever, Hugo; Vichyanond, Pakit; Wahn, Ulrich; Yusuf, Osman)\n\nBiomarkers","title":"Sublingual immunotherapy: World Allergy Organization position paper 2013 update","type":"article-journal","volume":"7"},"uris":["http://www.mendeley.com/documents/?uuid=9046e1a1-88eb-4b17-b246-73d0541321b5"]},{"id":"ITEM-4","itemData":{"DOI":"10.5604/12321966.1196851","ISSN":"18982263","PMID":"27012173","abstract":"SLIT (sublingual immunotherapy,) induces allergen-specific immune tolerance by sublingual administration of a gradually increasing dose of an allergen. The mechanism of SLIT is comparable to those during SCIT (subcutaneous immunotherapy), with the exception of local oral dendritic cells, pre-programmed to elicit tolerance. In the SLIT dose, to achieve the same efficacy as in SCIT, it should be 50-100 times higher with better safety profile. The highest quality evidence supporting the efficacy of SLIT lasting 1-3 years has been provided by the large scale double-blind, placebo-controlled (DBPC) trials for grass pollen extracts, both in children and adults with allergic rhinitis. Current indications for SLIT are allergic rhinitis (and conjunctivitis) in both children and adults sensitized to pollen allergens (trees, grass, Parietaria), house dust mites (Dermatophagoides pteronyssinus, Dermatophagoides farinae), cat fur, as well as mild to moderate controlled atopic asthma in children sensitized to house dust mites. There are positive findings for both asthma and new sensitization prevention. Severe adverse events, including anaphylaxis, are very rare, and no fatalities have been reported. Local adverse reactions develop in up to 70-80% of patients. Risk factors for SLIT adverse events have not been clearly identified. Risk factors of non-adherence to treatment might be dependent on the patient, disease treatment, physician-patient relationship, and variables in the health care system organization.","author":[{"dropping-particle":"","family":"Jutel","given":"Marek","non-dropping-particle":"","parse-names":false,"suffix":""},{"dropping-particle":"","family":"Bartkowiak-Emeryk","given":"Małgorzata","non-dropping-particle":"","parse-names":false,"suffix":""},{"dropping-particle":"","family":"Bręborowicz","given":"Anna","non-dropping-particle":"","parse-names":false,"suffix":""},{"dropping-particle":"","family":"Cichocka-Jarosz","given":"Ewa</w:instrText>
      </w:r>
      <w:r w:rsidR="00A02E0E" w:rsidRPr="00A02E0E">
        <w:rPr>
          <w:rStyle w:val="fontstyle01"/>
          <w:color w:val="auto"/>
        </w:rPr>
        <w:instrText>","</w:instrText>
      </w:r>
      <w:r w:rsidR="00A02E0E">
        <w:rPr>
          <w:rStyle w:val="fontstyle01"/>
          <w:color w:val="auto"/>
          <w:lang w:val="en-US"/>
        </w:rPr>
        <w:instrText>non</w:instrText>
      </w:r>
      <w:r w:rsidR="00A02E0E" w:rsidRPr="00A02E0E">
        <w:rPr>
          <w:rStyle w:val="fontstyle01"/>
          <w:color w:val="auto"/>
        </w:rPr>
        <w:instrText>-</w:instrText>
      </w:r>
      <w:r w:rsidR="00A02E0E">
        <w:rPr>
          <w:rStyle w:val="fontstyle01"/>
          <w:color w:val="auto"/>
          <w:lang w:val="en-US"/>
        </w:rPr>
        <w:instrText>dropping</w:instrText>
      </w:r>
      <w:r w:rsidR="00A02E0E" w:rsidRPr="00A02E0E">
        <w:rPr>
          <w:rStyle w:val="fontstyle01"/>
          <w:color w:val="auto"/>
        </w:rPr>
        <w:instrText>-</w:instrText>
      </w:r>
      <w:r w:rsidR="00A02E0E">
        <w:rPr>
          <w:rStyle w:val="fontstyle01"/>
          <w:color w:val="auto"/>
          <w:lang w:val="en-US"/>
        </w:rPr>
        <w:instrText>particle</w:instrText>
      </w:r>
      <w:r w:rsidR="00A02E0E" w:rsidRPr="00A02E0E">
        <w:rPr>
          <w:rStyle w:val="fontstyle01"/>
          <w:color w:val="auto"/>
        </w:rPr>
        <w:instrText>":"","</w:instrText>
      </w:r>
      <w:r w:rsidR="00A02E0E">
        <w:rPr>
          <w:rStyle w:val="fontstyle01"/>
          <w:color w:val="auto"/>
          <w:lang w:val="en-US"/>
        </w:rPr>
        <w:instrText>parse</w:instrText>
      </w:r>
      <w:r w:rsidR="00A02E0E" w:rsidRPr="00A02E0E">
        <w:rPr>
          <w:rStyle w:val="fontstyle01"/>
          <w:color w:val="auto"/>
        </w:rPr>
        <w:instrText>-</w:instrText>
      </w:r>
      <w:r w:rsidR="00A02E0E">
        <w:rPr>
          <w:rStyle w:val="fontstyle01"/>
          <w:color w:val="auto"/>
          <w:lang w:val="en-US"/>
        </w:rPr>
        <w:instrText>names</w:instrText>
      </w:r>
      <w:r w:rsidR="00A02E0E" w:rsidRPr="00A02E0E">
        <w:rPr>
          <w:rStyle w:val="fontstyle01"/>
          <w:color w:val="auto"/>
        </w:rPr>
        <w:instrText>":</w:instrText>
      </w:r>
      <w:r w:rsidR="00A02E0E">
        <w:rPr>
          <w:rStyle w:val="fontstyle01"/>
          <w:color w:val="auto"/>
          <w:lang w:val="en-US"/>
        </w:rPr>
        <w:instrText>false</w:instrText>
      </w:r>
      <w:r w:rsidR="00A02E0E" w:rsidRPr="00A02E0E">
        <w:rPr>
          <w:rStyle w:val="fontstyle01"/>
          <w:color w:val="auto"/>
        </w:rPr>
        <w:instrText>,"</w:instrText>
      </w:r>
      <w:r w:rsidR="00A02E0E">
        <w:rPr>
          <w:rStyle w:val="fontstyle01"/>
          <w:color w:val="auto"/>
          <w:lang w:val="en-US"/>
        </w:rPr>
        <w:instrText>suffix</w:instrText>
      </w:r>
      <w:r w:rsidR="00A02E0E" w:rsidRPr="00A02E0E">
        <w:rPr>
          <w:rStyle w:val="fontstyle01"/>
          <w:color w:val="auto"/>
        </w:rPr>
        <w:instrText>":""},{"</w:instrText>
      </w:r>
      <w:r w:rsidR="00A02E0E">
        <w:rPr>
          <w:rStyle w:val="fontstyle01"/>
          <w:color w:val="auto"/>
          <w:lang w:val="en-US"/>
        </w:rPr>
        <w:instrText>dropping</w:instrText>
      </w:r>
      <w:r w:rsidR="00A02E0E" w:rsidRPr="00A02E0E">
        <w:rPr>
          <w:rStyle w:val="fontstyle01"/>
          <w:color w:val="auto"/>
        </w:rPr>
        <w:instrText>-</w:instrText>
      </w:r>
      <w:r w:rsidR="00A02E0E">
        <w:rPr>
          <w:rStyle w:val="fontstyle01"/>
          <w:color w:val="auto"/>
          <w:lang w:val="en-US"/>
        </w:rPr>
        <w:instrText>particle</w:instrText>
      </w:r>
      <w:r w:rsidR="00A02E0E" w:rsidRPr="00A02E0E">
        <w:rPr>
          <w:rStyle w:val="fontstyle01"/>
          <w:color w:val="auto"/>
        </w:rPr>
        <w:instrText>":"","</w:instrText>
      </w:r>
      <w:r w:rsidR="00A02E0E">
        <w:rPr>
          <w:rStyle w:val="fontstyle01"/>
          <w:color w:val="auto"/>
          <w:lang w:val="en-US"/>
        </w:rPr>
        <w:instrText>family</w:instrText>
      </w:r>
      <w:r w:rsidR="00A02E0E" w:rsidRPr="00A02E0E">
        <w:rPr>
          <w:rStyle w:val="fontstyle01"/>
          <w:color w:val="auto"/>
        </w:rPr>
        <w:instrText>":"</w:instrText>
      </w:r>
      <w:r w:rsidR="00A02E0E">
        <w:rPr>
          <w:rStyle w:val="fontstyle01"/>
          <w:color w:val="auto"/>
          <w:lang w:val="en-US"/>
        </w:rPr>
        <w:instrText>Emeryk</w:instrText>
      </w:r>
      <w:r w:rsidR="00A02E0E" w:rsidRPr="00A02E0E">
        <w:rPr>
          <w:rStyle w:val="fontstyle01"/>
          <w:color w:val="auto"/>
        </w:rPr>
        <w:instrText>","</w:instrText>
      </w:r>
      <w:r w:rsidR="00A02E0E">
        <w:rPr>
          <w:rStyle w:val="fontstyle01"/>
          <w:color w:val="auto"/>
          <w:lang w:val="en-US"/>
        </w:rPr>
        <w:instrText>given</w:instrText>
      </w:r>
      <w:r w:rsidR="00A02E0E" w:rsidRPr="00A02E0E">
        <w:rPr>
          <w:rStyle w:val="fontstyle01"/>
          <w:color w:val="auto"/>
        </w:rPr>
        <w:instrText>":"</w:instrText>
      </w:r>
      <w:r w:rsidR="00A02E0E">
        <w:rPr>
          <w:rStyle w:val="fontstyle01"/>
          <w:color w:val="auto"/>
          <w:lang w:val="en-US"/>
        </w:rPr>
        <w:instrText>Andrzej</w:instrText>
      </w:r>
      <w:r w:rsidR="00A02E0E" w:rsidRPr="00A02E0E">
        <w:rPr>
          <w:rStyle w:val="fontstyle01"/>
          <w:color w:val="auto"/>
        </w:rPr>
        <w:instrText>","</w:instrText>
      </w:r>
      <w:r w:rsidR="00A02E0E">
        <w:rPr>
          <w:rStyle w:val="fontstyle01"/>
          <w:color w:val="auto"/>
          <w:lang w:val="en-US"/>
        </w:rPr>
        <w:instrText>non</w:instrText>
      </w:r>
      <w:r w:rsidR="00A02E0E" w:rsidRPr="00A02E0E">
        <w:rPr>
          <w:rStyle w:val="fontstyle01"/>
          <w:color w:val="auto"/>
        </w:rPr>
        <w:instrText>-</w:instrText>
      </w:r>
      <w:r w:rsidR="00A02E0E">
        <w:rPr>
          <w:rStyle w:val="fontstyle01"/>
          <w:color w:val="auto"/>
          <w:lang w:val="en-US"/>
        </w:rPr>
        <w:instrText>dropping</w:instrText>
      </w:r>
      <w:r w:rsidR="00A02E0E" w:rsidRPr="00A02E0E">
        <w:rPr>
          <w:rStyle w:val="fontstyle01"/>
          <w:color w:val="auto"/>
        </w:rPr>
        <w:instrText>-</w:instrText>
      </w:r>
      <w:r w:rsidR="00A02E0E">
        <w:rPr>
          <w:rStyle w:val="fontstyle01"/>
          <w:color w:val="auto"/>
          <w:lang w:val="en-US"/>
        </w:rPr>
        <w:instrText>particle</w:instrText>
      </w:r>
      <w:r w:rsidR="00A02E0E" w:rsidRPr="00A02E0E">
        <w:rPr>
          <w:rStyle w:val="fontstyle01"/>
          <w:color w:val="auto"/>
        </w:rPr>
        <w:instrText>":"","</w:instrText>
      </w:r>
      <w:r w:rsidR="00A02E0E">
        <w:rPr>
          <w:rStyle w:val="fontstyle01"/>
          <w:color w:val="auto"/>
          <w:lang w:val="en-US"/>
        </w:rPr>
        <w:instrText>parse</w:instrText>
      </w:r>
      <w:r w:rsidR="00A02E0E" w:rsidRPr="00A02E0E">
        <w:rPr>
          <w:rStyle w:val="fontstyle01"/>
          <w:color w:val="auto"/>
        </w:rPr>
        <w:instrText>-</w:instrText>
      </w:r>
      <w:r w:rsidR="00A02E0E">
        <w:rPr>
          <w:rStyle w:val="fontstyle01"/>
          <w:color w:val="auto"/>
          <w:lang w:val="en-US"/>
        </w:rPr>
        <w:instrText>names</w:instrText>
      </w:r>
      <w:r w:rsidR="00A02E0E" w:rsidRPr="00A02E0E">
        <w:rPr>
          <w:rStyle w:val="fontstyle01"/>
          <w:color w:val="auto"/>
        </w:rPr>
        <w:instrText>":</w:instrText>
      </w:r>
      <w:r w:rsidR="00A02E0E">
        <w:rPr>
          <w:rStyle w:val="fontstyle01"/>
          <w:color w:val="auto"/>
          <w:lang w:val="en-US"/>
        </w:rPr>
        <w:instrText>false</w:instrText>
      </w:r>
      <w:r w:rsidR="00A02E0E" w:rsidRPr="00A02E0E">
        <w:rPr>
          <w:rStyle w:val="fontstyle01"/>
          <w:color w:val="auto"/>
        </w:rPr>
        <w:instrText>,"</w:instrText>
      </w:r>
      <w:r w:rsidR="00A02E0E">
        <w:rPr>
          <w:rStyle w:val="fontstyle01"/>
          <w:color w:val="auto"/>
          <w:lang w:val="en-US"/>
        </w:rPr>
        <w:instrText>suffix</w:instrText>
      </w:r>
      <w:r w:rsidR="00A02E0E" w:rsidRPr="00A02E0E">
        <w:rPr>
          <w:rStyle w:val="fontstyle01"/>
          <w:color w:val="auto"/>
        </w:rPr>
        <w:instrText>":""},{"</w:instrText>
      </w:r>
      <w:r w:rsidR="00A02E0E">
        <w:rPr>
          <w:rStyle w:val="fontstyle01"/>
          <w:color w:val="auto"/>
          <w:lang w:val="en-US"/>
        </w:rPr>
        <w:instrText>dropping</w:instrText>
      </w:r>
      <w:r w:rsidR="00A02E0E" w:rsidRPr="00A02E0E">
        <w:rPr>
          <w:rStyle w:val="fontstyle01"/>
          <w:color w:val="auto"/>
        </w:rPr>
        <w:instrText>-</w:instrText>
      </w:r>
      <w:r w:rsidR="00A02E0E">
        <w:rPr>
          <w:rStyle w:val="fontstyle01"/>
          <w:color w:val="auto"/>
          <w:lang w:val="en-US"/>
        </w:rPr>
        <w:instrText>particle</w:instrText>
      </w:r>
      <w:r w:rsidR="00A02E0E" w:rsidRPr="00A02E0E">
        <w:rPr>
          <w:rStyle w:val="fontstyle01"/>
          <w:color w:val="auto"/>
        </w:rPr>
        <w:instrText>":"","</w:instrText>
      </w:r>
      <w:r w:rsidR="00A02E0E">
        <w:rPr>
          <w:rStyle w:val="fontstyle01"/>
          <w:color w:val="auto"/>
          <w:lang w:val="en-US"/>
        </w:rPr>
        <w:instrText>family</w:instrText>
      </w:r>
      <w:r w:rsidR="00A02E0E" w:rsidRPr="00A02E0E">
        <w:rPr>
          <w:rStyle w:val="fontstyle01"/>
          <w:color w:val="auto"/>
        </w:rPr>
        <w:instrText>":"</w:instrText>
      </w:r>
      <w:r w:rsidR="00A02E0E">
        <w:rPr>
          <w:rStyle w:val="fontstyle01"/>
          <w:color w:val="auto"/>
          <w:lang w:val="en-US"/>
        </w:rPr>
        <w:instrText>Gawlik</w:instrText>
      </w:r>
      <w:r w:rsidR="00A02E0E" w:rsidRPr="00A02E0E">
        <w:rPr>
          <w:rStyle w:val="fontstyle01"/>
          <w:color w:val="auto"/>
        </w:rPr>
        <w:instrText>","</w:instrText>
      </w:r>
      <w:r w:rsidR="00A02E0E">
        <w:rPr>
          <w:rStyle w:val="fontstyle01"/>
          <w:color w:val="auto"/>
          <w:lang w:val="en-US"/>
        </w:rPr>
        <w:instrText>given</w:instrText>
      </w:r>
      <w:r w:rsidR="00A02E0E" w:rsidRPr="00A02E0E">
        <w:rPr>
          <w:rStyle w:val="fontstyle01"/>
          <w:color w:val="auto"/>
        </w:rPr>
        <w:instrText>":"</w:instrText>
      </w:r>
      <w:r w:rsidR="00A02E0E">
        <w:rPr>
          <w:rStyle w:val="fontstyle01"/>
          <w:color w:val="auto"/>
          <w:lang w:val="en-US"/>
        </w:rPr>
        <w:instrText>Rados</w:instrText>
      </w:r>
      <w:r w:rsidR="00A02E0E" w:rsidRPr="00A02E0E">
        <w:rPr>
          <w:rStyle w:val="fontstyle01"/>
          <w:color w:val="auto"/>
        </w:rPr>
        <w:instrText>ł</w:instrText>
      </w:r>
      <w:r w:rsidR="00A02E0E">
        <w:rPr>
          <w:rStyle w:val="fontstyle01"/>
          <w:color w:val="auto"/>
          <w:lang w:val="en-US"/>
        </w:rPr>
        <w:instrText>aw</w:instrText>
      </w:r>
      <w:r w:rsidR="00A02E0E" w:rsidRPr="00A02E0E">
        <w:rPr>
          <w:rStyle w:val="fontstyle01"/>
          <w:color w:val="auto"/>
        </w:rPr>
        <w:instrText>","</w:instrText>
      </w:r>
      <w:r w:rsidR="00A02E0E">
        <w:rPr>
          <w:rStyle w:val="fontstyle01"/>
          <w:color w:val="auto"/>
          <w:lang w:val="en-US"/>
        </w:rPr>
        <w:instrText>non</w:instrText>
      </w:r>
      <w:r w:rsidR="00A02E0E" w:rsidRPr="00A02E0E">
        <w:rPr>
          <w:rStyle w:val="fontstyle01"/>
          <w:color w:val="auto"/>
        </w:rPr>
        <w:instrText>-</w:instrText>
      </w:r>
      <w:r w:rsidR="00A02E0E">
        <w:rPr>
          <w:rStyle w:val="fontstyle01"/>
          <w:color w:val="auto"/>
          <w:lang w:val="en-US"/>
        </w:rPr>
        <w:instrText>dropping</w:instrText>
      </w:r>
      <w:r w:rsidR="00A02E0E" w:rsidRPr="00A02E0E">
        <w:rPr>
          <w:rStyle w:val="fontstyle01"/>
          <w:color w:val="auto"/>
        </w:rPr>
        <w:instrText>-</w:instrText>
      </w:r>
      <w:r w:rsidR="00A02E0E">
        <w:rPr>
          <w:rStyle w:val="fontstyle01"/>
          <w:color w:val="auto"/>
          <w:lang w:val="en-US"/>
        </w:rPr>
        <w:instrText>particle</w:instrText>
      </w:r>
      <w:r w:rsidR="00A02E0E" w:rsidRPr="00A02E0E">
        <w:rPr>
          <w:rStyle w:val="fontstyle01"/>
          <w:color w:val="auto"/>
        </w:rPr>
        <w:instrText>":"","</w:instrText>
      </w:r>
      <w:r w:rsidR="00A02E0E">
        <w:rPr>
          <w:rStyle w:val="fontstyle01"/>
          <w:color w:val="auto"/>
          <w:lang w:val="en-US"/>
        </w:rPr>
        <w:instrText>parse</w:instrText>
      </w:r>
      <w:r w:rsidR="00A02E0E" w:rsidRPr="00A02E0E">
        <w:rPr>
          <w:rStyle w:val="fontstyle01"/>
          <w:color w:val="auto"/>
        </w:rPr>
        <w:instrText>-</w:instrText>
      </w:r>
      <w:r w:rsidR="00A02E0E">
        <w:rPr>
          <w:rStyle w:val="fontstyle01"/>
          <w:color w:val="auto"/>
          <w:lang w:val="en-US"/>
        </w:rPr>
        <w:instrText>names</w:instrText>
      </w:r>
      <w:r w:rsidR="00A02E0E" w:rsidRPr="00A02E0E">
        <w:rPr>
          <w:rStyle w:val="fontstyle01"/>
          <w:color w:val="auto"/>
        </w:rPr>
        <w:instrText>":</w:instrText>
      </w:r>
      <w:r w:rsidR="00A02E0E">
        <w:rPr>
          <w:rStyle w:val="fontstyle01"/>
          <w:color w:val="auto"/>
          <w:lang w:val="en-US"/>
        </w:rPr>
        <w:instrText>false</w:instrText>
      </w:r>
      <w:r w:rsidR="00A02E0E" w:rsidRPr="00A02E0E">
        <w:rPr>
          <w:rStyle w:val="fontstyle01"/>
          <w:color w:val="auto"/>
        </w:rPr>
        <w:instrText>,"</w:instrText>
      </w:r>
      <w:r w:rsidR="00A02E0E">
        <w:rPr>
          <w:rStyle w:val="fontstyle01"/>
          <w:color w:val="auto"/>
          <w:lang w:val="en-US"/>
        </w:rPr>
        <w:instrText>suffix</w:instrText>
      </w:r>
      <w:r w:rsidR="00A02E0E" w:rsidRPr="00A02E0E">
        <w:rPr>
          <w:rStyle w:val="fontstyle01"/>
          <w:color w:val="auto"/>
        </w:rPr>
        <w:instrText>":""},{"</w:instrText>
      </w:r>
      <w:r w:rsidR="00A02E0E">
        <w:rPr>
          <w:rStyle w:val="fontstyle01"/>
          <w:color w:val="auto"/>
          <w:lang w:val="en-US"/>
        </w:rPr>
        <w:instrText>dropping</w:instrText>
      </w:r>
      <w:r w:rsidR="00A02E0E" w:rsidRPr="00A02E0E">
        <w:rPr>
          <w:rStyle w:val="fontstyle01"/>
          <w:color w:val="auto"/>
        </w:rPr>
        <w:instrText>-</w:instrText>
      </w:r>
      <w:r w:rsidR="00A02E0E">
        <w:rPr>
          <w:rStyle w:val="fontstyle01"/>
          <w:color w:val="auto"/>
          <w:lang w:val="en-US"/>
        </w:rPr>
        <w:instrText>particle</w:instrText>
      </w:r>
      <w:r w:rsidR="00A02E0E" w:rsidRPr="00A02E0E">
        <w:rPr>
          <w:rStyle w:val="fontstyle01"/>
          <w:color w:val="auto"/>
        </w:rPr>
        <w:instrText>":"","</w:instrText>
      </w:r>
      <w:r w:rsidR="00A02E0E">
        <w:rPr>
          <w:rStyle w:val="fontstyle01"/>
          <w:color w:val="auto"/>
          <w:lang w:val="en-US"/>
        </w:rPr>
        <w:instrText>family</w:instrText>
      </w:r>
      <w:r w:rsidR="00A02E0E" w:rsidRPr="00A02E0E">
        <w:rPr>
          <w:rStyle w:val="fontstyle01"/>
          <w:color w:val="auto"/>
        </w:rPr>
        <w:instrText>":"</w:instrText>
      </w:r>
      <w:r w:rsidR="00A02E0E">
        <w:rPr>
          <w:rStyle w:val="fontstyle01"/>
          <w:color w:val="auto"/>
          <w:lang w:val="en-US"/>
        </w:rPr>
        <w:instrText>Gonerko</w:instrText>
      </w:r>
      <w:r w:rsidR="00A02E0E" w:rsidRPr="00A02E0E">
        <w:rPr>
          <w:rStyle w:val="fontstyle01"/>
          <w:color w:val="auto"/>
        </w:rPr>
        <w:instrText>","</w:instrText>
      </w:r>
      <w:r w:rsidR="00A02E0E">
        <w:rPr>
          <w:rStyle w:val="fontstyle01"/>
          <w:color w:val="auto"/>
          <w:lang w:val="en-US"/>
        </w:rPr>
        <w:instrText>given</w:instrText>
      </w:r>
      <w:r w:rsidR="00A02E0E" w:rsidRPr="00A02E0E">
        <w:rPr>
          <w:rStyle w:val="fontstyle01"/>
          <w:color w:val="auto"/>
        </w:rPr>
        <w:instrText>":"</w:instrText>
      </w:r>
      <w:r w:rsidR="00A02E0E">
        <w:rPr>
          <w:rStyle w:val="fontstyle01"/>
          <w:color w:val="auto"/>
          <w:lang w:val="en-US"/>
        </w:rPr>
        <w:instrText>Pawe</w:instrText>
      </w:r>
      <w:r w:rsidR="00A02E0E" w:rsidRPr="00A02E0E">
        <w:rPr>
          <w:rStyle w:val="fontstyle01"/>
          <w:color w:val="auto"/>
        </w:rPr>
        <w:instrText>ł","</w:instrText>
      </w:r>
      <w:r w:rsidR="00A02E0E">
        <w:rPr>
          <w:rStyle w:val="fontstyle01"/>
          <w:color w:val="auto"/>
          <w:lang w:val="en-US"/>
        </w:rPr>
        <w:instrText>non</w:instrText>
      </w:r>
      <w:r w:rsidR="00A02E0E" w:rsidRPr="00A02E0E">
        <w:rPr>
          <w:rStyle w:val="fontstyle01"/>
          <w:color w:val="auto"/>
        </w:rPr>
        <w:instrText>-</w:instrText>
      </w:r>
      <w:r w:rsidR="00A02E0E">
        <w:rPr>
          <w:rStyle w:val="fontstyle01"/>
          <w:color w:val="auto"/>
          <w:lang w:val="en-US"/>
        </w:rPr>
        <w:instrText>dropping</w:instrText>
      </w:r>
      <w:r w:rsidR="00A02E0E" w:rsidRPr="00A02E0E">
        <w:rPr>
          <w:rStyle w:val="fontstyle01"/>
          <w:color w:val="auto"/>
        </w:rPr>
        <w:instrText>-</w:instrText>
      </w:r>
      <w:r w:rsidR="00A02E0E">
        <w:rPr>
          <w:rStyle w:val="fontstyle01"/>
          <w:color w:val="auto"/>
          <w:lang w:val="en-US"/>
        </w:rPr>
        <w:instrText>particle</w:instrText>
      </w:r>
      <w:r w:rsidR="00A02E0E" w:rsidRPr="00A02E0E">
        <w:rPr>
          <w:rStyle w:val="fontstyle01"/>
          <w:color w:val="auto"/>
        </w:rPr>
        <w:instrText>":"","</w:instrText>
      </w:r>
      <w:r w:rsidR="00A02E0E">
        <w:rPr>
          <w:rStyle w:val="fontstyle01"/>
          <w:color w:val="auto"/>
          <w:lang w:val="en-US"/>
        </w:rPr>
        <w:instrText>parse</w:instrText>
      </w:r>
      <w:r w:rsidR="00A02E0E" w:rsidRPr="00A02E0E">
        <w:rPr>
          <w:rStyle w:val="fontstyle01"/>
          <w:color w:val="auto"/>
        </w:rPr>
        <w:instrText>-</w:instrText>
      </w:r>
      <w:r w:rsidR="00A02E0E">
        <w:rPr>
          <w:rStyle w:val="fontstyle01"/>
          <w:color w:val="auto"/>
          <w:lang w:val="en-US"/>
        </w:rPr>
        <w:instrText>names</w:instrText>
      </w:r>
      <w:r w:rsidR="00A02E0E" w:rsidRPr="00A02E0E">
        <w:rPr>
          <w:rStyle w:val="fontstyle01"/>
          <w:color w:val="auto"/>
        </w:rPr>
        <w:instrText>":</w:instrText>
      </w:r>
      <w:r w:rsidR="00A02E0E">
        <w:rPr>
          <w:rStyle w:val="fontstyle01"/>
          <w:color w:val="auto"/>
          <w:lang w:val="en-US"/>
        </w:rPr>
        <w:instrText>false</w:instrText>
      </w:r>
      <w:r w:rsidR="00A02E0E" w:rsidRPr="00A02E0E">
        <w:rPr>
          <w:rStyle w:val="fontstyle01"/>
          <w:color w:val="auto"/>
        </w:rPr>
        <w:instrText>,"</w:instrText>
      </w:r>
      <w:r w:rsidR="00A02E0E">
        <w:rPr>
          <w:rStyle w:val="fontstyle01"/>
          <w:color w:val="auto"/>
          <w:lang w:val="en-US"/>
        </w:rPr>
        <w:instrText>suffix</w:instrText>
      </w:r>
      <w:r w:rsidR="00A02E0E" w:rsidRPr="00A02E0E">
        <w:rPr>
          <w:rStyle w:val="fontstyle01"/>
          <w:color w:val="auto"/>
        </w:rPr>
        <w:instrText>":""},{"</w:instrText>
      </w:r>
      <w:r w:rsidR="00A02E0E">
        <w:rPr>
          <w:rStyle w:val="fontstyle01"/>
          <w:color w:val="auto"/>
          <w:lang w:val="en-US"/>
        </w:rPr>
        <w:instrText>dropping</w:instrText>
      </w:r>
      <w:r w:rsidR="00A02E0E" w:rsidRPr="00A02E0E">
        <w:rPr>
          <w:rStyle w:val="fontstyle01"/>
          <w:color w:val="auto"/>
        </w:rPr>
        <w:instrText>-</w:instrText>
      </w:r>
      <w:r w:rsidR="00A02E0E">
        <w:rPr>
          <w:rStyle w:val="fontstyle01"/>
          <w:color w:val="auto"/>
          <w:lang w:val="en-US"/>
        </w:rPr>
        <w:instrText>particle</w:instrText>
      </w:r>
      <w:r w:rsidR="00A02E0E" w:rsidRPr="00A02E0E">
        <w:rPr>
          <w:rStyle w:val="fontstyle01"/>
          <w:color w:val="auto"/>
        </w:rPr>
        <w:instrText>":"","</w:instrText>
      </w:r>
      <w:r w:rsidR="00A02E0E">
        <w:rPr>
          <w:rStyle w:val="fontstyle01"/>
          <w:color w:val="auto"/>
          <w:lang w:val="en-US"/>
        </w:rPr>
        <w:instrText>family</w:instrText>
      </w:r>
      <w:r w:rsidR="00A02E0E" w:rsidRPr="00A02E0E">
        <w:rPr>
          <w:rStyle w:val="fontstyle01"/>
          <w:color w:val="auto"/>
        </w:rPr>
        <w:instrText>":"</w:instrText>
      </w:r>
      <w:r w:rsidR="00A02E0E">
        <w:rPr>
          <w:rStyle w:val="fontstyle01"/>
          <w:color w:val="auto"/>
          <w:lang w:val="en-US"/>
        </w:rPr>
        <w:instrText>Rogala</w:instrText>
      </w:r>
      <w:r w:rsidR="00A02E0E" w:rsidRPr="00A02E0E">
        <w:rPr>
          <w:rStyle w:val="fontstyle01"/>
          <w:color w:val="auto"/>
        </w:rPr>
        <w:instrText>","</w:instrText>
      </w:r>
      <w:r w:rsidR="00A02E0E">
        <w:rPr>
          <w:rStyle w:val="fontstyle01"/>
          <w:color w:val="auto"/>
          <w:lang w:val="en-US"/>
        </w:rPr>
        <w:instrText>given</w:instrText>
      </w:r>
      <w:r w:rsidR="00A02E0E" w:rsidRPr="00A02E0E">
        <w:rPr>
          <w:rStyle w:val="fontstyle01"/>
          <w:color w:val="auto"/>
        </w:rPr>
        <w:instrText>":"</w:instrText>
      </w:r>
      <w:r w:rsidR="00A02E0E">
        <w:rPr>
          <w:rStyle w:val="fontstyle01"/>
          <w:color w:val="auto"/>
          <w:lang w:val="en-US"/>
        </w:rPr>
        <w:instrText>Barbara</w:instrText>
      </w:r>
      <w:r w:rsidR="00A02E0E" w:rsidRPr="00A02E0E">
        <w:rPr>
          <w:rStyle w:val="fontstyle01"/>
          <w:color w:val="auto"/>
        </w:rPr>
        <w:instrText>","</w:instrText>
      </w:r>
      <w:r w:rsidR="00A02E0E">
        <w:rPr>
          <w:rStyle w:val="fontstyle01"/>
          <w:color w:val="auto"/>
          <w:lang w:val="en-US"/>
        </w:rPr>
        <w:instrText>non</w:instrText>
      </w:r>
      <w:r w:rsidR="00A02E0E" w:rsidRPr="00A02E0E">
        <w:rPr>
          <w:rStyle w:val="fontstyle01"/>
          <w:color w:val="auto"/>
        </w:rPr>
        <w:instrText>-</w:instrText>
      </w:r>
      <w:r w:rsidR="00A02E0E">
        <w:rPr>
          <w:rStyle w:val="fontstyle01"/>
          <w:color w:val="auto"/>
          <w:lang w:val="en-US"/>
        </w:rPr>
        <w:instrText>dropping</w:instrText>
      </w:r>
      <w:r w:rsidR="00A02E0E" w:rsidRPr="00A02E0E">
        <w:rPr>
          <w:rStyle w:val="fontstyle01"/>
          <w:color w:val="auto"/>
        </w:rPr>
        <w:instrText>-</w:instrText>
      </w:r>
      <w:r w:rsidR="00A02E0E">
        <w:rPr>
          <w:rStyle w:val="fontstyle01"/>
          <w:color w:val="auto"/>
          <w:lang w:val="en-US"/>
        </w:rPr>
        <w:instrText>particle</w:instrText>
      </w:r>
      <w:r w:rsidR="00A02E0E" w:rsidRPr="00A02E0E">
        <w:rPr>
          <w:rStyle w:val="fontstyle01"/>
          <w:color w:val="auto"/>
        </w:rPr>
        <w:instrText>":"","</w:instrText>
      </w:r>
      <w:r w:rsidR="00A02E0E">
        <w:rPr>
          <w:rStyle w:val="fontstyle01"/>
          <w:color w:val="auto"/>
          <w:lang w:val="en-US"/>
        </w:rPr>
        <w:instrText>parse</w:instrText>
      </w:r>
      <w:r w:rsidR="00A02E0E" w:rsidRPr="00A02E0E">
        <w:rPr>
          <w:rStyle w:val="fontstyle01"/>
          <w:color w:val="auto"/>
        </w:rPr>
        <w:instrText>-</w:instrText>
      </w:r>
      <w:r w:rsidR="00A02E0E">
        <w:rPr>
          <w:rStyle w:val="fontstyle01"/>
          <w:color w:val="auto"/>
          <w:lang w:val="en-US"/>
        </w:rPr>
        <w:instrText>names</w:instrText>
      </w:r>
      <w:r w:rsidR="00A02E0E" w:rsidRPr="00A02E0E">
        <w:rPr>
          <w:rStyle w:val="fontstyle01"/>
          <w:color w:val="auto"/>
        </w:rPr>
        <w:instrText>":</w:instrText>
      </w:r>
      <w:r w:rsidR="00A02E0E">
        <w:rPr>
          <w:rStyle w:val="fontstyle01"/>
          <w:color w:val="auto"/>
          <w:lang w:val="en-US"/>
        </w:rPr>
        <w:instrText>false</w:instrText>
      </w:r>
      <w:r w:rsidR="00A02E0E" w:rsidRPr="00A02E0E">
        <w:rPr>
          <w:rStyle w:val="fontstyle01"/>
          <w:color w:val="auto"/>
        </w:rPr>
        <w:instrText>,"</w:instrText>
      </w:r>
      <w:r w:rsidR="00A02E0E">
        <w:rPr>
          <w:rStyle w:val="fontstyle01"/>
          <w:color w:val="auto"/>
          <w:lang w:val="en-US"/>
        </w:rPr>
        <w:instrText>suffix</w:instrText>
      </w:r>
      <w:r w:rsidR="00A02E0E" w:rsidRPr="00A02E0E">
        <w:rPr>
          <w:rStyle w:val="fontstyle01"/>
          <w:color w:val="auto"/>
        </w:rPr>
        <w:instrText>":""},{"</w:instrText>
      </w:r>
      <w:r w:rsidR="00A02E0E">
        <w:rPr>
          <w:rStyle w:val="fontstyle01"/>
          <w:color w:val="auto"/>
          <w:lang w:val="en-US"/>
        </w:rPr>
        <w:instrText>dropping</w:instrText>
      </w:r>
      <w:r w:rsidR="00A02E0E" w:rsidRPr="00A02E0E">
        <w:rPr>
          <w:rStyle w:val="fontstyle01"/>
          <w:color w:val="auto"/>
        </w:rPr>
        <w:instrText>-</w:instrText>
      </w:r>
      <w:r w:rsidR="00A02E0E">
        <w:rPr>
          <w:rStyle w:val="fontstyle01"/>
          <w:color w:val="auto"/>
          <w:lang w:val="en-US"/>
        </w:rPr>
        <w:instrText>particle</w:instrText>
      </w:r>
      <w:r w:rsidR="00A02E0E" w:rsidRPr="00A02E0E">
        <w:rPr>
          <w:rStyle w:val="fontstyle01"/>
          <w:color w:val="auto"/>
        </w:rPr>
        <w:instrText>":"","</w:instrText>
      </w:r>
      <w:r w:rsidR="00A02E0E">
        <w:rPr>
          <w:rStyle w:val="fontstyle01"/>
          <w:color w:val="auto"/>
          <w:lang w:val="en-US"/>
        </w:rPr>
        <w:instrText>family</w:instrText>
      </w:r>
      <w:r w:rsidR="00A02E0E" w:rsidRPr="00A02E0E">
        <w:rPr>
          <w:rStyle w:val="fontstyle01"/>
          <w:color w:val="auto"/>
        </w:rPr>
        <w:instrText>":"</w:instrText>
      </w:r>
      <w:r w:rsidR="00A02E0E">
        <w:rPr>
          <w:rStyle w:val="fontstyle01"/>
          <w:color w:val="auto"/>
          <w:lang w:val="en-US"/>
        </w:rPr>
        <w:instrText>Nowak</w:instrText>
      </w:r>
      <w:r w:rsidR="00A02E0E" w:rsidRPr="00A02E0E">
        <w:rPr>
          <w:rStyle w:val="fontstyle01"/>
          <w:color w:val="auto"/>
        </w:rPr>
        <w:instrText>-</w:instrText>
      </w:r>
      <w:r w:rsidR="00A02E0E">
        <w:rPr>
          <w:rStyle w:val="fontstyle01"/>
          <w:color w:val="auto"/>
          <w:lang w:val="en-US"/>
        </w:rPr>
        <w:instrText>W</w:instrText>
      </w:r>
      <w:r w:rsidR="00A02E0E" w:rsidRPr="00A02E0E">
        <w:rPr>
          <w:rStyle w:val="fontstyle01"/>
          <w:color w:val="auto"/>
        </w:rPr>
        <w:instrText>ę</w:instrText>
      </w:r>
      <w:r w:rsidR="00A02E0E">
        <w:rPr>
          <w:rStyle w:val="fontstyle01"/>
          <w:color w:val="auto"/>
          <w:lang w:val="en-US"/>
        </w:rPr>
        <w:instrText>grzyn</w:instrText>
      </w:r>
      <w:r w:rsidR="00A02E0E" w:rsidRPr="00A02E0E">
        <w:rPr>
          <w:rStyle w:val="fontstyle01"/>
          <w:color w:val="auto"/>
        </w:rPr>
        <w:instrText>","</w:instrText>
      </w:r>
      <w:r w:rsidR="00A02E0E">
        <w:rPr>
          <w:rStyle w:val="fontstyle01"/>
          <w:color w:val="auto"/>
          <w:lang w:val="en-US"/>
        </w:rPr>
        <w:instrText>given</w:instrText>
      </w:r>
      <w:r w:rsidR="00A02E0E" w:rsidRPr="00A02E0E">
        <w:rPr>
          <w:rStyle w:val="fontstyle01"/>
          <w:color w:val="auto"/>
        </w:rPr>
        <w:instrText>":"</w:instrText>
      </w:r>
      <w:r w:rsidR="00A02E0E">
        <w:rPr>
          <w:rStyle w:val="fontstyle01"/>
          <w:color w:val="auto"/>
          <w:lang w:val="en-US"/>
        </w:rPr>
        <w:instrText>Anna</w:instrText>
      </w:r>
      <w:r w:rsidR="00A02E0E" w:rsidRPr="00A02E0E">
        <w:rPr>
          <w:rStyle w:val="fontstyle01"/>
          <w:color w:val="auto"/>
        </w:rPr>
        <w:instrText>","</w:instrText>
      </w:r>
      <w:r w:rsidR="00A02E0E">
        <w:rPr>
          <w:rStyle w:val="fontstyle01"/>
          <w:color w:val="auto"/>
          <w:lang w:val="en-US"/>
        </w:rPr>
        <w:instrText>non</w:instrText>
      </w:r>
      <w:r w:rsidR="00A02E0E" w:rsidRPr="00A02E0E">
        <w:rPr>
          <w:rStyle w:val="fontstyle01"/>
          <w:color w:val="auto"/>
        </w:rPr>
        <w:instrText>-</w:instrText>
      </w:r>
      <w:r w:rsidR="00A02E0E">
        <w:rPr>
          <w:rStyle w:val="fontstyle01"/>
          <w:color w:val="auto"/>
          <w:lang w:val="en-US"/>
        </w:rPr>
        <w:instrText>dropping</w:instrText>
      </w:r>
      <w:r w:rsidR="00A02E0E" w:rsidRPr="00A02E0E">
        <w:rPr>
          <w:rStyle w:val="fontstyle01"/>
          <w:color w:val="auto"/>
        </w:rPr>
        <w:instrText>-</w:instrText>
      </w:r>
      <w:r w:rsidR="00A02E0E">
        <w:rPr>
          <w:rStyle w:val="fontstyle01"/>
          <w:color w:val="auto"/>
          <w:lang w:val="en-US"/>
        </w:rPr>
        <w:instrText>particle</w:instrText>
      </w:r>
      <w:r w:rsidR="00A02E0E" w:rsidRPr="00A02E0E">
        <w:rPr>
          <w:rStyle w:val="fontstyle01"/>
          <w:color w:val="auto"/>
        </w:rPr>
        <w:instrText>":"","</w:instrText>
      </w:r>
      <w:r w:rsidR="00A02E0E">
        <w:rPr>
          <w:rStyle w:val="fontstyle01"/>
          <w:color w:val="auto"/>
          <w:lang w:val="en-US"/>
        </w:rPr>
        <w:instrText>parse</w:instrText>
      </w:r>
      <w:r w:rsidR="00A02E0E" w:rsidRPr="00A02E0E">
        <w:rPr>
          <w:rStyle w:val="fontstyle01"/>
          <w:color w:val="auto"/>
        </w:rPr>
        <w:instrText>-</w:instrText>
      </w:r>
      <w:r w:rsidR="00A02E0E">
        <w:rPr>
          <w:rStyle w:val="fontstyle01"/>
          <w:color w:val="auto"/>
          <w:lang w:val="en-US"/>
        </w:rPr>
        <w:instrText>names</w:instrText>
      </w:r>
      <w:r w:rsidR="00A02E0E" w:rsidRPr="00A02E0E">
        <w:rPr>
          <w:rStyle w:val="fontstyle01"/>
          <w:color w:val="auto"/>
        </w:rPr>
        <w:instrText>":</w:instrText>
      </w:r>
      <w:r w:rsidR="00A02E0E">
        <w:rPr>
          <w:rStyle w:val="fontstyle01"/>
          <w:color w:val="auto"/>
          <w:lang w:val="en-US"/>
        </w:rPr>
        <w:instrText>false</w:instrText>
      </w:r>
      <w:r w:rsidR="00A02E0E" w:rsidRPr="00A02E0E">
        <w:rPr>
          <w:rStyle w:val="fontstyle01"/>
          <w:color w:val="auto"/>
        </w:rPr>
        <w:instrText>,"</w:instrText>
      </w:r>
      <w:r w:rsidR="00A02E0E">
        <w:rPr>
          <w:rStyle w:val="fontstyle01"/>
          <w:color w:val="auto"/>
          <w:lang w:val="en-US"/>
        </w:rPr>
        <w:instrText>suffix</w:instrText>
      </w:r>
      <w:r w:rsidR="00A02E0E" w:rsidRPr="00A02E0E">
        <w:rPr>
          <w:rStyle w:val="fontstyle01"/>
          <w:color w:val="auto"/>
        </w:rPr>
        <w:instrText>":""},{"</w:instrText>
      </w:r>
      <w:r w:rsidR="00A02E0E">
        <w:rPr>
          <w:rStyle w:val="fontstyle01"/>
          <w:color w:val="auto"/>
          <w:lang w:val="en-US"/>
        </w:rPr>
        <w:instrText>dropping</w:instrText>
      </w:r>
      <w:r w:rsidR="00A02E0E" w:rsidRPr="00A02E0E">
        <w:rPr>
          <w:rStyle w:val="fontstyle01"/>
          <w:color w:val="auto"/>
        </w:rPr>
        <w:instrText>-</w:instrText>
      </w:r>
      <w:r w:rsidR="00A02E0E">
        <w:rPr>
          <w:rStyle w:val="fontstyle01"/>
          <w:color w:val="auto"/>
          <w:lang w:val="en-US"/>
        </w:rPr>
        <w:instrText>particle</w:instrText>
      </w:r>
      <w:r w:rsidR="00A02E0E" w:rsidRPr="00A02E0E">
        <w:rPr>
          <w:rStyle w:val="fontstyle01"/>
          <w:color w:val="auto"/>
        </w:rPr>
        <w:instrText>":"","</w:instrText>
      </w:r>
      <w:r w:rsidR="00A02E0E">
        <w:rPr>
          <w:rStyle w:val="fontstyle01"/>
          <w:color w:val="auto"/>
          <w:lang w:val="en-US"/>
        </w:rPr>
        <w:instrText>family</w:instrText>
      </w:r>
      <w:r w:rsidR="00A02E0E" w:rsidRPr="00A02E0E">
        <w:rPr>
          <w:rStyle w:val="fontstyle01"/>
          <w:color w:val="auto"/>
        </w:rPr>
        <w:instrText>":"</w:instrText>
      </w:r>
      <w:r w:rsidR="00A02E0E">
        <w:rPr>
          <w:rStyle w:val="fontstyle01"/>
          <w:color w:val="auto"/>
          <w:lang w:val="en-US"/>
        </w:rPr>
        <w:instrText>Samoli</w:instrText>
      </w:r>
      <w:r w:rsidR="00A02E0E" w:rsidRPr="00A02E0E">
        <w:rPr>
          <w:rStyle w:val="fontstyle01"/>
          <w:color w:val="auto"/>
        </w:rPr>
        <w:instrText>ń</w:instrText>
      </w:r>
      <w:r w:rsidR="00A02E0E">
        <w:rPr>
          <w:rStyle w:val="fontstyle01"/>
          <w:color w:val="auto"/>
          <w:lang w:val="en-US"/>
        </w:rPr>
        <w:instrText>ski</w:instrText>
      </w:r>
      <w:r w:rsidR="00A02E0E" w:rsidRPr="00A02E0E">
        <w:rPr>
          <w:rStyle w:val="fontstyle01"/>
          <w:color w:val="auto"/>
        </w:rPr>
        <w:instrText>","</w:instrText>
      </w:r>
      <w:r w:rsidR="00A02E0E">
        <w:rPr>
          <w:rStyle w:val="fontstyle01"/>
          <w:color w:val="auto"/>
          <w:lang w:val="en-US"/>
        </w:rPr>
        <w:instrText>given</w:instrText>
      </w:r>
      <w:r w:rsidR="00A02E0E" w:rsidRPr="00A02E0E">
        <w:rPr>
          <w:rStyle w:val="fontstyle01"/>
          <w:color w:val="auto"/>
        </w:rPr>
        <w:instrText>":"</w:instrText>
      </w:r>
      <w:r w:rsidR="00A02E0E">
        <w:rPr>
          <w:rStyle w:val="fontstyle01"/>
          <w:color w:val="auto"/>
          <w:lang w:val="en-US"/>
        </w:rPr>
        <w:instrText>Boles</w:instrText>
      </w:r>
      <w:r w:rsidR="00A02E0E" w:rsidRPr="00A02E0E">
        <w:rPr>
          <w:rStyle w:val="fontstyle01"/>
          <w:color w:val="auto"/>
        </w:rPr>
        <w:instrText>ł</w:instrText>
      </w:r>
      <w:r w:rsidR="00A02E0E">
        <w:rPr>
          <w:rStyle w:val="fontstyle01"/>
          <w:color w:val="auto"/>
          <w:lang w:val="en-US"/>
        </w:rPr>
        <w:instrText>aw</w:instrText>
      </w:r>
      <w:r w:rsidR="00A02E0E" w:rsidRPr="00A02E0E">
        <w:rPr>
          <w:rStyle w:val="fontstyle01"/>
          <w:color w:val="auto"/>
        </w:rPr>
        <w:instrText>","</w:instrText>
      </w:r>
      <w:r w:rsidR="00A02E0E">
        <w:rPr>
          <w:rStyle w:val="fontstyle01"/>
          <w:color w:val="auto"/>
          <w:lang w:val="en-US"/>
        </w:rPr>
        <w:instrText>non</w:instrText>
      </w:r>
      <w:r w:rsidR="00A02E0E" w:rsidRPr="00A02E0E">
        <w:rPr>
          <w:rStyle w:val="fontstyle01"/>
          <w:color w:val="auto"/>
        </w:rPr>
        <w:instrText>-</w:instrText>
      </w:r>
      <w:r w:rsidR="00A02E0E">
        <w:rPr>
          <w:rStyle w:val="fontstyle01"/>
          <w:color w:val="auto"/>
          <w:lang w:val="en-US"/>
        </w:rPr>
        <w:instrText>dropping</w:instrText>
      </w:r>
      <w:r w:rsidR="00A02E0E" w:rsidRPr="00A02E0E">
        <w:rPr>
          <w:rStyle w:val="fontstyle01"/>
          <w:color w:val="auto"/>
        </w:rPr>
        <w:instrText>-</w:instrText>
      </w:r>
      <w:r w:rsidR="00A02E0E">
        <w:rPr>
          <w:rStyle w:val="fontstyle01"/>
          <w:color w:val="auto"/>
          <w:lang w:val="en-US"/>
        </w:rPr>
        <w:instrText>particle</w:instrText>
      </w:r>
      <w:r w:rsidR="00A02E0E" w:rsidRPr="00A02E0E">
        <w:rPr>
          <w:rStyle w:val="fontstyle01"/>
          <w:color w:val="auto"/>
        </w:rPr>
        <w:instrText>":"","</w:instrText>
      </w:r>
      <w:r w:rsidR="00A02E0E">
        <w:rPr>
          <w:rStyle w:val="fontstyle01"/>
          <w:color w:val="auto"/>
          <w:lang w:val="en-US"/>
        </w:rPr>
        <w:instrText>parse</w:instrText>
      </w:r>
      <w:r w:rsidR="00A02E0E" w:rsidRPr="00A02E0E">
        <w:rPr>
          <w:rStyle w:val="fontstyle01"/>
          <w:color w:val="auto"/>
        </w:rPr>
        <w:instrText>-</w:instrText>
      </w:r>
      <w:r w:rsidR="00A02E0E">
        <w:rPr>
          <w:rStyle w:val="fontstyle01"/>
          <w:color w:val="auto"/>
          <w:lang w:val="en-US"/>
        </w:rPr>
        <w:instrText>names</w:instrText>
      </w:r>
      <w:r w:rsidR="00A02E0E" w:rsidRPr="00A02E0E">
        <w:rPr>
          <w:rStyle w:val="fontstyle01"/>
          <w:color w:val="auto"/>
        </w:rPr>
        <w:instrText>":</w:instrText>
      </w:r>
      <w:r w:rsidR="00A02E0E">
        <w:rPr>
          <w:rStyle w:val="fontstyle01"/>
          <w:color w:val="auto"/>
          <w:lang w:val="en-US"/>
        </w:rPr>
        <w:instrText>false</w:instrText>
      </w:r>
      <w:r w:rsidR="00A02E0E" w:rsidRPr="00A02E0E">
        <w:rPr>
          <w:rStyle w:val="fontstyle01"/>
          <w:color w:val="auto"/>
        </w:rPr>
        <w:instrText>,"</w:instrText>
      </w:r>
      <w:r w:rsidR="00A02E0E">
        <w:rPr>
          <w:rStyle w:val="fontstyle01"/>
          <w:color w:val="auto"/>
          <w:lang w:val="en-US"/>
        </w:rPr>
        <w:instrText>suffix</w:instrText>
      </w:r>
      <w:r w:rsidR="00A02E0E" w:rsidRPr="00A02E0E">
        <w:rPr>
          <w:rStyle w:val="fontstyle01"/>
          <w:color w:val="auto"/>
        </w:rPr>
        <w:instrText>":""}],"</w:instrText>
      </w:r>
      <w:r w:rsidR="00A02E0E">
        <w:rPr>
          <w:rStyle w:val="fontstyle01"/>
          <w:color w:val="auto"/>
          <w:lang w:val="en-US"/>
        </w:rPr>
        <w:instrText>container</w:instrText>
      </w:r>
      <w:r w:rsidR="00A02E0E" w:rsidRPr="00A02E0E">
        <w:rPr>
          <w:rStyle w:val="fontstyle01"/>
          <w:color w:val="auto"/>
        </w:rPr>
        <w:instrText>-</w:instrText>
      </w:r>
      <w:r w:rsidR="00A02E0E">
        <w:rPr>
          <w:rStyle w:val="fontstyle01"/>
          <w:color w:val="auto"/>
          <w:lang w:val="en-US"/>
        </w:rPr>
        <w:instrText>title</w:instrText>
      </w:r>
      <w:r w:rsidR="00A02E0E" w:rsidRPr="00A02E0E">
        <w:rPr>
          <w:rStyle w:val="fontstyle01"/>
          <w:color w:val="auto"/>
        </w:rPr>
        <w:instrText>":"</w:instrText>
      </w:r>
      <w:r w:rsidR="00A02E0E">
        <w:rPr>
          <w:rStyle w:val="fontstyle01"/>
          <w:color w:val="auto"/>
          <w:lang w:val="en-US"/>
        </w:rPr>
        <w:instrText>Annals</w:instrText>
      </w:r>
      <w:r w:rsidR="00A02E0E" w:rsidRPr="00A02E0E">
        <w:rPr>
          <w:rStyle w:val="fontstyle01"/>
          <w:color w:val="auto"/>
        </w:rPr>
        <w:instrText xml:space="preserve"> </w:instrText>
      </w:r>
      <w:r w:rsidR="00A02E0E">
        <w:rPr>
          <w:rStyle w:val="fontstyle01"/>
          <w:color w:val="auto"/>
          <w:lang w:val="en-US"/>
        </w:rPr>
        <w:instrText>of</w:instrText>
      </w:r>
      <w:r w:rsidR="00A02E0E" w:rsidRPr="00A02E0E">
        <w:rPr>
          <w:rStyle w:val="fontstyle01"/>
          <w:color w:val="auto"/>
        </w:rPr>
        <w:instrText xml:space="preserve"> </w:instrText>
      </w:r>
      <w:r w:rsidR="00A02E0E">
        <w:rPr>
          <w:rStyle w:val="fontstyle01"/>
          <w:color w:val="auto"/>
          <w:lang w:val="en-US"/>
        </w:rPr>
        <w:instrText>Agricultural</w:instrText>
      </w:r>
      <w:r w:rsidR="00A02E0E" w:rsidRPr="00A02E0E">
        <w:rPr>
          <w:rStyle w:val="fontstyle01"/>
          <w:color w:val="auto"/>
        </w:rPr>
        <w:instrText xml:space="preserve"> </w:instrText>
      </w:r>
      <w:r w:rsidR="00A02E0E">
        <w:rPr>
          <w:rStyle w:val="fontstyle01"/>
          <w:color w:val="auto"/>
          <w:lang w:val="en-US"/>
        </w:rPr>
        <w:instrText>and</w:instrText>
      </w:r>
      <w:r w:rsidR="00A02E0E" w:rsidRPr="00A02E0E">
        <w:rPr>
          <w:rStyle w:val="fontstyle01"/>
          <w:color w:val="auto"/>
        </w:rPr>
        <w:instrText xml:space="preserve"> </w:instrText>
      </w:r>
      <w:r w:rsidR="00A02E0E">
        <w:rPr>
          <w:rStyle w:val="fontstyle01"/>
          <w:color w:val="auto"/>
          <w:lang w:val="en-US"/>
        </w:rPr>
        <w:instrText>Environmental</w:instrText>
      </w:r>
      <w:r w:rsidR="00A02E0E" w:rsidRPr="00A02E0E">
        <w:rPr>
          <w:rStyle w:val="fontstyle01"/>
          <w:color w:val="auto"/>
        </w:rPr>
        <w:instrText xml:space="preserve"> </w:instrText>
      </w:r>
      <w:r w:rsidR="00A02E0E">
        <w:rPr>
          <w:rStyle w:val="fontstyle01"/>
          <w:color w:val="auto"/>
          <w:lang w:val="en-US"/>
        </w:rPr>
        <w:instrText>Medicine</w:instrText>
      </w:r>
      <w:r w:rsidR="00A02E0E" w:rsidRPr="00A02E0E">
        <w:rPr>
          <w:rStyle w:val="fontstyle01"/>
          <w:color w:val="auto"/>
        </w:rPr>
        <w:instrText>","</w:instrText>
      </w:r>
      <w:r w:rsidR="00A02E0E">
        <w:rPr>
          <w:rStyle w:val="fontstyle01"/>
          <w:color w:val="auto"/>
          <w:lang w:val="en-US"/>
        </w:rPr>
        <w:instrText>id</w:instrText>
      </w:r>
      <w:r w:rsidR="00A02E0E" w:rsidRPr="00A02E0E">
        <w:rPr>
          <w:rStyle w:val="fontstyle01"/>
          <w:color w:val="auto"/>
        </w:rPr>
        <w:instrText>":"</w:instrText>
      </w:r>
      <w:r w:rsidR="00A02E0E">
        <w:rPr>
          <w:rStyle w:val="fontstyle01"/>
          <w:color w:val="auto"/>
          <w:lang w:val="en-US"/>
        </w:rPr>
        <w:instrText>ITEM</w:instrText>
      </w:r>
      <w:r w:rsidR="00A02E0E" w:rsidRPr="00A02E0E">
        <w:rPr>
          <w:rStyle w:val="fontstyle01"/>
          <w:color w:val="auto"/>
        </w:rPr>
        <w:instrText>-4","</w:instrText>
      </w:r>
      <w:r w:rsidR="00A02E0E">
        <w:rPr>
          <w:rStyle w:val="fontstyle01"/>
          <w:color w:val="auto"/>
          <w:lang w:val="en-US"/>
        </w:rPr>
        <w:instrText>issue</w:instrText>
      </w:r>
      <w:r w:rsidR="00A02E0E" w:rsidRPr="00A02E0E">
        <w:rPr>
          <w:rStyle w:val="fontstyle01"/>
          <w:color w:val="auto"/>
        </w:rPr>
        <w:instrText>":"1","</w:instrText>
      </w:r>
      <w:r w:rsidR="00A02E0E">
        <w:rPr>
          <w:rStyle w:val="fontstyle01"/>
          <w:color w:val="auto"/>
          <w:lang w:val="en-US"/>
        </w:rPr>
        <w:instrText>issued</w:instrText>
      </w:r>
      <w:r w:rsidR="00A02E0E" w:rsidRPr="00A02E0E">
        <w:rPr>
          <w:rStyle w:val="fontstyle01"/>
          <w:color w:val="auto"/>
        </w:rPr>
        <w:instrText>":{"</w:instrText>
      </w:r>
      <w:r w:rsidR="00A02E0E">
        <w:rPr>
          <w:rStyle w:val="fontstyle01"/>
          <w:color w:val="auto"/>
          <w:lang w:val="en-US"/>
        </w:rPr>
        <w:instrText>date</w:instrText>
      </w:r>
      <w:r w:rsidR="00A02E0E" w:rsidRPr="00A02E0E">
        <w:rPr>
          <w:rStyle w:val="fontstyle01"/>
          <w:color w:val="auto"/>
        </w:rPr>
        <w:instrText>-</w:instrText>
      </w:r>
      <w:r w:rsidR="00A02E0E">
        <w:rPr>
          <w:rStyle w:val="fontstyle01"/>
          <w:color w:val="auto"/>
          <w:lang w:val="en-US"/>
        </w:rPr>
        <w:instrText>parts</w:instrText>
      </w:r>
      <w:r w:rsidR="00A02E0E" w:rsidRPr="00A02E0E">
        <w:rPr>
          <w:rStyle w:val="fontstyle01"/>
          <w:color w:val="auto"/>
        </w:rPr>
        <w:instrText>":[["2016"]]},"</w:instrText>
      </w:r>
      <w:r w:rsidR="00A02E0E">
        <w:rPr>
          <w:rStyle w:val="fontstyle01"/>
          <w:color w:val="auto"/>
          <w:lang w:val="en-US"/>
        </w:rPr>
        <w:instrText>page</w:instrText>
      </w:r>
      <w:r w:rsidR="00A02E0E" w:rsidRPr="00A02E0E">
        <w:rPr>
          <w:rStyle w:val="fontstyle01"/>
          <w:color w:val="auto"/>
        </w:rPr>
        <w:instrText>":"44-53","</w:instrText>
      </w:r>
      <w:r w:rsidR="00A02E0E">
        <w:rPr>
          <w:rStyle w:val="fontstyle01"/>
          <w:color w:val="auto"/>
          <w:lang w:val="en-US"/>
        </w:rPr>
        <w:instrText>title</w:instrText>
      </w:r>
      <w:r w:rsidR="00A02E0E" w:rsidRPr="00A02E0E">
        <w:rPr>
          <w:rStyle w:val="fontstyle01"/>
          <w:color w:val="auto"/>
        </w:rPr>
        <w:instrText>":"</w:instrText>
      </w:r>
      <w:r w:rsidR="00A02E0E">
        <w:rPr>
          <w:rStyle w:val="fontstyle01"/>
          <w:color w:val="auto"/>
          <w:lang w:val="en-US"/>
        </w:rPr>
        <w:instrText>Sublingual</w:instrText>
      </w:r>
      <w:r w:rsidR="00A02E0E" w:rsidRPr="00A02E0E">
        <w:rPr>
          <w:rStyle w:val="fontstyle01"/>
          <w:color w:val="auto"/>
        </w:rPr>
        <w:instrText xml:space="preserve"> </w:instrText>
      </w:r>
      <w:r w:rsidR="00A02E0E">
        <w:rPr>
          <w:rStyle w:val="fontstyle01"/>
          <w:color w:val="auto"/>
          <w:lang w:val="en-US"/>
        </w:rPr>
        <w:instrText>immunotherapy</w:instrText>
      </w:r>
      <w:r w:rsidR="00A02E0E" w:rsidRPr="00A02E0E">
        <w:rPr>
          <w:rStyle w:val="fontstyle01"/>
          <w:color w:val="auto"/>
        </w:rPr>
        <w:instrText xml:space="preserve"> (</w:instrText>
      </w:r>
      <w:r w:rsidR="00A02E0E">
        <w:rPr>
          <w:rStyle w:val="fontstyle01"/>
          <w:color w:val="auto"/>
          <w:lang w:val="en-US"/>
        </w:rPr>
        <w:instrText>SLIT</w:instrText>
      </w:r>
      <w:r w:rsidR="00A02E0E" w:rsidRPr="00A02E0E">
        <w:rPr>
          <w:rStyle w:val="fontstyle01"/>
          <w:color w:val="auto"/>
        </w:rPr>
        <w:instrText xml:space="preserve">) - </w:instrText>
      </w:r>
      <w:r w:rsidR="00A02E0E">
        <w:rPr>
          <w:rStyle w:val="fontstyle01"/>
          <w:color w:val="auto"/>
          <w:lang w:val="en-US"/>
        </w:rPr>
        <w:instrText>Indications</w:instrText>
      </w:r>
      <w:r w:rsidR="00A02E0E" w:rsidRPr="00A02E0E">
        <w:rPr>
          <w:rStyle w:val="fontstyle01"/>
          <w:color w:val="auto"/>
        </w:rPr>
        <w:instrText xml:space="preserve">, </w:instrText>
      </w:r>
      <w:r w:rsidR="00A02E0E">
        <w:rPr>
          <w:rStyle w:val="fontstyle01"/>
          <w:color w:val="auto"/>
          <w:lang w:val="en-US"/>
        </w:rPr>
        <w:instrText>mechanism</w:instrText>
      </w:r>
      <w:r w:rsidR="00A02E0E" w:rsidRPr="00A02E0E">
        <w:rPr>
          <w:rStyle w:val="fontstyle01"/>
          <w:color w:val="auto"/>
        </w:rPr>
        <w:instrText xml:space="preserve">, </w:instrText>
      </w:r>
      <w:r w:rsidR="00A02E0E">
        <w:rPr>
          <w:rStyle w:val="fontstyle01"/>
          <w:color w:val="auto"/>
          <w:lang w:val="en-US"/>
        </w:rPr>
        <w:instrText>and</w:instrText>
      </w:r>
      <w:r w:rsidR="00A02E0E" w:rsidRPr="00A02E0E">
        <w:rPr>
          <w:rStyle w:val="fontstyle01"/>
          <w:color w:val="auto"/>
        </w:rPr>
        <w:instrText xml:space="preserve"> </w:instrText>
      </w:r>
      <w:r w:rsidR="00A02E0E">
        <w:rPr>
          <w:rStyle w:val="fontstyle01"/>
          <w:color w:val="auto"/>
          <w:lang w:val="en-US"/>
        </w:rPr>
        <w:instrText>efficacy</w:instrText>
      </w:r>
      <w:r w:rsidR="00A02E0E" w:rsidRPr="00A02E0E">
        <w:rPr>
          <w:rStyle w:val="fontstyle01"/>
          <w:color w:val="auto"/>
        </w:rPr>
        <w:instrText xml:space="preserve">: </w:instrText>
      </w:r>
      <w:r w:rsidR="00A02E0E">
        <w:rPr>
          <w:rStyle w:val="fontstyle01"/>
          <w:color w:val="auto"/>
          <w:lang w:val="en-US"/>
        </w:rPr>
        <w:instrText>Position</w:instrText>
      </w:r>
      <w:r w:rsidR="00A02E0E" w:rsidRPr="00A02E0E">
        <w:rPr>
          <w:rStyle w:val="fontstyle01"/>
          <w:color w:val="auto"/>
        </w:rPr>
        <w:instrText xml:space="preserve"> </w:instrText>
      </w:r>
      <w:r w:rsidR="00A02E0E">
        <w:rPr>
          <w:rStyle w:val="fontstyle01"/>
          <w:color w:val="auto"/>
          <w:lang w:val="en-US"/>
        </w:rPr>
        <w:instrText>paper</w:instrText>
      </w:r>
      <w:r w:rsidR="00A02E0E" w:rsidRPr="00A02E0E">
        <w:rPr>
          <w:rStyle w:val="fontstyle01"/>
          <w:color w:val="auto"/>
        </w:rPr>
        <w:instrText xml:space="preserve"> </w:instrText>
      </w:r>
      <w:r w:rsidR="00A02E0E">
        <w:rPr>
          <w:rStyle w:val="fontstyle01"/>
          <w:color w:val="auto"/>
          <w:lang w:val="en-US"/>
        </w:rPr>
        <w:instrText>prepared</w:instrText>
      </w:r>
      <w:r w:rsidR="00A02E0E" w:rsidRPr="00A02E0E">
        <w:rPr>
          <w:rStyle w:val="fontstyle01"/>
          <w:color w:val="auto"/>
        </w:rPr>
        <w:instrText xml:space="preserve"> </w:instrText>
      </w:r>
      <w:r w:rsidR="00A02E0E">
        <w:rPr>
          <w:rStyle w:val="fontstyle01"/>
          <w:color w:val="auto"/>
          <w:lang w:val="en-US"/>
        </w:rPr>
        <w:instrText>by</w:instrText>
      </w:r>
      <w:r w:rsidR="00A02E0E" w:rsidRPr="00A02E0E">
        <w:rPr>
          <w:rStyle w:val="fontstyle01"/>
          <w:color w:val="auto"/>
        </w:rPr>
        <w:instrText xml:space="preserve"> </w:instrText>
      </w:r>
      <w:r w:rsidR="00A02E0E">
        <w:rPr>
          <w:rStyle w:val="fontstyle01"/>
          <w:color w:val="auto"/>
          <w:lang w:val="en-US"/>
        </w:rPr>
        <w:instrText>the</w:instrText>
      </w:r>
      <w:r w:rsidR="00A02E0E" w:rsidRPr="00A02E0E">
        <w:rPr>
          <w:rStyle w:val="fontstyle01"/>
          <w:color w:val="auto"/>
        </w:rPr>
        <w:instrText xml:space="preserve"> </w:instrText>
      </w:r>
      <w:r w:rsidR="00A02E0E">
        <w:rPr>
          <w:rStyle w:val="fontstyle01"/>
          <w:color w:val="auto"/>
          <w:lang w:val="en-US"/>
        </w:rPr>
        <w:instrText>section</w:instrText>
      </w:r>
      <w:r w:rsidR="00A02E0E" w:rsidRPr="00A02E0E">
        <w:rPr>
          <w:rStyle w:val="fontstyle01"/>
          <w:color w:val="auto"/>
        </w:rPr>
        <w:instrText xml:space="preserve"> </w:instrText>
      </w:r>
      <w:r w:rsidR="00A02E0E">
        <w:rPr>
          <w:rStyle w:val="fontstyle01"/>
          <w:color w:val="auto"/>
          <w:lang w:val="en-US"/>
        </w:rPr>
        <w:instrText>of</w:instrText>
      </w:r>
      <w:r w:rsidR="00A02E0E" w:rsidRPr="00A02E0E">
        <w:rPr>
          <w:rStyle w:val="fontstyle01"/>
          <w:color w:val="auto"/>
        </w:rPr>
        <w:instrText xml:space="preserve"> </w:instrText>
      </w:r>
      <w:r w:rsidR="00A02E0E">
        <w:rPr>
          <w:rStyle w:val="fontstyle01"/>
          <w:color w:val="auto"/>
          <w:lang w:val="en-US"/>
        </w:rPr>
        <w:instrText>immunotherapy</w:instrText>
      </w:r>
      <w:r w:rsidR="00A02E0E" w:rsidRPr="00A02E0E">
        <w:rPr>
          <w:rStyle w:val="fontstyle01"/>
          <w:color w:val="auto"/>
        </w:rPr>
        <w:instrText xml:space="preserve">, </w:instrText>
      </w:r>
      <w:r w:rsidR="00A02E0E">
        <w:rPr>
          <w:rStyle w:val="fontstyle01"/>
          <w:color w:val="auto"/>
          <w:lang w:val="en-US"/>
        </w:rPr>
        <w:instrText>polish</w:instrText>
      </w:r>
      <w:r w:rsidR="00A02E0E" w:rsidRPr="00A02E0E">
        <w:rPr>
          <w:rStyle w:val="fontstyle01"/>
          <w:color w:val="auto"/>
        </w:rPr>
        <w:instrText xml:space="preserve"> </w:instrText>
      </w:r>
      <w:r w:rsidR="00A02E0E">
        <w:rPr>
          <w:rStyle w:val="fontstyle01"/>
          <w:color w:val="auto"/>
          <w:lang w:val="en-US"/>
        </w:rPr>
        <w:instrText>society</w:instrText>
      </w:r>
      <w:r w:rsidR="00A02E0E" w:rsidRPr="00A02E0E">
        <w:rPr>
          <w:rStyle w:val="fontstyle01"/>
          <w:color w:val="auto"/>
        </w:rPr>
        <w:instrText xml:space="preserve"> </w:instrText>
      </w:r>
      <w:r w:rsidR="00A02E0E">
        <w:rPr>
          <w:rStyle w:val="fontstyle01"/>
          <w:color w:val="auto"/>
          <w:lang w:val="en-US"/>
        </w:rPr>
        <w:instrText>of</w:instrText>
      </w:r>
      <w:r w:rsidR="00A02E0E" w:rsidRPr="00A02E0E">
        <w:rPr>
          <w:rStyle w:val="fontstyle01"/>
          <w:color w:val="auto"/>
        </w:rPr>
        <w:instrText xml:space="preserve"> </w:instrText>
      </w:r>
      <w:r w:rsidR="00A02E0E">
        <w:rPr>
          <w:rStyle w:val="fontstyle01"/>
          <w:color w:val="auto"/>
          <w:lang w:val="en-US"/>
        </w:rPr>
        <w:instrText>allergy</w:instrText>
      </w:r>
      <w:r w:rsidR="00A02E0E" w:rsidRPr="00A02E0E">
        <w:rPr>
          <w:rStyle w:val="fontstyle01"/>
          <w:color w:val="auto"/>
        </w:rPr>
        <w:instrText>","</w:instrText>
      </w:r>
      <w:r w:rsidR="00A02E0E">
        <w:rPr>
          <w:rStyle w:val="fontstyle01"/>
          <w:color w:val="auto"/>
          <w:lang w:val="en-US"/>
        </w:rPr>
        <w:instrText>type</w:instrText>
      </w:r>
      <w:r w:rsidR="00A02E0E" w:rsidRPr="00A02E0E">
        <w:rPr>
          <w:rStyle w:val="fontstyle01"/>
          <w:color w:val="auto"/>
        </w:rPr>
        <w:instrText>":"</w:instrText>
      </w:r>
      <w:r w:rsidR="00A02E0E">
        <w:rPr>
          <w:rStyle w:val="fontstyle01"/>
          <w:color w:val="auto"/>
          <w:lang w:val="en-US"/>
        </w:rPr>
        <w:instrText>article</w:instrText>
      </w:r>
      <w:r w:rsidR="00A02E0E" w:rsidRPr="00A02E0E">
        <w:rPr>
          <w:rStyle w:val="fontstyle01"/>
          <w:color w:val="auto"/>
        </w:rPr>
        <w:instrText>-</w:instrText>
      </w:r>
      <w:r w:rsidR="00A02E0E">
        <w:rPr>
          <w:rStyle w:val="fontstyle01"/>
          <w:color w:val="auto"/>
          <w:lang w:val="en-US"/>
        </w:rPr>
        <w:instrText>journal</w:instrText>
      </w:r>
      <w:r w:rsidR="00A02E0E" w:rsidRPr="00A02E0E">
        <w:rPr>
          <w:rStyle w:val="fontstyle01"/>
          <w:color w:val="auto"/>
        </w:rPr>
        <w:instrText>","</w:instrText>
      </w:r>
      <w:r w:rsidR="00A02E0E">
        <w:rPr>
          <w:rStyle w:val="fontstyle01"/>
          <w:color w:val="auto"/>
          <w:lang w:val="en-US"/>
        </w:rPr>
        <w:instrText>volume</w:instrText>
      </w:r>
      <w:r w:rsidR="00A02E0E" w:rsidRPr="00A02E0E">
        <w:rPr>
          <w:rStyle w:val="fontstyle01"/>
          <w:color w:val="auto"/>
        </w:rPr>
        <w:instrText>":"23"},"</w:instrText>
      </w:r>
      <w:r w:rsidR="00A02E0E">
        <w:rPr>
          <w:rStyle w:val="fontstyle01"/>
          <w:color w:val="auto"/>
          <w:lang w:val="en-US"/>
        </w:rPr>
        <w:instrText>uris</w:instrText>
      </w:r>
      <w:r w:rsidR="00A02E0E" w:rsidRPr="00A02E0E">
        <w:rPr>
          <w:rStyle w:val="fontstyle01"/>
          <w:color w:val="auto"/>
        </w:rPr>
        <w:instrText>":["</w:instrText>
      </w:r>
      <w:r w:rsidR="00A02E0E">
        <w:rPr>
          <w:rStyle w:val="fontstyle01"/>
          <w:color w:val="auto"/>
          <w:lang w:val="en-US"/>
        </w:rPr>
        <w:instrText>http</w:instrText>
      </w:r>
      <w:r w:rsidR="00A02E0E" w:rsidRPr="00A02E0E">
        <w:rPr>
          <w:rStyle w:val="fontstyle01"/>
          <w:color w:val="auto"/>
        </w:rPr>
        <w:instrText>://</w:instrText>
      </w:r>
      <w:r w:rsidR="00A02E0E">
        <w:rPr>
          <w:rStyle w:val="fontstyle01"/>
          <w:color w:val="auto"/>
          <w:lang w:val="en-US"/>
        </w:rPr>
        <w:instrText>www</w:instrText>
      </w:r>
      <w:r w:rsidR="00A02E0E" w:rsidRPr="00A02E0E">
        <w:rPr>
          <w:rStyle w:val="fontstyle01"/>
          <w:color w:val="auto"/>
        </w:rPr>
        <w:instrText>.</w:instrText>
      </w:r>
      <w:r w:rsidR="00A02E0E">
        <w:rPr>
          <w:rStyle w:val="fontstyle01"/>
          <w:color w:val="auto"/>
          <w:lang w:val="en-US"/>
        </w:rPr>
        <w:instrText>mendeley</w:instrText>
      </w:r>
      <w:r w:rsidR="00A02E0E" w:rsidRPr="00A02E0E">
        <w:rPr>
          <w:rStyle w:val="fontstyle01"/>
          <w:color w:val="auto"/>
        </w:rPr>
        <w:instrText>.</w:instrText>
      </w:r>
      <w:r w:rsidR="00A02E0E">
        <w:rPr>
          <w:rStyle w:val="fontstyle01"/>
          <w:color w:val="auto"/>
          <w:lang w:val="en-US"/>
        </w:rPr>
        <w:instrText>com</w:instrText>
      </w:r>
      <w:r w:rsidR="00A02E0E" w:rsidRPr="00A02E0E">
        <w:rPr>
          <w:rStyle w:val="fontstyle01"/>
          <w:color w:val="auto"/>
        </w:rPr>
        <w:instrText>/</w:instrText>
      </w:r>
      <w:r w:rsidR="00A02E0E">
        <w:rPr>
          <w:rStyle w:val="fontstyle01"/>
          <w:color w:val="auto"/>
          <w:lang w:val="en-US"/>
        </w:rPr>
        <w:instrText>documents</w:instrText>
      </w:r>
      <w:r w:rsidR="00A02E0E" w:rsidRPr="00A02E0E">
        <w:rPr>
          <w:rStyle w:val="fontstyle01"/>
          <w:color w:val="auto"/>
        </w:rPr>
        <w:instrText>/?</w:instrText>
      </w:r>
      <w:r w:rsidR="00A02E0E">
        <w:rPr>
          <w:rStyle w:val="fontstyle01"/>
          <w:color w:val="auto"/>
          <w:lang w:val="en-US"/>
        </w:rPr>
        <w:instrText>uuid</w:instrText>
      </w:r>
      <w:r w:rsidR="00A02E0E" w:rsidRPr="00A02E0E">
        <w:rPr>
          <w:rStyle w:val="fontstyle01"/>
          <w:color w:val="auto"/>
        </w:rPr>
        <w:instrText>=9</w:instrText>
      </w:r>
      <w:r w:rsidR="00A02E0E">
        <w:rPr>
          <w:rStyle w:val="fontstyle01"/>
          <w:color w:val="auto"/>
          <w:lang w:val="en-US"/>
        </w:rPr>
        <w:instrText>ec</w:instrText>
      </w:r>
      <w:r w:rsidR="00A02E0E" w:rsidRPr="00A02E0E">
        <w:rPr>
          <w:rStyle w:val="fontstyle01"/>
          <w:color w:val="auto"/>
        </w:rPr>
        <w:instrText>46454-</w:instrText>
      </w:r>
      <w:r w:rsidR="00A02E0E">
        <w:rPr>
          <w:rStyle w:val="fontstyle01"/>
          <w:color w:val="auto"/>
          <w:lang w:val="en-US"/>
        </w:rPr>
        <w:instrText>ce</w:instrText>
      </w:r>
      <w:r w:rsidR="00A02E0E" w:rsidRPr="00A02E0E">
        <w:rPr>
          <w:rStyle w:val="fontstyle01"/>
          <w:color w:val="auto"/>
        </w:rPr>
        <w:instrText>39-4</w:instrText>
      </w:r>
      <w:r w:rsidR="00A02E0E">
        <w:rPr>
          <w:rStyle w:val="fontstyle01"/>
          <w:color w:val="auto"/>
          <w:lang w:val="en-US"/>
        </w:rPr>
        <w:instrText>ea</w:instrText>
      </w:r>
      <w:r w:rsidR="00A02E0E" w:rsidRPr="00A02E0E">
        <w:rPr>
          <w:rStyle w:val="fontstyle01"/>
          <w:color w:val="auto"/>
        </w:rPr>
        <w:instrText>6-</w:instrText>
      </w:r>
      <w:r w:rsidR="00A02E0E">
        <w:rPr>
          <w:rStyle w:val="fontstyle01"/>
          <w:color w:val="auto"/>
          <w:lang w:val="en-US"/>
        </w:rPr>
        <w:instrText>b</w:instrText>
      </w:r>
      <w:r w:rsidR="00A02E0E" w:rsidRPr="00A02E0E">
        <w:rPr>
          <w:rStyle w:val="fontstyle01"/>
          <w:color w:val="auto"/>
        </w:rPr>
        <w:instrText>7</w:instrText>
      </w:r>
      <w:r w:rsidR="00A02E0E">
        <w:rPr>
          <w:rStyle w:val="fontstyle01"/>
          <w:color w:val="auto"/>
          <w:lang w:val="en-US"/>
        </w:rPr>
        <w:instrText>cb</w:instrText>
      </w:r>
      <w:r w:rsidR="00A02E0E" w:rsidRPr="00A02E0E">
        <w:rPr>
          <w:rStyle w:val="fontstyle01"/>
          <w:color w:val="auto"/>
        </w:rPr>
        <w:instrText>-</w:instrText>
      </w:r>
      <w:r w:rsidR="00A02E0E">
        <w:rPr>
          <w:rStyle w:val="fontstyle01"/>
          <w:color w:val="auto"/>
          <w:lang w:val="en-US"/>
        </w:rPr>
        <w:instrText>f</w:instrText>
      </w:r>
      <w:r w:rsidR="00A02E0E" w:rsidRPr="00A02E0E">
        <w:rPr>
          <w:rStyle w:val="fontstyle01"/>
          <w:color w:val="auto"/>
        </w:rPr>
        <w:instrText>400816</w:instrText>
      </w:r>
      <w:r w:rsidR="00A02E0E">
        <w:rPr>
          <w:rStyle w:val="fontstyle01"/>
          <w:color w:val="auto"/>
          <w:lang w:val="en-US"/>
        </w:rPr>
        <w:instrText>bfb</w:instrText>
      </w:r>
      <w:r w:rsidR="00A02E0E" w:rsidRPr="00A02E0E">
        <w:rPr>
          <w:rStyle w:val="fontstyle01"/>
          <w:color w:val="auto"/>
        </w:rPr>
        <w:instrText>1</w:instrText>
      </w:r>
      <w:r w:rsidR="00A02E0E">
        <w:rPr>
          <w:rStyle w:val="fontstyle01"/>
          <w:color w:val="auto"/>
          <w:lang w:val="en-US"/>
        </w:rPr>
        <w:instrText>a</w:instrText>
      </w:r>
      <w:r w:rsidR="00A02E0E" w:rsidRPr="00A02E0E">
        <w:rPr>
          <w:rStyle w:val="fontstyle01"/>
          <w:color w:val="auto"/>
        </w:rPr>
        <w:instrText>"]}],"</w:instrText>
      </w:r>
      <w:r w:rsidR="00A02E0E">
        <w:rPr>
          <w:rStyle w:val="fontstyle01"/>
          <w:color w:val="auto"/>
          <w:lang w:val="en-US"/>
        </w:rPr>
        <w:instrText>mendeley</w:instrText>
      </w:r>
      <w:r w:rsidR="00A02E0E" w:rsidRPr="00A02E0E">
        <w:rPr>
          <w:rStyle w:val="fontstyle01"/>
          <w:color w:val="auto"/>
        </w:rPr>
        <w:instrText>":{"</w:instrText>
      </w:r>
      <w:r w:rsidR="00A02E0E">
        <w:rPr>
          <w:rStyle w:val="fontstyle01"/>
          <w:color w:val="auto"/>
          <w:lang w:val="en-US"/>
        </w:rPr>
        <w:instrText>formattedCitation</w:instrText>
      </w:r>
      <w:r w:rsidR="00A02E0E" w:rsidRPr="00A02E0E">
        <w:rPr>
          <w:rStyle w:val="fontstyle01"/>
          <w:color w:val="auto"/>
        </w:rPr>
        <w:instrText>":"[35,61,131,139]","</w:instrText>
      </w:r>
      <w:r w:rsidR="00A02E0E">
        <w:rPr>
          <w:rStyle w:val="fontstyle01"/>
          <w:color w:val="auto"/>
          <w:lang w:val="en-US"/>
        </w:rPr>
        <w:instrText>plainTextFormattedCitation</w:instrText>
      </w:r>
      <w:r w:rsidR="00A02E0E" w:rsidRPr="00A02E0E">
        <w:rPr>
          <w:rStyle w:val="fontstyle01"/>
          <w:color w:val="auto"/>
        </w:rPr>
        <w:instrText>":"[35,61,131,139]","</w:instrText>
      </w:r>
      <w:r w:rsidR="00A02E0E">
        <w:rPr>
          <w:rStyle w:val="fontstyle01"/>
          <w:color w:val="auto"/>
          <w:lang w:val="en-US"/>
        </w:rPr>
        <w:instrText>previouslyFormattedCitation</w:instrText>
      </w:r>
      <w:r w:rsidR="00A02E0E" w:rsidRPr="00A02E0E">
        <w:rPr>
          <w:rStyle w:val="fontstyle01"/>
          <w:color w:val="auto"/>
        </w:rPr>
        <w:instrText>":"[35,61,131,139]"},"</w:instrText>
      </w:r>
      <w:r w:rsidR="00A02E0E">
        <w:rPr>
          <w:rStyle w:val="fontstyle01"/>
          <w:color w:val="auto"/>
          <w:lang w:val="en-US"/>
        </w:rPr>
        <w:instrText>properties</w:instrText>
      </w:r>
      <w:r w:rsidR="00A02E0E" w:rsidRPr="00A02E0E">
        <w:rPr>
          <w:rStyle w:val="fontstyle01"/>
          <w:color w:val="auto"/>
        </w:rPr>
        <w:instrText>":{"</w:instrText>
      </w:r>
      <w:r w:rsidR="00A02E0E">
        <w:rPr>
          <w:rStyle w:val="fontstyle01"/>
          <w:color w:val="auto"/>
          <w:lang w:val="en-US"/>
        </w:rPr>
        <w:instrText>noteIndex</w:instrText>
      </w:r>
      <w:r w:rsidR="00A02E0E" w:rsidRPr="00A02E0E">
        <w:rPr>
          <w:rStyle w:val="fontstyle01"/>
          <w:color w:val="auto"/>
        </w:rPr>
        <w:instrText>":0},"</w:instrText>
      </w:r>
      <w:r w:rsidR="00A02E0E">
        <w:rPr>
          <w:rStyle w:val="fontstyle01"/>
          <w:color w:val="auto"/>
          <w:lang w:val="en-US"/>
        </w:rPr>
        <w:instrText>schema</w:instrText>
      </w:r>
      <w:r w:rsidR="00A02E0E" w:rsidRPr="00A02E0E">
        <w:rPr>
          <w:rStyle w:val="fontstyle01"/>
          <w:color w:val="auto"/>
        </w:rPr>
        <w:instrText>":"</w:instrText>
      </w:r>
      <w:r w:rsidR="00A02E0E">
        <w:rPr>
          <w:rStyle w:val="fontstyle01"/>
          <w:color w:val="auto"/>
          <w:lang w:val="en-US"/>
        </w:rPr>
        <w:instrText>https</w:instrText>
      </w:r>
      <w:r w:rsidR="00A02E0E" w:rsidRPr="00A02E0E">
        <w:rPr>
          <w:rStyle w:val="fontstyle01"/>
          <w:color w:val="auto"/>
        </w:rPr>
        <w:instrText>://</w:instrText>
      </w:r>
      <w:r w:rsidR="00A02E0E">
        <w:rPr>
          <w:rStyle w:val="fontstyle01"/>
          <w:color w:val="auto"/>
          <w:lang w:val="en-US"/>
        </w:rPr>
        <w:instrText>github</w:instrText>
      </w:r>
      <w:r w:rsidR="00A02E0E" w:rsidRPr="00A02E0E">
        <w:rPr>
          <w:rStyle w:val="fontstyle01"/>
          <w:color w:val="auto"/>
        </w:rPr>
        <w:instrText>.</w:instrText>
      </w:r>
      <w:r w:rsidR="00A02E0E">
        <w:rPr>
          <w:rStyle w:val="fontstyle01"/>
          <w:color w:val="auto"/>
          <w:lang w:val="en-US"/>
        </w:rPr>
        <w:instrText>com</w:instrText>
      </w:r>
      <w:r w:rsidR="00A02E0E" w:rsidRPr="00A02E0E">
        <w:rPr>
          <w:rStyle w:val="fontstyle01"/>
          <w:color w:val="auto"/>
        </w:rPr>
        <w:instrText>/</w:instrText>
      </w:r>
      <w:r w:rsidR="00A02E0E">
        <w:rPr>
          <w:rStyle w:val="fontstyle01"/>
          <w:color w:val="auto"/>
          <w:lang w:val="en-US"/>
        </w:rPr>
        <w:instrText>citation</w:instrText>
      </w:r>
      <w:r w:rsidR="00A02E0E" w:rsidRPr="00A02E0E">
        <w:rPr>
          <w:rStyle w:val="fontstyle01"/>
          <w:color w:val="auto"/>
        </w:rPr>
        <w:instrText>-</w:instrText>
      </w:r>
      <w:r w:rsidR="00A02E0E">
        <w:rPr>
          <w:rStyle w:val="fontstyle01"/>
          <w:color w:val="auto"/>
          <w:lang w:val="en-US"/>
        </w:rPr>
        <w:instrText>style</w:instrText>
      </w:r>
      <w:r w:rsidR="00A02E0E" w:rsidRPr="00A02E0E">
        <w:rPr>
          <w:rStyle w:val="fontstyle01"/>
          <w:color w:val="auto"/>
        </w:rPr>
        <w:instrText>-</w:instrText>
      </w:r>
      <w:r w:rsidR="00A02E0E">
        <w:rPr>
          <w:rStyle w:val="fontstyle01"/>
          <w:color w:val="auto"/>
          <w:lang w:val="en-US"/>
        </w:rPr>
        <w:instrText>language</w:instrText>
      </w:r>
      <w:r w:rsidR="00A02E0E" w:rsidRPr="00A02E0E">
        <w:rPr>
          <w:rStyle w:val="fontstyle01"/>
          <w:color w:val="auto"/>
        </w:rPr>
        <w:instrText>/</w:instrText>
      </w:r>
      <w:r w:rsidR="00A02E0E">
        <w:rPr>
          <w:rStyle w:val="fontstyle01"/>
          <w:color w:val="auto"/>
          <w:lang w:val="en-US"/>
        </w:rPr>
        <w:instrText>schema</w:instrText>
      </w:r>
      <w:r w:rsidR="00A02E0E" w:rsidRPr="00A02E0E">
        <w:rPr>
          <w:rStyle w:val="fontstyle01"/>
          <w:color w:val="auto"/>
        </w:rPr>
        <w:instrText>/</w:instrText>
      </w:r>
      <w:r w:rsidR="00A02E0E">
        <w:rPr>
          <w:rStyle w:val="fontstyle01"/>
          <w:color w:val="auto"/>
          <w:lang w:val="en-US"/>
        </w:rPr>
        <w:instrText>raw</w:instrText>
      </w:r>
      <w:r w:rsidR="00A02E0E" w:rsidRPr="00A02E0E">
        <w:rPr>
          <w:rStyle w:val="fontstyle01"/>
          <w:color w:val="auto"/>
        </w:rPr>
        <w:instrText>/</w:instrText>
      </w:r>
      <w:r w:rsidR="00A02E0E">
        <w:rPr>
          <w:rStyle w:val="fontstyle01"/>
          <w:color w:val="auto"/>
          <w:lang w:val="en-US"/>
        </w:rPr>
        <w:instrText>master</w:instrText>
      </w:r>
      <w:r w:rsidR="00A02E0E" w:rsidRPr="00A02E0E">
        <w:rPr>
          <w:rStyle w:val="fontstyle01"/>
          <w:color w:val="auto"/>
        </w:rPr>
        <w:instrText>/</w:instrText>
      </w:r>
      <w:r w:rsidR="00A02E0E">
        <w:rPr>
          <w:rStyle w:val="fontstyle01"/>
          <w:color w:val="auto"/>
          <w:lang w:val="en-US"/>
        </w:rPr>
        <w:instrText>csl</w:instrText>
      </w:r>
      <w:r w:rsidR="00A02E0E" w:rsidRPr="00A02E0E">
        <w:rPr>
          <w:rStyle w:val="fontstyle01"/>
          <w:color w:val="auto"/>
        </w:rPr>
        <w:instrText>-</w:instrText>
      </w:r>
      <w:r w:rsidR="00A02E0E">
        <w:rPr>
          <w:rStyle w:val="fontstyle01"/>
          <w:color w:val="auto"/>
          <w:lang w:val="en-US"/>
        </w:rPr>
        <w:instrText>citation</w:instrText>
      </w:r>
      <w:r w:rsidR="00A02E0E" w:rsidRPr="00A02E0E">
        <w:rPr>
          <w:rStyle w:val="fontstyle01"/>
          <w:color w:val="auto"/>
        </w:rPr>
        <w:instrText>.</w:instrText>
      </w:r>
      <w:r w:rsidR="00A02E0E">
        <w:rPr>
          <w:rStyle w:val="fontstyle01"/>
          <w:color w:val="auto"/>
          <w:lang w:val="en-US"/>
        </w:rPr>
        <w:instrText>json</w:instrText>
      </w:r>
      <w:r w:rsidR="00A02E0E" w:rsidRPr="00A02E0E">
        <w:rPr>
          <w:rStyle w:val="fontstyle01"/>
          <w:color w:val="auto"/>
        </w:rPr>
        <w:instrText>"}</w:instrText>
      </w:r>
      <w:r w:rsidR="00705155" w:rsidRPr="001B27F8">
        <w:rPr>
          <w:rStyle w:val="fontstyle01"/>
          <w:color w:val="auto"/>
          <w:lang w:val="en-US"/>
        </w:rPr>
        <w:fldChar w:fldCharType="separate"/>
      </w:r>
      <w:r w:rsidR="00332566" w:rsidRPr="00332566">
        <w:rPr>
          <w:rStyle w:val="fontstyle01"/>
          <w:noProof/>
          <w:color w:val="auto"/>
        </w:rPr>
        <w:t>[35,61,131,139]</w:t>
      </w:r>
      <w:r w:rsidR="00705155" w:rsidRPr="001B27F8">
        <w:rPr>
          <w:rStyle w:val="fontstyle01"/>
          <w:color w:val="auto"/>
          <w:lang w:val="en-US"/>
        </w:rPr>
        <w:fldChar w:fldCharType="end"/>
      </w:r>
      <w:r w:rsidR="00665AE5" w:rsidRPr="00877069">
        <w:rPr>
          <w:rStyle w:val="fontstyle01"/>
          <w:color w:val="auto"/>
        </w:rPr>
        <w:t>.</w:t>
      </w:r>
      <w:r w:rsidR="000F5912" w:rsidRPr="00877069">
        <w:rPr>
          <w:rStyle w:val="fontstyle01"/>
          <w:color w:val="auto"/>
        </w:rPr>
        <w:t xml:space="preserve"> </w:t>
      </w:r>
      <w:r w:rsidR="00805CB6" w:rsidRPr="001B27F8">
        <w:rPr>
          <w:rStyle w:val="fontstyle01"/>
          <w:color w:val="auto"/>
        </w:rPr>
        <w:t xml:space="preserve">Резюмируя вышеизложенный материал, можно сделать вывод, что на сегодняшний день актуальной является проблема лечения сезонного аллергического ринита, что требует поиска новых и более эффективных подходов к его терапии. Таким образом, применение улучшенной адаптированной схемы аллерген-специфической иммунотерапии в комплексе с витамином Д </w:t>
      </w:r>
      <w:r w:rsidR="00142411" w:rsidRPr="001B27F8">
        <w:rPr>
          <w:rStyle w:val="fontstyle01"/>
          <w:color w:val="auto"/>
        </w:rPr>
        <w:t>предполагает</w:t>
      </w:r>
      <w:r w:rsidR="00805CB6" w:rsidRPr="001B27F8">
        <w:rPr>
          <w:rStyle w:val="fontstyle01"/>
          <w:color w:val="auto"/>
        </w:rPr>
        <w:t xml:space="preserve"> </w:t>
      </w:r>
      <w:r w:rsidR="00142411" w:rsidRPr="001B27F8">
        <w:rPr>
          <w:rStyle w:val="fontstyle01"/>
          <w:color w:val="auto"/>
        </w:rPr>
        <w:t xml:space="preserve">улучшение исхода терапии </w:t>
      </w:r>
      <w:r w:rsidR="00805CB6" w:rsidRPr="001B27F8">
        <w:rPr>
          <w:rStyle w:val="fontstyle01"/>
          <w:color w:val="auto"/>
        </w:rPr>
        <w:t>сезонных аллергических ринитов.</w:t>
      </w:r>
      <w:r w:rsidR="00E43D1F">
        <w:rPr>
          <w:rStyle w:val="fontstyle01"/>
          <w:color w:val="auto"/>
        </w:rPr>
        <w:br w:type="page"/>
      </w:r>
    </w:p>
    <w:p w14:paraId="6EE65DC5" w14:textId="7528DD4B" w:rsidR="00F57474" w:rsidRPr="00F57474" w:rsidRDefault="00F57474" w:rsidP="009F65CA">
      <w:pPr>
        <w:keepNext/>
        <w:keepLines/>
        <w:tabs>
          <w:tab w:val="left" w:pos="993"/>
        </w:tabs>
        <w:spacing w:after="0" w:line="240" w:lineRule="auto"/>
        <w:ind w:firstLine="567"/>
        <w:outlineLvl w:val="0"/>
        <w:rPr>
          <w:rFonts w:ascii="Times New Roman" w:eastAsiaTheme="majorEastAsia" w:hAnsi="Times New Roman" w:cs="Times New Roman"/>
          <w:b/>
          <w:sz w:val="28"/>
          <w:szCs w:val="28"/>
        </w:rPr>
      </w:pPr>
      <w:bookmarkStart w:id="16" w:name="_Toc137904340"/>
      <w:r w:rsidRPr="00F57474">
        <w:rPr>
          <w:rFonts w:ascii="Times New Roman" w:eastAsiaTheme="majorEastAsia" w:hAnsi="Times New Roman" w:cs="Times New Roman"/>
          <w:b/>
          <w:sz w:val="28"/>
          <w:szCs w:val="28"/>
        </w:rPr>
        <w:t>2 МАТЕРИАЛЫ И МЕТОДЫ ИССЛЕДОВАНИЯ</w:t>
      </w:r>
      <w:bookmarkEnd w:id="16"/>
    </w:p>
    <w:p w14:paraId="78842629" w14:textId="3B9D1511" w:rsidR="00F57474" w:rsidRPr="00F57474" w:rsidRDefault="00F57474" w:rsidP="009F65CA">
      <w:pPr>
        <w:spacing w:after="0" w:line="240" w:lineRule="auto"/>
        <w:rPr>
          <w:rFonts w:ascii="Times New Roman" w:hAnsi="Times New Roman" w:cs="Times New Roman"/>
          <w:sz w:val="28"/>
          <w:szCs w:val="28"/>
        </w:rPr>
      </w:pPr>
    </w:p>
    <w:p w14:paraId="00B8FA25" w14:textId="27389FA5" w:rsidR="00F57474" w:rsidRPr="0072694A" w:rsidRDefault="00F57474" w:rsidP="009F65CA">
      <w:pPr>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rPr>
        <w:t xml:space="preserve">Для достижения поставленной цели и запланированных задач диссертационной работы нами была разработана комплексная программа оптимизация алгоритма аллерген-специфической иммунотерапии при сезонных аллергических заболеваниях, на примере сезонного аллергического ринита. В структуре исследования было </w:t>
      </w:r>
      <w:r w:rsidRPr="0072694A">
        <w:rPr>
          <w:rFonts w:ascii="Times New Roman" w:hAnsi="Times New Roman" w:cs="Times New Roman"/>
          <w:sz w:val="28"/>
          <w:szCs w:val="28"/>
        </w:rPr>
        <w:t xml:space="preserve">выделено </w:t>
      </w:r>
      <w:r w:rsidR="00D01D67" w:rsidRPr="0072694A">
        <w:rPr>
          <w:rFonts w:ascii="Times New Roman" w:hAnsi="Times New Roman" w:cs="Times New Roman"/>
          <w:sz w:val="28"/>
          <w:szCs w:val="28"/>
        </w:rPr>
        <w:t>3</w:t>
      </w:r>
      <w:r w:rsidRPr="0072694A">
        <w:rPr>
          <w:rFonts w:ascii="Times New Roman" w:hAnsi="Times New Roman" w:cs="Times New Roman"/>
          <w:sz w:val="28"/>
          <w:szCs w:val="28"/>
        </w:rPr>
        <w:t xml:space="preserve"> основных этапа:</w:t>
      </w:r>
    </w:p>
    <w:p w14:paraId="53610BAC" w14:textId="58F3026C" w:rsidR="00F57474" w:rsidRPr="0072694A" w:rsidRDefault="00F57474" w:rsidP="009F65CA">
      <w:pPr>
        <w:spacing w:after="0" w:line="240" w:lineRule="auto"/>
        <w:ind w:firstLine="567"/>
        <w:jc w:val="both"/>
        <w:rPr>
          <w:rFonts w:ascii="Times New Roman" w:hAnsi="Times New Roman" w:cs="Times New Roman"/>
          <w:sz w:val="28"/>
          <w:szCs w:val="28"/>
        </w:rPr>
      </w:pPr>
      <w:r w:rsidRPr="0072694A">
        <w:rPr>
          <w:rFonts w:ascii="Times New Roman" w:hAnsi="Times New Roman" w:cs="Times New Roman"/>
          <w:i/>
          <w:sz w:val="28"/>
          <w:szCs w:val="28"/>
        </w:rPr>
        <w:t>1 этап исследования:</w:t>
      </w:r>
      <w:r w:rsidRPr="0072694A">
        <w:rPr>
          <w:rFonts w:ascii="Times New Roman" w:hAnsi="Times New Roman" w:cs="Times New Roman"/>
          <w:sz w:val="28"/>
          <w:szCs w:val="28"/>
        </w:rPr>
        <w:t xml:space="preserve"> систематический обзор исследований, посвященных проведению</w:t>
      </w:r>
      <w:r w:rsidR="00E17EB5">
        <w:rPr>
          <w:rFonts w:ascii="Times New Roman" w:hAnsi="Times New Roman" w:cs="Times New Roman"/>
          <w:sz w:val="28"/>
          <w:szCs w:val="28"/>
        </w:rPr>
        <w:t xml:space="preserve"> молекулярной аллергодиагностике при</w:t>
      </w:r>
      <w:r w:rsidRPr="0072694A">
        <w:rPr>
          <w:rFonts w:ascii="Times New Roman" w:hAnsi="Times New Roman" w:cs="Times New Roman"/>
          <w:sz w:val="28"/>
          <w:szCs w:val="28"/>
        </w:rPr>
        <w:t xml:space="preserve"> аллерген-специфической иммунотерапии.</w:t>
      </w:r>
    </w:p>
    <w:p w14:paraId="4D09A219" w14:textId="77777777" w:rsidR="00F57474" w:rsidRPr="0072694A" w:rsidRDefault="00F57474" w:rsidP="009F65CA">
      <w:pPr>
        <w:spacing w:after="0" w:line="240" w:lineRule="auto"/>
        <w:ind w:firstLine="567"/>
        <w:jc w:val="both"/>
        <w:rPr>
          <w:rFonts w:ascii="Times New Roman" w:hAnsi="Times New Roman" w:cs="Times New Roman"/>
          <w:sz w:val="28"/>
          <w:szCs w:val="28"/>
        </w:rPr>
      </w:pPr>
      <w:r w:rsidRPr="0072694A">
        <w:rPr>
          <w:rFonts w:ascii="Times New Roman" w:hAnsi="Times New Roman" w:cs="Times New Roman"/>
          <w:sz w:val="28"/>
          <w:szCs w:val="28"/>
        </w:rPr>
        <w:t>Дизайн: систематический обзор.</w:t>
      </w:r>
    </w:p>
    <w:p w14:paraId="6F211244" w14:textId="3C446B60" w:rsidR="00D01D67" w:rsidRPr="0072694A" w:rsidRDefault="00F57474" w:rsidP="00D01D67">
      <w:pPr>
        <w:spacing w:after="0" w:line="240" w:lineRule="auto"/>
        <w:ind w:firstLine="567"/>
        <w:jc w:val="both"/>
        <w:rPr>
          <w:rFonts w:ascii="Times New Roman" w:hAnsi="Times New Roman" w:cs="Times New Roman"/>
          <w:strike/>
          <w:sz w:val="28"/>
          <w:szCs w:val="28"/>
        </w:rPr>
      </w:pPr>
      <w:r w:rsidRPr="0072694A">
        <w:rPr>
          <w:rFonts w:ascii="Times New Roman" w:hAnsi="Times New Roman" w:cs="Times New Roman"/>
          <w:i/>
          <w:sz w:val="28"/>
          <w:szCs w:val="28"/>
        </w:rPr>
        <w:t>2 этап исследования:</w:t>
      </w:r>
      <w:r w:rsidRPr="0072694A">
        <w:rPr>
          <w:rFonts w:ascii="Times New Roman" w:hAnsi="Times New Roman" w:cs="Times New Roman"/>
          <w:sz w:val="28"/>
          <w:szCs w:val="28"/>
        </w:rPr>
        <w:t xml:space="preserve"> рандомизированное клиническое исследование (1 группа: адаптированная схема аллерген-специфической иммунотерапии в комплексе с гидроксивитамином Д (25ОНD) и 2 группа: классическая схема аллерген-специфической иммунотерапии) случайной выборки 55 пациентов с сезонным аллергическим ринитом.</w:t>
      </w:r>
      <w:r w:rsidR="00D01D67" w:rsidRPr="0072694A">
        <w:rPr>
          <w:rFonts w:ascii="Times New Roman" w:hAnsi="Times New Roman" w:cs="Times New Roman"/>
          <w:sz w:val="28"/>
          <w:szCs w:val="28"/>
        </w:rPr>
        <w:t xml:space="preserve"> В процессе выполнения данного этапа нами были определены основные клинико-лабораторные маркеры эффективности аллерген-специфической иммунотерапии, обладающие наибольшей прогностической значимостью. </w:t>
      </w:r>
    </w:p>
    <w:p w14:paraId="5CD50635" w14:textId="77777777" w:rsidR="00F57474" w:rsidRPr="0072694A" w:rsidRDefault="00F57474" w:rsidP="009F65CA">
      <w:pPr>
        <w:spacing w:after="0" w:line="240" w:lineRule="auto"/>
        <w:ind w:firstLine="567"/>
        <w:jc w:val="both"/>
        <w:rPr>
          <w:rFonts w:ascii="Times New Roman" w:hAnsi="Times New Roman" w:cs="Times New Roman"/>
          <w:sz w:val="28"/>
          <w:szCs w:val="28"/>
        </w:rPr>
      </w:pPr>
      <w:r w:rsidRPr="0072694A">
        <w:rPr>
          <w:rFonts w:ascii="Times New Roman" w:hAnsi="Times New Roman" w:cs="Times New Roman"/>
          <w:sz w:val="28"/>
          <w:szCs w:val="28"/>
        </w:rPr>
        <w:t>Дизайн: рандомизированное клиническое исследование.</w:t>
      </w:r>
    </w:p>
    <w:p w14:paraId="0A97CBEB" w14:textId="5AAF2438" w:rsidR="00F57474" w:rsidRPr="0072694A" w:rsidRDefault="00D01D67" w:rsidP="009F65CA">
      <w:pPr>
        <w:spacing w:after="0" w:line="240" w:lineRule="auto"/>
        <w:ind w:firstLine="567"/>
        <w:jc w:val="both"/>
        <w:rPr>
          <w:rFonts w:ascii="Times New Roman" w:hAnsi="Times New Roman" w:cs="Times New Roman"/>
          <w:sz w:val="28"/>
          <w:szCs w:val="28"/>
        </w:rPr>
      </w:pPr>
      <w:r w:rsidRPr="0072694A">
        <w:rPr>
          <w:rFonts w:ascii="Times New Roman" w:hAnsi="Times New Roman" w:cs="Times New Roman"/>
          <w:sz w:val="28"/>
          <w:szCs w:val="28"/>
        </w:rPr>
        <w:t>3</w:t>
      </w:r>
      <w:r w:rsidR="00F57474" w:rsidRPr="0072694A">
        <w:rPr>
          <w:rFonts w:ascii="Times New Roman" w:hAnsi="Times New Roman" w:cs="Times New Roman"/>
          <w:sz w:val="28"/>
          <w:szCs w:val="28"/>
        </w:rPr>
        <w:t xml:space="preserve"> этап исследования представлен проведением аналитического исследования с целью создания клинико-диагностического алгоритма диагностики и лечения сезонного аллергического ринита для последующего усовершенствования клинического менеджмента сезонного аллергического ринита.</w:t>
      </w:r>
    </w:p>
    <w:p w14:paraId="7C76A99E" w14:textId="77777777" w:rsidR="00F57474" w:rsidRPr="00F57474" w:rsidRDefault="00F57474" w:rsidP="009F65CA">
      <w:pPr>
        <w:spacing w:after="0" w:line="240" w:lineRule="auto"/>
        <w:ind w:firstLine="567"/>
        <w:jc w:val="both"/>
        <w:rPr>
          <w:rFonts w:ascii="Times New Roman" w:hAnsi="Times New Roman" w:cs="Times New Roman"/>
          <w:sz w:val="28"/>
          <w:szCs w:val="28"/>
        </w:rPr>
      </w:pPr>
      <w:r w:rsidRPr="0072694A">
        <w:rPr>
          <w:rFonts w:ascii="Times New Roman" w:hAnsi="Times New Roman" w:cs="Times New Roman"/>
          <w:sz w:val="28"/>
          <w:szCs w:val="28"/>
        </w:rPr>
        <w:t xml:space="preserve">Дизайн: </w:t>
      </w:r>
      <w:r w:rsidRPr="00F57474">
        <w:rPr>
          <w:rFonts w:ascii="Times New Roman" w:hAnsi="Times New Roman" w:cs="Times New Roman"/>
          <w:sz w:val="28"/>
          <w:szCs w:val="28"/>
        </w:rPr>
        <w:t>аналитическое исследование.</w:t>
      </w:r>
    </w:p>
    <w:p w14:paraId="6F561BE4" w14:textId="77777777" w:rsidR="00F57474" w:rsidRPr="00F57474" w:rsidRDefault="00F57474" w:rsidP="009F65CA">
      <w:pPr>
        <w:spacing w:after="0" w:line="240" w:lineRule="auto"/>
        <w:ind w:firstLine="567"/>
        <w:jc w:val="both"/>
        <w:rPr>
          <w:rFonts w:ascii="Times New Roman" w:hAnsi="Times New Roman" w:cs="Times New Roman"/>
          <w:sz w:val="28"/>
          <w:szCs w:val="28"/>
        </w:rPr>
      </w:pPr>
    </w:p>
    <w:p w14:paraId="5578DFA8" w14:textId="124121BB" w:rsidR="00F57474" w:rsidRPr="00F57474" w:rsidRDefault="00F57474" w:rsidP="009F65CA">
      <w:pPr>
        <w:keepNext/>
        <w:keepLines/>
        <w:spacing w:after="0" w:line="240" w:lineRule="auto"/>
        <w:ind w:firstLine="567"/>
        <w:outlineLvl w:val="0"/>
        <w:rPr>
          <w:rFonts w:ascii="Times New Roman" w:eastAsiaTheme="majorEastAsia" w:hAnsi="Times New Roman" w:cs="Times New Roman"/>
          <w:b/>
          <w:sz w:val="28"/>
          <w:szCs w:val="28"/>
        </w:rPr>
      </w:pPr>
      <w:bookmarkStart w:id="17" w:name="_Toc137904341"/>
      <w:r w:rsidRPr="00F57474">
        <w:rPr>
          <w:rFonts w:ascii="Times New Roman" w:eastAsiaTheme="majorEastAsia" w:hAnsi="Times New Roman" w:cs="Times New Roman"/>
          <w:b/>
          <w:sz w:val="28"/>
          <w:szCs w:val="28"/>
        </w:rPr>
        <w:t>2.1 Методы исследования</w:t>
      </w:r>
      <w:bookmarkEnd w:id="17"/>
    </w:p>
    <w:p w14:paraId="55920B83" w14:textId="2978B08B" w:rsidR="00F57474" w:rsidRPr="0072694A" w:rsidRDefault="00F57474" w:rsidP="002729BF">
      <w:pPr>
        <w:pStyle w:val="2"/>
        <w:numPr>
          <w:ilvl w:val="0"/>
          <w:numId w:val="0"/>
        </w:numPr>
        <w:ind w:left="576"/>
        <w:rPr>
          <w:rFonts w:ascii="Times New Roman" w:hAnsi="Times New Roman" w:cs="Times New Roman"/>
          <w:color w:val="auto"/>
          <w:sz w:val="28"/>
          <w:szCs w:val="28"/>
        </w:rPr>
      </w:pPr>
      <w:bookmarkStart w:id="18" w:name="_Toc137904342"/>
      <w:r w:rsidRPr="004A1BA0">
        <w:rPr>
          <w:rFonts w:ascii="Times New Roman" w:hAnsi="Times New Roman" w:cs="Times New Roman"/>
          <w:color w:val="auto"/>
          <w:sz w:val="28"/>
          <w:szCs w:val="28"/>
        </w:rPr>
        <w:t xml:space="preserve">2.1.1 Общая </w:t>
      </w:r>
      <w:r w:rsidRPr="0072694A">
        <w:rPr>
          <w:rFonts w:ascii="Times New Roman" w:hAnsi="Times New Roman" w:cs="Times New Roman"/>
          <w:color w:val="auto"/>
          <w:sz w:val="28"/>
          <w:szCs w:val="28"/>
        </w:rPr>
        <w:t>структура исследования</w:t>
      </w:r>
      <w:bookmarkEnd w:id="18"/>
    </w:p>
    <w:p w14:paraId="7FD5D58B" w14:textId="36F69099" w:rsidR="00F57474" w:rsidRPr="00587305" w:rsidRDefault="00F57474" w:rsidP="009F65CA">
      <w:pPr>
        <w:tabs>
          <w:tab w:val="left" w:pos="851"/>
          <w:tab w:val="left" w:pos="993"/>
        </w:tabs>
        <w:spacing w:after="0" w:line="240" w:lineRule="auto"/>
        <w:ind w:firstLine="567"/>
        <w:jc w:val="both"/>
        <w:rPr>
          <w:rFonts w:ascii="Times New Roman" w:hAnsi="Times New Roman" w:cs="Times New Roman"/>
          <w:sz w:val="28"/>
          <w:szCs w:val="28"/>
        </w:rPr>
      </w:pPr>
      <w:r w:rsidRPr="0072694A">
        <w:rPr>
          <w:rFonts w:ascii="Times New Roman" w:hAnsi="Times New Roman" w:cs="Times New Roman"/>
          <w:sz w:val="28"/>
          <w:szCs w:val="28"/>
        </w:rPr>
        <w:t xml:space="preserve">На первом этапе нами был проведен систематический обзор исследований, посвященных </w:t>
      </w:r>
      <w:r w:rsidR="00D74B84">
        <w:rPr>
          <w:rFonts w:ascii="Times New Roman" w:hAnsi="Times New Roman" w:cs="Times New Roman"/>
          <w:sz w:val="28"/>
          <w:szCs w:val="28"/>
        </w:rPr>
        <w:t>молекулярной аллергодиагностике при</w:t>
      </w:r>
      <w:r w:rsidR="00D74B84" w:rsidRPr="0072694A">
        <w:rPr>
          <w:rFonts w:ascii="Times New Roman" w:hAnsi="Times New Roman" w:cs="Times New Roman"/>
          <w:sz w:val="28"/>
          <w:szCs w:val="28"/>
        </w:rPr>
        <w:t xml:space="preserve"> аллерген-специфической </w:t>
      </w:r>
      <w:r w:rsidR="00D74B84" w:rsidRPr="00587305">
        <w:rPr>
          <w:rFonts w:ascii="Times New Roman" w:hAnsi="Times New Roman" w:cs="Times New Roman"/>
          <w:sz w:val="28"/>
          <w:szCs w:val="28"/>
        </w:rPr>
        <w:t xml:space="preserve">иммунотерапии </w:t>
      </w:r>
      <w:r w:rsidR="0068490F" w:rsidRPr="00587305">
        <w:rPr>
          <w:rFonts w:ascii="Times New Roman" w:hAnsi="Times New Roman" w:cs="Times New Roman"/>
          <w:sz w:val="28"/>
          <w:szCs w:val="28"/>
        </w:rPr>
        <w:fldChar w:fldCharType="begin" w:fldLock="1"/>
      </w:r>
      <w:r w:rsidR="00A02E0E">
        <w:rPr>
          <w:rFonts w:ascii="Times New Roman" w:hAnsi="Times New Roman" w:cs="Times New Roman"/>
          <w:sz w:val="28"/>
          <w:szCs w:val="28"/>
        </w:rPr>
        <w:instrText>ADDIN CSL_CITATION {"citationItems":[{"id":"ITEM-1","itemData":{"DOI":"10.3390/cells12030383","ISSN":"20734409","PMID":"36766723","abstract":"A systematic review and narrative synthesis of publications was undertaken to analyze the role of component-resolved diagnosis technology in identifying polysensitization for the provision of allergen-specific immunotherapy to patients with seasonal allergic rhinitis. A search of publications was carried out in electronic databases in accordance with the Preferred Reporting Items for Systematic Reviews and Meta-Analyses guidelines. The search helped to identify 568 publications, 12 of which were included in this review. Overall, 3302 patients were enrolled. The major finding was that component-resolved diagnostics change the choice of relevant allergens for allergen-specific immunotherapy in at least 50% of cases. Sensitization to allergen components differs with age, type of disease, and overall disease duration. Patients who had both bronchial asthma and allergic rhinitis were sensitized to a larger number of allergens than patients who had bronchial asthma alone.","author":[{"dropping-particle":"","family":"Izmailovich","given":"Marina","non-dropping-particle":"","parse-names":false,"suffix":""},{"dropping-particle":"","family":"Semenova","given":"Yuliya","non-dropping-particle":"","parse-names":false,"suffix":""},{"dropping-particle":"","family":"Abdushukurova","given":"Gulzada","non-dropping-particle":"","parse-names":false,"suffix":""},{"dropping-particle":"","family":"Mukhamejanova","given":"Ainur","non-dropping-particle":"","parse-names":false,"suffix":""},{"dropping-particle":"","family":"Dyussupova","given":"Azhar","non-dropping-particle":"","parse-names":false,"suffix":""},{"dropping-particle":"","family":"Faizova","given":"Raida","non-dropping-particle":"","parse-names":false,"suffix":""},{"dropping-particle":"","family":"Gazaliyeva","given":"Meruert","non-dropping-particle":"","parse-names":false,"suffix":""},{"dropping-particle":"","family":"Akhvlediani","given":"Leila","non-dropping-particle":"","parse-names":false,"suffix":""},{"dropping-particle":"","family":"Glushkova","given":"Natalya","non-dropping-particle":"","parse-names":false,"suffix":""},{"dropping-particle":"","family":"Kalmakhanov","given":"Sundetgali","non-dropping-particle":"","parse-names":false,"suffix":""},{"dropping-particle":"","family":"Bjørklund","given":"Geir","non-dropping-particle":"","parse-names":false,"suffix":""}],"container-title":"Cells","id":"ITEM-1","issue":"3","issued":{"date-parts":[["2023"]]},"page":"383","title":"Molecular Aspects of Allergen-Specific Immunotherapy in Patients with Seasonal Allergic Rhinitis","type":"article-journal","volume":"12"},"uris":["http://www.mendeley.com/documents/?uuid=56e2118c-9ce5-4104-970e-c4d7ee9e20d2"]}],"mendeley":{"formattedCitation":"[126]","plainTextFormattedCitation":"[126]","previouslyFormattedCitation":"[126]"},"properties":{"noteIndex":0},"schema":"https://github.com/citation-style-language/schema/raw/master/csl-citation.json"}</w:instrText>
      </w:r>
      <w:r w:rsidR="0068490F" w:rsidRPr="00587305">
        <w:rPr>
          <w:rFonts w:ascii="Times New Roman" w:hAnsi="Times New Roman" w:cs="Times New Roman"/>
          <w:sz w:val="28"/>
          <w:szCs w:val="28"/>
        </w:rPr>
        <w:fldChar w:fldCharType="separate"/>
      </w:r>
      <w:r w:rsidR="00332566" w:rsidRPr="00332566">
        <w:rPr>
          <w:rFonts w:ascii="Times New Roman" w:hAnsi="Times New Roman" w:cs="Times New Roman"/>
          <w:noProof/>
          <w:sz w:val="28"/>
          <w:szCs w:val="28"/>
        </w:rPr>
        <w:t>[126]</w:t>
      </w:r>
      <w:r w:rsidR="0068490F" w:rsidRPr="00587305">
        <w:rPr>
          <w:rFonts w:ascii="Times New Roman" w:hAnsi="Times New Roman" w:cs="Times New Roman"/>
          <w:sz w:val="28"/>
          <w:szCs w:val="28"/>
        </w:rPr>
        <w:fldChar w:fldCharType="end"/>
      </w:r>
      <w:r w:rsidRPr="00587305">
        <w:rPr>
          <w:rFonts w:ascii="Times New Roman" w:hAnsi="Times New Roman" w:cs="Times New Roman"/>
          <w:sz w:val="28"/>
          <w:szCs w:val="28"/>
        </w:rPr>
        <w:t>.</w:t>
      </w:r>
    </w:p>
    <w:p w14:paraId="276484CE" w14:textId="77777777" w:rsidR="00E30B62" w:rsidRPr="00587305" w:rsidRDefault="00A33F29" w:rsidP="009F65CA">
      <w:pPr>
        <w:tabs>
          <w:tab w:val="left" w:pos="851"/>
          <w:tab w:val="left" w:pos="993"/>
        </w:tabs>
        <w:spacing w:after="0" w:line="240" w:lineRule="auto"/>
        <w:ind w:firstLine="567"/>
        <w:jc w:val="both"/>
        <w:rPr>
          <w:rFonts w:ascii="Times New Roman" w:hAnsi="Times New Roman" w:cs="Times New Roman"/>
          <w:sz w:val="28"/>
          <w:szCs w:val="28"/>
        </w:rPr>
      </w:pPr>
      <w:r w:rsidRPr="00587305">
        <w:rPr>
          <w:rFonts w:ascii="Times New Roman" w:hAnsi="Times New Roman" w:cs="Times New Roman"/>
          <w:sz w:val="28"/>
          <w:szCs w:val="28"/>
        </w:rPr>
        <w:t xml:space="preserve">Для исследования были отобраны пациенты с установленным диагнозом аллергического ринита, подтверждённым кожными аллергопробами или лабораторной диагностикой с определением специфического иммуноглобулина Е к экстрактам аллергенов. По результатам данного обследования пациенты имели сенсибилизацию, как минимум, к одному аллергену. </w:t>
      </w:r>
    </w:p>
    <w:p w14:paraId="77C5549C" w14:textId="53E47B02" w:rsidR="00E30B62" w:rsidRDefault="00E30B62" w:rsidP="009F65CA">
      <w:pPr>
        <w:tabs>
          <w:tab w:val="left" w:pos="851"/>
          <w:tab w:val="left" w:pos="993"/>
        </w:tabs>
        <w:spacing w:after="0" w:line="240" w:lineRule="auto"/>
        <w:ind w:firstLine="567"/>
        <w:jc w:val="both"/>
        <w:rPr>
          <w:rFonts w:ascii="Times New Roman" w:hAnsi="Times New Roman" w:cs="Times New Roman"/>
          <w:sz w:val="28"/>
          <w:szCs w:val="28"/>
        </w:rPr>
      </w:pPr>
      <w:r w:rsidRPr="00587305">
        <w:rPr>
          <w:rFonts w:ascii="Times New Roman" w:hAnsi="Times New Roman" w:cs="Times New Roman"/>
          <w:sz w:val="28"/>
          <w:szCs w:val="28"/>
        </w:rPr>
        <w:t>При постановке диагноза сезонного аллергического ринита использовали диагностические критерии международных рекомендаций ICAR</w:t>
      </w:r>
      <w:r>
        <w:rPr>
          <w:rFonts w:ascii="Times New Roman" w:hAnsi="Times New Roman" w:cs="Times New Roman"/>
          <w:sz w:val="28"/>
          <w:szCs w:val="28"/>
        </w:rPr>
        <w:t xml:space="preserve">, </w:t>
      </w:r>
      <w:r w:rsidRPr="00F57474">
        <w:rPr>
          <w:rFonts w:ascii="Times New Roman" w:hAnsi="Times New Roman" w:cs="Times New Roman"/>
          <w:sz w:val="28"/>
          <w:szCs w:val="28"/>
          <w:lang w:val="en-US"/>
        </w:rPr>
        <w:t>ARIA</w:t>
      </w:r>
      <w:r w:rsidRPr="00F57474">
        <w:rPr>
          <w:rFonts w:ascii="Times New Roman" w:hAnsi="Times New Roman" w:cs="Times New Roman"/>
          <w:sz w:val="28"/>
          <w:szCs w:val="28"/>
        </w:rPr>
        <w:t xml:space="preserve"> и </w:t>
      </w:r>
      <w:r w:rsidRPr="00F57474">
        <w:rPr>
          <w:rFonts w:ascii="Times New Roman" w:hAnsi="Times New Roman" w:cs="Times New Roman"/>
          <w:sz w:val="28"/>
          <w:szCs w:val="28"/>
          <w:lang w:val="en-US"/>
        </w:rPr>
        <w:t>EAACI</w:t>
      </w:r>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A02E0E">
        <w:rPr>
          <w:rFonts w:ascii="Times New Roman" w:hAnsi="Times New Roman" w:cs="Times New Roman"/>
          <w:sz w:val="28"/>
          <w:szCs w:val="28"/>
        </w:rPr>
        <w:instrText>ADDIN CSL_CITATION {"citationItems":[{"id":"ITEM-1","itemData":{"DOI":"10.1002/alr.22073","ISSN":"20426984","PMID":"29438602","abstract":"Background: Critical examination of the quality and validity of available allergic rhinitis (AR) literature is necessary to improve understanding and to appropriately translate this knowledge to clinical care of the AR patient. To evaluate the existing AR literature, international multidisciplinary experts with an interest in AR have produced the International Consensus statement on Allergy and Rhinology: Allergic Rhinitis (ICAR:AR). Methods: Using previously described methodology, specific topics were developed relating to AR. Each topic was assigned a literature review, evidence-based review (EBR), or evidence-based review with recommendations (EBRR) format as dictated by available evidence and purpose within the ICAR:AR document. Following iterative reviews of each topic, the ICAR:AR document was synthesized and reviewed by all authors for consensus. Results: The ICAR:AR document addresses over 100 individual topics related to AR, including diagnosis, pathophysiology, epidemiology, disease burden, risk factors for the development of AR, allergy testing modalities, treatment, and other conditions/comorbidities associated with AR. Conclusion: This critical review of the AR literature has identified several strengths; providers can be confident that treatment decisions are supported by rigorous studies. However, there are also substantial gaps in the AR literature. These knowledge gaps should be viewed as opportunities for improvement, as often the things that we teach and the medicine that we practice are not based on the best quality evidence. This document aims to highlight the strengths and weaknesses of the AR literature to identify areas for future AR research and improved understanding.","author":[{"dropping-particle":"","family":"Wise","given":"Sarah K.","non-dropping-particle":"","parse-names":false,"suffix":""},{"dropping-particle":"","family":"Lin","given":"Sandra Y.","non-dropping-particle":"","parse-names":false,"suffix":""},{"dropping-particle":"","family":"Toskala","given":"Elina","non-dropping-particle":"","parse-names":false,"suffix":""},{"dropping-particle":"","family":"Orlandi","given":"Richard R.","non-dropping-particle":"","parse-names":false,"suffix":""},{"dropping-particle":"","family":"Akdis","given":"Cezmi A.","non-dropping-particle":"","parse-names":false,"suffix":""},{"dropping-particle":"","family":"Alt","given":"Jeremiah A.","non-dropping-particle":"","parse-names":false,"suffix":""},{"dropping-particle":"","family":"Azar","given":"Antoine","non-dropping-particle":"","parse-names":false,"suffix":""},{"dropping-particle":"","family":"Baroody","given":"Fuad M.","non-dropping-particle":"","parse-names":false,"suffix":""},{"dropping-particle":"","family":"Bachert","given":"Claus","non-dropping-particle":"","parse-names":false,"suffix":""},{"dropping-particle":"","family":"Canonica","given":"G. Walter","non-dropping-particle":"","parse-names":false,"suffix":""},{"dropping-particle":"","family":"Chacko","given":"Thomas","non-dropping-particle":"","parse-names":false,"suffix":""},{"dropping-particle":"","family":"Cingi","given":"Cemal","non-dropping-particle":"","parse-names":false,"suffix":""},{"dropping-particle":"","family":"Ciprandi","given":"Giorgio","non-dropping-particle":"","parse-names":false,"suffix":""},{"dropping-particle":"","family":"Corey","given":"Jacquelynne","non-dropping-particle":"","parse-names":false,"suffix":""},{"dropping-particle":"","family":"Cox","given":"Linda S.","non-dropping-particle":"","parse-names":false,"suffix":""},{"dropping-particle":"","family":"Creticos","given":"Peter Socrates","non-dropping-particle":"","parse-names":false,"suffix":""},{"dropping-particle":"","family":"Custovic","given":"Adnan","non-dropping-particle":"","parse-names":false,"suffix":""},{"dropping-particle":"","family":"Damask","given":"Cecelia","non-dropping-particle":"","parse-names":false,"suffix":""},{"dropping-particle":"","family":"DeConde","given":"Adam","non-dropping-particle":"","parse-names":false,"suffix":""},{"dropping-particle":"","family":"DelGaudio","given":"John M.","non-dropping-particle":"","parse-names":false,"suffix":""},{"dropping-particle":"","family":"Ebert","given":"Charles S.","non-dropping-particle":"","parse-names":false,"suffix":""},{"dropping-particle":"","family":"Eloy","given":"Jean Anderson","non-dropping-particle":"","parse-names":false,"suffix":""},{"dropping-particle":"","family":"Flanagan","given":"Carrie E.","non-dropping-particle":"","parse-names":false,"suffix":""},{"dropping-particle":"","family":"Fokkens","given":"Wytske J.","non-dropping-particle":"","parse-names":false,"suffix":""},{"dropping-particle":"","family":"Franzese","given":"Christine","non-dropping-particle":"","parse-names":false,"suffix":""},{"dropping-particle":"","family":"Gosepath","given":"Jan","non-dropping-particle":"","parse-names":false,"suffix":""},{"dropping-particle":"","family":"Halderman","given":"Ashleigh","non-dropping-particle":"","parse-names":false,"suffix":""},{"dropping-particle":"","family":"Hamilton","given":"Robert G.","non-dropping-particle":"","parse-names":false,"suffix":""},{"dropping-particle":"","family":"Hoffman","given":"Hans Jürgen","non-dropping-particle":"","parse-names":false,"suffix":""},{"dropping-particle":"","family":"Hohlfeld","given":"Jens M.","non-dropping-particle":"","parse-names":false,"suffix":""},{"dropping-particle":"","family":"Houser","given":"Steven M.","non-dropping-particle":"","parse-names":false,"suffix":""},{"dropping-particle":"","family":"Hwang","given":"Peter H.","non-dropping-particle":"","parse-names":false,"suffix":""},{"dropping-particle":"","family":"Incorvaia","given":"Cristoforo","non-dropping-particle":"","parse-names":false,"suffix":""},{"dropping-particle":"","family":"Jarvis","given":"Deborah","non-dropping-particle":"","parse-names":false,"suffix":""},{"dropping-particle":"","family":"Khalid","given":"Ayesha N.","non-dropping-particle":"","parse-names":false,"suffix":""},{"dropping-particle":"","family":"Kilpeläinen","given":"Maritta","non-dropping-particle":"","parse-names":false,"suffix":""},{"dropping-particle":"","family":"Kingdom","given":"Todd T.","non-dropping-particle":"","parse-names":false,"suffix":""},{"dropping-particle":"","family":"Krouse","given":"Helene","non-dropping-particle":"","parse-names":false,"suffix":""},{"dropping-particle":"","family":"Larenas-Linnemann","given":"Desiree","non-dropping-particle":"","parse-names":false,"suffix":""},{"dropping-particle":"","family":"Laury","given":"Adrienne M.","non-dropping-particle":"","parse-names":false,"suffix":""},{"dropping-particle":"","family":"Lee","given":"Stella E.","non-dropping-particle":"","parse-names":false,"suffix":""},{"dropping-particle":"","family":"Levy","given":"Joshua M.","non-dropping-particle":"","parse-names":false,"suffix":""},{"dropping-particle":"","family":"Luong","given":"Amber U.","non-dropping-particle":"","parse-names":false,"suffix":""},{"dropping-particle":"","family":"Marple","given":"Bradley F.","non-dropping-particle":"","parse-names":false,"suffix":""},{"dropping-particle":"","family":"McCoul","given":"Edward D.","non-dropping-particle":"","parse-names":false,"suffix":""},{"dropping-particle":"","family":"McMains","given":"K. Christopher","non-dropping-particle":"","parse-names":false,"suffix":""},{"dropping-particle":"","family":"Melén","given":"Erik","non-dropping-particle":"","parse-names":false,"suffix":""},{"dropping-particle":"","family":"Mims","given":"James W.","non-dropping-particle":"","parse-names":false,"suffix":""},{"dropping-particle":"","family":"Moscato","given":"Gianna","non-dropping-particle":"","parse-names":false,"suffix":""},{"dropping-particle":"","family":"Mullol","given":"Joaquim","non-dropping-particle":"","parse-names":false,"suffix":""},{"dropping-particle":"","family":"Nelson","given":"Harold S.","non-dropping-particle":"","parse-names":false,"suffix":""},{"dropping-particle":"","family":"Patadia","given":"Monica","non-dropping-particle":"","parse-names":false,"suffix":""},{"dropping-particle":"","family":"Pawankar","given":"Ruby","non-dropping-particle":"","parse-names":false,"suffix":""},{"dropping-particle":"","family":"Pfaar","given":"Oliver","non-dropping-particle":"","parse-names":false,"suffix":""},{"dropping-particle":"","family":"Platt","given":"Michael P.","non-dropping-particle":"","parse-names":false,"suffix":""},{"dropping-particle":"","family":"Reisacher","given":"William","non-dropping-particle":"","parse-names":false,"suffix":""},{"dropping-particle":"","family":"Rondón","given":"Carmen","non-dropping-particle":"","parse-names":false,"suffix":""},{"dropping-particle":"","family":"Rudmik","given":"Luke","non-dropping-particle":"","parse-names":false,"suffix":""},{"dropping-particle":"","family":"Ryan","given":"Matthew","non-dropping-particle":"","parse-names":false,"suffix":""},{"dropping-particle":"","family":"Sastre","given":"Joaquin","non-dropping-particle":"","parse-names":false,"suffix":""},{"dropping-particle":"","family":"Schlosser","given":"Rodney J.","non-dropping-particle":"","parse-names":false,"suffix":""},{"dropping-particle":"","family":"Settipane","given":"Russell A.","non-dropping-particle":"","parse-names":false,"suffix":""},{"dropping-particle":"","family":"Sharma","given":"Hemant P.","non-dropping-particle":"","parse-names":false,"suffix":""},{"dropping-particle":"","family":"Sheikh","given":"Aziz","non-dropping-particle":"","parse-names":false,"suffix":""},{"dropping-particle":"","family":"Smith","given":"Timothy L.","non-dropping-particle":"","parse-names":false,"suffix":""},{"dropping-particle":"","family":"Tantilipikorn","given":"Pongsakorn","non-dropping-particle":"","parse-names":false,"suffix":""},{"dropping-particle":"","family":"Tversky","given":"Jody R.","non-dropping-particle":"","parse-names":false,"suffix":""},{"dropping-particle":"","family":"Veling","given":"Maria C.","non-dropping-particle":"","parse-names":false,"suffix":""},{"dropping-particle":"","family":"Wang","given":"De Yun","non-dropping-particle":"","parse-names":false,"suffix":""},{"dropping-particle":"","family":"Westman","given":"Marit","non-dropping-particle":"","parse-names":false,"suffix":""},{"dropping-particle":"","family":"Wickman","given":"Magnus","non-dropping-particle":"","parse-names":false,"suffix":""},{"dropping-particle":"","family":"Zacharek","given":"Mark","non-dropping-particle":"","parse-names":false,"suffix":""}],"container-title":"International Forum of Allergy and Rhinology","id":"ITEM-1","issue":"2","issued":{"date-parts":[["2018"]]},"page":"108-352","title":"International Consensus Statement on Allergy and Rhinology: Allergic Rhinitis","type":"article-journal","volume":"8"},"uris":["http://www.mendeley.com/documents/?uuid=15b78241-c908-4040-abdb-6a2282e54281"]},{"id":"ITEM-2","itemData":{"DOI":"10.1016/j.jaci.2017.03.050","ISSN":"10976825","PMID":"28602936","abstract":"Background: Allergic rhinitis (AR) affects 10% to 40% of the population. It reduces quality of life and school and work performance and is a frequent reason for office visits in general practice. Medical costs are large, but avoidable costs associated with lost work productivity are even larger than those incurred by asthma. New evidence has accumulated since the last revision of the Allergic Rhinitis and its Impact on Asthma (ARIA) guidelines in 2010, prompting its update. Objective: We sought to provide a targeted update of the ARIA guidelines. Methods: The ARIA guideline panel identified new clinical questions and selected questions requiring an update. We performed systematic reviews of health effects and the evidence about patients’ values and preferences and resource requirements (up to June 2016). We followed the Grading of Recommendations Assessment, Development, and Evaluation (GRADE) evidence-to-decision frameworks to develop recommendations. Results: The 2016 revision of the ARIA guidelines provides both updated and new recommendations about the pharmacologic treatment of AR. Specifically, it addresses the relative merits of using oral H1-antihistamines, intranasal H1-antihistamines, intranasal corticosteroids, and leukotriene receptor antagonists either alone or in combination. The ARIA guideline panel provides specific recommendations for the choice of treatment and the rationale for the choice and discusses specific considerations that clinicians and patients might want to review to choose the management most appropriate for an individual patient. Conclusions: Appropriate treatment of AR might improve patients’ quality of life and school and work productivity. ARIA recommendations support patients, their caregivers, and health care providers in choosing the optimal treatment.","author":[{"dropping-particle":"","family":"Brożek","given":"Jan L.","non-dropping-particle":"","parse-names":false,"suffix":""},{"dropping-particle":"","family":"Bousquet","given":"Jean","non-dropping-particle":"","parse-names":false,"suffix":""},{"dropping-particle":"","family":"Agache","given":"Ioana","non-dropping-particle":"","parse-names":false,"suffix":""},{"dropping-particle":"","family":"Agarwal","given":"Arnav","non-dropping-particle":"","parse-names":false,"suffix":""},{"dropping-particle":"","family":"Bachert","given":"Claus","non-dropping-particle":"","parse-names":false,"suffix":""},{"dropping-particle":"","family":"Bosnic-Anticevich","given":"Sinthia","non-dropping-particle":"","parse-names":false,"suffix":""},{"dropping-particle":"","family":"Brignardello-Petersen","given":"Romina","non-dropping-particle":"","parse-names":false,"suffix":""},{"dropping-particle":"","family":"Canonica","given":"G. Walter","non-dropping-particle":"","parse-names":false,"suffix":""},{"dropping-particle":"","family":"Casale","given":"Thomas","non-dropping-particle":"","parse-names":false,"suffix":""},{"dropping-particle":"","family":"Chavannes","given":"Niels H.","non-dropping-particle":"","parse-names":false,"suffix":""},{"dropping-particle":"","family":"Correia de Sousa","given":"Jaime","non-dropping-particle":"","parse-names":false,"suffix":""},{"dropping-particle":"","family":"Cruz","given":"Alvaro A.","non-dropping-particle":"","parse-names":false,"suffix":""},{"dropping-particle":"","family":"Cuello-Garcia","given":"Carlos A.","non-dropping-particle":"","parse-names":false,"suffix":""},{"dropping-particle":"","family":"Demoly","given":"Pascal","non-dropping-particle":"","parse-names":false,"suffix":""},{"dropping-particle":"","family":"Dykewicz","given":"Mark","non-dropping-particle":"","parse-names":false,"suffix":""},{"dropping-particle":"","family":"Etxeandia-Ikobaltzeta","given":"Itziar","non-dropping-particle":"","parse-names":false,"suffix":""},{"dropping-particle":"","family":"Florez","given":"Ivan D.","non-dropping-particle":"","parse-names":false,"suffix":""},{"dropping-particle":"","family":"Fokkens","given":"Wytske","non-dropping-particle":"","parse-names":false,"suffix":""},{"dropping-particle":"","family":"Fonseca","given":"Joao","non-dropping-particle":"","parse-names":false,"suffix":""},{"dropping-particle":"","family":"Hellings","given":"Peter W.","non-dropping-particle":"","parse-names":false,"suffix":""},{"dropping-particle":"","family":"Klimek","given":"Ludger","non-dropping-particle":"","parse-names":false,"suffix":""},{"dropping-particle":"","family":"Kowalski","given":"Sergio","non-dropping-particle":"","parse-names":false,"suffix":""},{"dropping-particle":"","family":"Kuna","given":"Piotr","non-dropping-particle":"","parse-names":false,"suffix":""},{"dropping-particle":"","family":"Laisaar","given":"Kaja Triin","non-dropping-particle":"","parse-names":false,"suffix":""},{"dropping-particle":"","family":"Larenas-Linnemann","given":"Désirée E.","non-dropping-particle":"","parse-names":false,"suffix":""},{"dropping-particle":"","family":"Lødrup Carlsen","given":"Karin C.","non-dropping-particle":"","parse-names":false,"suffix":""},{"dropping-particle":"","family":"Manning","given":"Peter J.","non-dropping-particle":"","parse-names":false,"suffix":""},{"dropping-particle":"","family":"Meltzer","given":"Eli","non-dropping-particle":"","parse-names":false,"suffix":""},{"dropping-particle":"","family":"Mullol","given":"Joaquim","non-dropping-particle":"","parse-names":false,"suffix":""},{"dropping-particle":"","family":"Muraro","given":"Antonella","non-dropping-particle":"","parse-names":false,"suffix":""},{"dropping-particle":"","family":"O'Hehir","given":"Robyn","non-dropping-particle":"","parse-names":false,"suffix":""},{"dropping-particle":"","family":"Ohta","given":"Ken","non-dropping-particle":"","parse-names":false,"suffix":""},{"dropping-particle":"","family":"Panzner","given":"Petr","non-dropping-particle":"","parse-names":false,"suffix":""},{"dropping-particle":"","family":"Papadopoulos","given":"Nikolaos","non-dropping-particle":"","parse-names":false,"suffix":""},{"dropping-particle":"","family":"Park","given":"Hae Sim","non-dropping-particle":"","parse-names":false,"suffix":""},{"dropping-particle":"","family":"Passalacqua","given":"Gianni","non-dropping-particle":"","parse-names":false,"suffix":""},{"dropping-particle":"","family":"Pawankar","given":"Ruby","non-dropping-particle":"","parse-names":false,"suffix":""},{"dropping-particle":"","family":"Price","given":"David","non-dropping-particle":"","parse-names":false,"suffix":""},{"dropping-particle":"","family":"Riva","given":"John J.","non-dropping-particle":"","parse-names":false,"suffix":""},{"dropping-particle":"","family":"Roldán","given":"Yetiani","non-dropping-particle":"","parse-names":false,"suffix":""},{"dropping-particle":"","family":"Ryan","given":"Dermot","non-dropping-particle":"","parse-names":false,"suffix":""},{"dropping-particle":"","family":"Sadeghirad","given":"Behnam","non-dropping-particle":"","parse-names":false,"suffix":""},{"dropping-particle":"","family":"Samolinski","given":"Boleslaw","non-dropping-particle":"","parse-names":false,"suffix":""},{"dropping-particle":"","family":"Schmid-Grendelmeier","given":"Peter","non-dropping-particle":"","parse-names":false,"suffix":""},{"dropping-particle":"","family":"Sheikh","given":"Aziz","non-dropping-particle":"","parse-names":false,"suffix":""},{"dropping-particle":"","family":"Togias","given":"Alkis","non-dropping-particle":"","parse-names":false,"suffix":""},{"dropping-particle":"","family":"Valero","given":"Antonio","non-dropping-particle":"","parse-names":false,"suffix":""},{"dropping-particle":"","family":"Valiulis","given":"Arunas","non-dropping-particle":"","parse-names":false,"suffix":""},{"dropping-particle":"","family":"Valovirta","given":"Erkka","non-dropping-particle":"","parse-names":false,"suffix":""},{"dropping-particle":"","family":"Ventresca","given":"Matthew","non-dropping-particle":"","parse-names":false,"suffix":""},{"dropping-particle":"","family":"Wallace","given":"Dana","non-dropping-particle":"","parse-names":false,"suffix":""},{"dropping-particle":"","family":"Waserman","given":"Susan","non-dropping-particle":"","parse-names":false,"suffix":""},{"dropping-particle":"","family":"Wickman","given":"Magnus","non-dropping-particle":"","parse-names":false,"suffix":""},{"dropping-particle":"","family":"Wiercioch","given":"Wojtek","non-dropping-particle":"","parse-names":false,"suffix":""},{"dropping-particle":"","family":"Yepes-Nuñez","given":"Juan José","non-dropping-particle":"","parse-names":false,"suffix":""},{"dropping-particle":"","family":"Zhang","given":"Luo","non-dropping-particle":"","parse-names":false,"suffix":""},{"dropping-particle":"","family":"Zhang","given":"Yuan","non-dropping-particle":"","parse-names":false,"suffix":""},{"dropping-particle":"","family":"Zidarn","given":"Mihaela","non-dropping-particle":"","parse-names":false,"suffix":""},{"dropping-particle":"","family":"Zuberbier","given":"Torsten","non-dropping-particle":"","parse-names":false,"suffix":""},{"dropping-particle":"","family":"Schünemann","given":"Holger J.","non-dropping-particle":"","parse-names":false,"suffix":""}],"container-title":"Journal of Allergy and Clinical Immunology","id":"ITEM-2","issue":"4","issued":{"date-parts":[["2017"]]},"page":"950-958","title":"Allergic Rhinitis and its Impact on Asthma (ARIA) guidelines—2016 revision","type":"article-journal","volume":"140"},"uris":["http://www.mendeley.com/documents/?uuid=0fb3a53d-73fc-4247-9360-df54bcbe1d42"]},{"id":"ITEM-3","itemData":{"DOI":"10.1111/all.13317","ISSN":"13989995","PMID":"28940458","abstract":"Allergic rhinoconjunctivitis (AR) is an allergic disorder of the nose and eyes affecting about a fifth of the general population. Symptoms of AR can be controlled with allergen avoidance measures and pharmacotherapy. However, many patients continue to have ongoing symptoms and an impaired quality of life; pharmacotherapy may also induce some side-effects. Allergen immunotherapy (AIT) represents the only currently available treatment that targets the underlying pathophysiology, and it may have a disease-modifying effect. Either the subcutaneous (SCIT) or sublingual (SLIT) routes may be used. This Guideline has been prepared by the European Academy of Allergy and Clinical Immunology's (EAACI) Taskforce on AIT for AR and is part of the EAACI presidential project “EAACI Guidelines on Allergen Immunotherapy.” It aims to provide evidence-based clinical recommendations and has been informed by a formal systematic review and meta-analysis. Its generation has followed the Appraisal of Guidelines for Research and Evaluation (AGREE II) approach. The process included involvement of the full range of stakeholders. In general, broad evidence for the clinical efficacy of AIT for AR exists but a product-specific evaluation of evidence is recommended. In general, SCIT and SLIT are recommended for both seasonal and perennial AR for its short-term benefit. The strongest evidence for long-term benefit is documented for grass AIT (especially for the grass tablets) where long-term benefit is seen. To achieve long-term efficacy, it is recommended that a minimum of 3 years of therapy is used. Many gaps in the evidence base exist, particularly around long-term benefit and use in children.","author":[{"dropping-particle":"","family":"Roberts","given":"G.","non-dropping-particle":"","parse-names":false,"suffix":""},{"dropping-particle":"","family":"Pfaar","given":"O.","non-dropping-particle":"","parse-names":false,"suffix":""},{"dropping-particle":"","family":"Akdis","given":"C. A.","non-dropping-particle":"","parse-names":false,"suffix":""},{"dropping-particle":"","family":"Ansotegui","given":"I. J.","non-dropping-particle":"","parse-names":false,"suffix":""},{"dropping-particle":"","family":"Durham","given":"S. R.","non-dropping-particle":"","parse-names":false,"suffix":""},{"dropping-particle":"","family":"Gerth van Wijk","given":"R.","non-dropping-particle":"","parse-names":false,"suffix":""},{"dropping-particle":"","family":"Halken","given":"S.","non-dropping-particle":"","parse-names":false,"suffix":""},{"dropping-particle":"","family":"Larenas-Linnemann","given":"D.","non-dropping-particle":"","parse-names":false,"suffix":""},{"dropping-particle":"","family":"Pawankar","given":"R.","non-dropping-particle":"","parse-names":false,"suffix":""},{"dropping-particle":"","family":"Pitsios","given":"C.","non-dropping-particle":"","parse-names":false,"suffix":""},{"dropping-particle":"","family":"Sheikh","given":"A.","non-dropping-particle":"","parse-names":false,"suffix":""},{"dropping-particle":"","family":"Worm","given":"M.","non-dropping-particle":"","parse-names":false,"suffix":""},{"dropping-particle":"","family":"Arasi","given":"S.","non-dropping-particle":"","parse-names":false,"suffix":""},{"dropping-particle":"","family":"Calderon","given":"M. A.","non-dropping-particle":"","parse-names":false,"suffix":""},{"dropping-particle":"","family":"Cingi","given":"C.","non-dropping-particle":"","parse-names":false,"suffix":""},{"dropping-particle":"","family":"Dhami","given":"S.","non-dropping-particle":"","parse-names":false,"suffix":""},{"dropping-particle":"","family":"Fauquert","given":"J. L.","non-dropping-particle":"","parse-names":false,"suffix":""},{"dropping-particle":"","family":"Hamelmann","given":"E.","non-dropping-particle":"","parse-names":false,"suffix":""},{"dropping-particle":"","family":"Hellings","given":"P.","non-dropping-particle":"","parse-names":false,"suffix":""},{"dropping-particle":"","family":"Jacobsen","given":"L.","non-dropping-particle":"","parse-names":false,"suffix":""},{"dropping-particle":"","family":"Knol","given":"E. F.","non-dropping-particle":"","parse-names":false,"suffix":""},{"dropping-particle":"","family":"Lin","given":"S. Y.","non-dropping-particle":"","parse-names":false,"suffix":""},{"dropping-particle":"","family":"Maggina","given":"P.","non-dropping-particle":"","parse-names":false,"suffix":""},{"dropping-particle":"","family":"Mösges","given":"R.","non-dropping-particle":"","parse-names":false,"suffix":""},{"dropping-particle":"","family":"Oude Elberink","given":"J. N.G.","non-dropping-particle":"","parse-names":false,"suffix":""},{"dropping-particle":"","family":"Pajno","given":"G. B.","non-dropping-particle":"","parse-names":false,"suffix":""},{"dropping-particle":"","family":"Pastorello","given":"E. A.","non-dropping-particle":"","parse-names":false,"suffix":""},{"dropping-particle":"","family":"Penagos","given":"M.","non-dropping-particle":"","parse-names":false,"suffix":""},{"dropping-particle":"","family":"Rotiroti","given":"G.","non-dropping-particle":"","parse-names":false,"suffix":""},{"dropping-particle":"","family":"Schmidt-Weber","given":"C. B.","non-dropping-particle":"","parse-names":false,"suffix":""},{"dropping-particle":"","family":"Timmermans","given":"F.","non-dropping-particle":"","parse-names":false,"suffix":""},{"dropping-particle":"","family":"Tsilochristou","given":"O.","non-dropping-particle":"","parse-names":false,"suffix":""},{"dropping-particle":"","family":"Varga","given":"E. M.","non-dropping-particle":"","parse-names":false,"suffix":""},{"dropping-particle":"","family":"Wilkinson","given":"J. N.","non-dropping-particle":"","parse-names":false,"suffix":""},{"dropping-particle":"","family":"Williams","given":"A.","non-dropping-particle":"","parse-names":false,"suffix":""},{"dropping-particle":"","family":"Zhang","given":"L.","non-dropping-particle":"","parse-names":false,"suffix":""},{"dropping-particle":"","family":"Agache","given":"I.","non-dropping-particle":"","parse-names":false,"suffix":""},{"dropping-particle":"","family":"Angier","given":"E.","non-dropping-particle":"","parse-names":false,"suffix":""},{"dropping-particle":"","family":"Fernandez-Rivas","given":"M.","non-dropping-particle":"","parse-names":false,"suffix":""},{"dropping-particle":"","family":"Jutel","given":"M.","non-dropping-particle":"","parse-names":false,"suffix":""},{"dropping-particle":"","family":"Lau","given":"S.","non-dropping-particle":"","parse-names":false,"suffix":""},{"dropping-particle":"","family":"Ree","given":"R.","non-dropping-particle":"van","parse-names":false,"suffix":""},{"dropping-particle":"","family":"Ryan","given":"D.","non-dropping-particle":"","parse-names":false,"suffix":""},{"dropping-particle":"","family":"Sturm","given":"G. J.","non-dropping-particle":"","parse-names":false,"suffix":""},{"dropping-particle":"","family":"Muraro","given":"A.","non-dropping-particle":"","parse-names":false,"suffix":""}],"container-title":"Allergy: European Journal of Allergy and Clinical Immunology","id":"ITEM-3","issue":"4","issued":{"date-parts":[["2018"]]},"page":"765-798","title":"EAACI Guidelines on Allergen Immunotherapy: Allergic rhinoconjunctivitis","type":"article-journal","volume":"73"},"uris":["http://www.mendeley.com/documents/?uuid=a77699d8-63b6-43e1-bc7c-66c8e60299c2"]}],"mendeley":{"formattedCitation":"[4,140,141]","plainTextFormattedCitation":"[4,140,141]","previouslyFormattedCitation":"[4,140,141]"},"properties":{"noteIndex":0},"schema":"https://github.com/citation-style-language/schema/raw/master/csl-citation.json"}</w:instrText>
      </w:r>
      <w:r>
        <w:rPr>
          <w:rFonts w:ascii="Times New Roman" w:hAnsi="Times New Roman" w:cs="Times New Roman"/>
          <w:sz w:val="28"/>
          <w:szCs w:val="28"/>
        </w:rPr>
        <w:fldChar w:fldCharType="separate"/>
      </w:r>
      <w:r w:rsidR="00332566" w:rsidRPr="00332566">
        <w:rPr>
          <w:rFonts w:ascii="Times New Roman" w:hAnsi="Times New Roman" w:cs="Times New Roman"/>
          <w:noProof/>
          <w:sz w:val="28"/>
          <w:szCs w:val="28"/>
        </w:rPr>
        <w:t>[4,140,141]</w:t>
      </w:r>
      <w:r>
        <w:rPr>
          <w:rFonts w:ascii="Times New Roman" w:hAnsi="Times New Roman" w:cs="Times New Roman"/>
          <w:sz w:val="28"/>
          <w:szCs w:val="28"/>
        </w:rPr>
        <w:fldChar w:fldCharType="end"/>
      </w:r>
      <w:r w:rsidRPr="00F57474">
        <w:rPr>
          <w:rFonts w:ascii="Times New Roman" w:hAnsi="Times New Roman" w:cs="Times New Roman"/>
          <w:sz w:val="28"/>
          <w:szCs w:val="28"/>
        </w:rPr>
        <w:t xml:space="preserve">. </w:t>
      </w:r>
      <w:r>
        <w:rPr>
          <w:rFonts w:ascii="Times New Roman" w:hAnsi="Times New Roman" w:cs="Times New Roman"/>
          <w:sz w:val="28"/>
          <w:szCs w:val="28"/>
        </w:rPr>
        <w:t>Д</w:t>
      </w:r>
      <w:r w:rsidRPr="00F57474">
        <w:rPr>
          <w:rFonts w:ascii="Times New Roman" w:hAnsi="Times New Roman" w:cs="Times New Roman"/>
          <w:sz w:val="28"/>
          <w:szCs w:val="28"/>
        </w:rPr>
        <w:t>иагностика</w:t>
      </w:r>
      <w:r>
        <w:rPr>
          <w:rFonts w:ascii="Times New Roman" w:hAnsi="Times New Roman" w:cs="Times New Roman"/>
          <w:sz w:val="28"/>
          <w:szCs w:val="28"/>
        </w:rPr>
        <w:t xml:space="preserve"> заболевания</w:t>
      </w:r>
      <w:r w:rsidRPr="00F57474">
        <w:rPr>
          <w:rFonts w:ascii="Times New Roman" w:hAnsi="Times New Roman" w:cs="Times New Roman"/>
          <w:sz w:val="28"/>
          <w:szCs w:val="28"/>
        </w:rPr>
        <w:t xml:space="preserve"> заключалась в выявлении классических симптомов аллергического ринита. Классические симптомы включают зуд в носу, чихание, ринорея и заложенность носа. Глазные симптомы также часты при аллергическом риноконъюнктивите и связаны с зудом, покраснением глаз и слезотечением. Другие симптомы включают зуд нёба и кашель.</w:t>
      </w:r>
      <w:r>
        <w:rPr>
          <w:rFonts w:ascii="Times New Roman" w:hAnsi="Times New Roman" w:cs="Times New Roman"/>
          <w:sz w:val="28"/>
          <w:szCs w:val="28"/>
        </w:rPr>
        <w:t xml:space="preserve"> Также</w:t>
      </w:r>
      <w:r w:rsidRPr="00F57474">
        <w:rPr>
          <w:rFonts w:ascii="Times New Roman" w:hAnsi="Times New Roman" w:cs="Times New Roman"/>
          <w:sz w:val="28"/>
          <w:szCs w:val="28"/>
        </w:rPr>
        <w:t xml:space="preserve">, аллергический ринит классифицировался в зависимости от времени и типа воздействия и симптомов на сезонный аллергический ринит (САР чаще всего вызывается наружными аллергенами, такими как пыльца или плесень), постоянный аллергический ринит (ПАР чаще всего, хотя и не обязательно, вызывается круглогодичными аллергенами, такими как клещи домашней пыли, плесень, тараканы и шерсть животных) и профессиональный аллергический ринит </w:t>
      </w:r>
      <w:r w:rsidRPr="00F57474">
        <w:rPr>
          <w:rFonts w:ascii="Times New Roman" w:hAnsi="Times New Roman" w:cs="Times New Roman"/>
          <w:sz w:val="28"/>
          <w:szCs w:val="28"/>
        </w:rPr>
        <w:fldChar w:fldCharType="begin" w:fldLock="1"/>
      </w:r>
      <w:r>
        <w:rPr>
          <w:rFonts w:ascii="Times New Roman" w:hAnsi="Times New Roman" w:cs="Times New Roman"/>
          <w:sz w:val="28"/>
          <w:szCs w:val="28"/>
        </w:rPr>
        <w:instrText>ADDIN CSL_CITATION {"citationItems":[{"id":"ITEM-1","itemData":{"DOI":"10.1016/j.jaci.2017.03.050","ISSN":"10976825","PMID":"28602936","abstract":"Background: Allergic rhinitis (AR) affects 10% to 40% of the population. It reduces quality of life and school and work performance and is a frequent reason for office visits in general practice. Medical costs are large, but avoidable costs associated with lost work productivity are even larger than those incurred by asthma. New evidence has accumulated since the last revision of the Allergic Rhinitis and its Impact on Asthma (ARIA) guidelines in 2010, prompting its update. Objective: We sought to provide a targeted update of the ARIA guidelines. Methods: The ARIA guideline panel identified new clinical questions and selected questions requiring an update. We performed systematic reviews of health effects and the evidence about patients’ values and preferences and resource requirements (up to June 2016). We followed the Grading of Recommendations Assessment, Development, and Evaluation (GRADE) evidence-to-decision frameworks to develop recommendations. Results: The 2016 revision of the ARIA guidelines provides both updated and new recommendations about the pharmacologic treatment of AR. Specifically, it addresses the relative merits of using oral H1-antihistamines, intranasal H1-antihistamines, intranasal corticosteroids, and leukotriene receptor antagonists either alone or in combination. The ARIA guideline panel provides specific recommendations for the choice of treatment and the rationale for the choice and discusses specific considerations that clinicians and patients might want to review to choose the management most appropriate for an individual patient. Conclusions: Appropriate treatment of AR might improve patients’ quality of life and school and work productivity. ARIA recommendations support patients, their caregivers, and health care providers in choosing the optimal treatment.","author":[{"dropping-particle":"","family":"Brożek","given":"Jan L.","non-dropping-particle":"","parse-names":false,"suffix":""},{"dropping-particle":"","family":"Bousquet","given":"Jean","non-dropping-particle":"","parse-names":false,"suffix":""},{"dropping-particle":"","family":"Agache","given":"Ioana","non-dropping-particle":"","parse-names":false,"suffix":""},{"dropping-particle":"","family":"Agarwal","given":"Arnav","non-dropping-particle":"","parse-names":false,"suffix":""},{"dropping-particle":"","family":"Bachert","given":"Claus","non-dropping-particle":"","parse-names":false,"suffix":""},{"dropping-particle":"","family":"Bosnic-Anticevich","given":"Sinthia","non-dropping-particle":"","parse-names":false,"suffix":""},{"dropping-particle":"","family":"Brignardello-Petersen","given":"Romina","non-dropping-particle":"","parse-names":false,"suffix":""},{"dropping-particle":"","family":"Canonica","given":"G. Walter","non-dropping-particle":"","parse-names":false,"suffix":""},{"dropping-particle":"","family":"Casale","given":"Thomas","non-dropping-particle":"","parse-names":false,"suffix":""},{"dropping-particle":"","family":"Chavannes","given":"Niels H.","non-dropping-particle":"","parse-names":false,"suffix":""},{"dropping-particle":"","family":"Correia de Sousa","given":"Jaime","non-dropping-particle":"","parse-names":false,"suffix":""},{"dropping-particle":"","family":"Cruz","given":"Alvaro A.","non-dropping-particle":"","parse-names":false,"suffix":""},{"dropping-particle":"","family":"Cuello-Garcia","given":"Carlos A.","non-dropping-particle":"","parse-names":false,"suffix":""},{"dropping-particle":"","family":"Demoly","given":"Pascal","non-dropping-particle":"","parse-names":false,"suffix":""},{"dropping-particle":"","family":"Dykewicz","given":"Mark","non-dropping-particle":"","parse-names":false,"suffix":""},{"dropping-particle":"","family":"Etxeandia-Ikobaltzeta","given":"Itziar","non-dropping-particle":"","parse-names":false,"suffix":""},{"dropping-particle":"","family":"Florez","given":"Ivan D.","non-dropping-particle":"","parse-names":false,"suffix":""},{"dropping-particle":"","family":"Fokkens","given":"Wytske","non-dropping-particle":"","parse-names":false,"suffix":""},{"dropping-particle":"","family":"Fonseca","given":"Joao","non-dropping-particle":"","parse-names":false,"suffix":""},{"dropping-particle":"","family":"Hellings","given":"Peter W.","non-dropping-particle":"","parse-names":false,"suffix":""},{"dropping-particle":"","family":"Klimek","given":"Ludger","non-dropping-particle":"","parse-names":false,"suffix":""},{"dropping-particle":"","family":"Kowalski","given":"Sergio","non-dropping-particle":"","parse-names":false,"suffix":""},{"dropping-particle":"","family":"Kuna","given":"Piotr","non-dropping-particle":"","parse-names":false,"suffix":""},{"dropping-particle":"","family":"Laisaar","given":"Kaja Triin","non-dropping-particle":"","parse-names":false,"suffix":""},{"dropping-particle":"","family":"Larenas-Linnemann","given":"Désirée E.","non-dropping-particle":"","parse-names":false,"suffix":""},{"dropping-particle":"","family":"Lødrup Carlsen","given":"Karin C.","non-dropping-particle":"","parse-names":false,"suffix":""},{"dropping-particle":"","family":"Manning","given":"Peter J.","non-dropping-particle":"","parse-names":false,"suffix":""},{"dropping-particle":"","family":"Meltzer","given":"Eli","non-dropping-particle":"","parse-names":false,"suffix":""},{"dropping-particle":"","family":"Mullol","given":"Joaquim","non-dropping-particle":"","parse-names":false,"suffix":""},{"dropping-particle":"","family":"Muraro","given":"Antonella","non-dropping-particle":"","parse-names":false,"suffix":""},{"dropping-particle":"","family":"O'Hehir","given":"Robyn","non-dropping-particle":"","parse-names":false,"suffix":""},{"dropping-particle":"","family":"Ohta","given":"Ken","non-dropping-particle":"","parse-names":false,"suffix":""},{"dropping-particle":"","family":"Panzner","given":"Petr","non-dropping-particle":"","parse-names":false,"suffix":""},{"dropping-particle":"","family":"Papadopoulos","given":"Nikolaos","non-dropping-particle":"","parse-names":false,"suffix":""},{"dropping-particle":"","family":"Park","given":"Hae Sim","non-dropping-particle":"","parse-names":false,"suffix":""},{"dropping-particle":"","family":"Passalacqua","given":"Gianni","non-dropping-particle":"","parse-names":false,"suffix":""},{"dropping-particle":"","family":"Pawankar","given":"Ruby","non-dropping-particle":"","parse-names":false,"suffix":""},{"dropping-particle":"","family":"Price","given":"David","non-dropping-particle":"","parse-names":false,"suffix":""},{"dropping-particle":"","family":"Riva","given":"John J.","non-dropping-particle":"","parse-names":false,"suffix":""},{"dropping-particle":"","family":"Roldán","given":"Yetiani","non-dropping-particle":"","parse-names":false,"suffix":""},{"dropping-particle":"","family":"Ryan","given":"Dermot","non-dropping-particle":"","parse-names":false,"suffix":""},{"dropping-particle":"","family":"Sadeghirad","given":"Behnam","non-dropping-particle":"","parse-names":false,"suffix":""},{"dropping-particle":"","family":"Samolinski","given":"Boleslaw","non-dropping-particle":"","parse-names":false,"suffix":""},{"dropping-particle":"","family":"Schmid-Grendelmeier","given":"Peter","non-dropping-particle":"","parse-names":false,"suffix":""},{"dropping-particle":"","family":"Sheikh","given":"Aziz","non-dropping-particle":"","parse-names":false,"suffix":""},{"dropping-particle":"","family":"Togias","given":"Alkis","non-dropping-particle":"","parse-names":false,"suffix":""},{"dropping-particle":"","family":"Valero","given":"Antonio","non-dropping-particle":"","parse-names":false,"suffix":""},{"dropping-particle":"","family":"Valiulis","given":"Arunas","non-dropping-particle":"","parse-names":false,"suffix":""},{"dropping-particle":"","family":"Valovirta","given":"Erkka","non-dropping-particle":"","parse-names":false,"suffix":""},{"dropping-particle":"","family":"Ventresca","given":"Matthew","non-dropping-particle":"","parse-names":false,"suffix":""},{"dropping-particle":"","family":"Wallace","given":"Dana","non-dropping-particle":"","parse-names":false,"suffix":""},{"dropping-particle":"","family":"Waserman","given":"Susan","non-dropping-particle":"","parse-names":false,"suffix":""},{"dropping-particle":"","family":"Wickman","given":"Magnus","non-dropping-particle":"","parse-names":false,"suffix":""},{"dropping-particle":"","family":"Wiercioch","given":"Wojtek","non-dropping-particle":"","parse-names":false,"suffix":""},{"dropping-particle":"","family":"Yepes-Nuñez","given":"Juan José","non-dropping-particle":"","parse-names":false,"suffix":""},{"dropping-particle":"","family":"Zhang","given":"Luo","non-dropping-particle":"","parse-names":false,"suffix":""},{"dropping-particle":"","family":"Zhang","given":"Yuan","non-dropping-particle":"","parse-names":false,"suffix":""},{"dropping-particle":"","family":"Zidarn","given":"Mihaela","non-dropping-particle":"","parse-names":false,"suffix":""},{"dropping-particle":"","family":"Zuberbier","given":"Torsten","non-dropping-particle":"","parse-names":false,"suffix":""},{"dropping-particle":"","family":"Schünemann","given":"Holger J.","non-dropping-particle":"","parse-names":false,"suffix":""}],"container-title":"Journal of Allergy and Clinical Immunology","id":"ITEM-1","issue":"4","issued":{"date-parts":[["2017"]]},"page":"950-958","title":"Allergic Rhinitis and its Impact on Asthma (ARIA) guidelines—2016 revision","type":"article-journal","volume":"140"},"uris":["http://www.mendeley.com/documents/?uuid=0fb3a53d-73fc-4247-9360-df54bcbe1d42"]}],"mendeley":{"formattedCitation":"[4]","plainTextFormattedCitation":"[4]","previouslyFormattedCitation":"[4]"},"properties":{"noteIndex":0},"schema":"https://github.com/citation-style-language/schema/raw/master/csl-citation.json"}</w:instrText>
      </w:r>
      <w:r w:rsidRPr="00F57474">
        <w:rPr>
          <w:rFonts w:ascii="Times New Roman" w:hAnsi="Times New Roman" w:cs="Times New Roman"/>
          <w:sz w:val="28"/>
          <w:szCs w:val="28"/>
        </w:rPr>
        <w:fldChar w:fldCharType="separate"/>
      </w:r>
      <w:r w:rsidRPr="00877069">
        <w:rPr>
          <w:rFonts w:ascii="Times New Roman" w:hAnsi="Times New Roman" w:cs="Times New Roman"/>
          <w:noProof/>
          <w:sz w:val="28"/>
          <w:szCs w:val="28"/>
        </w:rPr>
        <w:t>[4]</w:t>
      </w:r>
      <w:r w:rsidRPr="00F57474">
        <w:rPr>
          <w:rFonts w:ascii="Times New Roman" w:hAnsi="Times New Roman" w:cs="Times New Roman"/>
          <w:sz w:val="28"/>
          <w:szCs w:val="28"/>
        </w:rPr>
        <w:fldChar w:fldCharType="end"/>
      </w:r>
      <w:r w:rsidRPr="00F57474">
        <w:rPr>
          <w:rFonts w:ascii="Times New Roman" w:hAnsi="Times New Roman" w:cs="Times New Roman"/>
          <w:sz w:val="28"/>
          <w:szCs w:val="28"/>
        </w:rPr>
        <w:t>.</w:t>
      </w:r>
    </w:p>
    <w:p w14:paraId="496E26B6" w14:textId="55389BFE" w:rsidR="00F57474" w:rsidRPr="00F57474" w:rsidRDefault="00A33F29" w:rsidP="009F65CA">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w:t>
      </w:r>
      <w:r w:rsidR="00F57474" w:rsidRPr="0072694A">
        <w:rPr>
          <w:rFonts w:ascii="Times New Roman" w:hAnsi="Times New Roman" w:cs="Times New Roman"/>
          <w:sz w:val="28"/>
          <w:szCs w:val="28"/>
        </w:rPr>
        <w:t>сем пациентам, вошедшим в исследование, проводилась консультация аллерголога с оценкой</w:t>
      </w:r>
      <w:r w:rsidR="00F57474" w:rsidRPr="00F57474">
        <w:rPr>
          <w:rFonts w:ascii="Times New Roman" w:hAnsi="Times New Roman" w:cs="Times New Roman"/>
          <w:sz w:val="28"/>
          <w:szCs w:val="28"/>
        </w:rPr>
        <w:t xml:space="preserve"> клинического состояния пациентов и лабораторное обследование.</w:t>
      </w:r>
    </w:p>
    <w:p w14:paraId="21CFFFA4" w14:textId="77777777" w:rsidR="00F57474" w:rsidRPr="00F57474" w:rsidRDefault="00F57474" w:rsidP="009F65CA">
      <w:pPr>
        <w:tabs>
          <w:tab w:val="left" w:pos="851"/>
          <w:tab w:val="left" w:pos="993"/>
        </w:tabs>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rPr>
        <w:t>Клиническое состояние оценивалось объективно и путем проведения анкетирования для определения степени тяжести симптомов сезонного аллергического ринита и изменений качества жизни, связанных с заболеванием.</w:t>
      </w:r>
    </w:p>
    <w:p w14:paraId="438F0328" w14:textId="2F133E1F" w:rsidR="00F57474" w:rsidRPr="00F57474" w:rsidRDefault="00F57474" w:rsidP="009F65CA">
      <w:pPr>
        <w:tabs>
          <w:tab w:val="left" w:pos="851"/>
          <w:tab w:val="left" w:pos="993"/>
        </w:tabs>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rPr>
        <w:t>Лабораторное обследование включало определение общего иммуноглобулина Е, эозинофильного катионного белка, витамина Д, а также специфического иммуноглобулина Е</w:t>
      </w:r>
      <w:r w:rsidR="00D74B84" w:rsidRPr="00D74B84">
        <w:rPr>
          <w:rFonts w:ascii="Times New Roman" w:hAnsi="Times New Roman" w:cs="Times New Roman"/>
          <w:sz w:val="28"/>
          <w:szCs w:val="28"/>
        </w:rPr>
        <w:t xml:space="preserve"> к компонентам аллергена</w:t>
      </w:r>
      <w:r w:rsidRPr="00F57474">
        <w:rPr>
          <w:rFonts w:ascii="Times New Roman" w:hAnsi="Times New Roman" w:cs="Times New Roman"/>
          <w:sz w:val="28"/>
          <w:szCs w:val="28"/>
        </w:rPr>
        <w:t xml:space="preserve"> </w:t>
      </w:r>
      <w:r w:rsidR="00D74B84">
        <w:rPr>
          <w:rFonts w:ascii="Times New Roman" w:hAnsi="Times New Roman" w:cs="Times New Roman"/>
          <w:sz w:val="28"/>
          <w:szCs w:val="28"/>
        </w:rPr>
        <w:t>с использованием</w:t>
      </w:r>
      <w:r w:rsidRPr="00F57474">
        <w:rPr>
          <w:rFonts w:ascii="Times New Roman" w:hAnsi="Times New Roman" w:cs="Times New Roman"/>
          <w:sz w:val="28"/>
          <w:szCs w:val="28"/>
        </w:rPr>
        <w:t xml:space="preserve"> </w:t>
      </w:r>
      <w:r w:rsidRPr="00F57474">
        <w:rPr>
          <w:rFonts w:ascii="Times New Roman" w:hAnsi="Times New Roman" w:cs="Times New Roman"/>
          <w:sz w:val="28"/>
          <w:szCs w:val="28"/>
          <w:lang w:val="en-US"/>
        </w:rPr>
        <w:t>ISAC</w:t>
      </w:r>
      <w:r w:rsidRPr="00F57474">
        <w:rPr>
          <w:rFonts w:ascii="Times New Roman" w:hAnsi="Times New Roman" w:cs="Times New Roman"/>
          <w:sz w:val="28"/>
          <w:szCs w:val="28"/>
          <w:lang w:val="kk-KZ"/>
        </w:rPr>
        <w:t xml:space="preserve"> теста</w:t>
      </w:r>
      <w:r w:rsidRPr="00F57474">
        <w:rPr>
          <w:rFonts w:ascii="Times New Roman" w:hAnsi="Times New Roman" w:cs="Times New Roman"/>
          <w:sz w:val="28"/>
          <w:szCs w:val="28"/>
        </w:rPr>
        <w:t>.</w:t>
      </w:r>
    </w:p>
    <w:p w14:paraId="6078E16F" w14:textId="645EA027" w:rsidR="00F57474" w:rsidRPr="00F57474" w:rsidRDefault="00F57474" w:rsidP="009F65CA">
      <w:pPr>
        <w:tabs>
          <w:tab w:val="left" w:pos="851"/>
          <w:tab w:val="left" w:pos="993"/>
        </w:tabs>
        <w:spacing w:after="0" w:line="240" w:lineRule="auto"/>
        <w:ind w:firstLine="567"/>
        <w:jc w:val="both"/>
        <w:rPr>
          <w:rFonts w:ascii="Times New Roman" w:hAnsi="Times New Roman" w:cs="Times New Roman"/>
          <w:sz w:val="28"/>
          <w:szCs w:val="28"/>
        </w:rPr>
      </w:pPr>
    </w:p>
    <w:p w14:paraId="186D393E" w14:textId="77777777" w:rsidR="00F57474" w:rsidRPr="00F57474" w:rsidRDefault="00F57474" w:rsidP="009F65CA">
      <w:pPr>
        <w:spacing w:after="0" w:line="240" w:lineRule="auto"/>
        <w:rPr>
          <w:rFonts w:ascii="Times New Roman" w:hAnsi="Times New Roman" w:cs="Times New Roman"/>
          <w:b/>
          <w:sz w:val="28"/>
          <w:szCs w:val="28"/>
        </w:rPr>
      </w:pPr>
    </w:p>
    <w:p w14:paraId="3139B1CD" w14:textId="5474B3BE" w:rsidR="00F57474" w:rsidRPr="00144946" w:rsidRDefault="00F57474" w:rsidP="009F65CA">
      <w:pPr>
        <w:keepNext/>
        <w:keepLines/>
        <w:spacing w:after="0" w:line="240" w:lineRule="auto"/>
        <w:ind w:firstLine="567"/>
        <w:outlineLvl w:val="1"/>
        <w:rPr>
          <w:rFonts w:ascii="Times New Roman" w:eastAsiaTheme="majorEastAsia" w:hAnsi="Times New Roman" w:cs="Times New Roman"/>
          <w:i/>
          <w:sz w:val="28"/>
          <w:szCs w:val="28"/>
        </w:rPr>
      </w:pPr>
      <w:bookmarkStart w:id="19" w:name="_Toc137904343"/>
      <w:r w:rsidRPr="00144946">
        <w:rPr>
          <w:rFonts w:ascii="Times New Roman" w:eastAsiaTheme="majorEastAsia" w:hAnsi="Times New Roman" w:cs="Times New Roman"/>
          <w:i/>
          <w:sz w:val="28"/>
          <w:szCs w:val="28"/>
        </w:rPr>
        <w:t>2.1.2 Проведение систематического обзора</w:t>
      </w:r>
      <w:bookmarkEnd w:id="19"/>
    </w:p>
    <w:p w14:paraId="3DE279A0" w14:textId="7786A2AA" w:rsid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Поиск литературы был осуществлен в электронных базах PubMed, Google Scholar и e-library</w:t>
      </w:r>
      <w:r w:rsidR="005A1EAE">
        <w:rPr>
          <w:rFonts w:ascii="Times New Roman" w:eastAsia="Calibri" w:hAnsi="Times New Roman" w:cs="Times New Roman"/>
          <w:sz w:val="28"/>
          <w:szCs w:val="28"/>
        </w:rPr>
        <w:t xml:space="preserve">, по ключевым словам - </w:t>
      </w:r>
      <w:r w:rsidRPr="00F57474">
        <w:rPr>
          <w:rFonts w:ascii="Times New Roman" w:eastAsia="Calibri" w:hAnsi="Times New Roman" w:cs="Times New Roman"/>
          <w:sz w:val="28"/>
          <w:szCs w:val="28"/>
        </w:rPr>
        <w:t xml:space="preserve">аллерген-специфическая иммунотерапия, эозинофильный катионный белок, общий иммуноглобулин Е, молекулярная аллергодиагностика. Глубина поиска составила 14 лет (с 1 января 2008 по 31 декабря 2021 годы). Релевантные работы, отражающие характеристики проблемы были приняты для описания в </w:t>
      </w:r>
      <w:r w:rsidRPr="006B1048">
        <w:rPr>
          <w:rFonts w:ascii="Times New Roman" w:eastAsia="Calibri" w:hAnsi="Times New Roman" w:cs="Times New Roman"/>
          <w:sz w:val="28"/>
          <w:szCs w:val="28"/>
        </w:rPr>
        <w:t xml:space="preserve">обзоре. Блок-схема отбора исследований для включения в этот обзор представлена на </w:t>
      </w:r>
      <w:r w:rsidR="0012214F" w:rsidRPr="006B1048">
        <w:rPr>
          <w:rFonts w:ascii="Times New Roman" w:eastAsia="Calibri" w:hAnsi="Times New Roman" w:cs="Times New Roman"/>
          <w:sz w:val="28"/>
          <w:szCs w:val="28"/>
        </w:rPr>
        <w:t>рисунке 4</w:t>
      </w:r>
      <w:r w:rsidRPr="006B1048">
        <w:rPr>
          <w:rFonts w:ascii="Times New Roman" w:eastAsia="Calibri" w:hAnsi="Times New Roman" w:cs="Times New Roman"/>
          <w:sz w:val="28"/>
          <w:szCs w:val="28"/>
        </w:rPr>
        <w:t>.</w:t>
      </w:r>
    </w:p>
    <w:p w14:paraId="271D3D83" w14:textId="16EDBF4F" w:rsidR="009F65CA" w:rsidRDefault="003D199E" w:rsidP="00BA2FE5">
      <w:pPr>
        <w:spacing w:after="0" w:line="256" w:lineRule="auto"/>
        <w:jc w:val="center"/>
        <w:rPr>
          <w:rFonts w:ascii="Times New Roman" w:eastAsia="Calibri" w:hAnsi="Times New Roman" w:cs="Times New Roman"/>
          <w:bCs/>
          <w:iCs/>
          <w:spacing w:val="5"/>
          <w:sz w:val="28"/>
          <w:szCs w:val="28"/>
        </w:rPr>
      </w:pPr>
      <w:r>
        <w:rPr>
          <w:rFonts w:ascii="Times New Roman" w:eastAsia="Calibri" w:hAnsi="Times New Roman" w:cs="Times New Roman"/>
          <w:bCs/>
          <w:iCs/>
          <w:spacing w:val="5"/>
          <w:sz w:val="28"/>
          <w:szCs w:val="28"/>
        </w:rPr>
        <w:pict w14:anchorId="39D102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65pt;height:376.45pt">
            <v:imagedata r:id="rId12" o:title="систем обзор"/>
          </v:shape>
        </w:pict>
      </w:r>
    </w:p>
    <w:p w14:paraId="45BAFBC7" w14:textId="04404EF9" w:rsidR="00F57474" w:rsidRDefault="0012214F" w:rsidP="002E6645">
      <w:pPr>
        <w:spacing w:after="0" w:line="256" w:lineRule="auto"/>
        <w:ind w:firstLine="567"/>
        <w:jc w:val="center"/>
        <w:rPr>
          <w:rFonts w:ascii="Times New Roman" w:eastAsia="Calibri" w:hAnsi="Times New Roman" w:cs="Times New Roman"/>
          <w:color w:val="000000"/>
          <w:sz w:val="28"/>
          <w:szCs w:val="28"/>
        </w:rPr>
      </w:pPr>
      <w:r>
        <w:rPr>
          <w:rFonts w:ascii="Times New Roman" w:eastAsia="Calibri" w:hAnsi="Times New Roman" w:cs="Times New Roman"/>
          <w:bCs/>
          <w:iCs/>
          <w:spacing w:val="5"/>
          <w:sz w:val="28"/>
          <w:szCs w:val="28"/>
        </w:rPr>
        <w:t>Рисунок 4</w:t>
      </w:r>
      <w:r w:rsidR="00F57474" w:rsidRPr="00F57474">
        <w:rPr>
          <w:rFonts w:ascii="Times New Roman" w:eastAsia="Calibri" w:hAnsi="Times New Roman" w:cs="Times New Roman"/>
          <w:bCs/>
          <w:iCs/>
          <w:spacing w:val="5"/>
          <w:sz w:val="28"/>
          <w:szCs w:val="28"/>
        </w:rPr>
        <w:t xml:space="preserve"> -</w:t>
      </w:r>
      <w:r w:rsidR="00F57474" w:rsidRPr="00F57474">
        <w:rPr>
          <w:rFonts w:ascii="Times New Roman" w:eastAsia="Calibri" w:hAnsi="Times New Roman" w:cs="Times New Roman"/>
          <w:b/>
          <w:bCs/>
          <w:iCs/>
          <w:spacing w:val="5"/>
          <w:sz w:val="28"/>
          <w:szCs w:val="28"/>
        </w:rPr>
        <w:t xml:space="preserve"> </w:t>
      </w:r>
      <w:r w:rsidR="00F57474" w:rsidRPr="00F57474">
        <w:rPr>
          <w:rFonts w:ascii="Times New Roman" w:eastAsia="Calibri" w:hAnsi="Times New Roman" w:cs="Times New Roman"/>
          <w:bCs/>
          <w:iCs/>
          <w:spacing w:val="5"/>
          <w:sz w:val="28"/>
          <w:szCs w:val="28"/>
        </w:rPr>
        <w:t>П</w:t>
      </w:r>
      <w:r w:rsidR="00F57474" w:rsidRPr="00F57474">
        <w:rPr>
          <w:rFonts w:ascii="Times New Roman" w:eastAsia="Calibri" w:hAnsi="Times New Roman" w:cs="Times New Roman"/>
          <w:color w:val="000000"/>
          <w:sz w:val="28"/>
          <w:szCs w:val="28"/>
        </w:rPr>
        <w:t>роцесс отбора публикаций в исследование</w:t>
      </w:r>
    </w:p>
    <w:p w14:paraId="3222530A" w14:textId="77777777" w:rsidR="006B1048" w:rsidRPr="00F57474" w:rsidRDefault="006B1048" w:rsidP="002E6645">
      <w:pPr>
        <w:spacing w:after="0" w:line="256" w:lineRule="auto"/>
        <w:ind w:firstLine="567"/>
        <w:jc w:val="center"/>
        <w:rPr>
          <w:rFonts w:ascii="Times New Roman" w:eastAsia="Calibri" w:hAnsi="Times New Roman" w:cs="Times New Roman"/>
          <w:color w:val="000000"/>
          <w:sz w:val="28"/>
          <w:szCs w:val="28"/>
        </w:rPr>
      </w:pPr>
    </w:p>
    <w:p w14:paraId="5ED99D4A" w14:textId="0040060E"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 xml:space="preserve">Источники отбирались в соответствии с базовым контекстом исследования на английском и русском языках. Критерии включения: экспериментальные или клинические исследования роли молекулярной диагностики аллергии при сезонном аллергическом рините; экспериментальные или клинические исследования, направленные на молекулярную диагностику аллергии при выявлении полисенсибилизации для обеспечения АСИТ; наличие полных текстов исследований; исследования набрали ≥4 баллов по шкале «Оттава-Ньюкасл» для поперечных исследований. Критерии исключения: публикации, не соответствующие цели настоящего обзора; дубликаты документов; отсутствие полнотекстовых публикаций; статьи на других языках, кроме английского или русского; исследования, набравшие &lt;4 баллов по шкале «Оттава-Ньюкасл» для поперечных исследований </w:t>
      </w:r>
      <w:r w:rsidRPr="00F57474">
        <w:rPr>
          <w:rFonts w:ascii="Times New Roman" w:eastAsia="Calibri" w:hAnsi="Times New Roman" w:cs="Times New Roman"/>
          <w:sz w:val="28"/>
          <w:szCs w:val="28"/>
        </w:rPr>
        <w:fldChar w:fldCharType="begin" w:fldLock="1"/>
      </w:r>
      <w:r w:rsidR="00A02E0E">
        <w:rPr>
          <w:rFonts w:ascii="Times New Roman" w:eastAsia="Calibri" w:hAnsi="Times New Roman" w:cs="Times New Roman"/>
          <w:sz w:val="28"/>
          <w:szCs w:val="28"/>
        </w:rPr>
        <w:instrText>ADDIN CSL_CITATION {"citationItems":[{"id":"ITEM-1","itemData":{"abstract":"В статье приведены русскоязычные версии вопросников для оценки риска систематических смещений в исследованиях «случай-контроль» и когортных исследованиях. Данные вопросники являются переводом шкалы Ньюкасл-Оттава для оценки методологического качества нерандомизированных исследований. Риск систематических смещений в оригинальной шкале не стратифицирован, однако на практике Кокрановское сообщество относит исследования с 5 и менее баллами (из 9 возможных) к имеющим низкое методологическое качество. Мы предлагаем для оценки методологического качества оценивать не только риск систематических ошибок, но и риск некорректности выполненного статистического анализа.","author":[{"dropping-particle":"","family":"Реброва","given":"Ольга Юрьевна","non-dropping-particle":"","parse-names":false,"suffix":""},{"dropping-particle":"","family":"Федяева","given":"Влада Константиновна","non-dropping-particle":"","parse-names":false,"suffix":""}],"container-title":"Медицинские Технологии. Оценка И Выбор","id":"ITEM-1","issue":"25","issued":{"date-parts":[["2014"]]},"page":"14-19","title":"Вопросник для оценки риска систематических ошибок в нерандомизированных сравнительных исследованиях: русскоязычная версия Шкалы Ньюкасл-Оттава","type":"article-journal","volume":"3"},"uris":["http://www.mendeley.com/documents/?uuid=ddb88c3c-2254-4cc7-9e8e-f8c512554fac"]}],"mendeley":{"formattedCitation":"[142]","plainTextFormattedCitation":"[142]","previouslyFormattedCitation":"[142]"},"properties":{"noteIndex":0},"schema":"https://github.com/citation-style-language/schema/raw/master/csl-citation.json"}</w:instrText>
      </w:r>
      <w:r w:rsidRPr="00F57474">
        <w:rPr>
          <w:rFonts w:ascii="Times New Roman" w:eastAsia="Calibri" w:hAnsi="Times New Roman" w:cs="Times New Roman"/>
          <w:sz w:val="28"/>
          <w:szCs w:val="28"/>
        </w:rPr>
        <w:fldChar w:fldCharType="separate"/>
      </w:r>
      <w:r w:rsidR="00332566" w:rsidRPr="00332566">
        <w:rPr>
          <w:rFonts w:ascii="Times New Roman" w:eastAsia="Calibri" w:hAnsi="Times New Roman" w:cs="Times New Roman"/>
          <w:noProof/>
          <w:sz w:val="28"/>
          <w:szCs w:val="28"/>
        </w:rPr>
        <w:t>[142]</w:t>
      </w:r>
      <w:r w:rsidRPr="00F57474">
        <w:rPr>
          <w:rFonts w:ascii="Times New Roman" w:eastAsia="Calibri" w:hAnsi="Times New Roman" w:cs="Times New Roman"/>
          <w:sz w:val="28"/>
          <w:szCs w:val="28"/>
        </w:rPr>
        <w:fldChar w:fldCharType="end"/>
      </w:r>
      <w:r w:rsidRPr="00F57474">
        <w:rPr>
          <w:rFonts w:ascii="Times New Roman" w:eastAsia="Calibri" w:hAnsi="Times New Roman" w:cs="Times New Roman"/>
          <w:sz w:val="28"/>
          <w:szCs w:val="28"/>
        </w:rPr>
        <w:t>.</w:t>
      </w:r>
    </w:p>
    <w:p w14:paraId="5D740E2D" w14:textId="77777777"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После отбора публикаций, отвечающих критериям приемлемости, были извлечены следующие данные: фамилия первого автора и год публикации, возраст пациента, размер выборки, тип аллергии, страна, основные выводы и балл по шкале «Оттава» - «Ньюкасл».</w:t>
      </w:r>
    </w:p>
    <w:p w14:paraId="4850BC93" w14:textId="77777777" w:rsidR="00F57474" w:rsidRPr="00F57474" w:rsidRDefault="00F57474" w:rsidP="009F65CA">
      <w:pPr>
        <w:spacing w:after="0" w:line="240" w:lineRule="auto"/>
        <w:rPr>
          <w:rFonts w:ascii="Times New Roman" w:hAnsi="Times New Roman" w:cs="Times New Roman"/>
          <w:sz w:val="28"/>
          <w:szCs w:val="28"/>
        </w:rPr>
      </w:pPr>
    </w:p>
    <w:p w14:paraId="5C5F2047" w14:textId="2A11F7BD" w:rsidR="00F57474" w:rsidRPr="003B7672" w:rsidRDefault="00F57474" w:rsidP="009F65CA">
      <w:pPr>
        <w:keepNext/>
        <w:keepLines/>
        <w:spacing w:after="0" w:line="240" w:lineRule="auto"/>
        <w:ind w:firstLine="567"/>
        <w:outlineLvl w:val="1"/>
        <w:rPr>
          <w:rFonts w:ascii="Times New Roman" w:eastAsiaTheme="majorEastAsia" w:hAnsi="Times New Roman" w:cs="Times New Roman"/>
          <w:i/>
          <w:sz w:val="28"/>
          <w:szCs w:val="28"/>
        </w:rPr>
      </w:pPr>
      <w:bookmarkStart w:id="20" w:name="_Toc137904344"/>
      <w:r w:rsidRPr="003B7672">
        <w:rPr>
          <w:rFonts w:ascii="Times New Roman" w:eastAsiaTheme="majorEastAsia" w:hAnsi="Times New Roman" w:cs="Times New Roman"/>
          <w:i/>
          <w:sz w:val="28"/>
          <w:szCs w:val="28"/>
        </w:rPr>
        <w:t>2.1.3 Оценка клинического состояния</w:t>
      </w:r>
      <w:bookmarkEnd w:id="20"/>
    </w:p>
    <w:p w14:paraId="07A96726" w14:textId="77777777" w:rsidR="009A2875" w:rsidRDefault="00F57474" w:rsidP="009F65CA">
      <w:pPr>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rPr>
        <w:t xml:space="preserve">В соответствии с нормативными рекомендациями EAACI золотым стандартом эффективности АСИТ является оценка клинических симптомов и кратности применения симптоматических препаратов во время воздействия причинно-значимых аллергенов. Рекомендуемым первичным показателем результата является совокупная оценка </w:t>
      </w:r>
      <w:r w:rsidRPr="00F57474">
        <w:rPr>
          <w:rFonts w:ascii="Times New Roman" w:eastAsia="Calibri" w:hAnsi="Times New Roman" w:cs="Times New Roman"/>
          <w:sz w:val="28"/>
          <w:szCs w:val="28"/>
        </w:rPr>
        <w:t>клинических</w:t>
      </w:r>
      <w:r w:rsidRPr="00F57474">
        <w:rPr>
          <w:rFonts w:ascii="Times New Roman" w:hAnsi="Times New Roman" w:cs="Times New Roman"/>
          <w:sz w:val="28"/>
          <w:szCs w:val="28"/>
        </w:rPr>
        <w:t xml:space="preserve"> симптомов и приема лекарств при аллергическом рините </w:t>
      </w:r>
      <w:r w:rsidRPr="00F57474">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{"citationItems":[{"id":"ITEM-1","itemData":{"DOI":"10.1111/all.13138","ISSN":"13989995","PMID":"28152201","abstract":"Background: Allergen immunotherapy (AIT) is an effective treatment for allergic rhinoconjunctivitis (AR) with or without asthma. It is important to note that due to the complex interaction between patient, allergy triggers, symptomatology and vaccines used for AIT, some patients do not respond optimally to the treatment. Furthermore, there are no validated or generally accepted candidate biomarkers that are predictive of the clinical response to AIT. Clinical management of patients receiving AIT and efficacy in randomised controlled trials for drug development could be enhanced by predictive biomarkers. Method: The EAACI taskforce reviewed all candidate biomarkers used in clinical trials of AR patients with/without asthma in a literature review. Biomarkers were grouped into seven domains: (i) IgE (total IgE, specific IgE and sIgE/Total IgE ratio), (ii) IgG-subclasses (sIgG1, sIgG4 including SIgE/IgG4 ratio), (iii) Serum inhibitory activity for IgE (IgE-FAB and IgE-BF), (iv) Basophil activation, (v) Cytokines and Chemokines, (vi) Cellular markers (T regulatory cells, B regulatory cells and dendritic cells) and (vii) In vivo biomarkers (including provocation tests?). Results: All biomarkers were reviewed in the light of their potential advantages as well as their respective drawbacks. Unmet needs and specific recommendations on all seven domains were addressed. Conclusions: It is recommended to explore the use of allergen-specific IgG4 as a biomarker for compliance. sIgE/tIgE and IgE-FAB are considered as potential surrogate candidate biomarkers. Cytokine/chemokines and cellular reponses provided insight into the mechanisms of AIT. More studies for confirmation and interpretation of the possible association with the clinical response to AIT are needed.","author":[{"dropping-particle":"","family":"Shamji","given":"M. H.","non-dropping-particle":"","parse-names":false,"suffix":""},{"dropping-particle":"","family":"Kappen","given":"J. H.","non-dropping-particle":"","parse-names":false,"suffix":""},{"dropping-particle":"","family":"Akdis","given":"M.","non-dropping-particle":"","parse-names":false,"suffix":""},{"dropping-particle":"","family":"Jensen-Jarolim","given":"E.","non-dropping-particle":"","parse-names":false,"suffix":""},{"dropping-particle":"","family":"Knol","given":"E. F.","non-dropping-particle":"","parse-names":false,"suffix":""},{"dropping-particle":"","family":"Kleine-Tebbe","given":"J.","non-dropping-particle":"","parse-names":false,"suffix":""},{"dropping-particle":"","family":"Bohle","given":"B.","non-dropping-particle":"","parse-names":false,"suffix":""},{"dropping-particle":"","family":"Chaker","given":"A. M.","non-dropping-particle":"","parse-names":false,"suffix":""},{"dropping-particle":"","family":"Till","given":"S. J.","non-dropping-particle":"","parse-names":false,"suffix":""},{"dropping-particle":"","family":"Valenta","given":"R.","non-dropping-particle":"","parse-names":false,"suffix":""},{"dropping-particle":"","family":"Poulsen","given":"L. K.","non-dropping-particle":"","parse-names":false,"suffix":""},{"dropping-particle":"","family":"Calderon","given":"M. A.","non-dropping-particle":"","parse-names":false,"suffix":""},{"dropping-particle":"","family":"Demoly","given":"P.","non-dropping-particle":"","parse-names":false,"suffix":""},{"dropping-particle":"","family":"Pfaar","given":"O.","non-dropping-particle":"","parse-names":false,"suffix":""},{"dropping-particle":"","family":"Jacobsen","given":"L.","non-dropping-particle":"","parse-names":false,"suffix":""},{"dropping-particle":"","family":"Durham","given":"S. R.","non-dropping-particle":"","parse-names":false,"suffix":""},{"dropping-particle":"","family":"Schmidt-Weber","given":"C. B.","non-dropping-particle":"","parse-names":false,"suffix":""}],"container-title":"Allergy: European Journal of Allergy and Clinical Immunology","id":"ITEM-1","issue":"8","issued":{"date-parts":[["2017"]]},"page":"1156-1173","title":"Biomarkers for monitoring clinical efficacy of allergen immunotherapy for allergic rhinoconjunctivitis and allergic asthma: an EAACI Position Paper","type":"article-journal","volume":"72"},"uris":["http://www.mendeley.com/documents/?uuid=6a45e986-b728-4595-bfab-23ad3ed433d6"]}],"mendeley":{"formattedCitation":"[67]","plainTextFormattedCitation":"[67]","previouslyFormattedCitation":"[67]"},"properties":{"noteIndex":0},"schema":"https://github.com/citation-style-language/schema/raw/master/csl-citation.json"}</w:instrText>
      </w:r>
      <w:r w:rsidRPr="00F57474">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[67]</w:t>
      </w:r>
      <w:r w:rsidRPr="00F57474">
        <w:rPr>
          <w:rFonts w:ascii="Times New Roman" w:hAnsi="Times New Roman" w:cs="Times New Roman"/>
          <w:sz w:val="28"/>
          <w:szCs w:val="28"/>
        </w:rPr>
        <w:fldChar w:fldCharType="end"/>
      </w:r>
      <w:r w:rsidRPr="00F57474">
        <w:rPr>
          <w:rFonts w:ascii="Times New Roman" w:hAnsi="Times New Roman" w:cs="Times New Roman"/>
          <w:sz w:val="28"/>
          <w:szCs w:val="28"/>
        </w:rPr>
        <w:t xml:space="preserve">. </w:t>
      </w:r>
    </w:p>
    <w:p w14:paraId="714AA57A" w14:textId="598BD7CC" w:rsidR="00F57474" w:rsidRPr="00F57474" w:rsidRDefault="00F57474" w:rsidP="009F65CA">
      <w:pPr>
        <w:keepNext/>
        <w:keepLines/>
        <w:spacing w:after="0" w:line="240" w:lineRule="auto"/>
        <w:ind w:firstLine="567"/>
        <w:outlineLvl w:val="2"/>
        <w:rPr>
          <w:rFonts w:ascii="Times New Roman" w:eastAsia="Calibri" w:hAnsi="Times New Roman" w:cs="Times New Roman"/>
          <w:i/>
          <w:sz w:val="28"/>
          <w:szCs w:val="28"/>
        </w:rPr>
      </w:pPr>
      <w:bookmarkStart w:id="21" w:name="_Toc122818083"/>
      <w:bookmarkStart w:id="22" w:name="_Toc137904345"/>
      <w:r w:rsidRPr="00F57474">
        <w:rPr>
          <w:rFonts w:ascii="Times New Roman" w:eastAsia="Calibri" w:hAnsi="Times New Roman" w:cs="Times New Roman"/>
          <w:i/>
          <w:sz w:val="28"/>
          <w:szCs w:val="28"/>
        </w:rPr>
        <w:t>Оценка клинических симптомов</w:t>
      </w:r>
      <w:bookmarkEnd w:id="21"/>
      <w:bookmarkEnd w:id="22"/>
    </w:p>
    <w:p w14:paraId="60819818" w14:textId="77777777" w:rsidR="009A2875" w:rsidRPr="00587305"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 xml:space="preserve">Оценка выраженности клинических симптомов проводилась с помощью объективного осмотра и анкетирования. Нами была проведена адаптация анкеты для оценки тяжести симптомов и качества жизни </w:t>
      </w:r>
      <w:r w:rsidRPr="00E4764E">
        <w:rPr>
          <w:rFonts w:ascii="Times New Roman" w:eastAsia="Calibri" w:hAnsi="Times New Roman" w:cs="Times New Roman"/>
          <w:sz w:val="28"/>
          <w:szCs w:val="28"/>
        </w:rPr>
        <w:t xml:space="preserve">пациентов с сезонным аллергическим ринитом, рекомендованная Европейской академией аллергологии и </w:t>
      </w:r>
      <w:r w:rsidRPr="00587305">
        <w:rPr>
          <w:rFonts w:ascii="Times New Roman" w:eastAsia="Calibri" w:hAnsi="Times New Roman" w:cs="Times New Roman"/>
          <w:sz w:val="28"/>
          <w:szCs w:val="28"/>
        </w:rPr>
        <w:t xml:space="preserve">клинической иммунологии (EAACI) </w:t>
      </w:r>
      <w:r w:rsidRPr="00587305">
        <w:rPr>
          <w:rFonts w:ascii="Times New Roman" w:eastAsia="Calibri" w:hAnsi="Times New Roman" w:cs="Times New Roman"/>
          <w:sz w:val="28"/>
          <w:szCs w:val="28"/>
        </w:rPr>
        <w:fldChar w:fldCharType="begin" w:fldLock="1"/>
      </w:r>
      <w:r w:rsidR="00765C06" w:rsidRPr="00587305">
        <w:rPr>
          <w:rFonts w:ascii="Times New Roman" w:eastAsia="Calibri" w:hAnsi="Times New Roman" w:cs="Times New Roman"/>
          <w:sz w:val="28"/>
          <w:szCs w:val="28"/>
        </w:rPr>
        <w:instrText>ADDIN CSL_CITATION {"citationItems":[{"id":"ITEM-1","itemData":{"DOI":"10.1111/all.12383","ISSN":"01054538","PMID":"24761804","abstract":"Background Allergen immunotherapy (AIT) has been thoroughly documented in randomized controlled trials (RCTs). It is the only immune-modifying and causal treatment available for patients suffering from IgE-mediated diseases such as allergic rhinoconjunctivitis, allergic asthma and insect sting allergy. However, there is a high degree of clinical and methodological heterogeneity among the endpoints in clinical studies on AIT, for both subcutaneous and sublingual immunotherapy (SCIT and SLIT). At present, there are no commonly accepted standards for defining the optimal outcome parameters to be used for both primary and secondary endpoints. Methods As elaborated by a Task Force (TF) of the European Academy of Allergy and Clinical Immunology (EAACI) Immunotherapy Interest Group, this Position Paper evaluates the currently used outcome parameters in different RCTs and also aims to provide recommendations for the optimal endpoints in future AIT trials for allergic rhinoconjunctivitis. Results Based on a thorough literature review, the TF members have outlined recommendations for nine domains of clinical outcome measures. As the primary outcome, the TF recommends a homogeneous combined symptom and medication score (CSMS) as a simple and standardized method that balances both symptoms and the need for antiallergic medication in an equally weighted manner. All outcomes, grouped into nine domains, are reviewed. Conclusion A standardized and globally harmonized method for analysing the clinical efficacy of AIT products in RCTs is required. The EAACI TF highlights the CSMS as the primary endpoint for future RCTs in AIT for allergic rhinoconjunctivitis. © 2014 John Wiley &amp; Sons A/S. Published by John Wiley &amp; Sons Ltd.","author":[{"dropping-particle":"","family":"Pfaar","given":"O.","non-dropping-particle":"","parse-names":false,"suffix":""},{"dropping-particle":"","family":"Demoly","given":"P.","non-dropping-particle":"","parse-names":false,"suffix":""},{"dropping-particle":"","family":"Gerth van Wijk","given":"R.","non-dropping-particle":"","parse-names":false,"suffix":""},{"dropping-particle":"","family":"Bonini","given":"S.","non-dropping-particle":"","parse-names":false,"suffix":""},{"dropping-particle":"","family":"Bousquet","given":"J.","non-dropping-particle":"","parse-names":false,"suffix":""},{"dropping-particle":"","family":"Canonica","given":"G. W.","non-dropping-particle":"","parse-names":false,"suffix":""},{"dropping-particle":"","family":"Durham","given":"S. R.","non-dropping-particle":"","parse-names":false,"suffix":""},{"dropping-particle":"","family":"Jacobsen","given":"L.","non-dropping-particle":"","parse-names":false,"suffix":""},{"dropping-particle":"","family":"Malling","given":"H. J.","non-dropping-particle":"","parse-names":false,"suffix":""},{"dropping-particle":"","family":"Mösges","given":"R.","non-dropping-particle":"","parse-names":false,"suffix":""},{"dropping-particle":"","family":"Papadopoulos","given":"N. G.","non-dropping-particle":"","parse-names":false,"suffix":""},{"dropping-particle":"","family":"Rak","given":"S.","non-dropping-particle":"","parse-names":false,"suffix":""},{"dropping-particle":"","family":"Rodriguez del Rio","given":"P.","non-dropping-particle":"","parse-names":false,"suffix":""},{"dropping-particle":"","family":"Valovirta","given":"E.","non-dropping-particle":"","parse-names":false,"suffix":""},{"dropping-particle":"","family":"Wahn","given":"U.","non-dropping-particle":"","parse-names":false,"suffix":""},{"dropping-particle":"","family":"Calderon","given":"M. A.","non-dropping-particle":"","parse-names":false,"suffix":""}],"container-title":"Allergy","id":"ITEM-1","issue":"7","issued":{"date-parts":[["2014","7"]]},"page":"854-867","title":"Recommendations for the standardization of clinical outcomes used in allergen immunotherapy trials for allergic rhinoconjunctivitis: an EAACI Position Paper","type":"article-journal","volume":"69"},"uris":["http://www.mendeley.com/documents/?uuid=541810a5-849f-4435-a25b-f87d4fae320f"]}],"mendeley":{"formattedCitation":"[42]","plainTextFormattedCitation":"[42]","previouslyFormattedCitation":"[42]"},"properties":{"noteIndex":0},"schema":"https://github.com/citation-style-language/schema/raw/master/csl-citation.json"}</w:instrText>
      </w:r>
      <w:r w:rsidRPr="00587305">
        <w:rPr>
          <w:rFonts w:ascii="Times New Roman" w:eastAsia="Calibri" w:hAnsi="Times New Roman" w:cs="Times New Roman"/>
          <w:sz w:val="28"/>
          <w:szCs w:val="28"/>
        </w:rPr>
        <w:fldChar w:fldCharType="separate"/>
      </w:r>
      <w:r w:rsidR="00877069" w:rsidRPr="00587305">
        <w:rPr>
          <w:rFonts w:ascii="Times New Roman" w:eastAsia="Calibri" w:hAnsi="Times New Roman" w:cs="Times New Roman"/>
          <w:noProof/>
          <w:sz w:val="28"/>
          <w:szCs w:val="28"/>
        </w:rPr>
        <w:t>[42]</w:t>
      </w:r>
      <w:r w:rsidRPr="00587305">
        <w:rPr>
          <w:rFonts w:ascii="Times New Roman" w:eastAsia="Calibri" w:hAnsi="Times New Roman" w:cs="Times New Roman"/>
          <w:sz w:val="28"/>
          <w:szCs w:val="28"/>
        </w:rPr>
        <w:fldChar w:fldCharType="end"/>
      </w:r>
      <w:r w:rsidR="00EC568D" w:rsidRPr="00587305">
        <w:rPr>
          <w:rFonts w:ascii="Times New Roman" w:eastAsia="Calibri" w:hAnsi="Times New Roman" w:cs="Times New Roman"/>
          <w:sz w:val="28"/>
          <w:szCs w:val="28"/>
        </w:rPr>
        <w:t xml:space="preserve"> (</w:t>
      </w:r>
      <w:r w:rsidR="00EE5052" w:rsidRPr="00587305">
        <w:rPr>
          <w:rFonts w:ascii="Times New Roman" w:eastAsia="Calibri" w:hAnsi="Times New Roman" w:cs="Times New Roman"/>
          <w:sz w:val="28"/>
          <w:szCs w:val="28"/>
        </w:rPr>
        <w:t>Приложение Г</w:t>
      </w:r>
      <w:r w:rsidRPr="00587305">
        <w:rPr>
          <w:rFonts w:ascii="Times New Roman" w:eastAsia="Calibri" w:hAnsi="Times New Roman" w:cs="Times New Roman"/>
          <w:sz w:val="28"/>
          <w:szCs w:val="28"/>
        </w:rPr>
        <w:t>).</w:t>
      </w:r>
    </w:p>
    <w:p w14:paraId="458BCA4E" w14:textId="3F22C2D5" w:rsidR="009A2875" w:rsidRPr="00587305" w:rsidRDefault="009A2875" w:rsidP="009A2875">
      <w:pPr>
        <w:spacing w:after="0" w:line="240" w:lineRule="auto"/>
        <w:ind w:firstLine="567"/>
        <w:jc w:val="both"/>
        <w:rPr>
          <w:rFonts w:ascii="Times New Roman" w:hAnsi="Times New Roman" w:cs="Times New Roman"/>
          <w:sz w:val="28"/>
          <w:szCs w:val="28"/>
        </w:rPr>
      </w:pPr>
      <w:r w:rsidRPr="00587305">
        <w:rPr>
          <w:rFonts w:ascii="Times New Roman" w:hAnsi="Times New Roman" w:cs="Times New Roman"/>
          <w:sz w:val="28"/>
          <w:szCs w:val="28"/>
        </w:rPr>
        <w:t>С учетом того, что анкета была ранее валидирована в предыдущих исследованиях, нами была проведена только процедура внешней валидизации на предмет понятности вопросов и времени заполнения в пилотном исследовании на 12 добровольцах. Также структура и качество вопросов в анкете были оценены 2 экспертами в области аллергологии на предмет соответствия типичным клинико-анамнестическим вопросам, задаваемым во время приёма пациентам с АР. На основании данной анкеты были проанализированы клинические данные пациентов, которые представлены в приложении Д.</w:t>
      </w:r>
    </w:p>
    <w:p w14:paraId="4216B865" w14:textId="5CA27C26" w:rsidR="00F57474" w:rsidRPr="00E4764E" w:rsidRDefault="00F57474" w:rsidP="009F65CA">
      <w:pPr>
        <w:spacing w:after="0" w:line="240" w:lineRule="auto"/>
        <w:ind w:firstLine="567"/>
        <w:jc w:val="both"/>
        <w:rPr>
          <w:rFonts w:ascii="Times New Roman" w:eastAsia="Calibri" w:hAnsi="Times New Roman" w:cs="Times New Roman"/>
          <w:sz w:val="28"/>
          <w:szCs w:val="28"/>
        </w:rPr>
      </w:pPr>
      <w:r w:rsidRPr="00587305">
        <w:rPr>
          <w:rFonts w:ascii="Times New Roman" w:eastAsia="Calibri" w:hAnsi="Times New Roman" w:cs="Times New Roman"/>
          <w:sz w:val="28"/>
          <w:szCs w:val="28"/>
        </w:rPr>
        <w:t>Данная анкета состояла из 3 разделов:</w:t>
      </w:r>
    </w:p>
    <w:p w14:paraId="7CACDD72" w14:textId="77777777" w:rsidR="00F57474" w:rsidRPr="00E4764E" w:rsidRDefault="00F57474" w:rsidP="009F65CA">
      <w:pPr>
        <w:spacing w:after="0" w:line="240" w:lineRule="auto"/>
        <w:ind w:firstLine="567"/>
        <w:jc w:val="both"/>
        <w:rPr>
          <w:rFonts w:ascii="Times New Roman" w:eastAsia="Calibri" w:hAnsi="Times New Roman" w:cs="Times New Roman"/>
          <w:sz w:val="28"/>
          <w:szCs w:val="28"/>
        </w:rPr>
      </w:pPr>
      <w:r w:rsidRPr="00E4764E">
        <w:rPr>
          <w:rFonts w:ascii="Times New Roman" w:eastAsia="Calibri" w:hAnsi="Times New Roman" w:cs="Times New Roman"/>
          <w:sz w:val="28"/>
          <w:szCs w:val="28"/>
        </w:rPr>
        <w:t>Первый раздел включал информацию по детализации симптомов сезонного аллергического ринита, что составляет важный момент точного диагностирования. Пациентам требовалось дать односложный ответ (да/нет) о наличии следующих симптомов: односторонние носовые симптомы, густые выделения из носа зеленого или желтого цвета, заложенность носа, выделения из носа водянистого или слизистого характера, зуд в носу, чихание, рецидивирующие носовые кровотечения.</w:t>
      </w:r>
    </w:p>
    <w:p w14:paraId="0EB847B1" w14:textId="7416CE9E" w:rsidR="00F57474" w:rsidRPr="00E4764E" w:rsidRDefault="00F57474" w:rsidP="009F65CA">
      <w:pPr>
        <w:spacing w:after="0" w:line="240" w:lineRule="auto"/>
        <w:ind w:firstLine="567"/>
        <w:jc w:val="both"/>
        <w:rPr>
          <w:rFonts w:ascii="Times New Roman" w:eastAsia="Calibri" w:hAnsi="Times New Roman" w:cs="Times New Roman"/>
          <w:sz w:val="28"/>
          <w:szCs w:val="28"/>
        </w:rPr>
      </w:pPr>
      <w:r w:rsidRPr="00E4764E">
        <w:rPr>
          <w:rFonts w:ascii="Times New Roman" w:eastAsia="Calibri" w:hAnsi="Times New Roman" w:cs="Times New Roman"/>
          <w:sz w:val="28"/>
          <w:szCs w:val="28"/>
        </w:rPr>
        <w:t xml:space="preserve">Второй раздел включал шкалу оценки тяжести симптомов сезонного аллергического ринита и оценку кратности применения медикаментов в период обострения. Данный раздел анкеты представляет собой валидизированную шкалу TSS (Total Symptom Score – балл дневных симптомов) и MS (Medication Score - балл потребности в медикаментах) для использования в сезон обострения аллергического ринита </w:t>
      </w:r>
      <w:r w:rsidRPr="00E4764E">
        <w:rPr>
          <w:rFonts w:ascii="Times New Roman" w:eastAsia="Calibri" w:hAnsi="Times New Roman" w:cs="Times New Roman"/>
          <w:sz w:val="28"/>
          <w:szCs w:val="28"/>
        </w:rPr>
        <w:fldChar w:fldCharType="begin" w:fldLock="1"/>
      </w:r>
      <w:r w:rsidR="00765C06">
        <w:rPr>
          <w:rFonts w:ascii="Times New Roman" w:eastAsia="Calibri" w:hAnsi="Times New Roman" w:cs="Times New Roman"/>
          <w:sz w:val="28"/>
          <w:szCs w:val="28"/>
        </w:rPr>
        <w:instrText>ADDIN CSL_CITATION {"citationItems":[{"id":"ITEM-1","itemData":{"DOI":"10.1111/all.12383","ISSN":"01054538","PMID":"24761804","abstract":"Background Allergen immunotherapy (AIT) has been thoroughly documented in randomized controlled trials (RCTs). It is the only immune-modifying and causal treatment available for patients suffering from IgE-mediated diseases such as allergic rhinoconjunctivitis, allergic asthma and insect sting allergy. However, there is a high degree of clinical and methodological heterogeneity among the endpoints in clinical studies on AIT, for both subcutaneous and sublingual immunotherapy (SCIT and SLIT). At present, there are no commonly accepted standards for defining the optimal outcome parameters to be used for both primary and secondary endpoints. Methods As elaborated by a Task Force (TF) of the European Academy of Allergy and Clinical Immunology (EAACI) Immunotherapy Interest Group, this Position Paper evaluates the currently used outcome parameters in different RCTs and also aims to provide recommendations for the optimal endpoints in future AIT trials for allergic rhinoconjunctivitis. Results Based on a thorough literature review, the TF members have outlined recommendations for nine domains of clinical outcome measures. As the primary outcome, the TF recommends a homogeneous combined symptom and medication score (CSMS) as a simple and standardized method that balances both symptoms and the need for antiallergic medication in an equally weighted manner. All outcomes, grouped into nine domains, are reviewed. Conclusion A standardized and globally harmonized method for analysing the clinical efficacy of AIT products in RCTs is required. The EAACI TF highlights the CSMS as the primary endpoint for future RCTs in AIT for allergic rhinoconjunctivitis. © 2014 John Wiley &amp; Sons A/S. Published by John Wiley &amp; Sons Ltd.","author":[{"dropping-particle":"","family":"Pfaar","given":"O.","non-dropping-particle":"","parse-names":false,"suffix":""},{"dropping-particle":"","family":"Demoly","given":"P.","non-dropping-particle":"","parse-names":false,"suffix":""},{"dropping-particle":"","family":"Gerth van Wijk","given":"R.","non-dropping-particle":"","parse-names":false,"suffix":""},{"dropping-particle":"","family":"Bonini","given":"S.","non-dropping-particle":"","parse-names":false,"suffix":""},{"dropping-particle":"","family":"Bousquet","given":"J.","non-dropping-particle":"","parse-names":false,"suffix":""},{"dropping-particle":"","family":"Canonica","given":"G. W.","non-dropping-particle":"","parse-names":false,"suffix":""},{"dropping-particle":"","family":"Durham","given":"S. R.","non-dropping-particle":"","parse-names":false,"suffix":""},{"dropping-particle":"","family":"Jacobsen","given":"L.","non-dropping-particle":"","parse-names":false,"suffix":""},{"dropping-particle":"","family":"Malling","given":"H. J.","non-dropping-particle":"","parse-names":false,"suffix":""},{"dropping-particle":"","family":"Mösges","given":"R.","non-dropping-particle":"","parse-names":false,"suffix":""},{"dropping-particle":"","family":"Papadopoulos","given":"N. G.","non-dropping-particle":"","parse-names":false,"suffix":""},{"dropping-particle":"","family":"Rak","given":"S.","non-dropping-particle":"","parse-names":false,"suffix":""},{"dropping-particle":"","family":"Rodriguez del Rio","given":"P.","non-dropping-particle":"","parse-names":false,"suffix":""},{"dropping-particle":"","family":"Valovirta","given":"E.","non-dropping-particle":"","parse-names":false,"suffix":""},{"dropping-particle":"","family":"Wahn","given":"U.","non-dropping-particle":"","parse-names":false,"suffix":""},{"dropping-particle":"","family":"Calderon","given":"M. A.","non-dropping-particle":"","parse-names":false,"suffix":""}],"container-title":"Allergy","id":"ITEM-1","issue":"7","issued":{"date-parts":[["2014","7"]]},"page":"854-867","title":"Recommendations for the standardization of clinical outcomes used in allergen immunotherapy trials for allergic rhinoconjunctivitis: an EAACI Position Paper","type":"article-journal","volume":"69"},"uris":["http://www.mendeley.com/documents/?uuid=541810a5-849f-4435-a25b-f87d4fae320f"]}],"mendeley":{"formattedCitation":"[42]","plainTextFormattedCitation":"[42]","previouslyFormattedCitation":"[42]"},"properties":{"noteIndex":0},"schema":"https://github.com/citation-style-language/schema/raw/master/csl-citation.json"}</w:instrText>
      </w:r>
      <w:r w:rsidRPr="00E4764E">
        <w:rPr>
          <w:rFonts w:ascii="Times New Roman" w:eastAsia="Calibri" w:hAnsi="Times New Roman" w:cs="Times New Roman"/>
          <w:sz w:val="28"/>
          <w:szCs w:val="28"/>
        </w:rPr>
        <w:fldChar w:fldCharType="separate"/>
      </w:r>
      <w:r w:rsidR="00877069" w:rsidRPr="00E4764E">
        <w:rPr>
          <w:rFonts w:ascii="Times New Roman" w:eastAsia="Calibri" w:hAnsi="Times New Roman" w:cs="Times New Roman"/>
          <w:noProof/>
          <w:sz w:val="28"/>
          <w:szCs w:val="28"/>
        </w:rPr>
        <w:t>[42]</w:t>
      </w:r>
      <w:r w:rsidRPr="00E4764E">
        <w:rPr>
          <w:rFonts w:ascii="Times New Roman" w:eastAsia="Calibri" w:hAnsi="Times New Roman" w:cs="Times New Roman"/>
          <w:sz w:val="28"/>
          <w:szCs w:val="28"/>
        </w:rPr>
        <w:fldChar w:fldCharType="end"/>
      </w:r>
      <w:r w:rsidRPr="00E4764E">
        <w:rPr>
          <w:rFonts w:ascii="Times New Roman" w:eastAsia="Calibri" w:hAnsi="Times New Roman" w:cs="Times New Roman"/>
          <w:sz w:val="28"/>
          <w:szCs w:val="28"/>
        </w:rPr>
        <w:t>.</w:t>
      </w:r>
      <w:r w:rsidR="0007459B">
        <w:rPr>
          <w:rFonts w:ascii="Times New Roman" w:eastAsia="Calibri" w:hAnsi="Times New Roman" w:cs="Times New Roman"/>
          <w:sz w:val="28"/>
          <w:szCs w:val="28"/>
        </w:rPr>
        <w:t xml:space="preserve"> </w:t>
      </w:r>
      <w:r w:rsidRPr="00E4764E">
        <w:rPr>
          <w:rFonts w:ascii="Times New Roman" w:eastAsia="Calibri" w:hAnsi="Times New Roman" w:cs="Times New Roman"/>
          <w:sz w:val="28"/>
          <w:szCs w:val="28"/>
        </w:rPr>
        <w:t>Пациентам для ответа было предложено произвести оценку выраженности следующих симптомов: зуд в носу, заложенность носа, водянистые/слизистые выделения из носа, чихание, зуд в глазах и слезотечение. Оценка каждого симптома выражалась в 3-х балльной шкале в зависимости от тяжести проявления. Присвоение значений баллов при оценке назальных и конъюнктивальных симптомов проводилось следующим образом:</w:t>
      </w:r>
    </w:p>
    <w:p w14:paraId="4EA30CB8" w14:textId="77777777" w:rsidR="00F57474" w:rsidRPr="00E4764E" w:rsidRDefault="00F57474" w:rsidP="009F65CA">
      <w:pPr>
        <w:spacing w:after="0" w:line="240" w:lineRule="auto"/>
        <w:ind w:firstLine="567"/>
        <w:jc w:val="both"/>
        <w:rPr>
          <w:rFonts w:ascii="Times New Roman" w:eastAsia="Calibri" w:hAnsi="Times New Roman" w:cs="Times New Roman"/>
          <w:sz w:val="28"/>
          <w:szCs w:val="28"/>
        </w:rPr>
      </w:pPr>
      <w:r w:rsidRPr="00E4764E">
        <w:rPr>
          <w:rFonts w:ascii="Times New Roman" w:eastAsia="Calibri" w:hAnsi="Times New Roman" w:cs="Times New Roman"/>
          <w:sz w:val="28"/>
          <w:szCs w:val="28"/>
        </w:rPr>
        <w:t xml:space="preserve">0 баллов - </w:t>
      </w:r>
      <w:r w:rsidRPr="00E4764E">
        <w:rPr>
          <w:rFonts w:ascii="Times New Roman" w:hAnsi="Times New Roman" w:cs="Times New Roman"/>
          <w:sz w:val="28"/>
          <w:szCs w:val="28"/>
        </w:rPr>
        <w:t>Отсутствие симптома</w:t>
      </w:r>
      <w:r w:rsidRPr="00E4764E">
        <w:rPr>
          <w:rFonts w:ascii="Times New Roman" w:eastAsia="Calibri" w:hAnsi="Times New Roman" w:cs="Times New Roman"/>
          <w:sz w:val="28"/>
          <w:szCs w:val="28"/>
        </w:rPr>
        <w:tab/>
      </w:r>
    </w:p>
    <w:p w14:paraId="602BCA41" w14:textId="321D2CA6" w:rsidR="00F57474" w:rsidRPr="00E4764E" w:rsidRDefault="00F57474" w:rsidP="009F65CA">
      <w:pPr>
        <w:spacing w:after="0" w:line="240" w:lineRule="auto"/>
        <w:ind w:firstLine="567"/>
        <w:jc w:val="both"/>
        <w:rPr>
          <w:rFonts w:ascii="Times New Roman" w:eastAsia="Calibri" w:hAnsi="Times New Roman" w:cs="Times New Roman"/>
          <w:sz w:val="28"/>
          <w:szCs w:val="28"/>
        </w:rPr>
      </w:pPr>
      <w:r w:rsidRPr="00E4764E">
        <w:rPr>
          <w:rFonts w:ascii="Times New Roman" w:eastAsia="Calibri" w:hAnsi="Times New Roman" w:cs="Times New Roman"/>
          <w:sz w:val="28"/>
          <w:szCs w:val="28"/>
        </w:rPr>
        <w:t>1 балл - Легкая степень (симптом минимально выражен, самочувствие не страдает, беспокоит 1-3 раза в неделю)</w:t>
      </w:r>
      <w:r w:rsidR="00CC28D6" w:rsidRPr="00E4764E">
        <w:rPr>
          <w:rFonts w:ascii="Times New Roman" w:eastAsia="Calibri" w:hAnsi="Times New Roman" w:cs="Times New Roman"/>
          <w:sz w:val="28"/>
          <w:szCs w:val="28"/>
        </w:rPr>
        <w:t>;</w:t>
      </w:r>
      <w:r w:rsidRPr="00E4764E">
        <w:rPr>
          <w:rFonts w:ascii="Times New Roman" w:eastAsia="Calibri" w:hAnsi="Times New Roman" w:cs="Times New Roman"/>
          <w:sz w:val="28"/>
          <w:szCs w:val="28"/>
        </w:rPr>
        <w:tab/>
      </w:r>
    </w:p>
    <w:p w14:paraId="0AFB1089" w14:textId="1C45453D" w:rsidR="00F57474" w:rsidRPr="00E4764E" w:rsidRDefault="00F57474" w:rsidP="009F65CA">
      <w:pPr>
        <w:spacing w:after="0" w:line="240" w:lineRule="auto"/>
        <w:ind w:firstLine="567"/>
        <w:jc w:val="both"/>
        <w:rPr>
          <w:rFonts w:ascii="Times New Roman" w:eastAsia="Calibri" w:hAnsi="Times New Roman" w:cs="Times New Roman"/>
          <w:sz w:val="28"/>
          <w:szCs w:val="28"/>
        </w:rPr>
      </w:pPr>
      <w:r w:rsidRPr="00E4764E">
        <w:rPr>
          <w:rFonts w:ascii="Times New Roman" w:eastAsia="Calibri" w:hAnsi="Times New Roman" w:cs="Times New Roman"/>
          <w:sz w:val="28"/>
          <w:szCs w:val="28"/>
        </w:rPr>
        <w:t>2 балла - Средняя степень (симптом выражен, имеет периодичность проявления, умеренно нарушает самочувствие и сон, беспокоит 4-5 раз в неделю)</w:t>
      </w:r>
      <w:r w:rsidR="00CC28D6" w:rsidRPr="00E4764E">
        <w:rPr>
          <w:rFonts w:ascii="Times New Roman" w:eastAsia="Calibri" w:hAnsi="Times New Roman" w:cs="Times New Roman"/>
          <w:sz w:val="28"/>
          <w:szCs w:val="28"/>
        </w:rPr>
        <w:t>;</w:t>
      </w:r>
    </w:p>
    <w:p w14:paraId="5CB600FB" w14:textId="1123A9BE" w:rsidR="00F57474" w:rsidRPr="00E4764E" w:rsidRDefault="00F57474" w:rsidP="009F65CA">
      <w:pPr>
        <w:spacing w:after="0" w:line="240" w:lineRule="auto"/>
        <w:ind w:firstLine="567"/>
        <w:jc w:val="both"/>
        <w:rPr>
          <w:rFonts w:ascii="Times New Roman" w:eastAsia="Calibri" w:hAnsi="Times New Roman" w:cs="Times New Roman"/>
          <w:sz w:val="28"/>
          <w:szCs w:val="28"/>
        </w:rPr>
      </w:pPr>
      <w:r w:rsidRPr="00E4764E">
        <w:rPr>
          <w:rFonts w:ascii="Times New Roman" w:eastAsia="Calibri" w:hAnsi="Times New Roman" w:cs="Times New Roman"/>
          <w:sz w:val="28"/>
          <w:szCs w:val="28"/>
        </w:rPr>
        <w:t>3 балла - Тяжелая степень (симптом сильно выражен, оказывает выраженное влияние на сон и трудовую активность, беспокоит ежедневно, имеет систематический и упорный характер)</w:t>
      </w:r>
      <w:r w:rsidR="00D859F8" w:rsidRPr="00E4764E">
        <w:rPr>
          <w:rFonts w:ascii="Times New Roman" w:eastAsia="Calibri" w:hAnsi="Times New Roman" w:cs="Times New Roman"/>
          <w:sz w:val="28"/>
          <w:szCs w:val="28"/>
        </w:rPr>
        <w:t>.</w:t>
      </w:r>
    </w:p>
    <w:p w14:paraId="4D507347" w14:textId="77777777" w:rsidR="00F57474" w:rsidRPr="00E4764E" w:rsidRDefault="00F57474" w:rsidP="009F65CA">
      <w:pPr>
        <w:spacing w:after="0" w:line="240" w:lineRule="auto"/>
        <w:ind w:firstLine="567"/>
        <w:jc w:val="both"/>
        <w:rPr>
          <w:rFonts w:ascii="Times New Roman" w:eastAsia="Calibri" w:hAnsi="Times New Roman" w:cs="Times New Roman"/>
          <w:sz w:val="28"/>
          <w:szCs w:val="28"/>
        </w:rPr>
      </w:pPr>
      <w:r w:rsidRPr="00E4764E">
        <w:rPr>
          <w:rFonts w:ascii="Times New Roman" w:eastAsia="Calibri" w:hAnsi="Times New Roman" w:cs="Times New Roman"/>
          <w:sz w:val="28"/>
          <w:szCs w:val="28"/>
        </w:rPr>
        <w:t>Максимальная оценка была выражена общим баллом тяжести симптомов и составляла 18 баллов. Интерпретация тяжести симптомов осуществлялось по следующей шкале:</w:t>
      </w:r>
    </w:p>
    <w:p w14:paraId="22633952" w14:textId="5B5B3A3C" w:rsidR="00F57474" w:rsidRPr="00E4764E" w:rsidRDefault="00F57474" w:rsidP="009F65CA">
      <w:pPr>
        <w:spacing w:after="0" w:line="240" w:lineRule="auto"/>
        <w:ind w:firstLine="567"/>
        <w:jc w:val="both"/>
        <w:rPr>
          <w:rFonts w:ascii="Times New Roman" w:eastAsia="Calibri" w:hAnsi="Times New Roman" w:cs="Times New Roman"/>
          <w:sz w:val="28"/>
          <w:szCs w:val="28"/>
        </w:rPr>
      </w:pPr>
      <w:r w:rsidRPr="00E4764E">
        <w:rPr>
          <w:rFonts w:ascii="Times New Roman" w:eastAsia="Calibri" w:hAnsi="Times New Roman" w:cs="Times New Roman"/>
          <w:sz w:val="28"/>
          <w:szCs w:val="28"/>
        </w:rPr>
        <w:t>0 - 6 баллов – симптомы отсутствуют или легкой степени тяжести</w:t>
      </w:r>
      <w:r w:rsidR="00CC28D6" w:rsidRPr="00E4764E">
        <w:rPr>
          <w:rFonts w:ascii="Times New Roman" w:eastAsia="Calibri" w:hAnsi="Times New Roman" w:cs="Times New Roman"/>
          <w:sz w:val="28"/>
          <w:szCs w:val="28"/>
        </w:rPr>
        <w:t>;</w:t>
      </w:r>
    </w:p>
    <w:p w14:paraId="539AC00D" w14:textId="445EF7A8" w:rsidR="00F57474" w:rsidRPr="00E4764E" w:rsidRDefault="00F57474" w:rsidP="009F65CA">
      <w:pPr>
        <w:spacing w:after="0" w:line="240" w:lineRule="auto"/>
        <w:ind w:firstLine="567"/>
        <w:jc w:val="both"/>
        <w:rPr>
          <w:rFonts w:ascii="Times New Roman" w:eastAsia="Calibri" w:hAnsi="Times New Roman" w:cs="Times New Roman"/>
          <w:sz w:val="28"/>
          <w:szCs w:val="28"/>
        </w:rPr>
      </w:pPr>
      <w:r w:rsidRPr="00E4764E">
        <w:rPr>
          <w:rFonts w:ascii="Times New Roman" w:eastAsia="Calibri" w:hAnsi="Times New Roman" w:cs="Times New Roman"/>
          <w:sz w:val="28"/>
          <w:szCs w:val="28"/>
        </w:rPr>
        <w:t>7 – 12 баллов – симптомы средней степени тяжести</w:t>
      </w:r>
      <w:r w:rsidR="00CC28D6" w:rsidRPr="00E4764E">
        <w:rPr>
          <w:rFonts w:ascii="Times New Roman" w:eastAsia="Calibri" w:hAnsi="Times New Roman" w:cs="Times New Roman"/>
          <w:sz w:val="28"/>
          <w:szCs w:val="28"/>
        </w:rPr>
        <w:t>;</w:t>
      </w:r>
    </w:p>
    <w:p w14:paraId="72C69494" w14:textId="77777777" w:rsidR="00F57474" w:rsidRPr="00E4764E" w:rsidRDefault="00F57474" w:rsidP="009F65CA">
      <w:pPr>
        <w:spacing w:after="0" w:line="240" w:lineRule="auto"/>
        <w:ind w:firstLine="567"/>
        <w:jc w:val="both"/>
        <w:rPr>
          <w:rFonts w:ascii="Times New Roman" w:eastAsia="Calibri" w:hAnsi="Times New Roman" w:cs="Times New Roman"/>
          <w:sz w:val="28"/>
          <w:szCs w:val="28"/>
        </w:rPr>
      </w:pPr>
      <w:r w:rsidRPr="00E4764E">
        <w:rPr>
          <w:rFonts w:ascii="Times New Roman" w:eastAsia="Calibri" w:hAnsi="Times New Roman" w:cs="Times New Roman"/>
          <w:sz w:val="28"/>
          <w:szCs w:val="28"/>
        </w:rPr>
        <w:t>13 – 18 баллов – симптомы тяжелой степени.</w:t>
      </w:r>
    </w:p>
    <w:p w14:paraId="473ED425" w14:textId="77777777" w:rsidR="00F57474" w:rsidRPr="00E4764E" w:rsidRDefault="00F57474" w:rsidP="009F65CA">
      <w:pPr>
        <w:spacing w:after="0" w:line="240" w:lineRule="auto"/>
        <w:ind w:firstLine="567"/>
        <w:jc w:val="both"/>
        <w:rPr>
          <w:rFonts w:ascii="Times New Roman" w:eastAsia="Calibri" w:hAnsi="Times New Roman" w:cs="Times New Roman"/>
          <w:sz w:val="28"/>
          <w:szCs w:val="28"/>
        </w:rPr>
      </w:pPr>
      <w:r w:rsidRPr="00E4764E">
        <w:rPr>
          <w:rFonts w:ascii="Times New Roman" w:eastAsia="Calibri" w:hAnsi="Times New Roman" w:cs="Times New Roman"/>
          <w:sz w:val="28"/>
          <w:szCs w:val="28"/>
        </w:rPr>
        <w:t>Оценка приема медикаментов была представлена в третьем разделе анкеты и осуществлялась по регистрации кратности применения антигистаминных препаратов, топических ГКС и системных ГКС в неделю в период обострения сезонного аллергического ринита. При легкой степени тяжести кратность применения препаратов составляла 1-3 раза в неделю, при средней степени тяжести – 4-5 раз в неделю, тяжелая степень сезонного аллергического ринита характеризовалась ежедневным применением медикаментов.</w:t>
      </w:r>
    </w:p>
    <w:p w14:paraId="2D76DFFB" w14:textId="77777777" w:rsidR="00F57474" w:rsidRPr="00E4764E" w:rsidRDefault="00F57474" w:rsidP="009F65CA">
      <w:pPr>
        <w:keepNext/>
        <w:keepLines/>
        <w:spacing w:after="0" w:line="240" w:lineRule="auto"/>
        <w:ind w:left="567"/>
        <w:outlineLvl w:val="2"/>
        <w:rPr>
          <w:rFonts w:ascii="Times New Roman" w:eastAsia="Calibri" w:hAnsi="Times New Roman" w:cs="Times New Roman"/>
          <w:i/>
          <w:sz w:val="28"/>
          <w:szCs w:val="28"/>
        </w:rPr>
      </w:pPr>
      <w:bookmarkStart w:id="23" w:name="_Toc122818084"/>
      <w:bookmarkStart w:id="24" w:name="_Toc137904346"/>
      <w:r w:rsidRPr="00E4764E">
        <w:rPr>
          <w:rFonts w:ascii="Times New Roman" w:eastAsia="Calibri" w:hAnsi="Times New Roman" w:cs="Times New Roman"/>
          <w:i/>
          <w:sz w:val="28"/>
          <w:szCs w:val="28"/>
        </w:rPr>
        <w:t>Оценка качества жизни, связанного с заболеванием</w:t>
      </w:r>
      <w:bookmarkEnd w:id="23"/>
      <w:bookmarkEnd w:id="24"/>
    </w:p>
    <w:p w14:paraId="4E501D82" w14:textId="198D0DE2"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E4764E">
        <w:rPr>
          <w:rFonts w:ascii="Times New Roman" w:eastAsia="Calibri" w:hAnsi="Times New Roman" w:cs="Times New Roman"/>
          <w:sz w:val="28"/>
          <w:szCs w:val="28"/>
        </w:rPr>
        <w:t xml:space="preserve">Оценка качества жизни пациентов с сезонным аллергическим ринитом проводилась с </w:t>
      </w:r>
      <w:r w:rsidR="000E12A0">
        <w:rPr>
          <w:rFonts w:ascii="Times New Roman" w:eastAsia="Calibri" w:hAnsi="Times New Roman" w:cs="Times New Roman"/>
          <w:sz w:val="28"/>
          <w:szCs w:val="28"/>
        </w:rPr>
        <w:t>использованием</w:t>
      </w:r>
      <w:r w:rsidRPr="00E4764E">
        <w:rPr>
          <w:rFonts w:ascii="Times New Roman" w:eastAsia="Calibri" w:hAnsi="Times New Roman" w:cs="Times New Roman"/>
          <w:sz w:val="28"/>
          <w:szCs w:val="28"/>
        </w:rPr>
        <w:t xml:space="preserve"> </w:t>
      </w:r>
      <w:r w:rsidR="000E12A0">
        <w:rPr>
          <w:rFonts w:ascii="Times New Roman" w:eastAsia="Calibri" w:hAnsi="Times New Roman" w:cs="Times New Roman"/>
          <w:sz w:val="28"/>
          <w:szCs w:val="28"/>
        </w:rPr>
        <w:t xml:space="preserve">валидизированной анкеты </w:t>
      </w:r>
      <w:r w:rsidR="00EB2861">
        <w:rPr>
          <w:rFonts w:ascii="Times New Roman" w:eastAsia="Calibri" w:hAnsi="Times New Roman" w:cs="Times New Roman"/>
          <w:sz w:val="28"/>
          <w:szCs w:val="28"/>
        </w:rPr>
        <w:t>«</w:t>
      </w:r>
      <w:r w:rsidRPr="00E4764E">
        <w:rPr>
          <w:rFonts w:ascii="Times New Roman" w:eastAsia="Calibri" w:hAnsi="Times New Roman" w:cs="Times New Roman"/>
          <w:sz w:val="28"/>
          <w:szCs w:val="28"/>
        </w:rPr>
        <w:t xml:space="preserve">Rhinoconjunctivitis Quality of </w:t>
      </w:r>
      <w:r w:rsidR="00EC568D" w:rsidRPr="00E4764E">
        <w:rPr>
          <w:rFonts w:ascii="Times New Roman" w:eastAsia="Calibri" w:hAnsi="Times New Roman" w:cs="Times New Roman"/>
          <w:sz w:val="28"/>
          <w:szCs w:val="28"/>
        </w:rPr>
        <w:t>Life Questionnaire</w:t>
      </w:r>
      <w:r w:rsidR="00EB2861">
        <w:rPr>
          <w:rFonts w:ascii="Times New Roman" w:eastAsia="Calibri" w:hAnsi="Times New Roman" w:cs="Times New Roman"/>
          <w:sz w:val="28"/>
          <w:szCs w:val="28"/>
        </w:rPr>
        <w:t>»</w:t>
      </w:r>
      <w:r w:rsidR="00EC568D" w:rsidRPr="00E4764E">
        <w:rPr>
          <w:rFonts w:ascii="Times New Roman" w:eastAsia="Calibri" w:hAnsi="Times New Roman" w:cs="Times New Roman"/>
          <w:sz w:val="28"/>
          <w:szCs w:val="28"/>
        </w:rPr>
        <w:t xml:space="preserve"> (</w:t>
      </w:r>
      <w:r w:rsidR="00EE5052" w:rsidRPr="00E4764E">
        <w:rPr>
          <w:rFonts w:ascii="Times New Roman" w:eastAsia="Calibri" w:hAnsi="Times New Roman" w:cs="Times New Roman"/>
          <w:sz w:val="28"/>
          <w:szCs w:val="28"/>
        </w:rPr>
        <w:t>Приложение Г</w:t>
      </w:r>
      <w:r w:rsidRPr="00E4764E">
        <w:rPr>
          <w:rFonts w:ascii="Times New Roman" w:eastAsia="Calibri" w:hAnsi="Times New Roman" w:cs="Times New Roman"/>
          <w:sz w:val="28"/>
          <w:szCs w:val="28"/>
        </w:rPr>
        <w:t xml:space="preserve">) (RQLQ) </w:t>
      </w:r>
      <w:r w:rsidRPr="00E4764E">
        <w:rPr>
          <w:rFonts w:ascii="Times New Roman" w:eastAsia="Calibri" w:hAnsi="Times New Roman" w:cs="Times New Roman"/>
          <w:sz w:val="28"/>
          <w:szCs w:val="28"/>
        </w:rPr>
        <w:fldChar w:fldCharType="begin" w:fldLock="1"/>
      </w:r>
      <w:r w:rsidR="00A02E0E">
        <w:rPr>
          <w:rFonts w:ascii="Times New Roman" w:eastAsia="Calibri" w:hAnsi="Times New Roman" w:cs="Times New Roman"/>
          <w:sz w:val="28"/>
          <w:szCs w:val="28"/>
        </w:rPr>
        <w:instrText>ADDIN CSL_CITATION {"citationItems":[{"id":"ITEM-1","itemData":{"DOI":"10.1016/S0091-6749(99)70380-5","ISSN":"00916749","PMID":"10452758","abstract":"Background: In the Rhinoconjunctivitis Quality of Life Questionnaire (RQLQ), the 3 activity questions are selected by the patients themselves. For greater efficiency, a version with standardized activities is required. Objective: Our purpose was to develop and validate a standardized version of the RQLQ, the RQLQ(S). Methods: With use of 5 RQLQ databases, we identified the activities most frequently selected by patients and formulated 3 generic questions that would encompass the majority of these activities. The RQLQ(S) was tested in a 5-week observational study in 100 adults with symptomatic rhinoconjunctivitis. Patients completed the RQLQ(S), the RQLQ, and other measures of health status at baseline and 1 and 5 weeks. Results: The activity domain of the RQLQ(S) consistently gave lower scores than did the activity domain of the RQLQ (P &lt; .001). However, this made very little difference to the overall scores (RQLQ[S] = 2.36 ± 1.23, RQLQ = 2.43 ± 1.23), and overall concordance was high (intraclass correlation coefficient = 0.996). In patients whose rhinoconjunctivitis was stable between clinic visits, reliability (reproducibility and ability to discriminate between patients of different impairment) was high for both instruments and almost identical (intraclass correlation coefficient = 0.97). Responsiveness to change was also very similar and good (P &lt; .001). Construct validity (correlation with other index values of health status) was strong for both the RQLQ(S) and the RQLQ. Conclusions: The RQLQ(S) has strong measurement properties and measures the same construct as the original RQLQ. The choice of questionnaire should depend on the task at hand.","author":[{"dropping-particle":"","family":"Juniper","given":"Elizabeth F.","non-dropping-particle":"","parse-names":false,"suffix":""},{"dropping-particle":"","family":"Thompson","given":"Ann K.","non-dropping-particle":"","parse-names":false,"suffix":""},{"dropping-particle":"","family":"Ferrie","given":"Penelope J.","non-dropping-particle":"","parse-names":false,"suffix":""},{"dropping-particle":"","family":"Roberts","given":"Jeremy N.","non-dropping-particle":"","parse-names":false,"suffix":""}],"container-title":"Journal of Allergy and Clinical Immunology","id":"ITEM-1","issue":"2 I","issued":{"date-parts":[["1999"]]},"page":"364-369","title":"Validation of the standardized version of the Rhinoconjunctivitis Quality of Life Questionnaire","type":"article-journal","volume":"104"},"uris":["http://www.mendeley.com/documents/?uuid=368703b5-527a-4796-89ff-3a0ff095615b"]},{"id":"ITEM-2","itemData":{"DOI":"10.1111/j.1365-2222.1991.tb00807.x","ISSN":"13652222","PMID":"2021881","abstract":"The objective of this study was to develop and test a health‐related quality of life questionnaire for clinical trials in rhinoconjunctivitis. The Rhinoconjunctivitis Quality of Life Questionnaire (RQLQ) was developed by asking patients to identify areas of their lives affected by rhinoconjunctivitis. The resultant RQLQ was tested for reproducibility, responsiveness and validity in a randomized, double‐blind trial of regular versus ‘as required’ aqueous beclomethasone dipropionate (BDP) nasal spray in ragweed pollen‐induced rhinoconjunctivitis. Eighty‐five patients from previous rhinoconjunctivitis studies participated in the developmental survey. Sixty ragweed‐sensitive patients, from previous trials and media notices, were enrolled in the clinical trial. Aqueous BDP (800 μg) nasal spray was administered regularly or ‘as required’ throughout the ragweed pollen season. The survey revealed that, in addition to local symptoms of rhinoconjunctivitis, patients experienced impairment of quality of life through systemic symptoms, sleep disturbance, practical problems, activity limitations and emotional problems. The RQLQ includes 28 questions related to these dimensions. Repeated administration of the RQLQ demonstrated good reproducibility. During the clinical trial, the RQLQ proved responsive in its ability to distinguish between regular and ‘as required’ medication use. Validity was shown by moderate to strong relations between changes in symptom diary scores and changes in RQLQ scores. In conclusion the RQLQ is likely to prove useful as a measure of health‐related quality of life in clinical trials in both rhinoconjunctivitis and rhinitis. Copyright © 1991, Wiley Blackwell. All rights reserved","author":[{"dropping-particle":"","family":"JUNIPER","given":"ELIZABETH F.","non-dropping-particle":"","parse-names":false,"suffix":""},{"dropping-particle":"","family":"GUYATT","given":"G. H.","non-dropping-particle":"","parse-names":false,"suffix":""}],"container-title":"Clinical &amp; Experimental Allergy","id":"ITEM-2","issue":"1","issued":{"date-parts":[["1991"]]},"page":"77-83","title":"Development and testing of a new measure of health status for clinical trials in rhinoconjunctivitis","type":"article-journal","volume":"21"},"uris":["http://www.mendeley.com/documents/?uuid=572ed0e1-50c8-41f3-bb1d-d00dd72f1012"]}],"mendeley":{"formattedCitation":"[39,143]","plainTextFormattedCitation":"[39,143]","previouslyFormattedCitation":"[39,143]"},"properties":{"noteIndex":0},"schema":"https://github.com/citation-style-language/schema/raw/master/csl-citation.json"}</w:instrText>
      </w:r>
      <w:r w:rsidRPr="00E4764E">
        <w:rPr>
          <w:rFonts w:ascii="Times New Roman" w:eastAsia="Calibri" w:hAnsi="Times New Roman" w:cs="Times New Roman"/>
          <w:sz w:val="28"/>
          <w:szCs w:val="28"/>
        </w:rPr>
        <w:fldChar w:fldCharType="separate"/>
      </w:r>
      <w:r w:rsidR="00332566" w:rsidRPr="00332566">
        <w:rPr>
          <w:rFonts w:ascii="Times New Roman" w:eastAsia="Calibri" w:hAnsi="Times New Roman" w:cs="Times New Roman"/>
          <w:noProof/>
          <w:sz w:val="28"/>
          <w:szCs w:val="28"/>
        </w:rPr>
        <w:t>[39,143]</w:t>
      </w:r>
      <w:r w:rsidRPr="00E4764E">
        <w:rPr>
          <w:rFonts w:ascii="Times New Roman" w:eastAsia="Calibri" w:hAnsi="Times New Roman" w:cs="Times New Roman"/>
          <w:sz w:val="28"/>
          <w:szCs w:val="28"/>
        </w:rPr>
        <w:fldChar w:fldCharType="end"/>
      </w:r>
      <w:r w:rsidRPr="00E4764E">
        <w:rPr>
          <w:rFonts w:ascii="Times New Roman" w:eastAsia="Calibri" w:hAnsi="Times New Roman" w:cs="Times New Roman"/>
          <w:sz w:val="28"/>
          <w:szCs w:val="28"/>
        </w:rPr>
        <w:t>. Данная анкета состояла из четырех разделов, которые включали характеристику физической активности/сна, эмоциональной сферы, общих</w:t>
      </w:r>
      <w:r w:rsidRPr="00F57474">
        <w:rPr>
          <w:rFonts w:ascii="Times New Roman" w:eastAsia="Calibri" w:hAnsi="Times New Roman" w:cs="Times New Roman"/>
          <w:sz w:val="28"/>
          <w:szCs w:val="28"/>
        </w:rPr>
        <w:t xml:space="preserve"> симптомов, выраженных в 3-х балльной шкале. </w:t>
      </w:r>
    </w:p>
    <w:p w14:paraId="7288EA34" w14:textId="77777777"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 xml:space="preserve">Раздел нарушения физической активности/сна оценивался следующим образом: </w:t>
      </w:r>
    </w:p>
    <w:p w14:paraId="098DAEE7" w14:textId="508B646A"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0 баллов – от</w:t>
      </w:r>
      <w:r w:rsidR="00D34E0D">
        <w:rPr>
          <w:rFonts w:ascii="Times New Roman" w:eastAsia="Calibri" w:hAnsi="Times New Roman" w:cs="Times New Roman"/>
          <w:sz w:val="28"/>
          <w:szCs w:val="28"/>
        </w:rPr>
        <w:t>сутствие симптома (не нарушены);</w:t>
      </w:r>
    </w:p>
    <w:p w14:paraId="1B7B7783" w14:textId="163B4803"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1 балл – легкая степень (частичное не ежедневное нарушение, 1-2 раза в неделю)</w:t>
      </w:r>
      <w:r w:rsidR="00D34E0D">
        <w:rPr>
          <w:rFonts w:ascii="Times New Roman" w:eastAsia="Calibri" w:hAnsi="Times New Roman" w:cs="Times New Roman"/>
          <w:sz w:val="28"/>
          <w:szCs w:val="28"/>
        </w:rPr>
        <w:t>;</w:t>
      </w:r>
    </w:p>
    <w:p w14:paraId="6AA49AC7" w14:textId="0FB50EC2"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2 балла – средняя степень (периодическое, но систематичное нарушение, 3-4 раза в неделю)</w:t>
      </w:r>
      <w:r w:rsidR="00D34E0D">
        <w:rPr>
          <w:rFonts w:ascii="Times New Roman" w:eastAsia="Calibri" w:hAnsi="Times New Roman" w:cs="Times New Roman"/>
          <w:sz w:val="28"/>
          <w:szCs w:val="28"/>
        </w:rPr>
        <w:t>;</w:t>
      </w:r>
    </w:p>
    <w:p w14:paraId="47D2BB5B" w14:textId="53A4C645"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3 балла – тяжелая степень (постоянное ежедневное нарушение)</w:t>
      </w:r>
      <w:r w:rsidR="006D578B">
        <w:rPr>
          <w:rFonts w:ascii="Times New Roman" w:eastAsia="Calibri" w:hAnsi="Times New Roman" w:cs="Times New Roman"/>
          <w:sz w:val="28"/>
          <w:szCs w:val="28"/>
        </w:rPr>
        <w:t>.</w:t>
      </w:r>
    </w:p>
    <w:p w14:paraId="7A6A5D95" w14:textId="77777777"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Интерпретация тяжести нарушения эмоциональной сферы включала оценку степени раздражительности и тревожности и была произведена по следующей шкале:</w:t>
      </w:r>
    </w:p>
    <w:p w14:paraId="5D9520ED" w14:textId="3674B61D"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0 баллов – отсутствие симптома</w:t>
      </w:r>
      <w:r w:rsidR="00D34E0D">
        <w:rPr>
          <w:rFonts w:ascii="Times New Roman" w:eastAsia="Calibri" w:hAnsi="Times New Roman" w:cs="Times New Roman"/>
          <w:sz w:val="28"/>
          <w:szCs w:val="28"/>
        </w:rPr>
        <w:t>;</w:t>
      </w:r>
      <w:r w:rsidRPr="00F57474">
        <w:rPr>
          <w:rFonts w:ascii="Times New Roman" w:eastAsia="Calibri" w:hAnsi="Times New Roman" w:cs="Times New Roman"/>
          <w:sz w:val="28"/>
          <w:szCs w:val="28"/>
        </w:rPr>
        <w:tab/>
      </w:r>
    </w:p>
    <w:p w14:paraId="3D1D116B" w14:textId="2D4C2BB8"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1 балл – легкая степень (наблюдается 1-2 раза в неделю)</w:t>
      </w:r>
      <w:r w:rsidR="00D34E0D">
        <w:rPr>
          <w:rFonts w:ascii="Times New Roman" w:eastAsia="Calibri" w:hAnsi="Times New Roman" w:cs="Times New Roman"/>
          <w:sz w:val="28"/>
          <w:szCs w:val="28"/>
        </w:rPr>
        <w:t>;</w:t>
      </w:r>
    </w:p>
    <w:p w14:paraId="1F32103D" w14:textId="5401F266"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 xml:space="preserve">2 балла – средняя степень </w:t>
      </w:r>
      <w:r w:rsidR="00D34E0D">
        <w:rPr>
          <w:rFonts w:ascii="Times New Roman" w:eastAsia="Calibri" w:hAnsi="Times New Roman" w:cs="Times New Roman"/>
          <w:sz w:val="28"/>
          <w:szCs w:val="28"/>
        </w:rPr>
        <w:t>(наблюдается 3-4 раза в неделю);</w:t>
      </w:r>
    </w:p>
    <w:p w14:paraId="5EA5A9E2" w14:textId="48F8EF12"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3 балла – тяжелая степень (наблюдается ежедневно)</w:t>
      </w:r>
      <w:r w:rsidR="00D34E0D">
        <w:rPr>
          <w:rFonts w:ascii="Times New Roman" w:eastAsia="Calibri" w:hAnsi="Times New Roman" w:cs="Times New Roman"/>
          <w:sz w:val="28"/>
          <w:szCs w:val="28"/>
        </w:rPr>
        <w:t>.</w:t>
      </w:r>
    </w:p>
    <w:p w14:paraId="14732603" w14:textId="77777777"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Интерпретация общих симптомов включала оценку наличие головной боли, усталости, рассеянности и проводилась по следующей шкале:</w:t>
      </w:r>
    </w:p>
    <w:p w14:paraId="2085EB94" w14:textId="77777777"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0 баллов – отсутствие симптома</w:t>
      </w:r>
      <w:r w:rsidRPr="00F57474">
        <w:rPr>
          <w:rFonts w:ascii="Times New Roman" w:eastAsia="Calibri" w:hAnsi="Times New Roman" w:cs="Times New Roman"/>
          <w:sz w:val="28"/>
          <w:szCs w:val="28"/>
        </w:rPr>
        <w:tab/>
      </w:r>
    </w:p>
    <w:p w14:paraId="4CAB3FDE" w14:textId="11D4C762"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1 балл – легкая степень (симптомы непостоянные в течение дня, легкие, беспокоят 1-2 раза в неделю)</w:t>
      </w:r>
      <w:r w:rsidR="002E3303">
        <w:rPr>
          <w:rFonts w:ascii="Times New Roman" w:eastAsia="Calibri" w:hAnsi="Times New Roman" w:cs="Times New Roman"/>
          <w:sz w:val="28"/>
          <w:szCs w:val="28"/>
        </w:rPr>
        <w:t>;</w:t>
      </w:r>
    </w:p>
    <w:p w14:paraId="60BDFCD7" w14:textId="5CCB023A"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2 балла – средняя степень (симптомы периодические в течение дня, умеренные, беспокоят 3-4 раза в неделю)</w:t>
      </w:r>
      <w:r w:rsidRPr="00F57474">
        <w:rPr>
          <w:rFonts w:ascii="Times New Roman" w:eastAsia="Calibri" w:hAnsi="Times New Roman" w:cs="Times New Roman"/>
          <w:sz w:val="28"/>
          <w:szCs w:val="28"/>
        </w:rPr>
        <w:tab/>
      </w:r>
      <w:r w:rsidR="002E3303">
        <w:rPr>
          <w:rFonts w:ascii="Times New Roman" w:eastAsia="Calibri" w:hAnsi="Times New Roman" w:cs="Times New Roman"/>
          <w:sz w:val="28"/>
          <w:szCs w:val="28"/>
        </w:rPr>
        <w:t>;</w:t>
      </w:r>
    </w:p>
    <w:p w14:paraId="7399B219" w14:textId="51B1BD4D"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3 балла – тяжелая степень (симптомы постоянные в течение дня, сильные, ежедневные)</w:t>
      </w:r>
      <w:r w:rsidR="002E3303">
        <w:rPr>
          <w:rFonts w:ascii="Times New Roman" w:eastAsia="Calibri" w:hAnsi="Times New Roman" w:cs="Times New Roman"/>
          <w:sz w:val="28"/>
          <w:szCs w:val="28"/>
        </w:rPr>
        <w:t>.</w:t>
      </w:r>
    </w:p>
    <w:p w14:paraId="6A525BCC" w14:textId="77777777"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Максимальная оценка была выражена общим баллом качества жизни и составляла 18 баллов. Интерпретация тяжести симптомов осуществлялось по следующей шкале:</w:t>
      </w:r>
    </w:p>
    <w:p w14:paraId="74987E8B" w14:textId="60B68C2A"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0 - 7 баллов – симптомы отсутствуют или легкой степени тяжести</w:t>
      </w:r>
      <w:r w:rsidR="002E3303">
        <w:rPr>
          <w:rFonts w:ascii="Times New Roman" w:eastAsia="Calibri" w:hAnsi="Times New Roman" w:cs="Times New Roman"/>
          <w:sz w:val="28"/>
          <w:szCs w:val="28"/>
        </w:rPr>
        <w:t>;</w:t>
      </w:r>
    </w:p>
    <w:p w14:paraId="193B87BF" w14:textId="149E918F"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8 – 14 баллов – симптомы средней степени тяжести</w:t>
      </w:r>
      <w:r w:rsidR="002E3303">
        <w:rPr>
          <w:rFonts w:ascii="Times New Roman" w:eastAsia="Calibri" w:hAnsi="Times New Roman" w:cs="Times New Roman"/>
          <w:sz w:val="28"/>
          <w:szCs w:val="28"/>
        </w:rPr>
        <w:t>;</w:t>
      </w:r>
    </w:p>
    <w:p w14:paraId="1BD35792" w14:textId="77777777"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15 – 21 балл – симптомы тяжелой степени.</w:t>
      </w:r>
    </w:p>
    <w:p w14:paraId="15D343D3" w14:textId="07508125"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Последний</w:t>
      </w:r>
      <w:r w:rsidR="00D23130">
        <w:rPr>
          <w:rFonts w:ascii="Times New Roman" w:eastAsia="Calibri" w:hAnsi="Times New Roman" w:cs="Times New Roman"/>
          <w:sz w:val="28"/>
          <w:szCs w:val="28"/>
        </w:rPr>
        <w:t xml:space="preserve"> четвёртый</w:t>
      </w:r>
      <w:r w:rsidRPr="00F57474">
        <w:rPr>
          <w:rFonts w:ascii="Times New Roman" w:eastAsia="Calibri" w:hAnsi="Times New Roman" w:cs="Times New Roman"/>
          <w:sz w:val="28"/>
          <w:szCs w:val="28"/>
        </w:rPr>
        <w:t xml:space="preserve"> раздел анкеты детализировал основные виды физической активности, которые пациенты вынуждены были ограничивать в период обострения. Пациентам требовалось дать односложный ответ (да/нет) о наличии ограничений следующих видов активности: езда на велосипеде, чтение, покупки, работа на дому, поездки за город, садоводство, просмотр телепрограмм, физические упражнения, поездки на общественном транспорте, работа за компьютером, походы в театр/кино, игра с домашними животными, игра с детьми или внуками, спортивные игры, вождение автомобиля, пение, повседневное общение с людьми, половая жизнь, учеба, разговоры, еда, уборка пылесосом, визиты к друзьям или родственникам, прогулки пешком, прогулки с собакой, деятельность на открытом воздухе, работа, пребывание на открытом воздухе, прогулки в парке с детьми.</w:t>
      </w:r>
    </w:p>
    <w:p w14:paraId="64DDA993" w14:textId="77777777" w:rsidR="00F57474" w:rsidRPr="00F57474" w:rsidRDefault="00F57474" w:rsidP="009F65CA">
      <w:pPr>
        <w:spacing w:after="0" w:line="240" w:lineRule="auto"/>
        <w:ind w:firstLine="567"/>
        <w:jc w:val="both"/>
        <w:rPr>
          <w:rFonts w:ascii="Times New Roman" w:eastAsia="Calibri" w:hAnsi="Times New Roman" w:cs="Times New Roman"/>
          <w:sz w:val="28"/>
          <w:szCs w:val="28"/>
        </w:rPr>
      </w:pPr>
      <w:r w:rsidRPr="00F57474">
        <w:rPr>
          <w:rFonts w:ascii="Times New Roman" w:eastAsia="Calibri" w:hAnsi="Times New Roman" w:cs="Times New Roman"/>
          <w:sz w:val="28"/>
          <w:szCs w:val="28"/>
        </w:rPr>
        <w:t>Таким образом, адаптация анкеты для оценки тяжести симптомов и качества жизни пациентов обусловлена необходимостью получения важной полномасштабной информации о состоянии здоровья пациента, позволяющей составить полноценную характеристику степени выраженности аллергического процесса. Адаптированная анкета была использована в качестве инструмента мониторинга за состоянием пациентов на фоне аллерген-специфической иммунотерапии.</w:t>
      </w:r>
    </w:p>
    <w:p w14:paraId="26BF67E3" w14:textId="77777777" w:rsidR="00F57474" w:rsidRPr="00F57474" w:rsidRDefault="00F57474" w:rsidP="00F57474">
      <w:pPr>
        <w:spacing w:after="0" w:line="240" w:lineRule="auto"/>
        <w:ind w:firstLine="567"/>
        <w:jc w:val="both"/>
        <w:rPr>
          <w:rFonts w:ascii="Times New Roman" w:eastAsia="Calibri" w:hAnsi="Times New Roman" w:cs="Times New Roman"/>
          <w:sz w:val="28"/>
          <w:szCs w:val="28"/>
        </w:rPr>
      </w:pPr>
    </w:p>
    <w:p w14:paraId="18013021" w14:textId="0B8F04A5" w:rsidR="00F57474" w:rsidRPr="009C4CD7" w:rsidRDefault="00F57474" w:rsidP="009F65CA">
      <w:pPr>
        <w:keepNext/>
        <w:keepLines/>
        <w:spacing w:after="0" w:line="240" w:lineRule="auto"/>
        <w:ind w:firstLine="567"/>
        <w:jc w:val="both"/>
        <w:outlineLvl w:val="1"/>
        <w:rPr>
          <w:rFonts w:ascii="Times New Roman" w:eastAsiaTheme="majorEastAsia" w:hAnsi="Times New Roman" w:cs="Times New Roman"/>
          <w:i/>
          <w:sz w:val="28"/>
          <w:szCs w:val="28"/>
        </w:rPr>
      </w:pPr>
      <w:bookmarkStart w:id="25" w:name="_Toc137904347"/>
      <w:r w:rsidRPr="009C4CD7">
        <w:rPr>
          <w:rFonts w:ascii="Times New Roman" w:eastAsia="Calibri" w:hAnsi="Times New Roman" w:cs="Times New Roman"/>
          <w:i/>
          <w:sz w:val="28"/>
          <w:szCs w:val="28"/>
        </w:rPr>
        <w:t xml:space="preserve">2.1.4 </w:t>
      </w:r>
      <w:r w:rsidRPr="009C4CD7">
        <w:rPr>
          <w:rFonts w:ascii="Times New Roman" w:eastAsiaTheme="majorEastAsia" w:hAnsi="Times New Roman" w:cs="Times New Roman"/>
          <w:i/>
          <w:sz w:val="28"/>
          <w:szCs w:val="28"/>
        </w:rPr>
        <w:t>Лабораторное обследование (биомаркеры эффективности аллерген-специфической иммунотерапии)</w:t>
      </w:r>
      <w:bookmarkEnd w:id="25"/>
    </w:p>
    <w:p w14:paraId="1CBCB5DB" w14:textId="1088EA1A" w:rsidR="00F57474" w:rsidRPr="00F57474" w:rsidRDefault="00F57474" w:rsidP="009F65CA">
      <w:pPr>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rPr>
        <w:t xml:space="preserve">Биомаркеры в контексте АСИТ определяются как количественные измерения, которые могут прогнозировать клинические и иммунологические реакции во время лечения и могут помочь в отборе пациентов, исключении тех, кто с меньшей вероятностью ответит на АСИТ, а также мониторинге эффективности во время лечения. Биомаркеры для АСИТ, таким образом, облегчают внедрение персонализированной медицины при аллергии </w:t>
      </w:r>
      <w:r w:rsidRPr="00F57474">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{"citationItems":[{"id":"ITEM-1","itemData":{"DOI":"10.1111/all.13138","ISSN":"13989995","PMID":"28152201","abstract":"Background: Allergen immunotherapy (AIT) is an effective treatment for allergic rhinoconjunctivitis (AR) with or without asthma. It is important to note that due to the complex interaction between patient, allergy triggers, symptomatology and vaccines used for AIT, some patients do not respond optimally to the treatment. Furthermore, there are no validated or generally accepted candidate biomarkers that are predictive of the clinical response to AIT. Clinical management of patients receiving AIT and efficacy in randomised controlled trials for drug development could be enhanced by predictive biomarkers. Method: The EAACI taskforce reviewed all candidate biomarkers used in clinical trials of AR patients with/without asthma in a literature review. Biomarkers were grouped into seven domains: (i) IgE (total IgE, specific IgE and sIgE/Total IgE ratio), (ii) IgG-subclasses (sIgG1, sIgG4 including SIgE/IgG4 ratio), (iii) Serum inhibitory activity for IgE (IgE-FAB and IgE-BF), (iv) Basophil activation, (v) Cytokines and Chemokines, (vi) Cellular markers (T regulatory cells, B regulatory cells and dendritic cells) and (vii) In vivo biomarkers (including provocation tests?). Results: All biomarkers were reviewed in the light of their potential advantages as well as their respective drawbacks. Unmet needs and specific recommendations on all seven domains were addressed. Conclusions: It is recommended to explore the use of allergen-specific IgG4 as a biomarker for compliance. sIgE/tIgE and IgE-FAB are considered as potential surrogate candidate biomarkers. Cytokine/chemokines and cellular reponses provided insight into the mechanisms of AIT. More studies for confirmation and interpretation of the possible association with the clinical response to AIT are needed.","author":[{"dropping-particle":"","family":"Shamji","given":"M. H.","non-dropping-particle":"","parse-names":false,"suffix":""},{"dropping-particle":"","family":"Kappen","given":"J. H.","non-dropping-particle":"","parse-names":false,"suffix":""},{"dropping-particle":"","family":"Akdis","given":"M.","non-dropping-particle":"","parse-names":false,"suffix":""},{"dropping-particle":"","family":"Jensen-Jarolim","given":"E.","non-dropping-particle":"","parse-names":false,"suffix":""},{"dropping-particle":"","family":"Knol","given":"E. F.","non-dropping-particle":"","parse-names":false,"suffix":""},{"dropping-particle":"","family":"Kleine-Tebbe","given":"J.","non-dropping-particle":"","parse-names":false,"suffix":""},{"dropping-particle":"","family":"Bohle","given":"B.","non-dropping-particle":"","parse-names":false,"suffix":""},{"dropping-particle":"","family":"Chaker","given":"A. M.","non-dropping-particle":"","parse-names":false,"suffix":""},{"dropping-particle":"","family":"Till","given":"S. J.","non-dropping-particle":"","parse-names":false,"suffix":""},{"dropping-particle":"","family":"Valenta","given":"R.","non-dropping-particle":"","parse-names":false,"suffix":""},{"dropping-particle":"","family":"Poulsen","given":"L. K.","non-dropping-particle":"","parse-names":false,"suffix":""},{"dropping-particle":"","family":"Calderon","given":"M. A.","non-dropping-particle":"","parse-names":false,"suffix":""},{"dropping-particle":"","family":"Demoly","given":"P.","non-dropping-particle":"","parse-names":false,"suffix":""},{"dropping-particle":"","family":"Pfaar","given":"O.","non-dropping-particle":"","parse-names":false,"suffix":""},{"dropping-particle":"","family":"Jacobsen","given":"L.","non-dropping-particle":"","parse-names":false,"suffix":""},{"dropping-particle":"","family":"Durham","given":"S. R.","non-dropping-particle":"","parse-names":false,"suffix":""},{"dropping-particle":"","family":"Schmidt-Weber","given":"C. B.","non-dropping-particle":"","parse-names":false,"suffix":""}],"container-title":"Allergy: European Journal of Allergy and Clinical Immunology","id":"ITEM-1","issue":"8","issued":{"date-parts":[["2017"]]},"page":"1156-1173","title":"Biomarkers for monitoring clinical efficacy of allergen immunotherapy for allergic rhinoconjunctivitis and allergic asthma: an EAACI Position Paper","type":"article-journal","volume":"72"},"uris":["http://www.mendeley.com/documents/?uuid=6a45e986-b728-4595-bfab-23ad3ed433d6"]}],"mendeley":{"formattedCitation":"[67]","plainTextFormattedCitation":"[67]","previouslyFormattedCitation":"[67]"},"properties":{"noteIndex":0},"schema":"https://github.com/citation-style-language/schema/raw/master/csl-citation.json"}</w:instrText>
      </w:r>
      <w:r w:rsidRPr="00F57474">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[67]</w:t>
      </w:r>
      <w:r w:rsidRPr="00F57474">
        <w:rPr>
          <w:rFonts w:ascii="Times New Roman" w:hAnsi="Times New Roman" w:cs="Times New Roman"/>
          <w:sz w:val="28"/>
          <w:szCs w:val="28"/>
        </w:rPr>
        <w:fldChar w:fldCharType="end"/>
      </w:r>
      <w:r w:rsidRPr="00F57474">
        <w:rPr>
          <w:rFonts w:ascii="Times New Roman" w:hAnsi="Times New Roman" w:cs="Times New Roman"/>
          <w:sz w:val="28"/>
          <w:szCs w:val="28"/>
        </w:rPr>
        <w:t>.</w:t>
      </w:r>
    </w:p>
    <w:p w14:paraId="0E995600" w14:textId="6BD28C37" w:rsidR="00F57474" w:rsidRPr="00F57474" w:rsidRDefault="00F57474" w:rsidP="009F65CA">
      <w:pPr>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rPr>
        <w:t xml:space="preserve">Согласно позиционному документу EAACI в 2017 году, потенциальные биомаркеры для мониторинга клинической эффективности АСИТ включают общий и специфический ИГЕ, эозинофильный катионный белок </w:t>
      </w:r>
      <w:r w:rsidRPr="00F57474">
        <w:rPr>
          <w:rFonts w:ascii="Times New Roman" w:hAnsi="Times New Roman" w:cs="Times New Roman"/>
          <w:sz w:val="28"/>
          <w:szCs w:val="28"/>
        </w:rPr>
        <w:fldChar w:fldCharType="begin" w:fldLock="1"/>
      </w:r>
      <w:r w:rsidR="00A02E0E">
        <w:rPr>
          <w:rFonts w:ascii="Times New Roman" w:hAnsi="Times New Roman" w:cs="Times New Roman"/>
          <w:sz w:val="28"/>
          <w:szCs w:val="28"/>
        </w:rPr>
        <w:instrText>ADDIN CSL_CITATION {"citationItems":[{"id":"ITEM-1","itemData":{"DOI":"10.1111/pai.13189","ISSN":"13993038","PMID":"32436290","abstract":"Allergen immunotherapy is a cornerstone in the treatment of allergic children. The clinical efficiency relies on a well-defined immunologic mechanism promoting regulatory T cells and downplaying the immune response induced by allergens. Clinical indications have been well documented for respiratory allergy in the presence of rhinitis and/or allergic asthma, to pollens and dust mites. Patients who have had an anaphylactic reaction to hymenoptera venom are also good candidates for allergen immunotherapy. Administration of allergen is currently mostly either by subcutaneous injections or by sublingual administration. Both methods have been extensively studied and have pros and cons. Specifically in children, the choice of the method of administration according to the patient's profile is important. Although allergen immunotherapy is widely used, there is a need for improvement. More particularly, biomarkers for prediction of the success of the treatments are needed. The strength and efficiency of the immune response may also be boosted by the use of better adjuvants. Finally, novel formulations might be more efficient and might improve the patient's adherence to the treatment. This user's guide reviews current knowledge and aims to provide clinical guidance to healthcare professionals taking care of children undergoing allergen immunotherapy.","author":[{"dropping-particle":"","family":"Alvaro-Lozano","given":"Montserrat","non-dropping-particle":"","parse-names":false,"suffix":""},{"dropping-particle":"","family":"Akdis","given":"Cezmi A.","non-dropping-particle":"","parse-names":false,"suffix":""},{"dropping-particle":"","family":"Akdis","given":"Mubeccel","non-dropping-particle":"","parse-names":false,"suffix":""},{"dropping-particle":"","family":"Alviani","given":"Cherry","non-dropping-particle":"","parse-names":false,"suffix":""},{"dropping-particle":"","family":"Angier","given":"Elisabeth","non-dropping-particle":"","parse-names":false,"suffix":""},{"dropping-particle":"","family":"Arasi","given":"Stefania","non-dropping-particle":"","parse-names":false,"suffix":""},{"dropping-particle":"","family":"Arzt-Gradwohl","given":"Lisa","non-dropping-particle":"","parse-names":false,"suffix":""},{"dropping-particle":"","family":"Barber","given":"Domingo","non-dropping-particle":"","parse-names":false,"suffix":""},{"dropping-particle":"","family":"Bazire","given":"Raphaëlle","non-dropping-particle":"","parse-names":false,"suffix":""},{"dropping-particle":"","family":"Cavkaytar","given":"Ozlem","non-dropping-particle":"","parse-names":false,"suffix":""},{"dropping-particle":"","family":"Comberiati","given":"Pasquale","non-dropping-particle":"","parse-names":false,"suffix":""},{"dropping-particle":"","family":"Dramburg","given":"Stephanie","non-dropping-particle":"","parse-names":false,"suffix":""},{"dropping-particle":"","family":"Durham","given":"Stephen R.","non-dropping-particle":"","parse-names":false,"suffix":""},{"dropping-particle":"","family":"Eifan","given":"Aarif O.","non-dropping-particle":"","parse-names":false,"suffix":""},{"dropping-particle":"","family":"Forchert","given":"Leandra","non-dropping-particle":"","parse-names":false,"suffix":""},{"dropping-particle":"","family":"Halken","given":"Susanne","non-dropping-particle":"","parse-names":false,"suffix":""},{"dropping-particle":"","family":"Kirtland","given":"Max","non-dropping-particle":"","parse-names":false,"suffix":""},{"dropping-particle":"","family":"Kucuksezer","given":"Umut C.","non-dropping-particle":"","parse-names":false,"suffix":""},{"dropping-particle":"","family":"Layhadi","given":"Janice A.","non-dropping-particle":"","parse-names":false,"suffix":""},{"dropping-particle":"","family":"Matricardi","given":"Paolo Maria","non-dropping-particle":"","parse-names":false,"suffix":""},{"dropping-particle":"","family":"Muraro","given":"Antonella","non-dropping-particle":"","parse-names":false,"suffix":""},{"dropping-particle":"","family":"Ozdemir","given":"Cevdet","non-dropping-particle":"","parse-names":false,"suffix":""},{"dropping-particle":"","family":"Pajno","given":"Giovanni Battista","non-dropping-particle":"","parse-names":false,"suffix":""},{"dropping-particle":"","family":"Pfaar","given":"Oliver","non-dropping-particle":"","parse-names":false,"suffix":""},{"dropping-particle":"","family":"Potapova","given":"Ekaterina","non-dropping-particle":"","parse-names":false,"suffix":""},{"dropping-particle":"","family":"Riggioni","given":"Carmen","non-dropping-particle":"","parse-names":false,"suffix":""},{"dropping-particle":"","family":"Roberts","given":"Graham","non-dropping-particle":"","parse-names":false,"suffix":""},{"dropping-particle":"","family":"Rodríguez del Río","given":"Pablo","non-dropping-particle":"","parse-names":false,"suffix":""},{"dropping-particle":"","family":"Shamji","given":"Mohamed H.","non-dropping-particle":"","parse-names":false,"suffix":""},{"dropping-particle":"","family":"Sturm","given":"Gunter J.","non-dropping-particle":"","parse-names":false,"suffix":""},{"dropping-particle":"","family":"Vazquez-Ortiz","given":"Marta","non-dropping-particle":"","parse-names":false,"suffix":""}],"container-title":"Pediatric Allergy and Immunology","id":"ITEM-1","issue":"S25","issued":{"date-parts":[["2020"]]},"page":"1-101","title":"EAACI Allergen Immunotherapy User's Guide","type":"article-journal","volume":"31"},"uris":["http://www.mendeley.com/documents/?uuid=e9deb66c-13fe-450e-b4d4-b3f64404532f"]},{"id":"ITEM-2","itemData":{"DOI":"10.1111/all.13355","ISSN":"13989995","PMID":"29171712","abstract":"The Future of the Allergists and Specific Immunotherapy (FASIT) workshop provides a regular platform for global experts from academia, allergy clinics, regulatory authorities and industry to review developments in the field of allergen immunotherapy (AIT). The most recent meeting, held in February 2017, had two main themes: advances in AIT and hot topics in AIT from the regulatory point of view. The first theme covered opportunities for personalized AIT, advances in adjuvants and delivery systems, and the development of new molecules and future vaccines for AIT. Key topics in the second part of the meeting were the effects of the enactment of European Directive 2001/83 on the availability of allergens for therapy and diagnosis across the EU, the challenges of conducting Phase 3 studies in the field, the future role of allergen exposure chambers in AIT studies and specific considerations in performing AIT studies in the paediatric population. Finally, the group highlighted the forthcoming EAACI guidelines and their particular importance for the standardization of practice in the treatment of allergies. This review presents a comprehensive insight into those panel discussions and highlights unmet needs and also possible solutions to them for the future.","author":[{"dropping-particle":"","family":"Pfaar","given":"O.","non-dropping-particle":"","parse-names":false,"suffix":""},{"dropping-particle":"","family":"Bonini","given":"S.","non-dropping-particle":"","parse-names":false,"suffix":""},{"dropping-particle":"","family":"Cardona","given":"V.","non-dropping-particle":"","parse-names":false,"suffix":""},{"dropping-particle":"","family":"Demoly","given":"P.","non-dropping-particle":"","parse-names":false,"suffix":""},{"dropping-particle":"","family":"Jakob","given":"T.","non-dropping-particle":"","parse-names":false,"suffix":""},{"dropping-particle":"","family":"Jutel","given":"M.","non-dropping-particle":"","parse-names":false,"suffix":""},{"dropping-particle":"","family":"Kleine-Tebbe","given":"J.","non-dropping-particle":"","parse-names":false,"suffix":""},{"dropping-particle":"","family":"Klimek","given":"L.","non-dropping-particle":"","parse-names":false,"suffix":""},{"dropping-particle":"","family":"Klysner","given":"S.","non-dropping-particle":"","parse-names":false,"suffix":""},{"dropping-particle":"V.","family":"Kopp","given":"M.","non-dropping-particle":"","parse-names":false,"suffix":""},{"dropping-particle":"","family":"Kuna","given":"P.","non-dropping-particle":"","parse-names":false,"suffix":""},{"dropping-particle":"","family":"Larché","given":"M.","non-dropping-particle":"","parse-names":false,"suffix":""},{"dropping-particle":"","family":"Muraro","given":"A.","non-dropping-particle":"","parse-names":false,"suffix":""},{"dropping-particle":"","family":"Schmidt-Weber","given":"C. B.","non-dropping-particle":"","parse-names":false,"suffix":""},{"dropping-particle":"","family":"Shamji","given":"M. H.","non-dropping-particle":"","parse-names":false,"suffix":""},{"dropping-particle":"","family":"Simonsen","given":"K.","non-dropping-particle":"","parse-names":false,"suffix":""},{"dropping-particle":"","family":"Somoza","given":"C.","non-dropping-particle":"","parse-names":false,"suffix":""},{"dropping-particle":"","family":"Valovirta","given":"E.","non-dropping-particle":"","parse-names":false,"suffix":""},{"dropping-particle":"","family":"Zieglmayer","given":"P.","non-dropping-particle":"","parse-names":false,"suffix":""},{"dropping-particle":"","family":"Zuberbier","given":"T.","non-dropping-particle":"","parse-names":false,"suffix":""},{"dropping-particle":"","family":"Wahn","given":"U.","non-dropping-particle":"","parse-names":false,"suffix":""}],"container-title":"Allergy: European Journal of Allergy and Clinical Immunology","id":"ITEM-2","issue":"November 2017","issued":{"date-parts":[["2018"]]},"page":"5-23","title":"Perspectives in allergen immunotherapy: 2017 and beyond","type":"article-journal","volume":"73"},"uris":["http://www.mendeley.com/documents/?uuid=fe2214c5-6d40-4ef1-a24d-192454f20542"]}],"mendeley":{"formattedCitation":"[144,145]","plainTextFormattedCitation":"[144,145]","previouslyFormattedCitation":"[144,145]"},"properties":{"noteIndex":0},"schema":"https://github.com/citation-style-language/schema/raw/master/csl-citation.json"}</w:instrText>
      </w:r>
      <w:r w:rsidRPr="00F57474">
        <w:rPr>
          <w:rFonts w:ascii="Times New Roman" w:hAnsi="Times New Roman" w:cs="Times New Roman"/>
          <w:sz w:val="28"/>
          <w:szCs w:val="28"/>
        </w:rPr>
        <w:fldChar w:fldCharType="separate"/>
      </w:r>
      <w:r w:rsidR="00332566" w:rsidRPr="00332566">
        <w:rPr>
          <w:rFonts w:ascii="Times New Roman" w:hAnsi="Times New Roman" w:cs="Times New Roman"/>
          <w:noProof/>
          <w:sz w:val="28"/>
          <w:szCs w:val="28"/>
        </w:rPr>
        <w:t>[144,145]</w:t>
      </w:r>
      <w:r w:rsidRPr="00F57474">
        <w:rPr>
          <w:rFonts w:ascii="Times New Roman" w:hAnsi="Times New Roman" w:cs="Times New Roman"/>
          <w:sz w:val="28"/>
          <w:szCs w:val="28"/>
        </w:rPr>
        <w:fldChar w:fldCharType="end"/>
      </w:r>
      <w:r w:rsidRPr="00F57474">
        <w:rPr>
          <w:rFonts w:ascii="Times New Roman" w:hAnsi="Times New Roman" w:cs="Times New Roman"/>
          <w:sz w:val="28"/>
          <w:szCs w:val="28"/>
        </w:rPr>
        <w:t xml:space="preserve">. </w:t>
      </w:r>
      <w:r w:rsidR="00FA7E8A">
        <w:rPr>
          <w:rFonts w:ascii="Times New Roman" w:hAnsi="Times New Roman" w:cs="Times New Roman"/>
          <w:sz w:val="28"/>
          <w:szCs w:val="28"/>
        </w:rPr>
        <w:t>Дополнительно нами был проанализирован показатель</w:t>
      </w:r>
      <w:r w:rsidRPr="00F57474">
        <w:rPr>
          <w:rFonts w:ascii="Times New Roman" w:hAnsi="Times New Roman" w:cs="Times New Roman"/>
          <w:sz w:val="28"/>
          <w:szCs w:val="28"/>
        </w:rPr>
        <w:t xml:space="preserve"> витамина Д в крови с целью поиска предикторов эффективности лечения.</w:t>
      </w:r>
    </w:p>
    <w:p w14:paraId="24E785CD" w14:textId="77777777" w:rsidR="00F57474" w:rsidRPr="00F57474" w:rsidRDefault="00F57474" w:rsidP="009F65CA">
      <w:pPr>
        <w:spacing w:after="0" w:line="240" w:lineRule="auto"/>
        <w:ind w:firstLine="567"/>
        <w:jc w:val="both"/>
        <w:rPr>
          <w:rFonts w:ascii="Times New Roman" w:hAnsi="Times New Roman" w:cs="Times New Roman"/>
          <w:i/>
          <w:sz w:val="28"/>
          <w:szCs w:val="28"/>
        </w:rPr>
      </w:pPr>
      <w:r w:rsidRPr="00F57474">
        <w:rPr>
          <w:rFonts w:ascii="Times New Roman" w:hAnsi="Times New Roman" w:cs="Times New Roman"/>
          <w:i/>
          <w:sz w:val="28"/>
          <w:szCs w:val="28"/>
        </w:rPr>
        <w:t xml:space="preserve">Общий иммуноглобулин Е </w:t>
      </w:r>
    </w:p>
    <w:p w14:paraId="6104DB2E" w14:textId="207DED75" w:rsidR="00F57474" w:rsidRPr="00F57474" w:rsidRDefault="00F57474" w:rsidP="009F65CA">
      <w:pPr>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rPr>
        <w:t xml:space="preserve">Определение уровня общего иммуноглобулина Е в сыворотке крови осуществляли путем проведения электрохемилюминисцентного метода на автоматическом модульном анализаторе «Cobas 8000» (Hitachi High-Technologies Corporation, Япония). Нормальный диапазон общего иммуноглобулина Е в сыворотке крови составлял 0-100 ЕД/мл </w:t>
      </w:r>
      <w:r w:rsidRPr="00F57474">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author":[{"dropping-particle":"","family":"Нурпеисов","given":"Т.Т.","non-dropping-particle":"","parse-names":false,"suffix":""},{"dropping-particle":"","family":"Испаева","given":"Ж.Б.","non-dropping-particle":"","parse-names":false,"suffix":""},{"dropping-particle":"","family":"Розенсон","given":"Р.И.","non-dropping-particle":"","parse-names":false,"suffix":""},{"dropping-particle":"","family":"Юхневич","given":"Е.А.","non-dropping-particle":"","parse-names":false,"suffix":""}],"id":"ITEM-1","issued":{"date-parts":[["2017"]]},"number-of-pages":"11","title":"Протокол. Аллергический ринит","type":"report"},"uris":["http://www.mendeley.com/documents/?uuid=54753850-ddd7-4ffe-ab74-0c09dc9f2c14"]}],"mendeley":{"formattedCitation":"[146]","plainTextFormattedCitation":"[146]","previouslyFormattedCitation":"[146]"},"properties":{"noteIndex":0},"schema":"https://github.com/citation-style-language/schema/raw/master/csl-citation.json"}</w:instrText>
      </w:r>
      <w:r w:rsidRPr="00F57474">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[146]</w:t>
      </w:r>
      <w:r w:rsidRPr="00F57474">
        <w:rPr>
          <w:rFonts w:ascii="Times New Roman" w:hAnsi="Times New Roman" w:cs="Times New Roman"/>
          <w:sz w:val="28"/>
          <w:szCs w:val="28"/>
        </w:rPr>
        <w:fldChar w:fldCharType="end"/>
      </w:r>
      <w:r w:rsidRPr="00F57474">
        <w:rPr>
          <w:rFonts w:ascii="Times New Roman" w:hAnsi="Times New Roman" w:cs="Times New Roman"/>
          <w:sz w:val="28"/>
          <w:szCs w:val="28"/>
        </w:rPr>
        <w:t>.</w:t>
      </w:r>
    </w:p>
    <w:p w14:paraId="125963C5" w14:textId="77777777" w:rsidR="00F57474" w:rsidRPr="00F57474" w:rsidRDefault="00F57474" w:rsidP="009F65CA">
      <w:pPr>
        <w:spacing w:after="0" w:line="240" w:lineRule="auto"/>
        <w:ind w:firstLine="567"/>
        <w:jc w:val="both"/>
        <w:rPr>
          <w:rFonts w:ascii="Times New Roman" w:hAnsi="Times New Roman" w:cs="Times New Roman"/>
          <w:i/>
          <w:sz w:val="28"/>
          <w:szCs w:val="28"/>
        </w:rPr>
      </w:pPr>
      <w:r w:rsidRPr="00F57474">
        <w:rPr>
          <w:rFonts w:ascii="Times New Roman" w:hAnsi="Times New Roman" w:cs="Times New Roman"/>
          <w:i/>
          <w:sz w:val="28"/>
          <w:szCs w:val="28"/>
        </w:rPr>
        <w:t xml:space="preserve">Эозинофильный катионный белок </w:t>
      </w:r>
    </w:p>
    <w:p w14:paraId="0A553584" w14:textId="672FC50B" w:rsidR="00F57474" w:rsidRPr="00F57474" w:rsidRDefault="00F57474" w:rsidP="009F65CA">
      <w:pPr>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rPr>
        <w:t>Уровень эозинофильного катионного белка в сыворотке измеряли на автоматическом иммунологическом анализаторе «Phadia 250» с помощью хемилюминисцентного анализа (AB by Aloka Co, Ltd, Япония). Нормальный диапазон эозинофильного катионного белка в сыворотке крови составлял 0–24 нг / мл</w:t>
      </w:r>
      <w:r w:rsidR="00C13EBD">
        <w:rPr>
          <w:rFonts w:ascii="Times New Roman" w:hAnsi="Times New Roman" w:cs="Times New Roman"/>
          <w:sz w:val="28"/>
          <w:szCs w:val="28"/>
        </w:rPr>
        <w:t xml:space="preserve"> </w:t>
      </w:r>
      <w:r w:rsidR="00C13EBD">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author":[{"dropping-particle":"","family":"Кляусов","given":"А.С.","non-dropping-particle":"","parse-names":false,"suffix":""},{"dropping-particle":"","family":"Осипов","given":"С.А.","non-dropping-particle":"","parse-names":false,"suffix":""}],"container-title":"Медицинская иммунология","id":"ITEM-1","issued":{"date-parts":[["2017"]]},"page":"88-89","title":"Диагностическое значение эозинофильного катионного белка при аллергическом воспалении у взрослых с аллергическим ринитом и бронхиальной астмой","type":"article-journal","volume":"19"},"uris":["http://www.mendeley.com/documents/?uuid=0d03dce1-e8dc-40c0-8551-94f3d0e087ec"]}],"mendeley":{"formattedCitation":"[147]","plainTextFormattedCitation":"[147]","previouslyFormattedCitation":"[147]"},"properties":{"noteIndex":0},"schema":"https://github.com/citation-style-language/schema/raw/master/csl-citation.json"}</w:instrText>
      </w:r>
      <w:r w:rsidR="00C13EBD">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[147]</w:t>
      </w:r>
      <w:r w:rsidR="00C13EBD">
        <w:rPr>
          <w:rFonts w:ascii="Times New Roman" w:hAnsi="Times New Roman" w:cs="Times New Roman"/>
          <w:sz w:val="28"/>
          <w:szCs w:val="28"/>
        </w:rPr>
        <w:fldChar w:fldCharType="end"/>
      </w:r>
      <w:r w:rsidRPr="00F57474">
        <w:rPr>
          <w:rFonts w:ascii="Times New Roman" w:hAnsi="Times New Roman" w:cs="Times New Roman"/>
          <w:sz w:val="28"/>
          <w:szCs w:val="28"/>
        </w:rPr>
        <w:t>.</w:t>
      </w:r>
    </w:p>
    <w:p w14:paraId="01F2BE3B" w14:textId="77777777" w:rsidR="00F57474" w:rsidRPr="00F57474" w:rsidRDefault="00F57474" w:rsidP="009F65CA">
      <w:pPr>
        <w:spacing w:after="0" w:line="240" w:lineRule="auto"/>
        <w:ind w:firstLine="567"/>
        <w:jc w:val="both"/>
        <w:rPr>
          <w:rFonts w:ascii="Times New Roman" w:hAnsi="Times New Roman" w:cs="Times New Roman"/>
          <w:i/>
          <w:sz w:val="28"/>
          <w:szCs w:val="28"/>
        </w:rPr>
      </w:pPr>
      <w:r w:rsidRPr="00F57474">
        <w:rPr>
          <w:rFonts w:ascii="Times New Roman" w:hAnsi="Times New Roman" w:cs="Times New Roman"/>
          <w:i/>
          <w:sz w:val="28"/>
          <w:szCs w:val="28"/>
          <w:lang w:val="en-US"/>
        </w:rPr>
        <w:t>ISAC</w:t>
      </w:r>
      <w:r w:rsidRPr="00F57474">
        <w:rPr>
          <w:rFonts w:ascii="Times New Roman" w:hAnsi="Times New Roman" w:cs="Times New Roman"/>
          <w:i/>
          <w:sz w:val="28"/>
          <w:szCs w:val="28"/>
        </w:rPr>
        <w:t xml:space="preserve"> тест </w:t>
      </w:r>
    </w:p>
    <w:p w14:paraId="58789687" w14:textId="6FF4D0CA" w:rsidR="00F57474" w:rsidRDefault="00F57474" w:rsidP="009F65CA">
      <w:pPr>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rPr>
        <w:t xml:space="preserve">Определение специфического иммуноглобулин Е к </w:t>
      </w:r>
      <w:r w:rsidR="00EE7119">
        <w:rPr>
          <w:rFonts w:ascii="Times New Roman" w:hAnsi="Times New Roman" w:cs="Times New Roman"/>
          <w:sz w:val="28"/>
          <w:szCs w:val="28"/>
        </w:rPr>
        <w:t xml:space="preserve">рекомбинантным </w:t>
      </w:r>
      <w:r w:rsidR="006C5EDC">
        <w:rPr>
          <w:rFonts w:ascii="Times New Roman" w:hAnsi="Times New Roman" w:cs="Times New Roman"/>
          <w:sz w:val="28"/>
          <w:szCs w:val="28"/>
        </w:rPr>
        <w:t>компонентам</w:t>
      </w:r>
      <w:r w:rsidRPr="00F57474">
        <w:rPr>
          <w:rFonts w:ascii="Times New Roman" w:hAnsi="Times New Roman" w:cs="Times New Roman"/>
          <w:sz w:val="28"/>
          <w:szCs w:val="28"/>
        </w:rPr>
        <w:t xml:space="preserve"> аллергенам с использованием технологии чипов с иммобилизированными аллергенами на твердой фазе (Immuno-Solid phase Allergen Chip, </w:t>
      </w:r>
      <w:r w:rsidRPr="00F57474">
        <w:rPr>
          <w:rFonts w:ascii="Times New Roman" w:hAnsi="Times New Roman" w:cs="Times New Roman"/>
          <w:sz w:val="28"/>
          <w:szCs w:val="28"/>
          <w:lang w:val="en-US"/>
        </w:rPr>
        <w:t>ThermoFisher</w:t>
      </w:r>
      <w:r w:rsidRPr="00F57474">
        <w:rPr>
          <w:rFonts w:ascii="Times New Roman" w:hAnsi="Times New Roman" w:cs="Times New Roman"/>
          <w:sz w:val="28"/>
          <w:szCs w:val="28"/>
        </w:rPr>
        <w:t xml:space="preserve"> </w:t>
      </w:r>
      <w:r w:rsidRPr="00F57474">
        <w:rPr>
          <w:rFonts w:ascii="Times New Roman" w:hAnsi="Times New Roman" w:cs="Times New Roman"/>
          <w:sz w:val="28"/>
          <w:szCs w:val="28"/>
          <w:lang w:val="en-US"/>
        </w:rPr>
        <w:t>Scientific</w:t>
      </w:r>
      <w:r w:rsidRPr="00F57474">
        <w:rPr>
          <w:rFonts w:ascii="Times New Roman" w:hAnsi="Times New Roman" w:cs="Times New Roman"/>
          <w:sz w:val="28"/>
          <w:szCs w:val="28"/>
        </w:rPr>
        <w:t xml:space="preserve">, </w:t>
      </w:r>
      <w:r w:rsidRPr="00F57474">
        <w:rPr>
          <w:rFonts w:ascii="Times New Roman" w:hAnsi="Times New Roman" w:cs="Times New Roman"/>
          <w:sz w:val="28"/>
          <w:szCs w:val="28"/>
          <w:lang w:val="en-US"/>
        </w:rPr>
        <w:t>Sweden</w:t>
      </w:r>
      <w:r w:rsidRPr="00F57474">
        <w:rPr>
          <w:rFonts w:ascii="Times New Roman" w:hAnsi="Times New Roman" w:cs="Times New Roman"/>
          <w:sz w:val="28"/>
          <w:szCs w:val="28"/>
        </w:rPr>
        <w:t xml:space="preserve">). Нормальный диапазон специфического иммуноглобулина Е в сыворотке крови составлял &lt;0,3 </w:t>
      </w:r>
      <w:r w:rsidRPr="00F57474">
        <w:rPr>
          <w:rFonts w:ascii="Times New Roman" w:hAnsi="Times New Roman" w:cs="Times New Roman"/>
          <w:sz w:val="28"/>
          <w:szCs w:val="28"/>
          <w:lang w:val="en-US"/>
        </w:rPr>
        <w:t>ISU</w:t>
      </w:r>
      <w:r w:rsidRPr="00F57474">
        <w:rPr>
          <w:rFonts w:ascii="Times New Roman" w:hAnsi="Times New Roman" w:cs="Times New Roman"/>
          <w:sz w:val="28"/>
          <w:szCs w:val="28"/>
        </w:rPr>
        <w:t>-</w:t>
      </w:r>
      <w:r w:rsidRPr="00F57474">
        <w:rPr>
          <w:rFonts w:ascii="Times New Roman" w:hAnsi="Times New Roman" w:cs="Times New Roman"/>
          <w:sz w:val="28"/>
          <w:szCs w:val="28"/>
          <w:lang w:val="en-US"/>
        </w:rPr>
        <w:t>E</w:t>
      </w:r>
      <w:r w:rsidRPr="00F57474">
        <w:rPr>
          <w:rFonts w:ascii="Times New Roman" w:hAnsi="Times New Roman" w:cs="Times New Roman"/>
          <w:sz w:val="28"/>
          <w:szCs w:val="28"/>
        </w:rPr>
        <w:t xml:space="preserve"> </w:t>
      </w:r>
      <w:r w:rsidRPr="00F57474">
        <w:rPr>
          <w:rFonts w:ascii="Times New Roman" w:hAnsi="Times New Roman" w:cs="Times New Roman"/>
          <w:sz w:val="28"/>
          <w:szCs w:val="28"/>
        </w:rPr>
        <w:fldChar w:fldCharType="begin" w:fldLock="1"/>
      </w:r>
      <w:r w:rsidR="00765C06">
        <w:rPr>
          <w:rFonts w:ascii="Times New Roman" w:hAnsi="Times New Roman" w:cs="Times New Roman"/>
          <w:sz w:val="28"/>
          <w:szCs w:val="28"/>
        </w:rPr>
        <w:instrText>ADDIN CSL_CITATION {"citationItems":[{"id":"ITEM-1","itemData":{"DOI":"10.1515/cclm-2016-0586","ISBN":"0000000202701","ISSN":"14374331","PMID":"27816950","abstract":"Background: After the re-introduction of ImmunoCAP® ISAC sIgE 112 on the market, we undertook a study to evaluate the performance of this multiplex-based immunoassay for IgE measurements to allergen components. Methods: The study was carried out at 22 European and one South African site. Microarrays from different batches, eight specific IgE (sIgE) positive, three sIgE negative serum samples and a calibration sample were sent to participating laboratories where assays were performed according to the manufacturer's instructions. Results: For both the negative and positive samples results were consistent between sites, with a very low frequency of false positive results (0.014%). A similar pattern of results for each of the samples was observed across the 23 sites. Homogeneity analysis of all measurements for each sample were well clustered, indicating good reproducibility; unsupervised hierarchical clustering and classification via random forests, showed clustering of identical samples independent of the assay site. Analysis of raw continuous data confirmed the good accuracy across the study sites; averaged standardized, site-specific ISU-E values fell close to the center of the distribution of measurements from all sites. After outlier filtering, variability across the whole study was estimated at 25.5%, with values of 22%, 27.1% and 22.4% for the 'Low', 'Moderate to High' and 'Very High' concentration categories, respectively. Conclusions: The study shows a robust performance of the ImmunoCAP® ISAC 112 immunoassay at different sites. Essentially the same results were obtained irrespective of assay site, laboratory-specific conditions and instruments, operator, or the use of microarrays from different batches.","author":[{"dropping-particle":"","family":"Hage","given":"Marianne","non-dropping-particle":"Van","parse-names":false,"suffix":""},{"dropping-particle":"","family":"Schmid-Grendelmeier","given":"Peter","non-dropping-particle":"","parse-names":false,"suffix":""},{"dropping-particle":"","family":"Skevaki","given":"Chrysanthi","non-dropping-particle":"","parse-names":false,"suffix":""},{"dropping-particle":"","family":"Plebani","given":"Mario","non-dropping-particle":"","parse-names":false,"suffix":""},{"dropping-particle":"","family":"Canonica","given":"Walter","non-dropping-particle":"","parse-names":false,"suffix":""},{"dropping-particle":"","family":"Kleine-Tebbe","given":"Jörg","non-dropping-particle":"","parse-names":false,"suffix":""},{"dropping-particle":"","family":"Nystrand","given":"Mats","non-dropping-particle":"","parse-names":false,"suffix":""},{"dropping-particle":"","family":"Jafari-Mamaghani","given":"Mehrdad","non-dropping-particle":"","parse-names":false,"suffix":""},{"dropping-particle":"","family":"Jakob","given":"Thilo","non-dropping-particle":"","parse-names":false,"suffix":""}],"container-title":"Clinical Chemistry and Laboratory Medicine","id":"ITEM-1","issue":"4","issued":{"date-parts":[["2017"]]},"page":"571-577","title":"Performance evaluation of ImmunoCAP® ISAC 112: A multi-site study","type":"article-journal","volume":"55"},"uris":["http://www.mendeley.com/documents/?uuid=9da11f52-23a9-4993-99bf-982915960d3c"]}],"mendeley":{"formattedCitation":"[148]","plainTextFormattedCitation":"[148]","previouslyFormattedCitation":"[148]"},"properties":{"noteIndex":0},"schema":"https://github.com/citation-style-language/schema/raw/master/csl-citation.json"}</w:instrText>
      </w:r>
      <w:r w:rsidRPr="00F57474">
        <w:rPr>
          <w:rFonts w:ascii="Times New Roman" w:hAnsi="Times New Roman" w:cs="Times New Roman"/>
          <w:sz w:val="28"/>
          <w:szCs w:val="28"/>
        </w:rPr>
        <w:fldChar w:fldCharType="separate"/>
      </w:r>
      <w:r w:rsidR="00877069" w:rsidRPr="00877069">
        <w:rPr>
          <w:rFonts w:ascii="Times New Roman" w:hAnsi="Times New Roman" w:cs="Times New Roman"/>
          <w:noProof/>
          <w:sz w:val="28"/>
          <w:szCs w:val="28"/>
        </w:rPr>
        <w:t>[148]</w:t>
      </w:r>
      <w:r w:rsidRPr="00F57474">
        <w:rPr>
          <w:rFonts w:ascii="Times New Roman" w:hAnsi="Times New Roman" w:cs="Times New Roman"/>
          <w:sz w:val="28"/>
          <w:szCs w:val="28"/>
        </w:rPr>
        <w:fldChar w:fldCharType="end"/>
      </w:r>
      <w:r w:rsidRPr="00F57474">
        <w:rPr>
          <w:rFonts w:ascii="Times New Roman" w:hAnsi="Times New Roman" w:cs="Times New Roman"/>
          <w:sz w:val="28"/>
          <w:szCs w:val="28"/>
        </w:rPr>
        <w:t>.</w:t>
      </w:r>
    </w:p>
    <w:p w14:paraId="2533A29F" w14:textId="77777777" w:rsidR="00F57474" w:rsidRPr="00F57474" w:rsidRDefault="00F57474" w:rsidP="009F65CA">
      <w:pPr>
        <w:tabs>
          <w:tab w:val="left" w:pos="851"/>
          <w:tab w:val="left" w:pos="993"/>
        </w:tabs>
        <w:spacing w:after="0" w:line="240" w:lineRule="auto"/>
        <w:ind w:firstLine="567"/>
        <w:jc w:val="both"/>
        <w:rPr>
          <w:rFonts w:ascii="Times New Roman" w:hAnsi="Times New Roman" w:cs="Times New Roman"/>
          <w:i/>
          <w:sz w:val="28"/>
          <w:szCs w:val="28"/>
        </w:rPr>
      </w:pPr>
      <w:r w:rsidRPr="00F57474">
        <w:rPr>
          <w:rFonts w:ascii="Times New Roman" w:hAnsi="Times New Roman" w:cs="Times New Roman"/>
          <w:i/>
          <w:sz w:val="28"/>
          <w:szCs w:val="28"/>
        </w:rPr>
        <w:t xml:space="preserve">Витамин Д </w:t>
      </w:r>
    </w:p>
    <w:p w14:paraId="48F2759E" w14:textId="2B481875" w:rsidR="00F57474" w:rsidRPr="00901C38" w:rsidRDefault="00F57474" w:rsidP="009F65CA">
      <w:pPr>
        <w:tabs>
          <w:tab w:val="left" w:pos="851"/>
          <w:tab w:val="left" w:pos="993"/>
        </w:tabs>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rPr>
        <w:t xml:space="preserve">Определение уровня гидроксивитамина Д (25ОНD) в сыворотке крови путем проведения метода хемилюминисценции на </w:t>
      </w:r>
      <w:r w:rsidRPr="00901C38">
        <w:rPr>
          <w:rFonts w:ascii="Times New Roman" w:hAnsi="Times New Roman" w:cs="Times New Roman"/>
          <w:sz w:val="28"/>
          <w:szCs w:val="28"/>
        </w:rPr>
        <w:t xml:space="preserve">автоматическом модульном анализаторе «Beckman Coulter DxI» (США). Нормальный диапазон уровня витамина Д в сыворотке крови составлял 30-100 нг/мл </w:t>
      </w:r>
      <w:r w:rsidRPr="00901C38">
        <w:rPr>
          <w:rFonts w:ascii="Times New Roman" w:hAnsi="Times New Roman" w:cs="Times New Roman"/>
          <w:sz w:val="28"/>
          <w:szCs w:val="28"/>
        </w:rPr>
        <w:fldChar w:fldCharType="begin" w:fldLock="1"/>
      </w:r>
      <w:r w:rsidR="00765C06" w:rsidRPr="00901C38">
        <w:rPr>
          <w:rFonts w:ascii="Times New Roman" w:hAnsi="Times New Roman" w:cs="Times New Roman"/>
          <w:sz w:val="28"/>
          <w:szCs w:val="28"/>
        </w:rPr>
        <w:instrText>ADDIN CSL_CITATION {"citationItems":[{"id":"ITEM-1","itemData":{"DOI":"10.14341/probl201662460-84","ISSN":"03759660","abstract":"Adequate intake of Vitamin D and its concentration in serum is important for the health of bones and calcium-phosphorus metabolism and for the optimal functioning of many organs and tissues. Most epidemiological studies have shown that Vitamin D deficiency is widespread among the population in Russian Federation. Material and methods. We reviewed relevant literature on the epidemiology of insufficiency and deficiency, skeletal and extraskeletal effects of Vitamin D and summarized recommendations for the diagnosis, prevention and treatment of Vitamin D deficiency in the general population, which were subsequently discussed and amended in conjunction with leading endocrinologists of the Russian Federation who are experts in this subject. Results. The optimal concentration of 25(OH)D in the serum as the best indicator of Vitamin D body stores is recognized as 30-100 ng/ml (75-250 nmol/l), insufficiency - from 20 to 30 ng/ml (50 to 75 nmol/l), deficiency - less than 20 ng/ml (less than 50 nmol/l). In prevention and treatment it is recommended to stick to the target serum levels of 25(OH)D in the range of 30-60 ng/ml (75-150 nmol/l). We've developed a general practice recommendations for the prevention, diagnosis and treatment of Vitamin D deficiency in adults, including pregnant and lactating women, persons over 50 years old and subjects suffering from various diseases affecting the metabolism of Vitamin D. Conclusions. Increased sufficiency of Vitamin D in the population should be included as one of the priorities of modern healthcare due to proven preventive health effects on the musculoskeletal system and the potential positive impact on many socially significant diseases. This publication is a detailed version of the Federal Guideline.","author":[{"dropping-particle":"","family":"Пигарова","given":"Е.А.","non-dropping-particle":"","parse-names":false,"suffix":""},{"dropping-particle":"","family":"Рожинская","given":"Л.Я.","non-dropping-particle":"","parse-names":false,"suffix":""},{"dropping-particle":"","family":"Белая","given":"Ж.Е.","non-dropping-particle":"","parse-names":false,"suffix":""},{"dropping-particle":"","family":"Дзеранова","given":"Л.К.","non-dropping-particle":"","parse-names":false,"suffix":""},{"dropping-particle":"","family":"Каронова","given":"Т.Л.","non-dropping-particle":"","parse-names":false,"suffix":""},{"dropping-particle":"","family":"Ильин","given":"А.В.","non-dropping-particle":"","parse-names":false,"suffix":""},{"dropping-particle":"","family":"Мельниченко","given":"Г.А.","non-dropping-particle":"","parse-names":false,"suffix":""},{"dropping-particle":"","family":"Дедов","given":"И.И.","non-dropping-particle":"","parse-names":false,"suffix":""}],"container-title":"Проблемы эндокринологии","id":"ITEM-1","issue":"4","issued":{"date-parts":[["2016"]]},"page":"60-84","title":"Клинические рекомендации Российской ассоциации эндокринологов по диагностике, лечению и профилактике дефицита витамина D у взрослых","type":"article-journal","volume":"62"},"uris":["http://www.mendeley.com/documents/?uuid=de53e64c-3371-45e5-9bb6-b09d986a8998"]}],"mendeley":{"formattedCitation":"[149]","plainTextFormattedCitation":"[149]","previouslyFormattedCitation":"[149]"},"properties":{"noteIndex":0},"schema":"https://github.com/citation-style-language/schema/raw/master/csl-citation.json"}</w:instrText>
      </w:r>
      <w:r w:rsidRPr="00901C38">
        <w:rPr>
          <w:rFonts w:ascii="Times New Roman" w:hAnsi="Times New Roman" w:cs="Times New Roman"/>
          <w:sz w:val="28"/>
          <w:szCs w:val="28"/>
        </w:rPr>
        <w:fldChar w:fldCharType="separate"/>
      </w:r>
      <w:r w:rsidR="00877069" w:rsidRPr="00901C38">
        <w:rPr>
          <w:rFonts w:ascii="Times New Roman" w:hAnsi="Times New Roman" w:cs="Times New Roman"/>
          <w:noProof/>
          <w:sz w:val="28"/>
          <w:szCs w:val="28"/>
        </w:rPr>
        <w:t>[149]</w:t>
      </w:r>
      <w:r w:rsidRPr="00901C38">
        <w:rPr>
          <w:rFonts w:ascii="Times New Roman" w:hAnsi="Times New Roman" w:cs="Times New Roman"/>
          <w:sz w:val="28"/>
          <w:szCs w:val="28"/>
        </w:rPr>
        <w:fldChar w:fldCharType="end"/>
      </w:r>
      <w:r w:rsidRPr="00901C38">
        <w:rPr>
          <w:rFonts w:ascii="Times New Roman" w:hAnsi="Times New Roman" w:cs="Times New Roman"/>
          <w:sz w:val="28"/>
          <w:szCs w:val="28"/>
        </w:rPr>
        <w:t>.</w:t>
      </w:r>
    </w:p>
    <w:p w14:paraId="18970FA8" w14:textId="77777777" w:rsidR="00F57474" w:rsidRPr="00901C38" w:rsidRDefault="00F57474" w:rsidP="009F65CA">
      <w:pPr>
        <w:spacing w:after="0" w:line="240" w:lineRule="auto"/>
        <w:rPr>
          <w:rFonts w:ascii="Times New Roman" w:hAnsi="Times New Roman" w:cs="Times New Roman"/>
          <w:b/>
          <w:sz w:val="28"/>
          <w:szCs w:val="28"/>
        </w:rPr>
      </w:pPr>
    </w:p>
    <w:p w14:paraId="76407107" w14:textId="6138DA6E" w:rsidR="00F57474" w:rsidRPr="00901C38" w:rsidRDefault="00F57474" w:rsidP="009F65CA">
      <w:pPr>
        <w:keepNext/>
        <w:keepLines/>
        <w:spacing w:after="0" w:line="240" w:lineRule="auto"/>
        <w:ind w:firstLine="567"/>
        <w:jc w:val="both"/>
        <w:outlineLvl w:val="1"/>
        <w:rPr>
          <w:rFonts w:ascii="Times New Roman" w:eastAsiaTheme="majorEastAsia" w:hAnsi="Times New Roman" w:cs="Times New Roman"/>
          <w:sz w:val="28"/>
          <w:szCs w:val="28"/>
        </w:rPr>
      </w:pPr>
      <w:bookmarkStart w:id="26" w:name="_Toc137904348"/>
      <w:r w:rsidRPr="00901C38">
        <w:rPr>
          <w:rFonts w:ascii="Times New Roman" w:eastAsiaTheme="majorEastAsia" w:hAnsi="Times New Roman" w:cs="Times New Roman"/>
          <w:sz w:val="28"/>
          <w:szCs w:val="28"/>
        </w:rPr>
        <w:t>2.1.5 Демографическая характеристика и аллергический анамнез пациентов, включенных в исследование</w:t>
      </w:r>
      <w:bookmarkEnd w:id="26"/>
    </w:p>
    <w:p w14:paraId="3C5A10DE" w14:textId="1222B34A" w:rsidR="00F57474" w:rsidRPr="00901C38" w:rsidRDefault="00F57474" w:rsidP="009F65CA">
      <w:pPr>
        <w:spacing w:after="0" w:line="240" w:lineRule="auto"/>
        <w:ind w:firstLine="567"/>
        <w:jc w:val="both"/>
        <w:rPr>
          <w:rFonts w:ascii="Times New Roman" w:hAnsi="Times New Roman" w:cs="Times New Roman"/>
          <w:sz w:val="28"/>
          <w:szCs w:val="28"/>
        </w:rPr>
      </w:pPr>
      <w:r w:rsidRPr="00901C38">
        <w:rPr>
          <w:rFonts w:ascii="Times New Roman" w:hAnsi="Times New Roman" w:cs="Times New Roman"/>
          <w:sz w:val="28"/>
          <w:szCs w:val="28"/>
        </w:rPr>
        <w:t>Общая демографическая характеристика пациентов, вошедших в иссле</w:t>
      </w:r>
      <w:r w:rsidR="004907B6" w:rsidRPr="00901C38">
        <w:rPr>
          <w:rFonts w:ascii="Times New Roman" w:hAnsi="Times New Roman" w:cs="Times New Roman"/>
          <w:sz w:val="28"/>
          <w:szCs w:val="28"/>
        </w:rPr>
        <w:t xml:space="preserve">дование представлена в таблице </w:t>
      </w:r>
      <w:r w:rsidRPr="00901C38">
        <w:rPr>
          <w:rFonts w:ascii="Times New Roman" w:hAnsi="Times New Roman" w:cs="Times New Roman"/>
          <w:sz w:val="28"/>
          <w:szCs w:val="28"/>
        </w:rPr>
        <w:t>2. В исследовании участвовали 55 человек (26 мужчин, 29 женщин), средний возраст которых составил 35,8 лет. Доля лиц, имеющих положительный</w:t>
      </w:r>
      <w:r w:rsidR="001257D5" w:rsidRPr="00901C38">
        <w:rPr>
          <w:rFonts w:ascii="Times New Roman" w:hAnsi="Times New Roman" w:cs="Times New Roman"/>
          <w:sz w:val="28"/>
          <w:szCs w:val="28"/>
        </w:rPr>
        <w:t xml:space="preserve"> семейный</w:t>
      </w:r>
      <w:r w:rsidRPr="00901C38">
        <w:rPr>
          <w:rFonts w:ascii="Times New Roman" w:hAnsi="Times New Roman" w:cs="Times New Roman"/>
          <w:sz w:val="28"/>
          <w:szCs w:val="28"/>
        </w:rPr>
        <w:t xml:space="preserve"> аллергоанамнез составила </w:t>
      </w:r>
      <w:r w:rsidR="004041AF" w:rsidRPr="00901C38">
        <w:rPr>
          <w:rFonts w:ascii="Times New Roman" w:hAnsi="Times New Roman" w:cs="Times New Roman"/>
          <w:sz w:val="28"/>
          <w:szCs w:val="28"/>
        </w:rPr>
        <w:t>39 (71%)</w:t>
      </w:r>
      <w:r w:rsidRPr="00901C38">
        <w:rPr>
          <w:rFonts w:ascii="Times New Roman" w:hAnsi="Times New Roman" w:cs="Times New Roman"/>
          <w:sz w:val="28"/>
          <w:szCs w:val="28"/>
        </w:rPr>
        <w:t>, лица с отрицательным</w:t>
      </w:r>
      <w:r w:rsidR="005C50CF" w:rsidRPr="00901C38">
        <w:rPr>
          <w:rFonts w:ascii="Times New Roman" w:hAnsi="Times New Roman" w:cs="Times New Roman"/>
          <w:sz w:val="28"/>
          <w:szCs w:val="28"/>
        </w:rPr>
        <w:t xml:space="preserve"> семейным</w:t>
      </w:r>
      <w:r w:rsidRPr="00901C38">
        <w:rPr>
          <w:rFonts w:ascii="Times New Roman" w:hAnsi="Times New Roman" w:cs="Times New Roman"/>
          <w:sz w:val="28"/>
          <w:szCs w:val="28"/>
        </w:rPr>
        <w:t xml:space="preserve"> аллергоанамнезом – </w:t>
      </w:r>
      <w:r w:rsidR="004041AF" w:rsidRPr="00901C38">
        <w:rPr>
          <w:rFonts w:ascii="Times New Roman" w:hAnsi="Times New Roman" w:cs="Times New Roman"/>
          <w:sz w:val="28"/>
          <w:szCs w:val="28"/>
        </w:rPr>
        <w:t>16 (29%)</w:t>
      </w:r>
      <w:r w:rsidRPr="00901C38">
        <w:rPr>
          <w:rFonts w:ascii="Times New Roman" w:hAnsi="Times New Roman" w:cs="Times New Roman"/>
          <w:sz w:val="28"/>
          <w:szCs w:val="28"/>
        </w:rPr>
        <w:t xml:space="preserve">. В среднем пациенты болели сезонным аллергическим ринитом в течение 6 лет и имели сенсибилизацию к 6 аллергенам (Таблица </w:t>
      </w:r>
      <w:r w:rsidR="0012214F" w:rsidRPr="00901C38">
        <w:rPr>
          <w:rFonts w:ascii="Times New Roman" w:hAnsi="Times New Roman" w:cs="Times New Roman"/>
          <w:sz w:val="28"/>
          <w:szCs w:val="28"/>
        </w:rPr>
        <w:t>2</w:t>
      </w:r>
      <w:r w:rsidRPr="00901C38">
        <w:rPr>
          <w:rFonts w:ascii="Times New Roman" w:hAnsi="Times New Roman" w:cs="Times New Roman"/>
          <w:sz w:val="28"/>
          <w:szCs w:val="28"/>
        </w:rPr>
        <w:t xml:space="preserve">). </w:t>
      </w:r>
    </w:p>
    <w:p w14:paraId="6645DD07" w14:textId="77777777" w:rsidR="00F57474" w:rsidRPr="00901C38" w:rsidRDefault="00F57474" w:rsidP="009F65CA">
      <w:pPr>
        <w:spacing w:after="0" w:line="240" w:lineRule="auto"/>
        <w:ind w:firstLine="567"/>
        <w:jc w:val="both"/>
        <w:rPr>
          <w:rFonts w:ascii="Times New Roman" w:hAnsi="Times New Roman" w:cs="Times New Roman"/>
          <w:sz w:val="28"/>
          <w:szCs w:val="28"/>
        </w:rPr>
      </w:pPr>
    </w:p>
    <w:p w14:paraId="213D4138" w14:textId="7C9BD2AB" w:rsidR="00F57474" w:rsidRPr="00901C38" w:rsidRDefault="0012214F" w:rsidP="00D0108A">
      <w:pPr>
        <w:spacing w:after="0" w:line="240" w:lineRule="auto"/>
        <w:jc w:val="both"/>
        <w:rPr>
          <w:rFonts w:ascii="Times New Roman" w:hAnsi="Times New Roman" w:cs="Times New Roman"/>
          <w:sz w:val="28"/>
          <w:szCs w:val="28"/>
        </w:rPr>
      </w:pPr>
      <w:r w:rsidRPr="00901C38">
        <w:rPr>
          <w:rFonts w:ascii="Times New Roman" w:hAnsi="Times New Roman" w:cs="Times New Roman"/>
          <w:sz w:val="28"/>
          <w:szCs w:val="28"/>
        </w:rPr>
        <w:t>Таблица 2</w:t>
      </w:r>
      <w:r w:rsidR="00F57474" w:rsidRPr="00901C38">
        <w:rPr>
          <w:rFonts w:ascii="Times New Roman" w:hAnsi="Times New Roman" w:cs="Times New Roman"/>
          <w:sz w:val="28"/>
          <w:szCs w:val="28"/>
        </w:rPr>
        <w:t xml:space="preserve"> - Демографические данные больных сезонным аллергическим ринитом перед началом лечения (n=55) </w:t>
      </w:r>
    </w:p>
    <w:p w14:paraId="45FBB57E" w14:textId="77777777" w:rsidR="00F57474" w:rsidRPr="00901C38" w:rsidRDefault="00F57474" w:rsidP="009F65CA">
      <w:pPr>
        <w:spacing w:after="0" w:line="240" w:lineRule="auto"/>
        <w:jc w:val="both"/>
        <w:rPr>
          <w:rFonts w:ascii="Times New Roman" w:hAnsi="Times New Roman" w:cs="Times New Roman"/>
          <w:b/>
          <w:sz w:val="28"/>
          <w:szCs w:val="28"/>
        </w:rPr>
      </w:pPr>
    </w:p>
    <w:tbl>
      <w:tblPr>
        <w:tblStyle w:val="13"/>
        <w:tblW w:w="5000" w:type="pct"/>
        <w:tblInd w:w="-5" w:type="dxa"/>
        <w:tblLook w:val="04A0" w:firstRow="1" w:lastRow="0" w:firstColumn="1" w:lastColumn="0" w:noHBand="0" w:noVBand="1"/>
      </w:tblPr>
      <w:tblGrid>
        <w:gridCol w:w="6276"/>
        <w:gridCol w:w="3352"/>
      </w:tblGrid>
      <w:tr w:rsidR="00F57474" w:rsidRPr="00901C38" w14:paraId="5820A587" w14:textId="77777777" w:rsidTr="00F57474">
        <w:trPr>
          <w:trHeight w:val="291"/>
        </w:trPr>
        <w:tc>
          <w:tcPr>
            <w:tcW w:w="3259" w:type="pct"/>
            <w:hideMark/>
          </w:tcPr>
          <w:p w14:paraId="646E8CCC" w14:textId="77777777" w:rsidR="00F57474" w:rsidRPr="00901C38" w:rsidRDefault="00F57474" w:rsidP="009F65CA">
            <w:pPr>
              <w:jc w:val="center"/>
              <w:rPr>
                <w:rFonts w:ascii="Times New Roman" w:hAnsi="Times New Roman" w:cs="Times New Roman"/>
                <w:sz w:val="24"/>
                <w:szCs w:val="24"/>
              </w:rPr>
            </w:pPr>
            <w:r w:rsidRPr="00901C38">
              <w:rPr>
                <w:rFonts w:ascii="Times New Roman" w:hAnsi="Times New Roman" w:cs="Times New Roman"/>
                <w:sz w:val="24"/>
                <w:szCs w:val="24"/>
              </w:rPr>
              <w:t>Параметр</w:t>
            </w:r>
          </w:p>
        </w:tc>
        <w:tc>
          <w:tcPr>
            <w:tcW w:w="1741" w:type="pct"/>
          </w:tcPr>
          <w:p w14:paraId="001C48C7" w14:textId="77777777" w:rsidR="00F57474" w:rsidRPr="00901C38" w:rsidRDefault="00F57474" w:rsidP="009F65CA">
            <w:pPr>
              <w:jc w:val="center"/>
              <w:rPr>
                <w:rFonts w:ascii="Times New Roman" w:hAnsi="Times New Roman" w:cs="Times New Roman"/>
                <w:sz w:val="24"/>
                <w:szCs w:val="24"/>
              </w:rPr>
            </w:pPr>
            <w:r w:rsidRPr="00901C38">
              <w:rPr>
                <w:rFonts w:ascii="Times New Roman" w:hAnsi="Times New Roman" w:cs="Times New Roman"/>
                <w:sz w:val="24"/>
                <w:szCs w:val="24"/>
              </w:rPr>
              <w:t xml:space="preserve">Характеристика </w:t>
            </w:r>
          </w:p>
        </w:tc>
      </w:tr>
      <w:tr w:rsidR="00F57474" w:rsidRPr="00901C38" w14:paraId="234EF964" w14:textId="77777777" w:rsidTr="00F57474">
        <w:tc>
          <w:tcPr>
            <w:tcW w:w="3259" w:type="pct"/>
            <w:hideMark/>
          </w:tcPr>
          <w:p w14:paraId="777AFE76" w14:textId="77777777" w:rsidR="00F57474" w:rsidRPr="00901C38" w:rsidRDefault="00F57474" w:rsidP="009F65CA">
            <w:pPr>
              <w:jc w:val="center"/>
              <w:rPr>
                <w:rFonts w:ascii="Times New Roman" w:hAnsi="Times New Roman" w:cs="Times New Roman"/>
                <w:sz w:val="24"/>
                <w:szCs w:val="24"/>
              </w:rPr>
            </w:pPr>
            <w:r w:rsidRPr="00901C38">
              <w:rPr>
                <w:rFonts w:ascii="Times New Roman" w:hAnsi="Times New Roman" w:cs="Times New Roman"/>
                <w:sz w:val="24"/>
                <w:szCs w:val="24"/>
              </w:rPr>
              <w:t>Количество пациентов, абс, (%)</w:t>
            </w:r>
          </w:p>
        </w:tc>
        <w:tc>
          <w:tcPr>
            <w:tcW w:w="1741" w:type="pct"/>
            <w:hideMark/>
          </w:tcPr>
          <w:p w14:paraId="4480FBF7" w14:textId="77777777" w:rsidR="00F57474" w:rsidRPr="00901C38" w:rsidRDefault="00F57474" w:rsidP="009F65CA">
            <w:pPr>
              <w:jc w:val="center"/>
              <w:rPr>
                <w:rFonts w:ascii="Times New Roman" w:hAnsi="Times New Roman" w:cs="Times New Roman"/>
                <w:sz w:val="24"/>
                <w:szCs w:val="24"/>
              </w:rPr>
            </w:pPr>
            <w:r w:rsidRPr="00901C38">
              <w:rPr>
                <w:rFonts w:ascii="Times New Roman" w:hAnsi="Times New Roman" w:cs="Times New Roman"/>
                <w:sz w:val="24"/>
                <w:szCs w:val="24"/>
              </w:rPr>
              <w:t>55 (100%)</w:t>
            </w:r>
          </w:p>
        </w:tc>
      </w:tr>
      <w:tr w:rsidR="00F57474" w:rsidRPr="00901C38" w14:paraId="3FA05711" w14:textId="77777777" w:rsidTr="00F57474">
        <w:tc>
          <w:tcPr>
            <w:tcW w:w="3259" w:type="pct"/>
            <w:hideMark/>
          </w:tcPr>
          <w:p w14:paraId="27C22FD2" w14:textId="77777777" w:rsidR="00F57474" w:rsidRPr="00901C38" w:rsidRDefault="00F57474" w:rsidP="009F65CA">
            <w:pPr>
              <w:ind w:firstLine="137"/>
              <w:jc w:val="center"/>
              <w:rPr>
                <w:rFonts w:ascii="Times New Roman" w:hAnsi="Times New Roman" w:cs="Times New Roman"/>
                <w:sz w:val="24"/>
                <w:szCs w:val="24"/>
              </w:rPr>
            </w:pPr>
            <w:r w:rsidRPr="00901C38">
              <w:rPr>
                <w:rFonts w:ascii="Times New Roman" w:hAnsi="Times New Roman" w:cs="Times New Roman"/>
                <w:sz w:val="24"/>
                <w:szCs w:val="24"/>
              </w:rPr>
              <w:t>Пол (м/ж), абс, (%)</w:t>
            </w:r>
          </w:p>
          <w:p w14:paraId="5FB1517F" w14:textId="77777777" w:rsidR="00F57474" w:rsidRPr="00901C38" w:rsidRDefault="00F57474" w:rsidP="009F65CA">
            <w:pPr>
              <w:ind w:firstLine="137"/>
              <w:jc w:val="center"/>
              <w:rPr>
                <w:rFonts w:ascii="Times New Roman" w:hAnsi="Times New Roman" w:cs="Times New Roman"/>
                <w:sz w:val="24"/>
                <w:szCs w:val="24"/>
              </w:rPr>
            </w:pPr>
            <w:r w:rsidRPr="00901C38">
              <w:rPr>
                <w:rFonts w:ascii="Times New Roman" w:hAnsi="Times New Roman" w:cs="Times New Roman"/>
                <w:sz w:val="24"/>
                <w:szCs w:val="24"/>
              </w:rPr>
              <w:t>Мужской</w:t>
            </w:r>
          </w:p>
          <w:p w14:paraId="3090568B" w14:textId="77777777" w:rsidR="00F57474" w:rsidRPr="00901C38" w:rsidRDefault="00F57474" w:rsidP="009F65CA">
            <w:pPr>
              <w:ind w:firstLine="137"/>
              <w:jc w:val="center"/>
              <w:rPr>
                <w:rFonts w:ascii="Times New Roman" w:hAnsi="Times New Roman" w:cs="Times New Roman"/>
                <w:sz w:val="24"/>
                <w:szCs w:val="24"/>
              </w:rPr>
            </w:pPr>
            <w:r w:rsidRPr="00901C38">
              <w:rPr>
                <w:rFonts w:ascii="Times New Roman" w:hAnsi="Times New Roman" w:cs="Times New Roman"/>
                <w:sz w:val="24"/>
                <w:szCs w:val="24"/>
              </w:rPr>
              <w:t>Женский</w:t>
            </w:r>
          </w:p>
        </w:tc>
        <w:tc>
          <w:tcPr>
            <w:tcW w:w="1741" w:type="pct"/>
          </w:tcPr>
          <w:p w14:paraId="2C54F16F" w14:textId="77777777" w:rsidR="00F57474" w:rsidRPr="00901C38" w:rsidRDefault="00F57474" w:rsidP="009F65CA">
            <w:pPr>
              <w:ind w:firstLine="137"/>
              <w:jc w:val="center"/>
              <w:rPr>
                <w:rFonts w:ascii="Times New Roman" w:hAnsi="Times New Roman" w:cs="Times New Roman"/>
                <w:sz w:val="24"/>
                <w:szCs w:val="24"/>
              </w:rPr>
            </w:pPr>
          </w:p>
          <w:p w14:paraId="51BEE81E" w14:textId="77777777" w:rsidR="00F57474" w:rsidRPr="00901C38" w:rsidRDefault="00F57474" w:rsidP="009F65CA">
            <w:pPr>
              <w:ind w:firstLine="137"/>
              <w:jc w:val="center"/>
              <w:rPr>
                <w:rFonts w:ascii="Times New Roman" w:hAnsi="Times New Roman" w:cs="Times New Roman"/>
                <w:sz w:val="24"/>
                <w:szCs w:val="24"/>
              </w:rPr>
            </w:pPr>
            <w:r w:rsidRPr="00901C38">
              <w:rPr>
                <w:rFonts w:ascii="Times New Roman" w:hAnsi="Times New Roman" w:cs="Times New Roman"/>
                <w:sz w:val="24"/>
                <w:szCs w:val="24"/>
              </w:rPr>
              <w:t>26 (47%)</w:t>
            </w:r>
          </w:p>
          <w:p w14:paraId="23DBBAF7" w14:textId="77777777" w:rsidR="00F57474" w:rsidRPr="00901C38" w:rsidRDefault="00F57474" w:rsidP="009F65CA">
            <w:pPr>
              <w:ind w:firstLine="137"/>
              <w:jc w:val="center"/>
              <w:rPr>
                <w:rFonts w:ascii="Times New Roman" w:hAnsi="Times New Roman" w:cs="Times New Roman"/>
                <w:sz w:val="24"/>
                <w:szCs w:val="24"/>
              </w:rPr>
            </w:pPr>
            <w:r w:rsidRPr="00901C38">
              <w:rPr>
                <w:rFonts w:ascii="Times New Roman" w:hAnsi="Times New Roman" w:cs="Times New Roman"/>
                <w:sz w:val="24"/>
                <w:szCs w:val="24"/>
              </w:rPr>
              <w:t>29 (53%)</w:t>
            </w:r>
          </w:p>
        </w:tc>
      </w:tr>
      <w:tr w:rsidR="00F57474" w:rsidRPr="00901C38" w14:paraId="02550727" w14:textId="77777777" w:rsidTr="00F57474">
        <w:tc>
          <w:tcPr>
            <w:tcW w:w="3259" w:type="pct"/>
            <w:hideMark/>
          </w:tcPr>
          <w:p w14:paraId="05391001" w14:textId="77777777" w:rsidR="00F57474" w:rsidRPr="00901C38" w:rsidRDefault="00F57474" w:rsidP="009F65CA">
            <w:pPr>
              <w:ind w:firstLine="137"/>
              <w:jc w:val="center"/>
              <w:rPr>
                <w:rFonts w:ascii="Times New Roman" w:hAnsi="Times New Roman" w:cs="Times New Roman"/>
                <w:sz w:val="24"/>
                <w:szCs w:val="24"/>
              </w:rPr>
            </w:pPr>
            <w:r w:rsidRPr="00901C38">
              <w:rPr>
                <w:rFonts w:ascii="Times New Roman" w:hAnsi="Times New Roman" w:cs="Times New Roman"/>
                <w:sz w:val="24"/>
                <w:szCs w:val="24"/>
              </w:rPr>
              <w:t>Возраст, лет, абс, (%)</w:t>
            </w:r>
          </w:p>
        </w:tc>
        <w:tc>
          <w:tcPr>
            <w:tcW w:w="1741" w:type="pct"/>
            <w:hideMark/>
          </w:tcPr>
          <w:p w14:paraId="7927AE42" w14:textId="77777777" w:rsidR="00F57474" w:rsidRPr="00901C38" w:rsidRDefault="00F57474" w:rsidP="009F65CA">
            <w:pPr>
              <w:ind w:firstLine="36"/>
              <w:jc w:val="center"/>
              <w:rPr>
                <w:rFonts w:ascii="Times New Roman" w:hAnsi="Times New Roman" w:cs="Times New Roman"/>
                <w:sz w:val="24"/>
                <w:szCs w:val="24"/>
              </w:rPr>
            </w:pPr>
            <w:r w:rsidRPr="00901C38">
              <w:rPr>
                <w:rFonts w:ascii="Times New Roman" w:hAnsi="Times New Roman" w:cs="Times New Roman"/>
                <w:sz w:val="24"/>
                <w:szCs w:val="24"/>
              </w:rPr>
              <w:t>35,8 (±9,4)</w:t>
            </w:r>
          </w:p>
        </w:tc>
      </w:tr>
      <w:tr w:rsidR="00F57474" w:rsidRPr="00901C38" w14:paraId="3768F939" w14:textId="77777777" w:rsidTr="00F57474">
        <w:trPr>
          <w:trHeight w:val="698"/>
        </w:trPr>
        <w:tc>
          <w:tcPr>
            <w:tcW w:w="3259" w:type="pct"/>
            <w:hideMark/>
          </w:tcPr>
          <w:p w14:paraId="1300094F" w14:textId="096868A1" w:rsidR="00F57474" w:rsidRPr="00901C38" w:rsidRDefault="00F57474" w:rsidP="009F65CA">
            <w:pPr>
              <w:ind w:firstLine="36"/>
              <w:jc w:val="center"/>
              <w:rPr>
                <w:rFonts w:ascii="Times New Roman" w:hAnsi="Times New Roman" w:cs="Times New Roman"/>
                <w:sz w:val="24"/>
                <w:szCs w:val="24"/>
              </w:rPr>
            </w:pPr>
            <w:r w:rsidRPr="00901C38">
              <w:rPr>
                <w:rFonts w:ascii="Times New Roman" w:hAnsi="Times New Roman" w:cs="Times New Roman"/>
                <w:sz w:val="24"/>
                <w:szCs w:val="24"/>
              </w:rPr>
              <w:t>Аллергоанамнез</w:t>
            </w:r>
            <w:r w:rsidR="001257D5" w:rsidRPr="00901C38">
              <w:rPr>
                <w:rFonts w:ascii="Times New Roman" w:hAnsi="Times New Roman" w:cs="Times New Roman"/>
                <w:sz w:val="24"/>
                <w:szCs w:val="24"/>
              </w:rPr>
              <w:t xml:space="preserve"> семейный</w:t>
            </w:r>
            <w:r w:rsidRPr="00901C38">
              <w:rPr>
                <w:rFonts w:ascii="Times New Roman" w:hAnsi="Times New Roman" w:cs="Times New Roman"/>
                <w:sz w:val="24"/>
                <w:szCs w:val="24"/>
              </w:rPr>
              <w:t>, абс, (%)</w:t>
            </w:r>
          </w:p>
          <w:p w14:paraId="0371E0A4" w14:textId="77777777" w:rsidR="00F57474" w:rsidRPr="00901C38" w:rsidRDefault="00F57474" w:rsidP="009F65CA">
            <w:pPr>
              <w:ind w:firstLine="36"/>
              <w:jc w:val="center"/>
              <w:rPr>
                <w:rFonts w:ascii="Times New Roman" w:hAnsi="Times New Roman" w:cs="Times New Roman"/>
                <w:sz w:val="24"/>
                <w:szCs w:val="24"/>
              </w:rPr>
            </w:pPr>
            <w:r w:rsidRPr="00901C38">
              <w:rPr>
                <w:rFonts w:ascii="Times New Roman" w:hAnsi="Times New Roman" w:cs="Times New Roman"/>
                <w:sz w:val="24"/>
                <w:szCs w:val="24"/>
              </w:rPr>
              <w:t>Положительный</w:t>
            </w:r>
          </w:p>
          <w:p w14:paraId="42C39BE4" w14:textId="77777777" w:rsidR="00F57474" w:rsidRPr="00901C38" w:rsidRDefault="00F57474" w:rsidP="009F65CA">
            <w:pPr>
              <w:ind w:firstLine="36"/>
              <w:jc w:val="center"/>
              <w:rPr>
                <w:rFonts w:ascii="Times New Roman" w:hAnsi="Times New Roman" w:cs="Times New Roman"/>
                <w:sz w:val="24"/>
                <w:szCs w:val="24"/>
              </w:rPr>
            </w:pPr>
            <w:r w:rsidRPr="00901C38">
              <w:rPr>
                <w:rFonts w:ascii="Times New Roman" w:hAnsi="Times New Roman" w:cs="Times New Roman"/>
                <w:sz w:val="24"/>
                <w:szCs w:val="24"/>
              </w:rPr>
              <w:t>Отрицательный</w:t>
            </w:r>
          </w:p>
        </w:tc>
        <w:tc>
          <w:tcPr>
            <w:tcW w:w="1741" w:type="pct"/>
          </w:tcPr>
          <w:p w14:paraId="65404906" w14:textId="77777777" w:rsidR="00F57474" w:rsidRPr="00901C38" w:rsidRDefault="00F57474" w:rsidP="009F65CA">
            <w:pPr>
              <w:ind w:firstLine="137"/>
              <w:jc w:val="center"/>
              <w:rPr>
                <w:rFonts w:ascii="Times New Roman" w:hAnsi="Times New Roman" w:cs="Times New Roman"/>
                <w:sz w:val="24"/>
                <w:szCs w:val="24"/>
              </w:rPr>
            </w:pPr>
          </w:p>
          <w:p w14:paraId="6E3E6B28" w14:textId="77777777" w:rsidR="00F57474" w:rsidRPr="00901C38" w:rsidRDefault="00F57474" w:rsidP="009F65CA">
            <w:pPr>
              <w:ind w:firstLine="137"/>
              <w:jc w:val="center"/>
              <w:rPr>
                <w:rFonts w:ascii="Times New Roman" w:hAnsi="Times New Roman" w:cs="Times New Roman"/>
                <w:sz w:val="24"/>
                <w:szCs w:val="24"/>
              </w:rPr>
            </w:pPr>
            <w:r w:rsidRPr="00901C38">
              <w:rPr>
                <w:rFonts w:ascii="Times New Roman" w:hAnsi="Times New Roman" w:cs="Times New Roman"/>
                <w:sz w:val="24"/>
                <w:szCs w:val="24"/>
              </w:rPr>
              <w:t>39 (71%)</w:t>
            </w:r>
          </w:p>
          <w:p w14:paraId="6BA1C0A9" w14:textId="77777777" w:rsidR="00F57474" w:rsidRPr="00901C38" w:rsidRDefault="00F57474" w:rsidP="009F65CA">
            <w:pPr>
              <w:ind w:firstLine="137"/>
              <w:jc w:val="center"/>
              <w:rPr>
                <w:rFonts w:ascii="Times New Roman" w:hAnsi="Times New Roman" w:cs="Times New Roman"/>
                <w:sz w:val="24"/>
                <w:szCs w:val="24"/>
              </w:rPr>
            </w:pPr>
            <w:r w:rsidRPr="00901C38">
              <w:rPr>
                <w:rFonts w:ascii="Times New Roman" w:hAnsi="Times New Roman" w:cs="Times New Roman"/>
                <w:sz w:val="24"/>
                <w:szCs w:val="24"/>
              </w:rPr>
              <w:t>16 (29%)</w:t>
            </w:r>
          </w:p>
        </w:tc>
      </w:tr>
      <w:tr w:rsidR="00F57474" w:rsidRPr="00901C38" w14:paraId="3AFD481B" w14:textId="77777777" w:rsidTr="00F57474">
        <w:tc>
          <w:tcPr>
            <w:tcW w:w="3259" w:type="pct"/>
            <w:hideMark/>
          </w:tcPr>
          <w:p w14:paraId="512DD3DA" w14:textId="77777777" w:rsidR="00F57474" w:rsidRPr="00901C38" w:rsidRDefault="00F57474" w:rsidP="009F65CA">
            <w:pPr>
              <w:jc w:val="center"/>
              <w:rPr>
                <w:rFonts w:ascii="Times New Roman" w:hAnsi="Times New Roman" w:cs="Times New Roman"/>
                <w:sz w:val="24"/>
                <w:szCs w:val="24"/>
              </w:rPr>
            </w:pPr>
            <w:r w:rsidRPr="00901C38">
              <w:rPr>
                <w:rFonts w:ascii="Times New Roman" w:hAnsi="Times New Roman" w:cs="Times New Roman"/>
                <w:sz w:val="24"/>
                <w:szCs w:val="24"/>
              </w:rPr>
              <w:t>Длительность заболевания, лет (</w:t>
            </w:r>
            <w:r w:rsidRPr="00901C38">
              <w:rPr>
                <w:rFonts w:ascii="Times New Roman" w:hAnsi="Times New Roman" w:cs="Times New Roman"/>
                <w:sz w:val="24"/>
                <w:szCs w:val="24"/>
                <w:lang w:val="en-US"/>
              </w:rPr>
              <w:t>Me</w:t>
            </w:r>
            <w:r w:rsidRPr="00901C38">
              <w:rPr>
                <w:rFonts w:ascii="Times New Roman" w:hAnsi="Times New Roman" w:cs="Times New Roman"/>
                <w:sz w:val="24"/>
                <w:szCs w:val="24"/>
              </w:rPr>
              <w:t>+</w:t>
            </w:r>
            <w:r w:rsidRPr="00901C38">
              <w:rPr>
                <w:rFonts w:ascii="Times New Roman" w:hAnsi="Times New Roman" w:cs="Times New Roman"/>
                <w:sz w:val="24"/>
                <w:szCs w:val="24"/>
                <w:lang w:val="en-US"/>
              </w:rPr>
              <w:t>Q</w:t>
            </w:r>
            <w:r w:rsidRPr="00901C38">
              <w:rPr>
                <w:rFonts w:ascii="Times New Roman" w:hAnsi="Times New Roman" w:cs="Times New Roman"/>
                <w:sz w:val="24"/>
                <w:szCs w:val="24"/>
                <w:vertAlign w:val="subscript"/>
              </w:rPr>
              <w:t>25-75</w:t>
            </w:r>
            <w:r w:rsidRPr="00901C38">
              <w:rPr>
                <w:rFonts w:ascii="Times New Roman" w:hAnsi="Times New Roman" w:cs="Times New Roman"/>
                <w:sz w:val="24"/>
                <w:szCs w:val="24"/>
              </w:rPr>
              <w:t>)</w:t>
            </w:r>
          </w:p>
        </w:tc>
        <w:tc>
          <w:tcPr>
            <w:tcW w:w="1741" w:type="pct"/>
          </w:tcPr>
          <w:p w14:paraId="66252B5C" w14:textId="77777777" w:rsidR="00F57474" w:rsidRPr="00901C38" w:rsidRDefault="00F57474" w:rsidP="009F65CA">
            <w:pPr>
              <w:ind w:firstLine="137"/>
              <w:jc w:val="center"/>
              <w:rPr>
                <w:rFonts w:ascii="Times New Roman" w:hAnsi="Times New Roman" w:cs="Times New Roman"/>
                <w:sz w:val="24"/>
                <w:szCs w:val="24"/>
              </w:rPr>
            </w:pPr>
            <w:r w:rsidRPr="00901C38">
              <w:rPr>
                <w:rFonts w:ascii="Times New Roman" w:hAnsi="Times New Roman" w:cs="Times New Roman"/>
                <w:sz w:val="24"/>
                <w:szCs w:val="24"/>
              </w:rPr>
              <w:t>6 (5-8)</w:t>
            </w:r>
          </w:p>
        </w:tc>
      </w:tr>
      <w:tr w:rsidR="00F57474" w:rsidRPr="00901C38" w14:paraId="1B5D4EBA" w14:textId="77777777" w:rsidTr="00F57474">
        <w:tc>
          <w:tcPr>
            <w:tcW w:w="3259" w:type="pct"/>
          </w:tcPr>
          <w:p w14:paraId="21C40BED" w14:textId="77777777" w:rsidR="00F57474" w:rsidRPr="00901C38" w:rsidRDefault="00F57474" w:rsidP="009F65CA">
            <w:pPr>
              <w:jc w:val="center"/>
              <w:rPr>
                <w:rFonts w:ascii="Times New Roman" w:hAnsi="Times New Roman" w:cs="Times New Roman"/>
                <w:sz w:val="24"/>
                <w:szCs w:val="24"/>
              </w:rPr>
            </w:pPr>
            <w:r w:rsidRPr="00901C38">
              <w:rPr>
                <w:rFonts w:ascii="Times New Roman" w:eastAsia="Times New Roman" w:hAnsi="Times New Roman" w:cs="Times New Roman"/>
                <w:sz w:val="24"/>
                <w:szCs w:val="24"/>
                <w:lang w:eastAsia="ru-RU"/>
              </w:rPr>
              <w:t xml:space="preserve">Количество положительных аллергенов </w:t>
            </w:r>
            <w:r w:rsidRPr="00901C38">
              <w:rPr>
                <w:rFonts w:ascii="Times New Roman" w:hAnsi="Times New Roman" w:cs="Times New Roman"/>
                <w:sz w:val="24"/>
                <w:szCs w:val="24"/>
              </w:rPr>
              <w:t>(</w:t>
            </w:r>
            <w:r w:rsidRPr="00901C38">
              <w:rPr>
                <w:rFonts w:ascii="Times New Roman" w:hAnsi="Times New Roman" w:cs="Times New Roman"/>
                <w:sz w:val="24"/>
                <w:szCs w:val="24"/>
                <w:lang w:val="en-US"/>
              </w:rPr>
              <w:t>Me</w:t>
            </w:r>
            <w:r w:rsidRPr="00901C38">
              <w:rPr>
                <w:rFonts w:ascii="Times New Roman" w:hAnsi="Times New Roman" w:cs="Times New Roman"/>
                <w:sz w:val="24"/>
                <w:szCs w:val="24"/>
              </w:rPr>
              <w:t>+</w:t>
            </w:r>
            <w:r w:rsidRPr="00901C38">
              <w:rPr>
                <w:rFonts w:ascii="Times New Roman" w:hAnsi="Times New Roman" w:cs="Times New Roman"/>
                <w:sz w:val="24"/>
                <w:szCs w:val="24"/>
                <w:lang w:val="en-US"/>
              </w:rPr>
              <w:t>Q</w:t>
            </w:r>
            <w:r w:rsidRPr="00901C38">
              <w:rPr>
                <w:rFonts w:ascii="Times New Roman" w:hAnsi="Times New Roman" w:cs="Times New Roman"/>
                <w:sz w:val="24"/>
                <w:szCs w:val="24"/>
                <w:vertAlign w:val="subscript"/>
              </w:rPr>
              <w:t>25-75</w:t>
            </w:r>
            <w:r w:rsidRPr="00901C38">
              <w:rPr>
                <w:rFonts w:ascii="Times New Roman" w:hAnsi="Times New Roman" w:cs="Times New Roman"/>
                <w:sz w:val="24"/>
                <w:szCs w:val="24"/>
              </w:rPr>
              <w:t>)</w:t>
            </w:r>
          </w:p>
        </w:tc>
        <w:tc>
          <w:tcPr>
            <w:tcW w:w="1741" w:type="pct"/>
          </w:tcPr>
          <w:p w14:paraId="790A4DF3" w14:textId="77777777" w:rsidR="00F57474" w:rsidRPr="00901C38" w:rsidRDefault="00F57474" w:rsidP="009F65CA">
            <w:pPr>
              <w:ind w:firstLine="137"/>
              <w:jc w:val="center"/>
              <w:rPr>
                <w:rFonts w:ascii="Times New Roman" w:hAnsi="Times New Roman" w:cs="Times New Roman"/>
                <w:sz w:val="24"/>
                <w:szCs w:val="24"/>
              </w:rPr>
            </w:pPr>
            <w:r w:rsidRPr="00901C38">
              <w:rPr>
                <w:rFonts w:ascii="Times New Roman" w:hAnsi="Times New Roman" w:cs="Times New Roman"/>
                <w:sz w:val="24"/>
                <w:szCs w:val="24"/>
              </w:rPr>
              <w:t>6 (4-12)</w:t>
            </w:r>
          </w:p>
        </w:tc>
      </w:tr>
      <w:tr w:rsidR="004227E3" w:rsidRPr="00901C38" w14:paraId="74E425D6" w14:textId="77777777" w:rsidTr="004227E3">
        <w:tc>
          <w:tcPr>
            <w:tcW w:w="5000" w:type="pct"/>
            <w:gridSpan w:val="2"/>
          </w:tcPr>
          <w:p w14:paraId="04A714A1" w14:textId="77777777" w:rsidR="004227E3" w:rsidRPr="004227E3" w:rsidRDefault="004227E3" w:rsidP="004227E3">
            <w:pPr>
              <w:tabs>
                <w:tab w:val="left" w:pos="1454"/>
              </w:tabs>
              <w:ind w:firstLine="567"/>
              <w:rPr>
                <w:rFonts w:ascii="Times New Roman" w:hAnsi="Times New Roman" w:cs="Times New Roman"/>
                <w:sz w:val="24"/>
                <w:szCs w:val="24"/>
              </w:rPr>
            </w:pPr>
            <w:r w:rsidRPr="004227E3">
              <w:rPr>
                <w:rFonts w:ascii="Times New Roman" w:hAnsi="Times New Roman" w:cs="Times New Roman"/>
                <w:sz w:val="24"/>
                <w:szCs w:val="24"/>
              </w:rPr>
              <w:t>Примечания:</w:t>
            </w:r>
          </w:p>
          <w:p w14:paraId="18CF278D" w14:textId="517CA73F" w:rsidR="004227E3" w:rsidRPr="004227E3" w:rsidRDefault="00054F39" w:rsidP="004227E3">
            <w:pPr>
              <w:tabs>
                <w:tab w:val="left" w:pos="1454"/>
              </w:tabs>
              <w:rPr>
                <w:rFonts w:ascii="Times New Roman" w:hAnsi="Times New Roman" w:cs="Times New Roman"/>
                <w:sz w:val="24"/>
                <w:szCs w:val="24"/>
              </w:rPr>
            </w:pPr>
            <w:r>
              <w:rPr>
                <w:rFonts w:ascii="Times New Roman" w:hAnsi="Times New Roman" w:cs="Times New Roman"/>
                <w:sz w:val="24"/>
                <w:szCs w:val="24"/>
              </w:rPr>
              <w:t xml:space="preserve">1 </w:t>
            </w:r>
            <w:r w:rsidR="004227E3" w:rsidRPr="004227E3">
              <w:rPr>
                <w:rFonts w:ascii="Times New Roman" w:hAnsi="Times New Roman" w:cs="Times New Roman"/>
                <w:sz w:val="24"/>
                <w:szCs w:val="24"/>
              </w:rPr>
              <w:t>абс, (%) – количество человек с процентным соотношением</w:t>
            </w:r>
          </w:p>
          <w:p w14:paraId="3CC88D5E" w14:textId="58E93F9C" w:rsidR="004227E3" w:rsidRPr="00901C38" w:rsidRDefault="00054F39" w:rsidP="00AD0794">
            <w:pPr>
              <w:tabs>
                <w:tab w:val="left" w:pos="1454"/>
              </w:tabs>
              <w:rPr>
                <w:rFonts w:ascii="Times New Roman" w:hAnsi="Times New Roman" w:cs="Times New Roman"/>
                <w:sz w:val="24"/>
                <w:szCs w:val="24"/>
              </w:rPr>
            </w:pPr>
            <w:r>
              <w:rPr>
                <w:rFonts w:ascii="Times New Roman" w:hAnsi="Times New Roman" w:cs="Times New Roman"/>
                <w:sz w:val="24"/>
                <w:szCs w:val="24"/>
              </w:rPr>
              <w:t xml:space="preserve">2 </w:t>
            </w:r>
            <w:r w:rsidR="004227E3" w:rsidRPr="004227E3">
              <w:rPr>
                <w:rFonts w:ascii="Times New Roman" w:hAnsi="Times New Roman" w:cs="Times New Roman"/>
                <w:sz w:val="24"/>
                <w:szCs w:val="24"/>
                <w:lang w:val="en-US"/>
              </w:rPr>
              <w:t>Me</w:t>
            </w:r>
            <w:r w:rsidR="004227E3" w:rsidRPr="004227E3">
              <w:rPr>
                <w:rFonts w:ascii="Times New Roman" w:hAnsi="Times New Roman" w:cs="Times New Roman"/>
                <w:sz w:val="24"/>
                <w:szCs w:val="24"/>
              </w:rPr>
              <w:t>+</w:t>
            </w:r>
            <w:r w:rsidR="004227E3" w:rsidRPr="004227E3">
              <w:rPr>
                <w:rFonts w:ascii="Times New Roman" w:hAnsi="Times New Roman" w:cs="Times New Roman"/>
                <w:sz w:val="24"/>
                <w:szCs w:val="24"/>
                <w:lang w:val="en-US"/>
              </w:rPr>
              <w:t>Q</w:t>
            </w:r>
            <w:r w:rsidR="004227E3" w:rsidRPr="004227E3">
              <w:rPr>
                <w:rFonts w:ascii="Times New Roman" w:hAnsi="Times New Roman" w:cs="Times New Roman"/>
                <w:sz w:val="24"/>
                <w:szCs w:val="24"/>
                <w:vertAlign w:val="subscript"/>
              </w:rPr>
              <w:t>25-75</w:t>
            </w:r>
            <w:r w:rsidR="004227E3" w:rsidRPr="004227E3">
              <w:rPr>
                <w:rFonts w:ascii="Times New Roman" w:hAnsi="Times New Roman" w:cs="Times New Roman"/>
                <w:sz w:val="24"/>
                <w:szCs w:val="24"/>
              </w:rPr>
              <w:t xml:space="preserve"> – медиана (нижний и верхний квартиль)</w:t>
            </w:r>
          </w:p>
        </w:tc>
      </w:tr>
    </w:tbl>
    <w:p w14:paraId="6213509E" w14:textId="77777777" w:rsidR="00F57474" w:rsidRPr="00901C38" w:rsidRDefault="00F57474" w:rsidP="009F65CA">
      <w:pPr>
        <w:tabs>
          <w:tab w:val="left" w:pos="1454"/>
        </w:tabs>
        <w:spacing w:after="0" w:line="240" w:lineRule="auto"/>
        <w:rPr>
          <w:rFonts w:ascii="Times New Roman" w:hAnsi="Times New Roman" w:cs="Times New Roman"/>
          <w:sz w:val="28"/>
          <w:szCs w:val="28"/>
        </w:rPr>
      </w:pPr>
    </w:p>
    <w:p w14:paraId="1A089A50" w14:textId="4CF9346B" w:rsidR="00F57474" w:rsidRPr="00D4250A" w:rsidRDefault="00F57474" w:rsidP="009F65CA">
      <w:pPr>
        <w:tabs>
          <w:tab w:val="left" w:pos="1454"/>
        </w:tabs>
        <w:spacing w:after="0" w:line="240" w:lineRule="auto"/>
        <w:ind w:firstLine="567"/>
        <w:jc w:val="both"/>
        <w:rPr>
          <w:rFonts w:ascii="Times New Roman" w:hAnsi="Times New Roman" w:cs="Times New Roman"/>
          <w:sz w:val="28"/>
          <w:szCs w:val="28"/>
        </w:rPr>
      </w:pPr>
      <w:r w:rsidRPr="00901C38">
        <w:rPr>
          <w:rFonts w:ascii="Times New Roman" w:hAnsi="Times New Roman" w:cs="Times New Roman"/>
          <w:sz w:val="28"/>
          <w:szCs w:val="28"/>
        </w:rPr>
        <w:t xml:space="preserve">Полное описание общих клинико-лабораторных характеристик </w:t>
      </w:r>
      <w:r w:rsidR="00C349E9" w:rsidRPr="00901C38">
        <w:rPr>
          <w:rFonts w:ascii="Times New Roman" w:hAnsi="Times New Roman" w:cs="Times New Roman"/>
          <w:sz w:val="28"/>
          <w:szCs w:val="28"/>
        </w:rPr>
        <w:t>представлено в приложении Д</w:t>
      </w:r>
      <w:r w:rsidRPr="00901C38">
        <w:rPr>
          <w:rFonts w:ascii="Times New Roman" w:hAnsi="Times New Roman" w:cs="Times New Roman"/>
          <w:sz w:val="28"/>
          <w:szCs w:val="28"/>
        </w:rPr>
        <w:t>.</w:t>
      </w:r>
    </w:p>
    <w:p w14:paraId="5714AB87" w14:textId="77777777" w:rsidR="00F57474" w:rsidRPr="00D4250A" w:rsidRDefault="00F57474" w:rsidP="009F65CA">
      <w:pPr>
        <w:spacing w:after="0" w:line="240" w:lineRule="auto"/>
        <w:jc w:val="center"/>
        <w:rPr>
          <w:rFonts w:ascii="Times New Roman" w:hAnsi="Times New Roman" w:cs="Times New Roman"/>
          <w:b/>
          <w:bCs/>
          <w:sz w:val="28"/>
          <w:szCs w:val="28"/>
        </w:rPr>
      </w:pPr>
    </w:p>
    <w:p w14:paraId="4F054A49" w14:textId="6C2EBC04" w:rsidR="00F57474" w:rsidRPr="00D4250A" w:rsidRDefault="00F57474" w:rsidP="009F65CA">
      <w:pPr>
        <w:keepNext/>
        <w:keepLines/>
        <w:spacing w:after="0" w:line="240" w:lineRule="auto"/>
        <w:ind w:firstLine="567"/>
        <w:jc w:val="both"/>
        <w:outlineLvl w:val="1"/>
        <w:rPr>
          <w:rFonts w:ascii="Times New Roman" w:eastAsiaTheme="majorEastAsia" w:hAnsi="Times New Roman" w:cs="Times New Roman"/>
          <w:i/>
          <w:sz w:val="28"/>
          <w:szCs w:val="28"/>
        </w:rPr>
      </w:pPr>
      <w:bookmarkStart w:id="27" w:name="_Toc137904349"/>
      <w:r w:rsidRPr="00D4250A">
        <w:rPr>
          <w:rFonts w:ascii="Times New Roman" w:eastAsiaTheme="majorEastAsia" w:hAnsi="Times New Roman" w:cs="Times New Roman"/>
          <w:i/>
          <w:sz w:val="28"/>
          <w:szCs w:val="28"/>
        </w:rPr>
        <w:t>2.1.6 Рандомизированное клиническое испытание</w:t>
      </w:r>
      <w:bookmarkEnd w:id="27"/>
    </w:p>
    <w:p w14:paraId="2413D0A1" w14:textId="2B1A16F4" w:rsidR="00F57474" w:rsidRPr="00D4250A" w:rsidRDefault="00F57474" w:rsidP="009F65CA">
      <w:pPr>
        <w:tabs>
          <w:tab w:val="left" w:pos="851"/>
          <w:tab w:val="left" w:pos="993"/>
        </w:tabs>
        <w:spacing w:after="0" w:line="240" w:lineRule="auto"/>
        <w:ind w:firstLine="567"/>
        <w:jc w:val="both"/>
        <w:rPr>
          <w:rFonts w:ascii="Times New Roman" w:hAnsi="Times New Roman" w:cs="Times New Roman"/>
          <w:sz w:val="28"/>
          <w:szCs w:val="28"/>
        </w:rPr>
      </w:pPr>
      <w:r w:rsidRPr="00D4250A">
        <w:rPr>
          <w:rFonts w:ascii="Times New Roman" w:hAnsi="Times New Roman" w:cs="Times New Roman"/>
          <w:sz w:val="28"/>
          <w:szCs w:val="28"/>
        </w:rPr>
        <w:t xml:space="preserve">В рамках выполнения второй задачи диссертационного исследования было проведено рандомизированное контролируемое исследование классической и </w:t>
      </w:r>
      <w:r w:rsidR="00E63A68">
        <w:rPr>
          <w:rFonts w:ascii="Times New Roman" w:hAnsi="Times New Roman" w:cs="Times New Roman"/>
          <w:sz w:val="28"/>
          <w:szCs w:val="28"/>
        </w:rPr>
        <w:t>адаптированной</w:t>
      </w:r>
      <w:r w:rsidR="0097676E">
        <w:rPr>
          <w:rFonts w:ascii="Times New Roman" w:hAnsi="Times New Roman" w:cs="Times New Roman"/>
          <w:sz w:val="28"/>
          <w:szCs w:val="28"/>
        </w:rPr>
        <w:t xml:space="preserve"> схем</w:t>
      </w:r>
      <w:r w:rsidRPr="00D4250A">
        <w:rPr>
          <w:rFonts w:ascii="Times New Roman" w:hAnsi="Times New Roman" w:cs="Times New Roman"/>
          <w:sz w:val="28"/>
          <w:szCs w:val="28"/>
        </w:rPr>
        <w:t xml:space="preserve"> аллерген-специфической иммунотерапии.</w:t>
      </w:r>
    </w:p>
    <w:p w14:paraId="168F238A" w14:textId="77777777" w:rsidR="00F57474" w:rsidRPr="00D4250A" w:rsidRDefault="00F57474" w:rsidP="009F65CA">
      <w:pPr>
        <w:spacing w:after="0" w:line="240" w:lineRule="auto"/>
        <w:ind w:firstLine="567"/>
        <w:jc w:val="both"/>
        <w:rPr>
          <w:rFonts w:ascii="Times New Roman" w:hAnsi="Times New Roman" w:cs="Times New Roman"/>
          <w:i/>
          <w:sz w:val="28"/>
          <w:szCs w:val="28"/>
        </w:rPr>
      </w:pPr>
      <w:r w:rsidRPr="00D4250A">
        <w:rPr>
          <w:rFonts w:ascii="Times New Roman" w:hAnsi="Times New Roman" w:cs="Times New Roman"/>
          <w:i/>
          <w:sz w:val="28"/>
          <w:szCs w:val="28"/>
        </w:rPr>
        <w:t>Характеристика базы исследования</w:t>
      </w:r>
    </w:p>
    <w:p w14:paraId="6B23277F" w14:textId="7B5C8E82" w:rsidR="00F57474" w:rsidRPr="00D4250A" w:rsidRDefault="00F57474" w:rsidP="009F65CA">
      <w:pPr>
        <w:spacing w:after="0" w:line="240" w:lineRule="auto"/>
        <w:ind w:firstLine="567"/>
        <w:jc w:val="both"/>
        <w:rPr>
          <w:rFonts w:ascii="Times New Roman" w:hAnsi="Times New Roman" w:cs="Times New Roman"/>
          <w:sz w:val="28"/>
          <w:szCs w:val="28"/>
        </w:rPr>
      </w:pPr>
      <w:r w:rsidRPr="00D4250A">
        <w:rPr>
          <w:rFonts w:ascii="Times New Roman" w:hAnsi="Times New Roman" w:cs="Times New Roman"/>
          <w:sz w:val="28"/>
          <w:szCs w:val="28"/>
        </w:rPr>
        <w:t>Исследование пациентов было проведено в амбулаторных условиях на базе Областного Аллергологического Центра «</w:t>
      </w:r>
      <w:r w:rsidRPr="00D4250A">
        <w:rPr>
          <w:rFonts w:ascii="Times New Roman" w:hAnsi="Times New Roman" w:cs="Times New Roman"/>
          <w:sz w:val="28"/>
          <w:szCs w:val="28"/>
          <w:lang w:val="en-US"/>
        </w:rPr>
        <w:t>Divera</w:t>
      </w:r>
      <w:r w:rsidRPr="00D4250A">
        <w:rPr>
          <w:rFonts w:ascii="Times New Roman" w:hAnsi="Times New Roman" w:cs="Times New Roman"/>
          <w:sz w:val="28"/>
          <w:szCs w:val="28"/>
        </w:rPr>
        <w:t>» в городе Караганда с июня 2020 г до сентября 2021 г.</w:t>
      </w:r>
    </w:p>
    <w:p w14:paraId="28D40FB5" w14:textId="0FB20040" w:rsidR="00AD5A82" w:rsidRPr="00D4250A" w:rsidRDefault="00AD5A82" w:rsidP="009F65CA">
      <w:pPr>
        <w:spacing w:after="0" w:line="240" w:lineRule="auto"/>
        <w:ind w:firstLine="567"/>
        <w:jc w:val="both"/>
        <w:rPr>
          <w:rFonts w:ascii="Times New Roman" w:hAnsi="Times New Roman" w:cs="Times New Roman"/>
          <w:i/>
          <w:sz w:val="28"/>
          <w:szCs w:val="28"/>
        </w:rPr>
      </w:pPr>
      <w:r w:rsidRPr="00D4250A">
        <w:rPr>
          <w:rFonts w:ascii="Times New Roman" w:hAnsi="Times New Roman" w:cs="Times New Roman"/>
          <w:i/>
          <w:sz w:val="28"/>
          <w:szCs w:val="28"/>
        </w:rPr>
        <w:t>Выборка</w:t>
      </w:r>
    </w:p>
    <w:p w14:paraId="3AC04315" w14:textId="43264278" w:rsidR="00F64B4F" w:rsidRPr="00D4250A" w:rsidRDefault="00F64B4F" w:rsidP="009F65CA">
      <w:pPr>
        <w:spacing w:after="0" w:line="240" w:lineRule="auto"/>
        <w:ind w:firstLine="567"/>
        <w:jc w:val="both"/>
        <w:rPr>
          <w:rFonts w:ascii="Times New Roman" w:hAnsi="Times New Roman" w:cs="Times New Roman"/>
          <w:sz w:val="28"/>
          <w:szCs w:val="28"/>
        </w:rPr>
      </w:pPr>
      <w:r w:rsidRPr="00D4250A">
        <w:rPr>
          <w:rFonts w:ascii="Times New Roman" w:hAnsi="Times New Roman" w:cs="Times New Roman"/>
          <w:sz w:val="28"/>
          <w:szCs w:val="28"/>
        </w:rPr>
        <w:t>Расчёт объема выборки и мощности исследования были выполнены с использованием программного обеспечения «Statistica for Windows v. 13.0» (StatSoftInc, США). Ошибка первого типа (</w:t>
      </w:r>
      <w:r w:rsidRPr="00D4250A">
        <w:rPr>
          <w:rFonts w:ascii="Times New Roman" w:hAnsi="Times New Roman" w:cs="Times New Roman"/>
          <w:sz w:val="28"/>
          <w:szCs w:val="28"/>
          <w:lang w:val="en-US"/>
        </w:rPr>
        <w:t>Alpha</w:t>
      </w:r>
      <w:r w:rsidRPr="00D4250A">
        <w:rPr>
          <w:rFonts w:ascii="Times New Roman" w:hAnsi="Times New Roman" w:cs="Times New Roman"/>
          <w:sz w:val="28"/>
          <w:szCs w:val="28"/>
        </w:rPr>
        <w:t>) была установлена в пределах 0,05, ошибка второго типа была установлена в пределах 0,8.</w:t>
      </w:r>
    </w:p>
    <w:p w14:paraId="6D0904A2" w14:textId="637791E7" w:rsidR="005C4FA9" w:rsidRPr="00D4250A" w:rsidRDefault="005C4FA9" w:rsidP="005C4FA9">
      <w:pPr>
        <w:spacing w:after="0" w:line="240" w:lineRule="auto"/>
        <w:ind w:firstLine="567"/>
        <w:jc w:val="both"/>
        <w:rPr>
          <w:rFonts w:ascii="Times New Roman" w:hAnsi="Times New Roman" w:cs="Times New Roman"/>
          <w:sz w:val="28"/>
          <w:szCs w:val="28"/>
        </w:rPr>
      </w:pPr>
      <w:r w:rsidRPr="00D4250A">
        <w:rPr>
          <w:rFonts w:ascii="Times New Roman" w:hAnsi="Times New Roman" w:cs="Times New Roman"/>
          <w:sz w:val="28"/>
          <w:szCs w:val="28"/>
        </w:rPr>
        <w:t>Учитывая ожидаемую частоту ответа аллергического ринита на аллерген-специфическую иммунотерапию аллергеном (80%), использовали следующую формулу</w:t>
      </w:r>
      <w:r w:rsidR="004028FD" w:rsidRPr="004028FD">
        <w:rPr>
          <w:rFonts w:ascii="Times New Roman" w:hAnsi="Times New Roman" w:cs="Times New Roman"/>
          <w:sz w:val="28"/>
          <w:szCs w:val="28"/>
        </w:rPr>
        <w:t xml:space="preserve"> </w:t>
      </w:r>
      <w:r w:rsidR="004028FD">
        <w:rPr>
          <w:rFonts w:ascii="Times New Roman" w:hAnsi="Times New Roman" w:cs="Times New Roman"/>
          <w:sz w:val="28"/>
          <w:szCs w:val="28"/>
        </w:rPr>
        <w:fldChar w:fldCharType="begin" w:fldLock="1"/>
      </w:r>
      <w:r w:rsidR="006B2D4C">
        <w:rPr>
          <w:rFonts w:ascii="Times New Roman" w:hAnsi="Times New Roman" w:cs="Times New Roman"/>
          <w:sz w:val="28"/>
          <w:szCs w:val="28"/>
        </w:rPr>
        <w:instrText>ADDIN CSL_CITATION {"citationItems":[{"id":"ITEM-1","itemData":{"DOI":"10.4168/aair.2019.11.6.885","ISSN":"20927363","abstract":"Immunotherapy is the standard of treatment for long-life relief of symptoms of allergic rhinitis. Vitamin D may affect the outcomes of treatment. This study evaluated the clinical efficacy of subcutaneous allergen immunotherapy in adult patients with allergic rhinitis based on the serum level of vitamin D. Patients with persistent allergic rhinitis and positivity for skin prick test were evaluated by Sino-nasal Outcome Test (SNOT-22) and Mini Rhinoconjunctivitis Quality of Life Questionnaire (MiniRQLQ) before subcutaneous allergen immunotherapy and during the maintenance phase to assess the relation of the serum level of vitamin D and the clinical efficacy of immunotherapy. After immunotherapy, the greatest reduction in SNOT-22 scores were reported in patients with vitamin D sufficiency (39.0 ± 9.2), followed by vitamin D suboptimal provision (35.1 ± 12.1), insufficiency (25.0 ± 7.5), and deficiency (18.3 ± 6.0) (P &lt; 0.001). The MiniRQLQ reduction in patients with vitamin D sufficiency, suboptimal provision, insufficiency, or deficiency was 30.7 ± 8.7, 27.1 ± 8.7, 20.0 ± 8.6, or 17.4 ± 7.1, respectively (P &lt; 0.001). Both of SNOT-22 and MiniRQLQ scores decreased significantly following immunotherapy in patients with different levels of vitamin D. However, these effects were more pronounced when the level of vitamin D was sufficient.","author":[{"dropping-particle":"","family":"Joudi","given":"Maryam","non-dropping-particle":"","parse-names":false,"suffix":""},{"dropping-particle":"","family":"Hosseini","given":"Reza Farid","non-dropping-particle":"","parse-names":false,"suffix":""},{"dropping-particle":"","family":"Khoshkhui","given":"Maryam","non-dropping-particle":"","parse-names":false,"suffix":""},{"dropping-particle":"","family":"Salehi","given":"Maryam","non-dropping-particle":"","parse-names":false,"suffix":""},{"dropping-particle":"","family":"Kouzegaran","given":"Samaneh","non-dropping-particle":"","parse-names":false,"suffix":""},{"dropping-particle":"","family":"Ahoon","given":"Mansur","non-dropping-particle":"","parse-names":false,"suffix":""},{"dropping-particle":"","family":"Azad","given":"Farahzad Jabbari","non-dropping-particle":"","parse-names":false,"suffix":""}],"container-title":"Allergy, Asthma and Immunology Research","id":"ITEM-1","issue":"6","issued":{"date-parts":[["2019"]]},"page":"885-893","title":"Effects of serum Vitamin D and efficacy of subcutaneous immunotherapy in adult patients with allergic rhinitis","type":"article-journal","volume":"11"},"uris":["http://www.mendeley.com/documents/?uuid=63432dda-7314-4880-8186-6ccab561355b"]}],"mendeley":{"formattedCitation":"[150]","plainTextFormattedCitation":"[150]","previouslyFormattedCitation":"[150]"},"properties":{"noteIndex":0},"schema":"https://github.com/citation-style-language/schema/raw/master/csl-citation.json"}</w:instrText>
      </w:r>
      <w:r w:rsidR="004028FD">
        <w:rPr>
          <w:rFonts w:ascii="Times New Roman" w:hAnsi="Times New Roman" w:cs="Times New Roman"/>
          <w:sz w:val="28"/>
          <w:szCs w:val="28"/>
        </w:rPr>
        <w:fldChar w:fldCharType="separate"/>
      </w:r>
      <w:r w:rsidR="004028FD" w:rsidRPr="004028FD">
        <w:rPr>
          <w:rFonts w:ascii="Times New Roman" w:hAnsi="Times New Roman" w:cs="Times New Roman"/>
          <w:noProof/>
          <w:sz w:val="28"/>
          <w:szCs w:val="28"/>
        </w:rPr>
        <w:t>[150]</w:t>
      </w:r>
      <w:r w:rsidR="004028FD">
        <w:rPr>
          <w:rFonts w:ascii="Times New Roman" w:hAnsi="Times New Roman" w:cs="Times New Roman"/>
          <w:sz w:val="28"/>
          <w:szCs w:val="28"/>
        </w:rPr>
        <w:fldChar w:fldCharType="end"/>
      </w:r>
      <w:r w:rsidRPr="00D4250A">
        <w:rPr>
          <w:rFonts w:ascii="Times New Roman" w:hAnsi="Times New Roman" w:cs="Times New Roman"/>
          <w:sz w:val="28"/>
          <w:szCs w:val="28"/>
        </w:rPr>
        <w:t>:</w:t>
      </w:r>
    </w:p>
    <w:p w14:paraId="05CACC57" w14:textId="341FFF5E" w:rsidR="00365A0F" w:rsidRPr="00D4250A" w:rsidRDefault="003668D4" w:rsidP="002E67C0">
      <w:pPr>
        <w:spacing w:after="0" w:line="240" w:lineRule="auto"/>
        <w:jc w:val="right"/>
        <w:rPr>
          <w:rFonts w:ascii="Times New Roman" w:hAnsi="Times New Roman" w:cs="Times New Roman"/>
          <w:sz w:val="28"/>
          <w:szCs w:val="28"/>
        </w:rPr>
      </w:pPr>
      <w:r w:rsidRPr="00D4250A">
        <w:rPr>
          <w:rFonts w:ascii="Times New Roman" w:hAnsi="Times New Roman" w:cs="Times New Roman"/>
          <w:noProof/>
          <w:sz w:val="28"/>
          <w:szCs w:val="28"/>
          <w:lang w:eastAsia="ru-RU"/>
        </w:rPr>
        <w:drawing>
          <wp:inline distT="0" distB="0" distL="0" distR="0" wp14:anchorId="006CCC2F" wp14:editId="75BD1F6D">
            <wp:extent cx="2300438" cy="720380"/>
            <wp:effectExtent l="0" t="0" r="5080" b="381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31234" cy="730024"/>
                    </a:xfrm>
                    <a:prstGeom prst="rect">
                      <a:avLst/>
                    </a:prstGeom>
                  </pic:spPr>
                </pic:pic>
              </a:graphicData>
            </a:graphic>
          </wp:inline>
        </w:drawing>
      </w:r>
      <w:r w:rsidR="002E67C0">
        <w:rPr>
          <w:rFonts w:ascii="Times New Roman" w:hAnsi="Times New Roman" w:cs="Times New Roman"/>
          <w:sz w:val="28"/>
          <w:szCs w:val="28"/>
        </w:rPr>
        <w:t xml:space="preserve">                                      </w:t>
      </w:r>
      <w:r w:rsidR="002E67C0" w:rsidRPr="00AF0AAB">
        <w:rPr>
          <w:rFonts w:ascii="Times New Roman" w:hAnsi="Times New Roman"/>
          <w:sz w:val="28"/>
          <w:szCs w:val="28"/>
          <w:lang w:eastAsia="ru-RU"/>
        </w:rPr>
        <w:t>(1)</w:t>
      </w:r>
    </w:p>
    <w:p w14:paraId="40CBF190" w14:textId="2E9B9C71" w:rsidR="003668D4" w:rsidRPr="00D4250A" w:rsidRDefault="002E67C0" w:rsidP="002E67C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где  </w:t>
      </w:r>
      <w:r w:rsidR="003668D4" w:rsidRPr="00D4250A">
        <w:rPr>
          <w:rFonts w:ascii="Times New Roman" w:hAnsi="Times New Roman" w:cs="Times New Roman"/>
          <w:sz w:val="28"/>
          <w:szCs w:val="28"/>
          <w:lang w:val="en-US"/>
        </w:rPr>
        <w:t>n</w:t>
      </w:r>
      <w:r w:rsidR="003668D4" w:rsidRPr="00D4250A">
        <w:rPr>
          <w:rFonts w:ascii="Times New Roman" w:hAnsi="Times New Roman" w:cs="Times New Roman"/>
          <w:sz w:val="28"/>
          <w:szCs w:val="28"/>
        </w:rPr>
        <w:t xml:space="preserve"> - рассчитываемый объем выборки,</w:t>
      </w:r>
    </w:p>
    <w:p w14:paraId="6AFEEB57" w14:textId="77777777" w:rsidR="003668D4" w:rsidRPr="00D4250A" w:rsidRDefault="003668D4" w:rsidP="003668D4">
      <w:pPr>
        <w:spacing w:after="0" w:line="240" w:lineRule="auto"/>
        <w:ind w:firstLine="567"/>
        <w:jc w:val="both"/>
        <w:rPr>
          <w:rFonts w:ascii="Times New Roman" w:hAnsi="Times New Roman" w:cs="Times New Roman"/>
          <w:sz w:val="28"/>
          <w:szCs w:val="28"/>
        </w:rPr>
      </w:pPr>
      <w:r w:rsidRPr="00D4250A">
        <w:rPr>
          <w:rFonts w:ascii="Times New Roman" w:hAnsi="Times New Roman" w:cs="Times New Roman"/>
          <w:sz w:val="28"/>
          <w:szCs w:val="28"/>
        </w:rPr>
        <w:t xml:space="preserve">Z - значения нормального распределения при вероятности 1 - </w:t>
      </w:r>
      <w:r w:rsidRPr="00D4250A">
        <w:rPr>
          <w:rFonts w:ascii="Times New Roman" w:hAnsi="Times New Roman" w:cs="Times New Roman"/>
          <w:sz w:val="28"/>
          <w:szCs w:val="28"/>
        </w:rPr>
        <w:sym w:font="Symbol" w:char="F061"/>
      </w:r>
      <w:r w:rsidRPr="00D4250A">
        <w:rPr>
          <w:rFonts w:ascii="Times New Roman" w:hAnsi="Times New Roman" w:cs="Times New Roman"/>
          <w:sz w:val="28"/>
          <w:szCs w:val="28"/>
        </w:rPr>
        <w:t>/2,</w:t>
      </w:r>
      <w:r w:rsidRPr="00D4250A">
        <w:rPr>
          <w:rFonts w:ascii="Times New Roman" w:hAnsi="Times New Roman" w:cs="Times New Roman"/>
          <w:sz w:val="28"/>
          <w:szCs w:val="28"/>
        </w:rPr>
        <w:br/>
        <w:t>р - ожидаемая частота результата,</w:t>
      </w:r>
    </w:p>
    <w:p w14:paraId="50975420" w14:textId="77777777" w:rsidR="003668D4" w:rsidRPr="00D4250A" w:rsidRDefault="003668D4" w:rsidP="003668D4">
      <w:pPr>
        <w:spacing w:after="0" w:line="240" w:lineRule="auto"/>
        <w:ind w:firstLine="567"/>
        <w:jc w:val="both"/>
        <w:rPr>
          <w:rFonts w:ascii="Times New Roman" w:hAnsi="Times New Roman" w:cs="Times New Roman"/>
          <w:sz w:val="28"/>
          <w:szCs w:val="28"/>
        </w:rPr>
      </w:pPr>
      <w:r w:rsidRPr="00D4250A">
        <w:rPr>
          <w:rFonts w:ascii="Times New Roman" w:hAnsi="Times New Roman" w:cs="Times New Roman"/>
          <w:sz w:val="28"/>
          <w:szCs w:val="28"/>
          <w:lang w:val="en-US"/>
        </w:rPr>
        <w:t>d</w:t>
      </w:r>
      <w:r w:rsidRPr="00D4250A">
        <w:rPr>
          <w:rFonts w:ascii="Times New Roman" w:hAnsi="Times New Roman" w:cs="Times New Roman"/>
          <w:sz w:val="28"/>
          <w:szCs w:val="28"/>
        </w:rPr>
        <w:t xml:space="preserve"> - клинически значимая разность групповых средний значений после лечения.</w:t>
      </w:r>
    </w:p>
    <w:p w14:paraId="588342A4" w14:textId="77777777" w:rsidR="003668D4" w:rsidRPr="00D4250A" w:rsidRDefault="003668D4" w:rsidP="003668D4">
      <w:pPr>
        <w:spacing w:after="0" w:line="240" w:lineRule="auto"/>
        <w:ind w:firstLine="567"/>
        <w:jc w:val="both"/>
        <w:rPr>
          <w:rFonts w:ascii="Times New Roman" w:hAnsi="Times New Roman" w:cs="Times New Roman"/>
          <w:sz w:val="28"/>
          <w:szCs w:val="28"/>
        </w:rPr>
      </w:pPr>
      <w:r w:rsidRPr="00D4250A">
        <w:rPr>
          <w:rFonts w:ascii="Times New Roman" w:hAnsi="Times New Roman" w:cs="Times New Roman"/>
          <w:sz w:val="28"/>
          <w:szCs w:val="28"/>
        </w:rPr>
        <w:t>По результатам расчёта минимальный размер выборки для выявления ответа оценивается в 44 пациента.</w:t>
      </w:r>
    </w:p>
    <w:p w14:paraId="60297B2E" w14:textId="77777777" w:rsidR="00F57474" w:rsidRPr="00D4250A" w:rsidRDefault="00F57474" w:rsidP="009F65CA">
      <w:pPr>
        <w:spacing w:after="0" w:line="240" w:lineRule="auto"/>
        <w:ind w:firstLine="567"/>
        <w:jc w:val="both"/>
        <w:rPr>
          <w:i/>
        </w:rPr>
      </w:pPr>
      <w:r w:rsidRPr="00D4250A">
        <w:rPr>
          <w:rFonts w:ascii="Times New Roman" w:hAnsi="Times New Roman" w:cs="Times New Roman"/>
          <w:i/>
          <w:sz w:val="28"/>
          <w:szCs w:val="28"/>
        </w:rPr>
        <w:t>Рандомизация</w:t>
      </w:r>
    </w:p>
    <w:p w14:paraId="14100315" w14:textId="7F4733B5" w:rsidR="00F57474" w:rsidRPr="00D4250A" w:rsidRDefault="00F57474" w:rsidP="009F65CA">
      <w:pPr>
        <w:tabs>
          <w:tab w:val="left" w:pos="851"/>
          <w:tab w:val="left" w:pos="993"/>
        </w:tabs>
        <w:spacing w:after="0" w:line="240" w:lineRule="auto"/>
        <w:ind w:firstLine="567"/>
        <w:jc w:val="both"/>
        <w:rPr>
          <w:rFonts w:ascii="Times New Roman" w:hAnsi="Times New Roman" w:cs="Times New Roman"/>
          <w:sz w:val="28"/>
          <w:szCs w:val="28"/>
        </w:rPr>
      </w:pPr>
      <w:r w:rsidRPr="00D4250A">
        <w:rPr>
          <w:rFonts w:ascii="Times New Roman" w:hAnsi="Times New Roman" w:cs="Times New Roman"/>
          <w:sz w:val="28"/>
          <w:szCs w:val="28"/>
        </w:rPr>
        <w:t>Каждому пациенту на амбулаторном приеме специально обученным первым ассистентом исследования выдавался запечатанный конверт с вложенным номером. Две коллекции номеров были подобраны случайным</w:t>
      </w:r>
      <w:r w:rsidR="009150BB" w:rsidRPr="00D4250A">
        <w:rPr>
          <w:rFonts w:ascii="Times New Roman" w:hAnsi="Times New Roman" w:cs="Times New Roman"/>
          <w:sz w:val="28"/>
          <w:szCs w:val="28"/>
        </w:rPr>
        <w:t xml:space="preserve"> образом с помощью программы он</w:t>
      </w:r>
      <w:r w:rsidRPr="00D4250A">
        <w:rPr>
          <w:rFonts w:ascii="Times New Roman" w:hAnsi="Times New Roman" w:cs="Times New Roman"/>
          <w:sz w:val="28"/>
          <w:szCs w:val="28"/>
        </w:rPr>
        <w:t>-лайн генератора случайных чисел (</w:t>
      </w:r>
      <w:r w:rsidRPr="00D4250A">
        <w:rPr>
          <w:rFonts w:ascii="Times New Roman" w:hAnsi="Times New Roman" w:cs="Times New Roman"/>
          <w:sz w:val="28"/>
          <w:szCs w:val="28"/>
          <w:lang w:val="en-US"/>
        </w:rPr>
        <w:t>https</w:t>
      </w:r>
      <w:r w:rsidRPr="00D4250A">
        <w:rPr>
          <w:rFonts w:ascii="Times New Roman" w:hAnsi="Times New Roman" w:cs="Times New Roman"/>
          <w:sz w:val="28"/>
          <w:szCs w:val="28"/>
        </w:rPr>
        <w:t>://</w:t>
      </w:r>
      <w:r w:rsidRPr="00D4250A">
        <w:rPr>
          <w:rFonts w:ascii="Times New Roman" w:hAnsi="Times New Roman" w:cs="Times New Roman"/>
          <w:sz w:val="28"/>
          <w:szCs w:val="28"/>
          <w:lang w:val="en-US"/>
        </w:rPr>
        <w:t>randstuff</w:t>
      </w:r>
      <w:r w:rsidRPr="00D4250A">
        <w:rPr>
          <w:rFonts w:ascii="Times New Roman" w:hAnsi="Times New Roman" w:cs="Times New Roman"/>
          <w:sz w:val="28"/>
          <w:szCs w:val="28"/>
        </w:rPr>
        <w:t>.</w:t>
      </w:r>
      <w:r w:rsidRPr="00D4250A">
        <w:rPr>
          <w:rFonts w:ascii="Times New Roman" w:hAnsi="Times New Roman" w:cs="Times New Roman"/>
          <w:sz w:val="28"/>
          <w:szCs w:val="28"/>
          <w:lang w:val="en-US"/>
        </w:rPr>
        <w:t>ru</w:t>
      </w:r>
      <w:r w:rsidRPr="00D4250A">
        <w:rPr>
          <w:rFonts w:ascii="Times New Roman" w:hAnsi="Times New Roman" w:cs="Times New Roman"/>
          <w:sz w:val="28"/>
          <w:szCs w:val="28"/>
        </w:rPr>
        <w:t>/</w:t>
      </w:r>
      <w:r w:rsidRPr="00D4250A">
        <w:rPr>
          <w:rFonts w:ascii="Times New Roman" w:hAnsi="Times New Roman" w:cs="Times New Roman"/>
          <w:sz w:val="28"/>
          <w:szCs w:val="28"/>
          <w:lang w:val="en-US"/>
        </w:rPr>
        <w:t>number</w:t>
      </w:r>
      <w:r w:rsidRPr="00D4250A">
        <w:rPr>
          <w:rFonts w:ascii="Times New Roman" w:hAnsi="Times New Roman" w:cs="Times New Roman"/>
          <w:sz w:val="28"/>
          <w:szCs w:val="28"/>
        </w:rPr>
        <w:t xml:space="preserve">/). При вскрытии конверта, номер пациента идентифицировался вторым ассистентом исследования до принадлежности к группе вмешательства или группе </w:t>
      </w:r>
      <w:r w:rsidR="00D3012E">
        <w:rPr>
          <w:rFonts w:ascii="Times New Roman" w:hAnsi="Times New Roman" w:cs="Times New Roman"/>
          <w:sz w:val="28"/>
          <w:szCs w:val="28"/>
        </w:rPr>
        <w:t>контроля</w:t>
      </w:r>
      <w:r w:rsidRPr="00D4250A">
        <w:rPr>
          <w:rFonts w:ascii="Times New Roman" w:hAnsi="Times New Roman" w:cs="Times New Roman"/>
          <w:sz w:val="28"/>
          <w:szCs w:val="28"/>
        </w:rPr>
        <w:t>. Ни пациент, ни первый ассистент не знали, в какую группу они были отнесены, что обеспечивало равные шансы для каждого больного попасть в любую из групп. Таким образом, нами были набраны две группы пациентов с диагнозом сезонный аллергический ринит для включения в исследование.</w:t>
      </w:r>
    </w:p>
    <w:p w14:paraId="1DAEE0FF" w14:textId="77777777" w:rsidR="00F57474" w:rsidRPr="00D4250A" w:rsidRDefault="00F57474" w:rsidP="002937BA">
      <w:pPr>
        <w:spacing w:after="0" w:line="240" w:lineRule="auto"/>
        <w:ind w:firstLine="567"/>
        <w:jc w:val="both"/>
        <w:rPr>
          <w:rFonts w:ascii="Times New Roman" w:hAnsi="Times New Roman" w:cs="Times New Roman"/>
          <w:i/>
          <w:sz w:val="28"/>
          <w:szCs w:val="28"/>
        </w:rPr>
      </w:pPr>
      <w:r w:rsidRPr="00D4250A">
        <w:rPr>
          <w:rFonts w:ascii="Times New Roman" w:hAnsi="Times New Roman" w:cs="Times New Roman"/>
          <w:i/>
          <w:sz w:val="28"/>
          <w:szCs w:val="28"/>
        </w:rPr>
        <w:t>Характеристика групп исследования рандомизированного клинического исследования</w:t>
      </w:r>
    </w:p>
    <w:p w14:paraId="152DC9E2" w14:textId="7BCF4851" w:rsidR="00F57474" w:rsidRPr="00F57474" w:rsidRDefault="00F57474" w:rsidP="009F65CA">
      <w:pPr>
        <w:tabs>
          <w:tab w:val="left" w:pos="851"/>
          <w:tab w:val="left" w:pos="993"/>
        </w:tabs>
        <w:spacing w:after="0" w:line="240" w:lineRule="auto"/>
        <w:ind w:firstLine="567"/>
        <w:jc w:val="both"/>
        <w:rPr>
          <w:rFonts w:ascii="Times New Roman" w:hAnsi="Times New Roman" w:cs="Times New Roman"/>
          <w:sz w:val="28"/>
          <w:szCs w:val="28"/>
        </w:rPr>
      </w:pPr>
      <w:r w:rsidRPr="00D4250A">
        <w:rPr>
          <w:rFonts w:ascii="Times New Roman" w:hAnsi="Times New Roman" w:cs="Times New Roman"/>
          <w:sz w:val="28"/>
          <w:szCs w:val="28"/>
        </w:rPr>
        <w:t>Для проведения рандомизированного исследования пациенты из общей группы были рандомизированы случайным образом на 2 группы, представленные клинически однородными случаями с диагнозом сезонный аллергический ринит и соответствующие критериям включения в исследование (</w:t>
      </w:r>
      <w:r w:rsidR="000C6890" w:rsidRPr="00D4250A">
        <w:rPr>
          <w:rFonts w:ascii="Times New Roman" w:hAnsi="Times New Roman" w:cs="Times New Roman"/>
          <w:sz w:val="28"/>
          <w:szCs w:val="28"/>
        </w:rPr>
        <w:t>Таблица 3</w:t>
      </w:r>
      <w:r w:rsidRPr="00D4250A">
        <w:rPr>
          <w:rFonts w:ascii="Times New Roman" w:hAnsi="Times New Roman" w:cs="Times New Roman"/>
          <w:sz w:val="28"/>
          <w:szCs w:val="28"/>
        </w:rPr>
        <w:t xml:space="preserve">) </w:t>
      </w:r>
      <w:r w:rsidRPr="00D4250A">
        <w:rPr>
          <w:rFonts w:ascii="Times New Roman" w:hAnsi="Times New Roman" w:cs="Times New Roman"/>
          <w:sz w:val="28"/>
          <w:szCs w:val="28"/>
        </w:rPr>
        <w:fldChar w:fldCharType="begin" w:fldLock="1"/>
      </w:r>
      <w:r w:rsidR="006B2D4C">
        <w:rPr>
          <w:rFonts w:ascii="Times New Roman" w:hAnsi="Times New Roman" w:cs="Times New Roman"/>
          <w:sz w:val="28"/>
          <w:szCs w:val="28"/>
        </w:rPr>
        <w:instrText>ADDIN CSL_CITATION {"citationItems":[{"id":"ITEM-1","itemData":{"DOI":"10.1111/j.1398-9995.2010.02474.x","ISSN":"01054538","PMID":"21039596","abstract":"This pocket guide is the result of a consensus reached during several GA2LEN and EAACI meetings. The aim of the current pocket guide is to offer a comprehensive set of recommendations on the use of immunotherapy in allergic rhinoconjunctivitis and asthma in daily practice. This pocket guide is meant to give simple answers to the most frequent questions of practitioners in Europe, including practising allergists, general practitioners and any other physicians with special interest in allergen-specific immunotherapy (SIT). It is not a long or detailed scientific review of the topic. However, the recommendations in this pocket guide were compiled following an in-depth review of existing guidelines and publications, including the 1998 EAACI position paper, the 1998 WHO Position Paper on SIT and the 2001 Allergic Rhinitis and its Impact on Asthma (ARIA). It is also based on the ARIA update 2008 (prepared in collaboration with GA2LEN), the Sub-lingual Immunotherapy: WAO Position Paper 2009 (from the World Allergy Organisation) and the Methodology paper of ARIA. The recommendations cover patient selection, allergen extract to be used, route of administration of SIT (in particular, sublingual and subcutaneous immunotherapy), and necessary precautions to be followed in using SIT. © 2010 John Wiley &amp; Sons A/S.","author":[{"dropping-particle":"","family":"Zuberbier","given":"T.","non-dropping-particle":"","parse-names":false,"suffix":""},{"dropping-particle":"","family":"Bachert","given":"C.","non-dropping-particle":"","parse-names":false,"suffix":""},{"dropping-particle":"","family":"Bousquet","given":"P. J.","non-dropping-particle":"","parse-names":false,"suffix":""},{"dropping-particle":"","family":"Passalacqua","given":"G.","non-dropping-particle":"","parse-names":false,"suffix":""},{"dropping-particle":"","family":"Walter Canonica","given":"G.","non-dropping-particle":"","parse-names":false,"suffix":""},{"dropping-particle":"","family":"Merk","given":"H.","non-dropping-particle":"","parse-names":false,"suffix":""},{"dropping-particle":"","family":"Worm","given":"M.","non-dropping-particle":"","parse-names":false,"suffix":""},{"dropping-particle":"","family":"Wahn","given":"U.","non-dropping-particle":"","parse-names":false,"suffix":""},{"dropping-particle":"","family":"Bousquet","given":"J.","non-dropping-particle":"","parse-names":false,"suffix":""}],"container-title":"Allergy: European Journal of Allergy and Clinical Immunology","id":"ITEM-1","issue":"12","issued":{"date-parts":[["2010"]]},"page":"1525-1530","title":"GA2LEN/EAACI pocket guide for allergen-specific immunotherapy for allergic rhinitis and asthma","type":"article-journal","volume":"65"},"uris":["http://www.mendeley.com/documents/?uuid=c74711d7-f409-4bd7-848f-89b0a2d14545"]},{"id":"ITEM-2","itemData":{"DOI":"10.1111/all.12638","ISSN":"13989995","PMID":"25913519","abstract":"Clinical indications for allergen immunotherapy (AIT) in respiratory and Hymenoptera venom allergy are well established; however, clinical contraindications to AIT are not always well documented. There are some discrepancies when classifying clinical contraindications for different forms of AIT as 'absolute' or 'relative'. EAACI Task Force on 'Contraindications to AIT' was created to evaluate and review current literature on clinical contraindications, and to update recommendations for both sublingual and subcutaneous AIT for respiratory and venom immunotherapy. An extensive review of the literature was performed on the use of AIT in asthma, autoimmune disorders, malignant neoplasias, cardiovascular diseases, acquired immunodeficiencies and other chronic diseases (including mental disorders), in patients treated with β-blockers, ACE inhibitors or monoamine oxidase inhibitors, in children under 5 years of age, during pregnancy and in patients with poor compliance. Each topic was addressed by the following three questions: (1) Are there any negative effects of AIT on this concomitant condition/disease? (2) Are more frequent or more severe AIT-related side-effects expected? and (3) Is AIT expected to be less efficacious? The evidence, for the evaluation of these clinical conditions as contraindications, was limited, and most of the conclusions were based on case reports. Based on an extended literature research, recommendations for each medical condition assessed are provided. The final decision on the administration of AIT should be based on individual evaluation of any medical condition and a risk/benefit assessment for each patient.","author":[{"dropping-particle":"","family":"Pitsios","given":"C.","non-dropping-particle":"","parse-names":false,"suffix":""},{"dropping-particle":"","family":"Demoly","given":"P.","non-dropping-particle":"","parse-names":false,"suffix":""},{"dropping-particle":"","family":"Bilò","given":"M. B.","non-dropping-particle":"","parse-names":false,"suffix":""},{"dropping-particle":"","family":"Gerth Van Wijk","given":"R.","non-dropping-particle":"","parse-names":false,"suffix":""},{"dropping-particle":"","family":"Pfaar","given":"O.","non-dropping-particle":"","parse-names":false,"suffix":""},{"dropping-particle":"","family":"Sturm","given":"G. J.","non-dropping-particle":"","parse-names":false,"suffix":""},{"dropping-particle":"","family":"Rodriguez Del Rio","given":"P.","non-dropping-particle":"","parse-names":false,"suffix":""},{"dropping-particle":"","family":"Tsoumani","given":"M.","non-dropping-particle":"","parse-names":false,"suffix":""},{"dropping-particle":"","family":"Gawlik","given":"R.","non-dropping-particle":"","parse-names":false,"suffix":""},{"dropping-particle":"","family":"Paraskevopoulos","given":"G.","non-dropping-particle":"","parse-names":false,"suffix":""},{"dropping-particle":"","family":"Ruëff","given":"F.","non-dropping-particle":"","parse-names":false,"suffix":""},{"dropping-particle":"","family":"Valovirta","given":"E.","non-dropping-particle":"","parse-names":false,"suffix":""},{"dropping-particle":"","family":"Papadopoulos","given":"N. G.","non-dropping-particle":"","parse-names":false,"suffix":""},{"dropping-particle":"","family":"Calderõn","given":"M. A.","non-dropping-particle":"","parse-names":false,"suffix":""}],"container-title":"Allergy: European Journal of Allergy and Clinical Immunology","id":"ITEM-2","issue":"8","issued":{"date-parts":[["2015"]]},"page":"897-909","title":"Clinical contraindications to allergen immunotherapy: An EAACI position paper","type":"article-journal","volume":"70"},"uris":["http://www.mendeley.com/documents/?uuid=3cb0ec47-1e9d-4110-a430-23e6fcd5a903"]}],"mendeley":{"formattedCitation":"[60,151]","plainTextFormattedCitation":"[60,151]","previouslyFormattedCitation":"[60,151]"},"properties":{"noteIndex":0},"schema":"https://github.com/citation-style-language/schema/raw/master/csl-citation.json"}</w:instrText>
      </w:r>
      <w:r w:rsidRPr="00D4250A">
        <w:rPr>
          <w:rFonts w:ascii="Times New Roman" w:hAnsi="Times New Roman" w:cs="Times New Roman"/>
          <w:sz w:val="28"/>
          <w:szCs w:val="28"/>
        </w:rPr>
        <w:fldChar w:fldCharType="separate"/>
      </w:r>
      <w:r w:rsidR="004028FD" w:rsidRPr="004028FD">
        <w:rPr>
          <w:rFonts w:ascii="Times New Roman" w:hAnsi="Times New Roman" w:cs="Times New Roman"/>
          <w:noProof/>
          <w:sz w:val="28"/>
          <w:szCs w:val="28"/>
        </w:rPr>
        <w:t>[60,151]</w:t>
      </w:r>
      <w:r w:rsidRPr="00D4250A">
        <w:rPr>
          <w:rFonts w:ascii="Times New Roman" w:hAnsi="Times New Roman" w:cs="Times New Roman"/>
          <w:sz w:val="28"/>
          <w:szCs w:val="28"/>
        </w:rPr>
        <w:fldChar w:fldCharType="end"/>
      </w:r>
      <w:r w:rsidRPr="00D4250A">
        <w:rPr>
          <w:rFonts w:ascii="Times New Roman" w:hAnsi="Times New Roman" w:cs="Times New Roman"/>
          <w:sz w:val="28"/>
          <w:szCs w:val="28"/>
        </w:rPr>
        <w:t>.</w:t>
      </w:r>
    </w:p>
    <w:p w14:paraId="18A698AE" w14:textId="77777777" w:rsidR="00F57474" w:rsidRPr="00F57474" w:rsidRDefault="00F57474" w:rsidP="009F65CA">
      <w:pPr>
        <w:tabs>
          <w:tab w:val="left" w:pos="851"/>
          <w:tab w:val="left" w:pos="993"/>
        </w:tabs>
        <w:spacing w:after="0" w:line="240" w:lineRule="auto"/>
        <w:ind w:firstLine="567"/>
        <w:jc w:val="both"/>
        <w:rPr>
          <w:rFonts w:ascii="Times New Roman" w:hAnsi="Times New Roman" w:cs="Times New Roman"/>
          <w:sz w:val="28"/>
          <w:szCs w:val="28"/>
        </w:rPr>
      </w:pPr>
    </w:p>
    <w:p w14:paraId="4A3BF9D1" w14:textId="38AB41FA" w:rsidR="00F57474" w:rsidRPr="00F57474" w:rsidRDefault="000C6890" w:rsidP="00D0108A">
      <w:pPr>
        <w:tabs>
          <w:tab w:val="left" w:pos="851"/>
          <w:tab w:val="left" w:pos="99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3</w:t>
      </w:r>
      <w:r w:rsidR="00F57474" w:rsidRPr="00F57474">
        <w:rPr>
          <w:rFonts w:ascii="Times New Roman" w:hAnsi="Times New Roman" w:cs="Times New Roman"/>
          <w:sz w:val="28"/>
          <w:szCs w:val="28"/>
        </w:rPr>
        <w:t xml:space="preserve"> - Критерии включения и исключения пациентов</w:t>
      </w:r>
    </w:p>
    <w:p w14:paraId="79EBA003" w14:textId="77777777" w:rsidR="00F57474" w:rsidRPr="00F57474" w:rsidRDefault="00F57474" w:rsidP="009F65CA">
      <w:pPr>
        <w:tabs>
          <w:tab w:val="left" w:pos="851"/>
          <w:tab w:val="left" w:pos="993"/>
        </w:tabs>
        <w:spacing w:after="0" w:line="240" w:lineRule="auto"/>
        <w:jc w:val="both"/>
        <w:rPr>
          <w:rFonts w:ascii="Times New Roman" w:hAnsi="Times New Roman" w:cs="Times New Roman"/>
          <w:b/>
          <w:sz w:val="28"/>
          <w:szCs w:val="28"/>
        </w:rPr>
      </w:pPr>
    </w:p>
    <w:tbl>
      <w:tblPr>
        <w:tblStyle w:val="13"/>
        <w:tblW w:w="5000" w:type="pct"/>
        <w:tblLook w:val="04A0" w:firstRow="1" w:lastRow="0" w:firstColumn="1" w:lastColumn="0" w:noHBand="0" w:noVBand="1"/>
      </w:tblPr>
      <w:tblGrid>
        <w:gridCol w:w="4814"/>
        <w:gridCol w:w="4814"/>
      </w:tblGrid>
      <w:tr w:rsidR="00F57474" w:rsidRPr="009F65CA" w14:paraId="5DF15D66" w14:textId="77777777" w:rsidTr="00F57474">
        <w:tc>
          <w:tcPr>
            <w:tcW w:w="2500" w:type="pct"/>
            <w:vAlign w:val="center"/>
          </w:tcPr>
          <w:p w14:paraId="5F66922B"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Критерии включения</w:t>
            </w:r>
          </w:p>
        </w:tc>
        <w:tc>
          <w:tcPr>
            <w:tcW w:w="2500" w:type="pct"/>
            <w:vAlign w:val="center"/>
          </w:tcPr>
          <w:p w14:paraId="7D0257DB"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Критерии исключения</w:t>
            </w:r>
          </w:p>
        </w:tc>
      </w:tr>
      <w:tr w:rsidR="00F57474" w:rsidRPr="009F65CA" w14:paraId="4A064D9F" w14:textId="77777777" w:rsidTr="00F57474">
        <w:tc>
          <w:tcPr>
            <w:tcW w:w="2500" w:type="pct"/>
            <w:vAlign w:val="center"/>
          </w:tcPr>
          <w:p w14:paraId="0F99012D"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Возраст больных – от 18 до 60 лет, пол любой</w:t>
            </w:r>
          </w:p>
        </w:tc>
        <w:tc>
          <w:tcPr>
            <w:tcW w:w="2500" w:type="pct"/>
            <w:vAlign w:val="center"/>
          </w:tcPr>
          <w:p w14:paraId="7BCEDD22"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Возраст больного менее 18 лет и более 60 лет</w:t>
            </w:r>
          </w:p>
        </w:tc>
      </w:tr>
      <w:tr w:rsidR="00F57474" w:rsidRPr="009F65CA" w14:paraId="55892754" w14:textId="77777777" w:rsidTr="00F57474">
        <w:tc>
          <w:tcPr>
            <w:tcW w:w="2500" w:type="pct"/>
            <w:vAlign w:val="center"/>
          </w:tcPr>
          <w:p w14:paraId="6EDCB8BB"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Наличие сезонного аллергического ринита не менее 2 лет, в фазе ремиссии</w:t>
            </w:r>
          </w:p>
        </w:tc>
        <w:tc>
          <w:tcPr>
            <w:tcW w:w="2500" w:type="pct"/>
            <w:vAlign w:val="center"/>
          </w:tcPr>
          <w:p w14:paraId="24A7D453"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Наличие сезонного аллергического ринита менее 2 лет, в фазе обострения на момент включения в обследование</w:t>
            </w:r>
          </w:p>
        </w:tc>
      </w:tr>
      <w:tr w:rsidR="00F57474" w:rsidRPr="009F65CA" w14:paraId="515288EF" w14:textId="77777777" w:rsidTr="00F57474">
        <w:tc>
          <w:tcPr>
            <w:tcW w:w="2500" w:type="pct"/>
            <w:vAlign w:val="center"/>
          </w:tcPr>
          <w:p w14:paraId="09B69DAE"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Информированное согласие больного на участие в исследовании</w:t>
            </w:r>
          </w:p>
        </w:tc>
        <w:tc>
          <w:tcPr>
            <w:tcW w:w="2500" w:type="pct"/>
            <w:vAlign w:val="center"/>
          </w:tcPr>
          <w:p w14:paraId="3DCBDFB9"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Отсутствие информированного согласия</w:t>
            </w:r>
          </w:p>
        </w:tc>
      </w:tr>
      <w:tr w:rsidR="00F57474" w:rsidRPr="009F65CA" w14:paraId="6CBCB659" w14:textId="77777777" w:rsidTr="00F57474">
        <w:tc>
          <w:tcPr>
            <w:tcW w:w="2500" w:type="pct"/>
            <w:vAlign w:val="center"/>
          </w:tcPr>
          <w:p w14:paraId="665C12A9"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Отсутствие хронических заболеваний полости рта</w:t>
            </w:r>
          </w:p>
        </w:tc>
        <w:tc>
          <w:tcPr>
            <w:tcW w:w="2500" w:type="pct"/>
            <w:vAlign w:val="center"/>
          </w:tcPr>
          <w:p w14:paraId="7544D56D"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Наличие хронических заболеваний полости рта</w:t>
            </w:r>
          </w:p>
        </w:tc>
      </w:tr>
      <w:tr w:rsidR="00F57474" w:rsidRPr="009F65CA" w14:paraId="06235E27" w14:textId="77777777" w:rsidTr="00F57474">
        <w:tc>
          <w:tcPr>
            <w:tcW w:w="2500" w:type="pct"/>
            <w:vAlign w:val="center"/>
          </w:tcPr>
          <w:p w14:paraId="1EAC68FF"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Отсутствие серьезных сопутствующих заболеваний других органов и систем, которые могли бы повлиять на степень тяжести больного на момент включения в исследование или на результат лечения</w:t>
            </w:r>
          </w:p>
        </w:tc>
        <w:tc>
          <w:tcPr>
            <w:tcW w:w="2500" w:type="pct"/>
            <w:vAlign w:val="center"/>
          </w:tcPr>
          <w:p w14:paraId="5744D16E"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Наличие тяжелых органических поражений органов, тяжелые хронические инфекционные заболевания (туберкулез, бруцеллез), заболевания эндокринных органов (зоб, сахарный диабет), хронические заболевания соединительной ткани (ревматизм, коллагенозы), онкологические заболевания, СПИД, беременность, период лактации</w:t>
            </w:r>
          </w:p>
        </w:tc>
      </w:tr>
      <w:tr w:rsidR="00F57474" w:rsidRPr="009F65CA" w14:paraId="5FD30B9D" w14:textId="77777777" w:rsidTr="00F57474">
        <w:tc>
          <w:tcPr>
            <w:tcW w:w="2500" w:type="pct"/>
            <w:vAlign w:val="center"/>
          </w:tcPr>
          <w:p w14:paraId="15DFB4F2"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Контактность больного (нормальный слух, отсутствие языковых барьеров, адекватность психики и т.п.)</w:t>
            </w:r>
          </w:p>
        </w:tc>
        <w:tc>
          <w:tcPr>
            <w:tcW w:w="2500" w:type="pct"/>
            <w:vAlign w:val="center"/>
          </w:tcPr>
          <w:p w14:paraId="422D52EC"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Недостаточная контактность пациента (тугоухость, снижение интеллекта, языковые барьеры, психические расстройства)</w:t>
            </w:r>
          </w:p>
        </w:tc>
      </w:tr>
      <w:tr w:rsidR="00F57474" w:rsidRPr="009F65CA" w14:paraId="78A216A4" w14:textId="77777777" w:rsidTr="00F57474">
        <w:tc>
          <w:tcPr>
            <w:tcW w:w="2500" w:type="pct"/>
            <w:vAlign w:val="center"/>
          </w:tcPr>
          <w:p w14:paraId="3E7164BF"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Не применяет β-блокаторы, включая местное применение, и ингибиторы АПФ</w:t>
            </w:r>
          </w:p>
        </w:tc>
        <w:tc>
          <w:tcPr>
            <w:tcW w:w="2500" w:type="pct"/>
            <w:vAlign w:val="center"/>
          </w:tcPr>
          <w:p w14:paraId="1F32BDA5"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Постоянное применение β-блокаторов, включая местное применение, и ингибиторов АПФ</w:t>
            </w:r>
          </w:p>
        </w:tc>
      </w:tr>
      <w:tr w:rsidR="00F57474" w:rsidRPr="009F65CA" w14:paraId="5AF4143E" w14:textId="77777777" w:rsidTr="00F57474">
        <w:tc>
          <w:tcPr>
            <w:tcW w:w="2500" w:type="pct"/>
            <w:vAlign w:val="center"/>
          </w:tcPr>
          <w:p w14:paraId="7D4B7827"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Пациент не принимал в течение 2 недель до включения в исследование топические и системные глюкокортикостероидные и антигистаминные препараты</w:t>
            </w:r>
          </w:p>
        </w:tc>
        <w:tc>
          <w:tcPr>
            <w:tcW w:w="2500" w:type="pct"/>
            <w:vAlign w:val="center"/>
          </w:tcPr>
          <w:p w14:paraId="534D63A2"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Пациент принимал в течение 2 недель до включения в исследование топические и системные глюкокортикостероидные и антигистаминные препараты</w:t>
            </w:r>
          </w:p>
        </w:tc>
      </w:tr>
      <w:tr w:rsidR="00F57474" w:rsidRPr="009F65CA" w14:paraId="0AA090BC" w14:textId="77777777" w:rsidTr="00F57474">
        <w:tc>
          <w:tcPr>
            <w:tcW w:w="2500" w:type="pct"/>
            <w:vAlign w:val="center"/>
          </w:tcPr>
          <w:p w14:paraId="60B978EC"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Возможность проведения обследований в течение года</w:t>
            </w:r>
          </w:p>
        </w:tc>
        <w:tc>
          <w:tcPr>
            <w:tcW w:w="2500" w:type="pct"/>
            <w:vAlign w:val="center"/>
          </w:tcPr>
          <w:p w14:paraId="4660CCE0" w14:textId="77777777" w:rsidR="00F57474" w:rsidRPr="009F65CA" w:rsidRDefault="00F57474" w:rsidP="009F65CA">
            <w:pPr>
              <w:tabs>
                <w:tab w:val="left" w:pos="851"/>
                <w:tab w:val="left" w:pos="993"/>
              </w:tabs>
              <w:jc w:val="both"/>
              <w:rPr>
                <w:rFonts w:ascii="Times New Roman" w:hAnsi="Times New Roman" w:cs="Times New Roman"/>
                <w:sz w:val="24"/>
                <w:szCs w:val="24"/>
              </w:rPr>
            </w:pPr>
            <w:r w:rsidRPr="009F65CA">
              <w:rPr>
                <w:rFonts w:ascii="Times New Roman" w:hAnsi="Times New Roman" w:cs="Times New Roman"/>
                <w:sz w:val="24"/>
                <w:szCs w:val="24"/>
              </w:rPr>
              <w:t>Невозможность проведения обследований в течение года</w:t>
            </w:r>
          </w:p>
        </w:tc>
      </w:tr>
    </w:tbl>
    <w:p w14:paraId="4CDD2A3A" w14:textId="77777777" w:rsidR="00F57474" w:rsidRPr="00F57474" w:rsidRDefault="00F57474" w:rsidP="009F65CA">
      <w:pPr>
        <w:spacing w:after="0" w:line="240" w:lineRule="auto"/>
        <w:rPr>
          <w:rFonts w:ascii="Times New Roman" w:hAnsi="Times New Roman" w:cs="Times New Roman"/>
          <w:sz w:val="28"/>
          <w:szCs w:val="28"/>
        </w:rPr>
      </w:pPr>
    </w:p>
    <w:p w14:paraId="5BA9DA2C" w14:textId="7EBCA7C8" w:rsidR="00F57474" w:rsidRPr="00F57474" w:rsidRDefault="00F57474" w:rsidP="009F65CA">
      <w:pPr>
        <w:tabs>
          <w:tab w:val="left" w:pos="851"/>
          <w:tab w:val="left" w:pos="993"/>
        </w:tabs>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rPr>
        <w:t xml:space="preserve">Группа вмешательства (28 пациентов) получала </w:t>
      </w:r>
      <w:r w:rsidR="00E63A68">
        <w:rPr>
          <w:rFonts w:ascii="Times New Roman" w:hAnsi="Times New Roman" w:cs="Times New Roman"/>
          <w:sz w:val="28"/>
          <w:szCs w:val="28"/>
        </w:rPr>
        <w:t>адаптированную</w:t>
      </w:r>
      <w:r w:rsidRPr="00F57474">
        <w:rPr>
          <w:rFonts w:ascii="Times New Roman" w:hAnsi="Times New Roman" w:cs="Times New Roman"/>
          <w:sz w:val="28"/>
          <w:szCs w:val="28"/>
        </w:rPr>
        <w:t xml:space="preserve"> схему аллерген-специфической иммунотерапии в комплексе с витамином Д, группа контроля (27 пациентов) получала классическую схему аллерген-специфической иммунотерапии. </w:t>
      </w:r>
    </w:p>
    <w:p w14:paraId="463B403C" w14:textId="77777777" w:rsidR="00F57474" w:rsidRPr="00D4250A" w:rsidRDefault="00F57474" w:rsidP="009F65CA">
      <w:pPr>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rPr>
        <w:t>Сравнение группы вмешательства и группы контроля</w:t>
      </w:r>
      <w:r w:rsidRPr="00F57474">
        <w:rPr>
          <w:rFonts w:ascii="Times New Roman" w:hAnsi="Times New Roman" w:cs="Times New Roman"/>
          <w:b/>
          <w:sz w:val="28"/>
          <w:szCs w:val="28"/>
        </w:rPr>
        <w:t xml:space="preserve"> </w:t>
      </w:r>
      <w:r w:rsidRPr="00F57474">
        <w:rPr>
          <w:rFonts w:ascii="Times New Roman" w:hAnsi="Times New Roman" w:cs="Times New Roman"/>
          <w:sz w:val="28"/>
          <w:szCs w:val="28"/>
        </w:rPr>
        <w:t>до начала проведения аллерген-специфической иммунотерапии было проведено с целью определения однородности групп по исходным клинико-</w:t>
      </w:r>
      <w:r w:rsidRPr="00D4250A">
        <w:rPr>
          <w:rFonts w:ascii="Times New Roman" w:hAnsi="Times New Roman" w:cs="Times New Roman"/>
          <w:sz w:val="28"/>
          <w:szCs w:val="28"/>
        </w:rPr>
        <w:t xml:space="preserve">лабораторным характеристикам. </w:t>
      </w:r>
    </w:p>
    <w:p w14:paraId="6A1C0726" w14:textId="1B485475" w:rsidR="00F57474" w:rsidRPr="00D4250A" w:rsidRDefault="00F57474" w:rsidP="009F65CA">
      <w:pPr>
        <w:spacing w:after="0" w:line="240" w:lineRule="auto"/>
        <w:ind w:firstLine="567"/>
        <w:jc w:val="both"/>
        <w:rPr>
          <w:rFonts w:ascii="Times New Roman" w:hAnsi="Times New Roman" w:cs="Times New Roman"/>
          <w:sz w:val="28"/>
          <w:szCs w:val="28"/>
        </w:rPr>
      </w:pPr>
      <w:r w:rsidRPr="00D4250A">
        <w:rPr>
          <w:rFonts w:ascii="Times New Roman" w:hAnsi="Times New Roman" w:cs="Times New Roman"/>
          <w:sz w:val="28"/>
          <w:szCs w:val="28"/>
        </w:rPr>
        <w:t>Гeндeрноe рaспрeдeлeниe</w:t>
      </w:r>
      <w:r w:rsidRPr="00D4250A">
        <w:rPr>
          <w:rFonts w:ascii="Times New Roman" w:hAnsi="Times New Roman" w:cs="Times New Roman"/>
          <w:color w:val="FF0000"/>
          <w:sz w:val="28"/>
          <w:szCs w:val="28"/>
        </w:rPr>
        <w:t xml:space="preserve"> </w:t>
      </w:r>
      <w:r w:rsidRPr="00D4250A">
        <w:rPr>
          <w:rFonts w:ascii="Times New Roman" w:hAnsi="Times New Roman" w:cs="Times New Roman"/>
          <w:sz w:val="28"/>
          <w:szCs w:val="28"/>
        </w:rPr>
        <w:t>было aнaлогичным в группaх: мужской пол состaвил 15 (54%) в группe</w:t>
      </w:r>
      <w:r w:rsidRPr="00D4250A">
        <w:rPr>
          <w:rFonts w:ascii="Times New Roman" w:hAnsi="Times New Roman" w:cs="Times New Roman"/>
          <w:sz w:val="28"/>
          <w:szCs w:val="28"/>
          <w:lang w:val="kk-KZ"/>
        </w:rPr>
        <w:t xml:space="preserve"> вмешательства</w:t>
      </w:r>
      <w:r w:rsidRPr="00D4250A">
        <w:rPr>
          <w:rFonts w:ascii="Times New Roman" w:hAnsi="Times New Roman" w:cs="Times New Roman"/>
          <w:sz w:val="28"/>
          <w:szCs w:val="28"/>
        </w:rPr>
        <w:t xml:space="preserve"> и 13 (46%) в группе контроля. Лицa жeнского полa состaвили 13 (48%) и 14 (52%) соотвeтствeнно (р&gt;0,05). Срeдний возрaст пaциeнтов состaвил 35 ±9,4 лeт в группe </w:t>
      </w:r>
      <w:r w:rsidRPr="00D4250A">
        <w:rPr>
          <w:rFonts w:ascii="Times New Roman" w:hAnsi="Times New Roman" w:cs="Times New Roman"/>
          <w:sz w:val="28"/>
          <w:szCs w:val="28"/>
          <w:lang w:val="kk-KZ"/>
        </w:rPr>
        <w:t>вмешательства</w:t>
      </w:r>
      <w:r w:rsidRPr="00D4250A">
        <w:rPr>
          <w:rFonts w:ascii="Times New Roman" w:hAnsi="Times New Roman" w:cs="Times New Roman"/>
          <w:sz w:val="28"/>
          <w:szCs w:val="28"/>
        </w:rPr>
        <w:t xml:space="preserve"> и 36 ±9,5 лeт в группe контроля, соотвeтствeнно (р&gt;0,05). Доля лиц имeющих положительный аллергоанамнез состaвилa 19 (68%) группe </w:t>
      </w:r>
      <w:r w:rsidRPr="00D4250A">
        <w:rPr>
          <w:rFonts w:ascii="Times New Roman" w:hAnsi="Times New Roman" w:cs="Times New Roman"/>
          <w:sz w:val="28"/>
          <w:szCs w:val="28"/>
          <w:lang w:val="kk-KZ"/>
        </w:rPr>
        <w:t>вмешательства</w:t>
      </w:r>
      <w:r w:rsidRPr="00D4250A">
        <w:rPr>
          <w:rFonts w:ascii="Times New Roman" w:hAnsi="Times New Roman" w:cs="Times New Roman"/>
          <w:sz w:val="28"/>
          <w:szCs w:val="28"/>
        </w:rPr>
        <w:t xml:space="preserve"> и 20 (74%) в группе контроля, лица с отрицательным аллергоанамнезом 9 (32%) и 7 (26%) соответственно (р&gt;0,05). Срeдняя длитeльность зaболeвaния, колeбaлaсь в нeбольших прeдeлaх от 6 (5-7) до 7 (6-9) (р=0,05). Группы, в цeлом, нe отличaлись по идeнтификaционным хaрaктeристикaм и входным клиничeским дaнным (</w:t>
      </w:r>
      <w:r w:rsidR="000C6890" w:rsidRPr="00D4250A">
        <w:rPr>
          <w:rFonts w:ascii="Times New Roman" w:hAnsi="Times New Roman" w:cs="Times New Roman"/>
          <w:sz w:val="28"/>
          <w:szCs w:val="28"/>
        </w:rPr>
        <w:t>таблица 4</w:t>
      </w:r>
      <w:r w:rsidRPr="00D4250A">
        <w:rPr>
          <w:rFonts w:ascii="Times New Roman" w:hAnsi="Times New Roman" w:cs="Times New Roman"/>
          <w:sz w:val="28"/>
          <w:szCs w:val="28"/>
        </w:rPr>
        <w:t xml:space="preserve">). </w:t>
      </w:r>
    </w:p>
    <w:p w14:paraId="504B3656" w14:textId="77777777" w:rsidR="00F57474" w:rsidRPr="00D4250A" w:rsidRDefault="00F57474" w:rsidP="009F65CA">
      <w:pPr>
        <w:spacing w:after="0" w:line="240" w:lineRule="auto"/>
        <w:ind w:firstLine="567"/>
        <w:rPr>
          <w:rFonts w:ascii="Times New Roman" w:hAnsi="Times New Roman" w:cs="Times New Roman"/>
          <w:sz w:val="28"/>
          <w:szCs w:val="28"/>
        </w:rPr>
      </w:pPr>
    </w:p>
    <w:p w14:paraId="707072E8" w14:textId="64EA1D09" w:rsidR="00F57474" w:rsidRDefault="000C6890" w:rsidP="00D0108A">
      <w:pPr>
        <w:tabs>
          <w:tab w:val="left" w:pos="1454"/>
        </w:tabs>
        <w:spacing w:after="0" w:line="240" w:lineRule="auto"/>
        <w:jc w:val="both"/>
        <w:rPr>
          <w:rFonts w:ascii="Times New Roman" w:hAnsi="Times New Roman" w:cs="Times New Roman"/>
          <w:sz w:val="28"/>
          <w:szCs w:val="28"/>
        </w:rPr>
      </w:pPr>
      <w:r w:rsidRPr="00D4250A">
        <w:rPr>
          <w:rFonts w:ascii="Times New Roman" w:hAnsi="Times New Roman" w:cs="Times New Roman"/>
          <w:sz w:val="28"/>
          <w:szCs w:val="28"/>
        </w:rPr>
        <w:t>Таблица 4</w:t>
      </w:r>
      <w:r w:rsidR="00F57474" w:rsidRPr="00D4250A">
        <w:rPr>
          <w:rFonts w:ascii="Times New Roman" w:hAnsi="Times New Roman" w:cs="Times New Roman"/>
          <w:sz w:val="28"/>
          <w:szCs w:val="28"/>
        </w:rPr>
        <w:t xml:space="preserve"> - Характеристика группы вмешательства и группы контроля по демографическим показателям до проведения аллерген-специфической иммунотерапии</w:t>
      </w:r>
    </w:p>
    <w:p w14:paraId="0468D630" w14:textId="77777777" w:rsidR="00D4250A" w:rsidRPr="00D4250A" w:rsidRDefault="00D4250A" w:rsidP="009F65CA">
      <w:pPr>
        <w:tabs>
          <w:tab w:val="left" w:pos="1454"/>
        </w:tabs>
        <w:spacing w:after="0" w:line="240" w:lineRule="auto"/>
        <w:ind w:firstLine="567"/>
        <w:jc w:val="both"/>
        <w:rPr>
          <w:rFonts w:ascii="Times New Roman" w:hAnsi="Times New Roman" w:cs="Times New Roman"/>
          <w:sz w:val="28"/>
          <w:szCs w:val="28"/>
        </w:rPr>
      </w:pPr>
    </w:p>
    <w:tbl>
      <w:tblPr>
        <w:tblStyle w:val="13"/>
        <w:tblW w:w="4845" w:type="pct"/>
        <w:tblLook w:val="04A0" w:firstRow="1" w:lastRow="0" w:firstColumn="1" w:lastColumn="0" w:noHBand="0" w:noVBand="1"/>
      </w:tblPr>
      <w:tblGrid>
        <w:gridCol w:w="4215"/>
        <w:gridCol w:w="2305"/>
        <w:gridCol w:w="1418"/>
        <w:gridCol w:w="1392"/>
      </w:tblGrid>
      <w:tr w:rsidR="008D404C" w:rsidRPr="002E05C3" w14:paraId="12B17895" w14:textId="77777777" w:rsidTr="0099613A">
        <w:trPr>
          <w:trHeight w:val="472"/>
        </w:trPr>
        <w:tc>
          <w:tcPr>
            <w:tcW w:w="2259" w:type="pct"/>
            <w:hideMark/>
          </w:tcPr>
          <w:p w14:paraId="5E6C1784" w14:textId="77777777" w:rsidR="008D404C" w:rsidRPr="004227E3" w:rsidRDefault="008D404C" w:rsidP="008D404C">
            <w:pPr>
              <w:spacing w:line="256" w:lineRule="auto"/>
              <w:jc w:val="center"/>
              <w:rPr>
                <w:rFonts w:ascii="Times New Roman" w:eastAsia="Times New Roman" w:hAnsi="Times New Roman" w:cs="Times New Roman"/>
                <w:b/>
                <w:sz w:val="24"/>
                <w:szCs w:val="24"/>
                <w:lang w:eastAsia="ru-RU"/>
              </w:rPr>
            </w:pPr>
            <w:r w:rsidRPr="004227E3">
              <w:rPr>
                <w:rFonts w:ascii="Times New Roman" w:eastAsia="Times New Roman" w:hAnsi="Times New Roman" w:cs="Times New Roman"/>
                <w:b/>
                <w:bCs/>
                <w:color w:val="000000"/>
                <w:kern w:val="24"/>
                <w:sz w:val="24"/>
                <w:szCs w:val="24"/>
                <w:lang w:eastAsia="ru-RU"/>
              </w:rPr>
              <w:t>Параметр</w:t>
            </w:r>
          </w:p>
        </w:tc>
        <w:tc>
          <w:tcPr>
            <w:tcW w:w="1235" w:type="pct"/>
            <w:hideMark/>
          </w:tcPr>
          <w:p w14:paraId="73CF1657" w14:textId="77777777" w:rsidR="008D404C" w:rsidRPr="004227E3" w:rsidRDefault="008D404C" w:rsidP="008D404C">
            <w:pPr>
              <w:spacing w:line="256" w:lineRule="auto"/>
              <w:jc w:val="center"/>
              <w:rPr>
                <w:rFonts w:ascii="Times New Roman" w:eastAsia="Times New Roman" w:hAnsi="Times New Roman" w:cs="Times New Roman"/>
                <w:b/>
                <w:sz w:val="24"/>
                <w:szCs w:val="24"/>
                <w:lang w:eastAsia="ru-RU"/>
              </w:rPr>
            </w:pPr>
            <w:r w:rsidRPr="004227E3">
              <w:rPr>
                <w:rFonts w:ascii="Times New Roman" w:eastAsia="Times New Roman" w:hAnsi="Times New Roman" w:cs="Times New Roman"/>
                <w:b/>
                <w:bCs/>
                <w:color w:val="000000"/>
                <w:kern w:val="24"/>
                <w:sz w:val="24"/>
                <w:szCs w:val="24"/>
                <w:lang w:eastAsia="ru-RU"/>
              </w:rPr>
              <w:t>АСИТ+витамин Д</w:t>
            </w:r>
          </w:p>
        </w:tc>
        <w:tc>
          <w:tcPr>
            <w:tcW w:w="760" w:type="pct"/>
            <w:hideMark/>
          </w:tcPr>
          <w:p w14:paraId="6A98FD51" w14:textId="77777777" w:rsidR="008D404C" w:rsidRPr="004227E3" w:rsidRDefault="008D404C" w:rsidP="008D404C">
            <w:pPr>
              <w:spacing w:line="256" w:lineRule="auto"/>
              <w:jc w:val="center"/>
              <w:rPr>
                <w:rFonts w:ascii="Times New Roman" w:eastAsia="Times New Roman" w:hAnsi="Times New Roman" w:cs="Times New Roman"/>
                <w:b/>
                <w:sz w:val="24"/>
                <w:szCs w:val="24"/>
                <w:lang w:eastAsia="ru-RU"/>
              </w:rPr>
            </w:pPr>
            <w:r w:rsidRPr="004227E3">
              <w:rPr>
                <w:rFonts w:ascii="Times New Roman" w:eastAsia="Times New Roman" w:hAnsi="Times New Roman" w:cs="Times New Roman"/>
                <w:b/>
                <w:bCs/>
                <w:color w:val="000000"/>
                <w:kern w:val="24"/>
                <w:sz w:val="24"/>
                <w:szCs w:val="24"/>
                <w:lang w:eastAsia="ru-RU"/>
              </w:rPr>
              <w:t>АСИТ</w:t>
            </w:r>
          </w:p>
        </w:tc>
        <w:tc>
          <w:tcPr>
            <w:tcW w:w="746" w:type="pct"/>
            <w:hideMark/>
          </w:tcPr>
          <w:p w14:paraId="0A3AF40E" w14:textId="77777777" w:rsidR="008D404C" w:rsidRPr="004227E3" w:rsidRDefault="008D404C" w:rsidP="008D404C">
            <w:pPr>
              <w:spacing w:line="256" w:lineRule="auto"/>
              <w:jc w:val="center"/>
              <w:rPr>
                <w:rFonts w:ascii="Times New Roman" w:eastAsia="Times New Roman" w:hAnsi="Times New Roman" w:cs="Times New Roman"/>
                <w:b/>
                <w:sz w:val="24"/>
                <w:szCs w:val="24"/>
                <w:lang w:eastAsia="ru-RU"/>
              </w:rPr>
            </w:pPr>
            <w:r w:rsidRPr="004227E3">
              <w:rPr>
                <w:rFonts w:ascii="Times New Roman" w:eastAsia="Times New Roman" w:hAnsi="Times New Roman" w:cs="Times New Roman"/>
                <w:b/>
                <w:bCs/>
                <w:color w:val="000000"/>
                <w:kern w:val="24"/>
                <w:sz w:val="24"/>
                <w:szCs w:val="24"/>
                <w:lang w:val="en-US" w:eastAsia="ru-RU"/>
              </w:rPr>
              <w:t>p</w:t>
            </w:r>
            <w:r w:rsidRPr="004227E3">
              <w:rPr>
                <w:rFonts w:ascii="Times New Roman" w:eastAsia="Times New Roman" w:hAnsi="Times New Roman" w:cs="Times New Roman"/>
                <w:b/>
                <w:bCs/>
                <w:color w:val="000000"/>
                <w:kern w:val="24"/>
                <w:sz w:val="24"/>
                <w:szCs w:val="24"/>
                <w:lang w:eastAsia="ru-RU"/>
              </w:rPr>
              <w:t>-</w:t>
            </w:r>
            <w:r w:rsidRPr="004227E3">
              <w:rPr>
                <w:rFonts w:ascii="Times New Roman" w:eastAsia="Times New Roman" w:hAnsi="Times New Roman" w:cs="Times New Roman"/>
                <w:b/>
                <w:bCs/>
                <w:color w:val="000000"/>
                <w:kern w:val="24"/>
                <w:sz w:val="24"/>
                <w:szCs w:val="24"/>
                <w:lang w:val="en-US" w:eastAsia="ru-RU"/>
              </w:rPr>
              <w:t>value</w:t>
            </w:r>
          </w:p>
        </w:tc>
      </w:tr>
      <w:tr w:rsidR="008D404C" w:rsidRPr="002E05C3" w14:paraId="5BC81FFD" w14:textId="77777777" w:rsidTr="0099613A">
        <w:trPr>
          <w:trHeight w:val="247"/>
        </w:trPr>
        <w:tc>
          <w:tcPr>
            <w:tcW w:w="2259" w:type="pct"/>
            <w:hideMark/>
          </w:tcPr>
          <w:p w14:paraId="3D6BA826" w14:textId="77777777" w:rsidR="008D404C" w:rsidRPr="002E05C3" w:rsidRDefault="008D404C" w:rsidP="008D404C">
            <w:pPr>
              <w:spacing w:line="256" w:lineRule="auto"/>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bCs/>
                <w:color w:val="000000"/>
                <w:kern w:val="24"/>
                <w:sz w:val="24"/>
                <w:szCs w:val="24"/>
                <w:lang w:eastAsia="ru-RU"/>
              </w:rPr>
              <w:t>Количество пациентов</w:t>
            </w:r>
          </w:p>
        </w:tc>
        <w:tc>
          <w:tcPr>
            <w:tcW w:w="1235" w:type="pct"/>
            <w:hideMark/>
          </w:tcPr>
          <w:p w14:paraId="661E803C" w14:textId="77777777" w:rsidR="008D404C" w:rsidRPr="002E05C3" w:rsidRDefault="008D404C" w:rsidP="008D404C">
            <w:pPr>
              <w:spacing w:line="256" w:lineRule="auto"/>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val="en-US" w:eastAsia="ru-RU"/>
              </w:rPr>
              <w:t>28</w:t>
            </w:r>
          </w:p>
        </w:tc>
        <w:tc>
          <w:tcPr>
            <w:tcW w:w="760" w:type="pct"/>
            <w:hideMark/>
          </w:tcPr>
          <w:p w14:paraId="3B2A741C" w14:textId="77777777" w:rsidR="008D404C" w:rsidRPr="002E05C3" w:rsidRDefault="008D404C" w:rsidP="008D404C">
            <w:pPr>
              <w:spacing w:line="256" w:lineRule="auto"/>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val="en-US" w:eastAsia="ru-RU"/>
              </w:rPr>
              <w:t>27</w:t>
            </w:r>
          </w:p>
        </w:tc>
        <w:tc>
          <w:tcPr>
            <w:tcW w:w="746" w:type="pct"/>
            <w:vMerge w:val="restart"/>
            <w:hideMark/>
          </w:tcPr>
          <w:p w14:paraId="66B528BE" w14:textId="77777777" w:rsidR="008D404C" w:rsidRPr="002E05C3" w:rsidRDefault="008D404C" w:rsidP="008D404C">
            <w:pPr>
              <w:spacing w:line="256" w:lineRule="auto"/>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eastAsia="ru-RU"/>
              </w:rPr>
              <w:t> </w:t>
            </w:r>
          </w:p>
          <w:p w14:paraId="4EE8E14E"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val="en-US" w:eastAsia="ru-RU"/>
              </w:rPr>
              <w:t>p</w:t>
            </w:r>
            <w:r w:rsidRPr="002E05C3">
              <w:rPr>
                <w:rFonts w:ascii="Times New Roman" w:eastAsia="Times New Roman" w:hAnsi="Times New Roman" w:cs="Times New Roman"/>
                <w:color w:val="000000"/>
                <w:kern w:val="24"/>
                <w:sz w:val="24"/>
                <w:szCs w:val="24"/>
                <w:lang w:eastAsia="ru-RU"/>
              </w:rPr>
              <w:t>=0,8</w:t>
            </w:r>
            <w:r w:rsidRPr="002E05C3">
              <w:rPr>
                <w:rFonts w:ascii="Times New Roman" w:eastAsia="Times New Roman" w:hAnsi="Times New Roman" w:cs="Times New Roman"/>
                <w:color w:val="000000"/>
                <w:kern w:val="24"/>
                <w:sz w:val="24"/>
                <w:szCs w:val="24"/>
                <w:lang w:val="en-US" w:eastAsia="ru-RU"/>
              </w:rPr>
              <w:t>*</w:t>
            </w:r>
          </w:p>
          <w:p w14:paraId="571856D5" w14:textId="77777777" w:rsidR="008D404C" w:rsidRPr="002E05C3" w:rsidRDefault="008D404C" w:rsidP="008D404C">
            <w:pPr>
              <w:spacing w:line="256" w:lineRule="auto"/>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val="en-US" w:eastAsia="ru-RU"/>
              </w:rPr>
              <w:t> </w:t>
            </w:r>
          </w:p>
        </w:tc>
      </w:tr>
      <w:tr w:rsidR="008D404C" w:rsidRPr="002E05C3" w14:paraId="74B6EC46" w14:textId="77777777" w:rsidTr="0099613A">
        <w:trPr>
          <w:trHeight w:val="1196"/>
        </w:trPr>
        <w:tc>
          <w:tcPr>
            <w:tcW w:w="2259" w:type="pct"/>
            <w:hideMark/>
          </w:tcPr>
          <w:p w14:paraId="27801B5B"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bCs/>
                <w:color w:val="000000"/>
                <w:kern w:val="24"/>
                <w:sz w:val="24"/>
                <w:szCs w:val="24"/>
                <w:lang w:eastAsia="ru-RU"/>
              </w:rPr>
              <w:t>Пол (м/ж), абс, (%)</w:t>
            </w:r>
          </w:p>
          <w:p w14:paraId="78A641DB"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bCs/>
                <w:color w:val="000000"/>
                <w:kern w:val="24"/>
                <w:sz w:val="24"/>
                <w:szCs w:val="24"/>
                <w:lang w:eastAsia="ru-RU"/>
              </w:rPr>
              <w:t>Мужской</w:t>
            </w:r>
          </w:p>
          <w:p w14:paraId="1D39598F"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bCs/>
                <w:color w:val="000000"/>
                <w:kern w:val="24"/>
                <w:sz w:val="24"/>
                <w:szCs w:val="24"/>
                <w:lang w:eastAsia="ru-RU"/>
              </w:rPr>
              <w:t>Женский</w:t>
            </w:r>
          </w:p>
        </w:tc>
        <w:tc>
          <w:tcPr>
            <w:tcW w:w="1235" w:type="pct"/>
            <w:hideMark/>
          </w:tcPr>
          <w:p w14:paraId="3C2D851D"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eastAsia="ru-RU"/>
              </w:rPr>
              <w:t> </w:t>
            </w:r>
          </w:p>
          <w:p w14:paraId="39586BEC"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eastAsia="ru-RU"/>
              </w:rPr>
              <w:t>15 (54%)</w:t>
            </w:r>
          </w:p>
          <w:p w14:paraId="10311407"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eastAsia="ru-RU"/>
              </w:rPr>
              <w:t>13 (46%)</w:t>
            </w:r>
          </w:p>
        </w:tc>
        <w:tc>
          <w:tcPr>
            <w:tcW w:w="760" w:type="pct"/>
            <w:hideMark/>
          </w:tcPr>
          <w:p w14:paraId="45DA1B79" w14:textId="6FEB7D8A"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p>
          <w:p w14:paraId="5B5CBD02"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val="en-US" w:eastAsia="ru-RU"/>
              </w:rPr>
              <w:t>13 (48%)</w:t>
            </w:r>
          </w:p>
          <w:p w14:paraId="0FCBDD95"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val="en-US" w:eastAsia="ru-RU"/>
              </w:rPr>
              <w:t>14 (52%)</w:t>
            </w:r>
          </w:p>
        </w:tc>
        <w:tc>
          <w:tcPr>
            <w:tcW w:w="746" w:type="pct"/>
            <w:vMerge/>
            <w:hideMark/>
          </w:tcPr>
          <w:p w14:paraId="1B00472B" w14:textId="77777777" w:rsidR="008D404C" w:rsidRPr="002E05C3" w:rsidRDefault="008D404C" w:rsidP="008D404C">
            <w:pPr>
              <w:rPr>
                <w:rFonts w:ascii="Times New Roman" w:eastAsia="Times New Roman" w:hAnsi="Times New Roman" w:cs="Times New Roman"/>
                <w:sz w:val="24"/>
                <w:szCs w:val="24"/>
                <w:lang w:eastAsia="ru-RU"/>
              </w:rPr>
            </w:pPr>
          </w:p>
        </w:tc>
      </w:tr>
      <w:tr w:rsidR="008D404C" w:rsidRPr="002E05C3" w14:paraId="63F59432" w14:textId="77777777" w:rsidTr="0099613A">
        <w:trPr>
          <w:trHeight w:val="165"/>
        </w:trPr>
        <w:tc>
          <w:tcPr>
            <w:tcW w:w="2259" w:type="pct"/>
            <w:hideMark/>
          </w:tcPr>
          <w:p w14:paraId="2893275A"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bCs/>
                <w:color w:val="000000"/>
                <w:kern w:val="24"/>
                <w:sz w:val="24"/>
                <w:szCs w:val="24"/>
                <w:lang w:eastAsia="ru-RU"/>
              </w:rPr>
              <w:t>Возраст, лет (среднее ±</w:t>
            </w:r>
            <w:r w:rsidRPr="002E05C3">
              <w:rPr>
                <w:rFonts w:ascii="Times New Roman" w:eastAsia="Times New Roman" w:hAnsi="Times New Roman" w:cs="Times New Roman"/>
                <w:bCs/>
                <w:color w:val="000000"/>
                <w:kern w:val="24"/>
                <w:sz w:val="24"/>
                <w:szCs w:val="24"/>
                <w:lang w:val="en-US" w:eastAsia="ru-RU"/>
              </w:rPr>
              <w:t>SD</w:t>
            </w:r>
            <w:r w:rsidRPr="002E05C3">
              <w:rPr>
                <w:rFonts w:ascii="Times New Roman" w:eastAsia="Times New Roman" w:hAnsi="Times New Roman" w:cs="Times New Roman"/>
                <w:bCs/>
                <w:color w:val="000000"/>
                <w:kern w:val="24"/>
                <w:sz w:val="24"/>
                <w:szCs w:val="24"/>
                <w:lang w:eastAsia="ru-RU"/>
              </w:rPr>
              <w:t>)</w:t>
            </w:r>
          </w:p>
        </w:tc>
        <w:tc>
          <w:tcPr>
            <w:tcW w:w="1235" w:type="pct"/>
            <w:hideMark/>
          </w:tcPr>
          <w:p w14:paraId="30596D28" w14:textId="77777777" w:rsidR="008D404C" w:rsidRPr="002E05C3" w:rsidRDefault="008D404C" w:rsidP="008D404C">
            <w:pPr>
              <w:spacing w:line="256" w:lineRule="auto"/>
              <w:ind w:firstLine="43"/>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eastAsia="ru-RU"/>
              </w:rPr>
              <w:t>35 (±9,4)</w:t>
            </w:r>
          </w:p>
        </w:tc>
        <w:tc>
          <w:tcPr>
            <w:tcW w:w="760" w:type="pct"/>
            <w:hideMark/>
          </w:tcPr>
          <w:p w14:paraId="71BD599E"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eastAsia="ru-RU"/>
              </w:rPr>
              <w:t>36 (±9,5)</w:t>
            </w:r>
          </w:p>
        </w:tc>
        <w:tc>
          <w:tcPr>
            <w:tcW w:w="746" w:type="pct"/>
            <w:hideMark/>
          </w:tcPr>
          <w:p w14:paraId="0823E42F"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val="en-US" w:eastAsia="ru-RU"/>
              </w:rPr>
              <w:t>p</w:t>
            </w:r>
            <w:r w:rsidRPr="002E05C3">
              <w:rPr>
                <w:rFonts w:ascii="Times New Roman" w:eastAsia="Times New Roman" w:hAnsi="Times New Roman" w:cs="Times New Roman"/>
                <w:color w:val="000000"/>
                <w:kern w:val="24"/>
                <w:sz w:val="24"/>
                <w:szCs w:val="24"/>
                <w:lang w:eastAsia="ru-RU"/>
              </w:rPr>
              <w:t>=0,6</w:t>
            </w:r>
            <w:r w:rsidRPr="002E05C3">
              <w:rPr>
                <w:rFonts w:ascii="Times New Roman" w:eastAsia="Times New Roman" w:hAnsi="Times New Roman" w:cs="Times New Roman"/>
                <w:color w:val="000000"/>
                <w:kern w:val="24"/>
                <w:sz w:val="24"/>
                <w:szCs w:val="24"/>
                <w:lang w:val="en-US" w:eastAsia="ru-RU"/>
              </w:rPr>
              <w:sym w:font="Symbol" w:char="F0A2"/>
            </w:r>
          </w:p>
        </w:tc>
      </w:tr>
      <w:tr w:rsidR="008D404C" w:rsidRPr="002E05C3" w14:paraId="61C525C8" w14:textId="77777777" w:rsidTr="0099613A">
        <w:trPr>
          <w:trHeight w:val="609"/>
        </w:trPr>
        <w:tc>
          <w:tcPr>
            <w:tcW w:w="2259" w:type="pct"/>
            <w:hideMark/>
          </w:tcPr>
          <w:p w14:paraId="5F433A0C" w14:textId="77777777" w:rsidR="008D404C" w:rsidRPr="002E05C3" w:rsidRDefault="008D404C" w:rsidP="008D404C">
            <w:pPr>
              <w:spacing w:line="256" w:lineRule="auto"/>
              <w:ind w:firstLine="43"/>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bCs/>
                <w:color w:val="000000"/>
                <w:kern w:val="24"/>
                <w:sz w:val="24"/>
                <w:szCs w:val="24"/>
                <w:lang w:eastAsia="ru-RU"/>
              </w:rPr>
              <w:t>Аллергоанамнез, абс, (%)</w:t>
            </w:r>
          </w:p>
          <w:p w14:paraId="3116D02D" w14:textId="77777777" w:rsidR="008D404C" w:rsidRPr="002E05C3" w:rsidRDefault="008D404C" w:rsidP="008D404C">
            <w:pPr>
              <w:spacing w:line="256" w:lineRule="auto"/>
              <w:ind w:firstLine="43"/>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bCs/>
                <w:color w:val="000000"/>
                <w:kern w:val="24"/>
                <w:sz w:val="24"/>
                <w:szCs w:val="24"/>
                <w:lang w:eastAsia="ru-RU"/>
              </w:rPr>
              <w:t>Положительный</w:t>
            </w:r>
          </w:p>
          <w:p w14:paraId="533D24D0" w14:textId="77777777" w:rsidR="008D404C" w:rsidRPr="002E05C3" w:rsidRDefault="008D404C" w:rsidP="008D404C">
            <w:pPr>
              <w:spacing w:line="256" w:lineRule="auto"/>
              <w:ind w:firstLine="43"/>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bCs/>
                <w:color w:val="000000"/>
                <w:kern w:val="24"/>
                <w:sz w:val="24"/>
                <w:szCs w:val="24"/>
                <w:lang w:eastAsia="ru-RU"/>
              </w:rPr>
              <w:t>Отрицательный</w:t>
            </w:r>
          </w:p>
        </w:tc>
        <w:tc>
          <w:tcPr>
            <w:tcW w:w="1235" w:type="pct"/>
            <w:hideMark/>
          </w:tcPr>
          <w:p w14:paraId="6BBA30ED" w14:textId="193C7EEA"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p>
          <w:p w14:paraId="60F3ED7B"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eastAsia="ru-RU"/>
              </w:rPr>
              <w:t>19 (68%)</w:t>
            </w:r>
          </w:p>
          <w:p w14:paraId="08EA6B6B"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eastAsia="ru-RU"/>
              </w:rPr>
              <w:t>9 (32%)</w:t>
            </w:r>
          </w:p>
        </w:tc>
        <w:tc>
          <w:tcPr>
            <w:tcW w:w="760" w:type="pct"/>
            <w:hideMark/>
          </w:tcPr>
          <w:p w14:paraId="24279248" w14:textId="5B58D0EF"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p>
          <w:p w14:paraId="1D23A6A8"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val="en-US" w:eastAsia="ru-RU"/>
              </w:rPr>
              <w:t>20 (74%)</w:t>
            </w:r>
          </w:p>
          <w:p w14:paraId="7BBD2DFB"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val="en-US" w:eastAsia="ru-RU"/>
              </w:rPr>
              <w:t>7 (26%)</w:t>
            </w:r>
          </w:p>
        </w:tc>
        <w:tc>
          <w:tcPr>
            <w:tcW w:w="746" w:type="pct"/>
            <w:hideMark/>
          </w:tcPr>
          <w:p w14:paraId="2399E3CE"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val="en-US" w:eastAsia="ru-RU"/>
              </w:rPr>
              <w:t>p</w:t>
            </w:r>
            <w:r w:rsidRPr="002E05C3">
              <w:rPr>
                <w:rFonts w:ascii="Times New Roman" w:eastAsia="Times New Roman" w:hAnsi="Times New Roman" w:cs="Times New Roman"/>
                <w:color w:val="000000"/>
                <w:kern w:val="24"/>
                <w:sz w:val="24"/>
                <w:szCs w:val="24"/>
                <w:lang w:eastAsia="ru-RU"/>
              </w:rPr>
              <w:t>=0,4</w:t>
            </w:r>
            <w:r w:rsidRPr="002E05C3">
              <w:rPr>
                <w:rFonts w:ascii="Times New Roman" w:eastAsia="Times New Roman" w:hAnsi="Times New Roman" w:cs="Times New Roman"/>
                <w:color w:val="000000"/>
                <w:kern w:val="24"/>
                <w:sz w:val="24"/>
                <w:szCs w:val="24"/>
                <w:lang w:val="en-US" w:eastAsia="ru-RU"/>
              </w:rPr>
              <w:t>*</w:t>
            </w:r>
          </w:p>
        </w:tc>
      </w:tr>
      <w:tr w:rsidR="008D404C" w:rsidRPr="002E05C3" w14:paraId="11F61BF7" w14:textId="77777777" w:rsidTr="0099613A">
        <w:trPr>
          <w:trHeight w:val="256"/>
        </w:trPr>
        <w:tc>
          <w:tcPr>
            <w:tcW w:w="2259" w:type="pct"/>
            <w:hideMark/>
          </w:tcPr>
          <w:p w14:paraId="63476297" w14:textId="77777777" w:rsidR="008D404C" w:rsidRPr="002E05C3" w:rsidRDefault="008D404C" w:rsidP="008D404C">
            <w:pPr>
              <w:spacing w:line="256" w:lineRule="auto"/>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bCs/>
                <w:color w:val="000000"/>
                <w:kern w:val="24"/>
                <w:sz w:val="24"/>
                <w:szCs w:val="24"/>
                <w:lang w:eastAsia="ru-RU"/>
              </w:rPr>
              <w:t>Длительность заболевания (</w:t>
            </w:r>
            <w:r w:rsidRPr="002E05C3">
              <w:rPr>
                <w:rFonts w:ascii="Times New Roman" w:eastAsia="Times New Roman" w:hAnsi="Times New Roman" w:cs="Times New Roman"/>
                <w:bCs/>
                <w:color w:val="000000"/>
                <w:kern w:val="24"/>
                <w:sz w:val="24"/>
                <w:szCs w:val="24"/>
                <w:lang w:val="en-US" w:eastAsia="ru-RU"/>
              </w:rPr>
              <w:t>Me</w:t>
            </w:r>
            <w:r w:rsidRPr="002E05C3">
              <w:rPr>
                <w:rFonts w:ascii="Times New Roman" w:eastAsia="Times New Roman" w:hAnsi="Times New Roman" w:cs="Times New Roman"/>
                <w:bCs/>
                <w:color w:val="000000"/>
                <w:kern w:val="24"/>
                <w:sz w:val="24"/>
                <w:szCs w:val="24"/>
                <w:lang w:eastAsia="ru-RU"/>
              </w:rPr>
              <w:t>+</w:t>
            </w:r>
            <w:r w:rsidRPr="002E05C3">
              <w:rPr>
                <w:rFonts w:ascii="Times New Roman" w:eastAsia="Times New Roman" w:hAnsi="Times New Roman" w:cs="Times New Roman"/>
                <w:bCs/>
                <w:color w:val="000000"/>
                <w:kern w:val="24"/>
                <w:sz w:val="24"/>
                <w:szCs w:val="24"/>
                <w:lang w:val="en-US" w:eastAsia="ru-RU"/>
              </w:rPr>
              <w:t>Q</w:t>
            </w:r>
            <w:r w:rsidRPr="002E05C3">
              <w:rPr>
                <w:rFonts w:ascii="Times New Roman" w:eastAsia="Times New Roman" w:hAnsi="Times New Roman" w:cs="Times New Roman"/>
                <w:bCs/>
                <w:color w:val="000000"/>
                <w:kern w:val="24"/>
                <w:position w:val="-7"/>
                <w:sz w:val="24"/>
                <w:szCs w:val="24"/>
                <w:vertAlign w:val="subscript"/>
                <w:lang w:eastAsia="ru-RU"/>
              </w:rPr>
              <w:t>25-75</w:t>
            </w:r>
            <w:r w:rsidRPr="002E05C3">
              <w:rPr>
                <w:rFonts w:ascii="Times New Roman" w:eastAsia="Times New Roman" w:hAnsi="Times New Roman" w:cs="Times New Roman"/>
                <w:bCs/>
                <w:color w:val="000000"/>
                <w:kern w:val="24"/>
                <w:sz w:val="24"/>
                <w:szCs w:val="24"/>
                <w:lang w:eastAsia="ru-RU"/>
              </w:rPr>
              <w:t>)</w:t>
            </w:r>
          </w:p>
        </w:tc>
        <w:tc>
          <w:tcPr>
            <w:tcW w:w="1235" w:type="pct"/>
            <w:hideMark/>
          </w:tcPr>
          <w:p w14:paraId="0083F738" w14:textId="312735D5"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eastAsia="ru-RU"/>
              </w:rPr>
              <w:t>6 (5-7)</w:t>
            </w:r>
          </w:p>
        </w:tc>
        <w:tc>
          <w:tcPr>
            <w:tcW w:w="760" w:type="pct"/>
            <w:hideMark/>
          </w:tcPr>
          <w:p w14:paraId="61AFC93A"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eastAsia="ru-RU"/>
              </w:rPr>
              <w:t> </w:t>
            </w:r>
          </w:p>
          <w:p w14:paraId="2FC7A484"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val="en-US" w:eastAsia="ru-RU"/>
              </w:rPr>
              <w:t>7 (6-9)</w:t>
            </w:r>
          </w:p>
        </w:tc>
        <w:tc>
          <w:tcPr>
            <w:tcW w:w="746" w:type="pct"/>
            <w:hideMark/>
          </w:tcPr>
          <w:p w14:paraId="18FF3738"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val="en-US" w:eastAsia="ru-RU"/>
              </w:rPr>
              <w:t>p=</w:t>
            </w:r>
            <w:r w:rsidRPr="002E05C3">
              <w:rPr>
                <w:rFonts w:ascii="Times New Roman" w:eastAsia="Times New Roman" w:hAnsi="Times New Roman" w:cs="Times New Roman"/>
                <w:color w:val="000000"/>
                <w:kern w:val="24"/>
                <w:sz w:val="24"/>
                <w:szCs w:val="24"/>
                <w:lang w:eastAsia="ru-RU"/>
              </w:rPr>
              <w:t>0,05</w:t>
            </w:r>
            <w:r w:rsidRPr="002E05C3">
              <w:rPr>
                <w:rFonts w:ascii="Times New Roman" w:eastAsia="Times New Roman" w:hAnsi="Times New Roman" w:cs="Times New Roman"/>
                <w:color w:val="000000"/>
                <w:kern w:val="24"/>
                <w:sz w:val="24"/>
                <w:szCs w:val="24"/>
                <w:lang w:val="en-US" w:eastAsia="ru-RU"/>
              </w:rPr>
              <w:sym w:font="Symbol" w:char="F0B0"/>
            </w:r>
          </w:p>
        </w:tc>
      </w:tr>
      <w:tr w:rsidR="008D404C" w:rsidRPr="002E05C3" w14:paraId="1366EF41" w14:textId="77777777" w:rsidTr="0099613A">
        <w:trPr>
          <w:trHeight w:val="640"/>
        </w:trPr>
        <w:tc>
          <w:tcPr>
            <w:tcW w:w="2259" w:type="pct"/>
            <w:hideMark/>
          </w:tcPr>
          <w:p w14:paraId="299B842F" w14:textId="77777777" w:rsidR="008D404C" w:rsidRPr="002E05C3" w:rsidRDefault="008D404C" w:rsidP="008D404C">
            <w:pPr>
              <w:spacing w:line="256" w:lineRule="auto"/>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bCs/>
                <w:color w:val="000000"/>
                <w:kern w:val="24"/>
                <w:sz w:val="24"/>
                <w:szCs w:val="24"/>
                <w:lang w:eastAsia="ru-RU"/>
              </w:rPr>
              <w:t>Количество положительных аллергенов (</w:t>
            </w:r>
            <w:r w:rsidRPr="002E05C3">
              <w:rPr>
                <w:rFonts w:ascii="Times New Roman" w:eastAsia="Times New Roman" w:hAnsi="Times New Roman" w:cs="Times New Roman"/>
                <w:bCs/>
                <w:color w:val="000000"/>
                <w:kern w:val="24"/>
                <w:sz w:val="24"/>
                <w:szCs w:val="24"/>
                <w:lang w:val="en-US" w:eastAsia="ru-RU"/>
              </w:rPr>
              <w:t>Me</w:t>
            </w:r>
            <w:r w:rsidRPr="002E05C3">
              <w:rPr>
                <w:rFonts w:ascii="Times New Roman" w:eastAsia="Times New Roman" w:hAnsi="Times New Roman" w:cs="Times New Roman"/>
                <w:bCs/>
                <w:color w:val="000000"/>
                <w:kern w:val="24"/>
                <w:sz w:val="24"/>
                <w:szCs w:val="24"/>
                <w:lang w:eastAsia="ru-RU"/>
              </w:rPr>
              <w:t>+</w:t>
            </w:r>
            <w:r w:rsidRPr="002E05C3">
              <w:rPr>
                <w:rFonts w:ascii="Times New Roman" w:eastAsia="Times New Roman" w:hAnsi="Times New Roman" w:cs="Times New Roman"/>
                <w:bCs/>
                <w:color w:val="000000"/>
                <w:kern w:val="24"/>
                <w:sz w:val="24"/>
                <w:szCs w:val="24"/>
                <w:lang w:val="en-US" w:eastAsia="ru-RU"/>
              </w:rPr>
              <w:t>Q</w:t>
            </w:r>
            <w:r w:rsidRPr="002E05C3">
              <w:rPr>
                <w:rFonts w:ascii="Times New Roman" w:eastAsia="Times New Roman" w:hAnsi="Times New Roman" w:cs="Times New Roman"/>
                <w:bCs/>
                <w:color w:val="000000"/>
                <w:kern w:val="24"/>
                <w:position w:val="-7"/>
                <w:sz w:val="24"/>
                <w:szCs w:val="24"/>
                <w:vertAlign w:val="subscript"/>
                <w:lang w:eastAsia="ru-RU"/>
              </w:rPr>
              <w:t>25-75</w:t>
            </w:r>
            <w:r w:rsidRPr="002E05C3">
              <w:rPr>
                <w:rFonts w:ascii="Times New Roman" w:eastAsia="Times New Roman" w:hAnsi="Times New Roman" w:cs="Times New Roman"/>
                <w:bCs/>
                <w:color w:val="000000"/>
                <w:kern w:val="24"/>
                <w:sz w:val="24"/>
                <w:szCs w:val="24"/>
                <w:lang w:eastAsia="ru-RU"/>
              </w:rPr>
              <w:t>)</w:t>
            </w:r>
          </w:p>
        </w:tc>
        <w:tc>
          <w:tcPr>
            <w:tcW w:w="1235" w:type="pct"/>
            <w:hideMark/>
          </w:tcPr>
          <w:p w14:paraId="4E2AD46B" w14:textId="797D1629"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p>
          <w:p w14:paraId="5C23E270"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eastAsia="ru-RU"/>
              </w:rPr>
              <w:t>5 (4-9)</w:t>
            </w:r>
          </w:p>
        </w:tc>
        <w:tc>
          <w:tcPr>
            <w:tcW w:w="760" w:type="pct"/>
            <w:hideMark/>
          </w:tcPr>
          <w:p w14:paraId="67B2CD29"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eastAsia="ru-RU"/>
              </w:rPr>
              <w:t> </w:t>
            </w:r>
          </w:p>
          <w:p w14:paraId="51757C01"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val="en-US" w:eastAsia="ru-RU"/>
              </w:rPr>
              <w:t>9 (4-13)</w:t>
            </w:r>
          </w:p>
        </w:tc>
        <w:tc>
          <w:tcPr>
            <w:tcW w:w="746" w:type="pct"/>
            <w:hideMark/>
          </w:tcPr>
          <w:p w14:paraId="23231199" w14:textId="77777777" w:rsidR="008D404C" w:rsidRPr="002E05C3" w:rsidRDefault="008D404C" w:rsidP="008D404C">
            <w:pPr>
              <w:spacing w:line="256" w:lineRule="auto"/>
              <w:ind w:firstLine="144"/>
              <w:jc w:val="center"/>
              <w:rPr>
                <w:rFonts w:ascii="Times New Roman" w:eastAsia="Times New Roman" w:hAnsi="Times New Roman" w:cs="Times New Roman"/>
                <w:sz w:val="24"/>
                <w:szCs w:val="24"/>
                <w:lang w:eastAsia="ru-RU"/>
              </w:rPr>
            </w:pPr>
            <w:r w:rsidRPr="002E05C3">
              <w:rPr>
                <w:rFonts w:ascii="Times New Roman" w:eastAsia="Times New Roman" w:hAnsi="Times New Roman" w:cs="Times New Roman"/>
                <w:color w:val="000000"/>
                <w:kern w:val="24"/>
                <w:sz w:val="24"/>
                <w:szCs w:val="24"/>
                <w:lang w:val="en-US" w:eastAsia="ru-RU"/>
              </w:rPr>
              <w:t>p</w:t>
            </w:r>
            <w:r w:rsidRPr="002E05C3">
              <w:rPr>
                <w:rFonts w:ascii="Times New Roman" w:eastAsia="Times New Roman" w:hAnsi="Times New Roman" w:cs="Times New Roman"/>
                <w:color w:val="000000"/>
                <w:kern w:val="24"/>
                <w:sz w:val="24"/>
                <w:szCs w:val="24"/>
                <w:lang w:eastAsia="ru-RU"/>
              </w:rPr>
              <w:t>=0,2</w:t>
            </w:r>
            <w:r w:rsidRPr="002E05C3">
              <w:rPr>
                <w:rFonts w:ascii="Times New Roman" w:eastAsia="Times New Roman" w:hAnsi="Times New Roman" w:cs="Times New Roman"/>
                <w:color w:val="000000"/>
                <w:kern w:val="24"/>
                <w:sz w:val="24"/>
                <w:szCs w:val="24"/>
                <w:lang w:val="en-US" w:eastAsia="ru-RU"/>
              </w:rPr>
              <w:sym w:font="Symbol" w:char="F0B0"/>
            </w:r>
          </w:p>
        </w:tc>
      </w:tr>
      <w:tr w:rsidR="0099613A" w:rsidRPr="002E05C3" w14:paraId="28F3EADC" w14:textId="77777777" w:rsidTr="0099613A">
        <w:trPr>
          <w:trHeight w:val="640"/>
        </w:trPr>
        <w:tc>
          <w:tcPr>
            <w:tcW w:w="5000" w:type="pct"/>
            <w:gridSpan w:val="4"/>
          </w:tcPr>
          <w:p w14:paraId="1595FE30" w14:textId="77777777" w:rsidR="0099613A" w:rsidRPr="0099613A" w:rsidRDefault="0099613A" w:rsidP="0099613A">
            <w:pPr>
              <w:spacing w:line="256" w:lineRule="auto"/>
              <w:ind w:firstLine="594"/>
              <w:jc w:val="both"/>
              <w:rPr>
                <w:rFonts w:ascii="Times New Roman" w:eastAsia="Times New Roman" w:hAnsi="Times New Roman" w:cs="Times New Roman"/>
                <w:color w:val="000000"/>
                <w:kern w:val="24"/>
                <w:sz w:val="24"/>
                <w:szCs w:val="24"/>
                <w:lang w:eastAsia="ru-RU"/>
              </w:rPr>
            </w:pPr>
            <w:r w:rsidRPr="006B2D4C">
              <w:rPr>
                <w:rFonts w:ascii="Times New Roman" w:eastAsia="Times New Roman" w:hAnsi="Times New Roman" w:cs="Times New Roman"/>
                <w:color w:val="000000"/>
                <w:kern w:val="24"/>
                <w:sz w:val="24"/>
                <w:szCs w:val="24"/>
                <w:lang w:eastAsia="ru-RU"/>
              </w:rPr>
              <w:t>Примечания</w:t>
            </w:r>
            <w:r w:rsidRPr="0099613A">
              <w:rPr>
                <w:rFonts w:ascii="Times New Roman" w:eastAsia="Times New Roman" w:hAnsi="Times New Roman" w:cs="Times New Roman"/>
                <w:color w:val="000000"/>
                <w:kern w:val="24"/>
                <w:sz w:val="24"/>
                <w:szCs w:val="24"/>
                <w:lang w:eastAsia="ru-RU"/>
              </w:rPr>
              <w:t>:</w:t>
            </w:r>
          </w:p>
          <w:p w14:paraId="101D5872" w14:textId="504ED80A" w:rsidR="0099613A" w:rsidRPr="0099613A" w:rsidRDefault="0099613A" w:rsidP="0099613A">
            <w:pPr>
              <w:tabs>
                <w:tab w:val="left" w:pos="1454"/>
              </w:tabs>
              <w:jc w:val="both"/>
              <w:rPr>
                <w:rFonts w:ascii="Times New Roman" w:hAnsi="Times New Roman" w:cs="Times New Roman"/>
                <w:sz w:val="24"/>
                <w:szCs w:val="24"/>
              </w:rPr>
            </w:pPr>
            <w:r w:rsidRPr="0099613A">
              <w:rPr>
                <w:rFonts w:ascii="Times New Roman" w:hAnsi="Times New Roman" w:cs="Times New Roman"/>
                <w:sz w:val="24"/>
                <w:szCs w:val="24"/>
              </w:rPr>
              <w:t>1 * сравнение между группами статистический критерий хи-квадрат</w:t>
            </w:r>
          </w:p>
          <w:p w14:paraId="50D6C709" w14:textId="4368C2B4" w:rsidR="0099613A" w:rsidRPr="0099613A" w:rsidRDefault="0099613A" w:rsidP="0099613A">
            <w:pPr>
              <w:tabs>
                <w:tab w:val="left" w:pos="1454"/>
              </w:tabs>
              <w:jc w:val="both"/>
              <w:rPr>
                <w:rFonts w:ascii="Times New Roman" w:hAnsi="Times New Roman" w:cs="Times New Roman"/>
                <w:sz w:val="24"/>
                <w:szCs w:val="24"/>
              </w:rPr>
            </w:pPr>
            <w:r w:rsidRPr="0099613A">
              <w:rPr>
                <w:rFonts w:ascii="Times New Roman" w:hAnsi="Times New Roman" w:cs="Times New Roman"/>
                <w:sz w:val="24"/>
                <w:szCs w:val="24"/>
              </w:rPr>
              <w:t xml:space="preserve">2 </w:t>
            </w:r>
            <w:r w:rsidRPr="0099613A">
              <w:rPr>
                <w:rFonts w:ascii="Times New Roman" w:hAnsi="Times New Roman" w:cs="Times New Roman"/>
                <w:sz w:val="24"/>
                <w:szCs w:val="24"/>
              </w:rPr>
              <w:sym w:font="Symbol" w:char="F0A2"/>
            </w:r>
            <w:r w:rsidRPr="0099613A">
              <w:rPr>
                <w:rFonts w:ascii="Times New Roman" w:hAnsi="Times New Roman" w:cs="Times New Roman"/>
                <w:sz w:val="24"/>
                <w:szCs w:val="24"/>
              </w:rPr>
              <w:t xml:space="preserve"> сравнение между группами статистический критерий Стьюдента</w:t>
            </w:r>
          </w:p>
          <w:p w14:paraId="34FEAB07" w14:textId="5CB6F4D9" w:rsidR="0099613A" w:rsidRPr="0099613A" w:rsidRDefault="0099613A" w:rsidP="0099613A">
            <w:pPr>
              <w:tabs>
                <w:tab w:val="left" w:pos="1454"/>
              </w:tabs>
              <w:jc w:val="both"/>
              <w:rPr>
                <w:rFonts w:ascii="Times New Roman" w:hAnsi="Times New Roman" w:cs="Times New Roman"/>
              </w:rPr>
            </w:pPr>
            <w:r w:rsidRPr="0099613A">
              <w:rPr>
                <w:rFonts w:ascii="Times New Roman" w:hAnsi="Times New Roman" w:cs="Times New Roman"/>
                <w:sz w:val="24"/>
                <w:szCs w:val="24"/>
              </w:rPr>
              <w:t xml:space="preserve">3 </w:t>
            </w:r>
            <w:r w:rsidRPr="0099613A">
              <w:rPr>
                <w:rFonts w:ascii="Times New Roman" w:hAnsi="Times New Roman" w:cs="Times New Roman"/>
                <w:sz w:val="24"/>
                <w:szCs w:val="24"/>
              </w:rPr>
              <w:sym w:font="Symbol" w:char="F0B0"/>
            </w:r>
            <w:r w:rsidRPr="0099613A">
              <w:rPr>
                <w:rFonts w:ascii="Times New Roman" w:hAnsi="Times New Roman" w:cs="Times New Roman"/>
                <w:sz w:val="24"/>
                <w:szCs w:val="24"/>
              </w:rPr>
              <w:t xml:space="preserve"> сравнение между группами статистический критерий Манна-Уитни</w:t>
            </w:r>
          </w:p>
        </w:tc>
      </w:tr>
    </w:tbl>
    <w:p w14:paraId="39586942" w14:textId="77777777" w:rsidR="00F57474" w:rsidRPr="00D4250A" w:rsidRDefault="00F57474" w:rsidP="00E42398">
      <w:pPr>
        <w:spacing w:after="0" w:line="240" w:lineRule="auto"/>
        <w:ind w:firstLine="567"/>
        <w:rPr>
          <w:rFonts w:ascii="Times New Roman" w:hAnsi="Times New Roman" w:cs="Times New Roman"/>
          <w:sz w:val="28"/>
          <w:szCs w:val="28"/>
        </w:rPr>
      </w:pPr>
    </w:p>
    <w:p w14:paraId="4CA54739" w14:textId="1833907C" w:rsidR="00015FE3" w:rsidRPr="00005DDC" w:rsidRDefault="00015FE3" w:rsidP="00E42398">
      <w:pPr>
        <w:spacing w:after="0" w:line="240" w:lineRule="auto"/>
        <w:ind w:firstLine="567"/>
        <w:jc w:val="both"/>
        <w:rPr>
          <w:rFonts w:ascii="Times New Roman" w:hAnsi="Times New Roman" w:cs="Times New Roman"/>
          <w:sz w:val="28"/>
          <w:szCs w:val="28"/>
        </w:rPr>
      </w:pPr>
      <w:r w:rsidRPr="00005DDC">
        <w:rPr>
          <w:rFonts w:ascii="Times New Roman" w:hAnsi="Times New Roman" w:cs="Times New Roman"/>
          <w:sz w:val="28"/>
          <w:szCs w:val="28"/>
        </w:rPr>
        <w:t>В таблице 5 представлено количественное и процентное соотношение выявленных аллергенов. П</w:t>
      </w:r>
      <w:r w:rsidRPr="00005DDC">
        <w:rPr>
          <w:rFonts w:ascii="Times New Roman" w:eastAsia="Calibri" w:hAnsi="Times New Roman" w:cs="Times New Roman"/>
          <w:sz w:val="28"/>
          <w:szCs w:val="28"/>
        </w:rPr>
        <w:t>оказывает, что обе группы были сопоставимы перед началом исследования по показателям количественному соотношению выявленных аллергенов.</w:t>
      </w:r>
      <w:r w:rsidR="0007459B">
        <w:rPr>
          <w:rFonts w:ascii="Times New Roman" w:eastAsia="Calibri" w:hAnsi="Times New Roman" w:cs="Times New Roman"/>
          <w:sz w:val="28"/>
          <w:szCs w:val="28"/>
        </w:rPr>
        <w:t xml:space="preserve"> </w:t>
      </w:r>
      <w:r w:rsidRPr="00005DDC">
        <w:rPr>
          <w:rFonts w:ascii="Times New Roman" w:hAnsi="Times New Roman" w:cs="Times New Roman"/>
          <w:sz w:val="28"/>
          <w:szCs w:val="28"/>
        </w:rPr>
        <w:t xml:space="preserve">Необходимо отметить, что подавляющее большинство пациентов в основной и сравнительной группах имеют сенсибилизацию к мажорным компонентам аллергенов трав тимофеевка, полынь и амброзия в обеих группах. </w:t>
      </w:r>
    </w:p>
    <w:p w14:paraId="6BC32886" w14:textId="77777777" w:rsidR="00015FE3" w:rsidRPr="00005DDC" w:rsidRDefault="00015FE3" w:rsidP="00015FE3">
      <w:pPr>
        <w:spacing w:after="0" w:line="240" w:lineRule="auto"/>
        <w:ind w:firstLine="708"/>
        <w:jc w:val="center"/>
        <w:rPr>
          <w:rFonts w:ascii="Times New Roman" w:hAnsi="Times New Roman" w:cs="Times New Roman"/>
          <w:b/>
          <w:sz w:val="28"/>
          <w:szCs w:val="28"/>
        </w:rPr>
      </w:pPr>
    </w:p>
    <w:p w14:paraId="7BAA3E14" w14:textId="1C291031" w:rsidR="00015FE3" w:rsidRPr="00005DDC" w:rsidRDefault="00015FE3" w:rsidP="00D0108A">
      <w:pPr>
        <w:spacing w:after="0" w:line="240" w:lineRule="auto"/>
        <w:jc w:val="both"/>
        <w:rPr>
          <w:rFonts w:ascii="Times New Roman" w:hAnsi="Times New Roman" w:cs="Times New Roman"/>
          <w:sz w:val="28"/>
          <w:szCs w:val="28"/>
        </w:rPr>
      </w:pPr>
      <w:r w:rsidRPr="00005DDC">
        <w:rPr>
          <w:rFonts w:ascii="Times New Roman" w:hAnsi="Times New Roman" w:cs="Times New Roman"/>
          <w:sz w:val="28"/>
          <w:szCs w:val="28"/>
        </w:rPr>
        <w:t xml:space="preserve">Таблица 5 - Характеристика по статусу специфического ИГЕ к ингаляционным аллергенам у пациентов с сезонным аллергическим ринитом в Карагандинской области </w:t>
      </w:r>
    </w:p>
    <w:p w14:paraId="6E5ED667" w14:textId="77777777" w:rsidR="00015FE3" w:rsidRPr="00005DDC" w:rsidRDefault="00015FE3" w:rsidP="00015FE3">
      <w:pPr>
        <w:spacing w:after="0" w:line="240" w:lineRule="auto"/>
        <w:ind w:firstLine="708"/>
        <w:jc w:val="both"/>
        <w:rPr>
          <w:rFonts w:ascii="Times New Roman" w:hAnsi="Times New Roman" w:cs="Times New Roman"/>
          <w:sz w:val="28"/>
          <w:szCs w:val="28"/>
        </w:rPr>
      </w:pPr>
    </w:p>
    <w:tbl>
      <w:tblPr>
        <w:tblStyle w:val="140"/>
        <w:tblW w:w="4911" w:type="pct"/>
        <w:tblInd w:w="0" w:type="dxa"/>
        <w:tblLook w:val="04A0" w:firstRow="1" w:lastRow="0" w:firstColumn="1" w:lastColumn="0" w:noHBand="0" w:noVBand="1"/>
      </w:tblPr>
      <w:tblGrid>
        <w:gridCol w:w="1841"/>
        <w:gridCol w:w="1598"/>
        <w:gridCol w:w="2850"/>
        <w:gridCol w:w="1078"/>
        <w:gridCol w:w="492"/>
        <w:gridCol w:w="927"/>
        <w:gridCol w:w="671"/>
      </w:tblGrid>
      <w:tr w:rsidR="00015FE3" w:rsidRPr="00005DDC" w14:paraId="0F7B7D8B" w14:textId="77777777" w:rsidTr="00CF4EB5">
        <w:tc>
          <w:tcPr>
            <w:tcW w:w="1818" w:type="pct"/>
            <w:gridSpan w:val="2"/>
            <w:vMerge w:val="restart"/>
          </w:tcPr>
          <w:p w14:paraId="4D1C8671" w14:textId="77777777" w:rsidR="00015FE3" w:rsidRPr="00005DDC" w:rsidRDefault="00015FE3" w:rsidP="00015FE3">
            <w:pPr>
              <w:jc w:val="center"/>
              <w:rPr>
                <w:rFonts w:ascii="Times New Roman" w:hAnsi="Times New Roman"/>
                <w:b/>
                <w:sz w:val="24"/>
                <w:szCs w:val="20"/>
              </w:rPr>
            </w:pPr>
            <w:r w:rsidRPr="00005DDC">
              <w:rPr>
                <w:rFonts w:ascii="Times New Roman" w:hAnsi="Times New Roman"/>
                <w:b/>
                <w:sz w:val="24"/>
                <w:szCs w:val="20"/>
              </w:rPr>
              <w:t>Специфический ИгЕ</w:t>
            </w:r>
          </w:p>
        </w:tc>
        <w:tc>
          <w:tcPr>
            <w:tcW w:w="1507" w:type="pct"/>
            <w:vMerge w:val="restart"/>
          </w:tcPr>
          <w:p w14:paraId="5A5E7C95" w14:textId="77777777" w:rsidR="00015FE3" w:rsidRPr="00005DDC" w:rsidRDefault="00015FE3" w:rsidP="00015FE3">
            <w:pPr>
              <w:jc w:val="center"/>
              <w:rPr>
                <w:rFonts w:ascii="Times New Roman" w:hAnsi="Times New Roman"/>
                <w:b/>
                <w:sz w:val="24"/>
                <w:szCs w:val="20"/>
              </w:rPr>
            </w:pPr>
            <w:r w:rsidRPr="00005DDC">
              <w:rPr>
                <w:rFonts w:ascii="Times New Roman" w:hAnsi="Times New Roman"/>
                <w:b/>
                <w:sz w:val="24"/>
                <w:szCs w:val="20"/>
              </w:rPr>
              <w:t>Маркер</w:t>
            </w:r>
          </w:p>
        </w:tc>
        <w:tc>
          <w:tcPr>
            <w:tcW w:w="830" w:type="pct"/>
            <w:gridSpan w:val="2"/>
          </w:tcPr>
          <w:p w14:paraId="75DE50AB" w14:textId="77777777" w:rsidR="00015FE3" w:rsidRPr="00005DDC" w:rsidRDefault="00015FE3" w:rsidP="00015FE3">
            <w:pPr>
              <w:jc w:val="center"/>
              <w:rPr>
                <w:rFonts w:ascii="Times New Roman" w:hAnsi="Times New Roman"/>
                <w:b/>
                <w:sz w:val="24"/>
                <w:szCs w:val="20"/>
              </w:rPr>
            </w:pPr>
            <w:r w:rsidRPr="00005DDC">
              <w:rPr>
                <w:rFonts w:ascii="Times New Roman" w:hAnsi="Times New Roman"/>
                <w:b/>
                <w:sz w:val="24"/>
                <w:szCs w:val="20"/>
              </w:rPr>
              <w:t>1 группа</w:t>
            </w:r>
          </w:p>
        </w:tc>
        <w:tc>
          <w:tcPr>
            <w:tcW w:w="846" w:type="pct"/>
            <w:gridSpan w:val="2"/>
          </w:tcPr>
          <w:p w14:paraId="6CC9A994" w14:textId="77777777" w:rsidR="00015FE3" w:rsidRPr="00005DDC" w:rsidRDefault="00015FE3" w:rsidP="00015FE3">
            <w:pPr>
              <w:jc w:val="center"/>
              <w:rPr>
                <w:rFonts w:ascii="Times New Roman" w:hAnsi="Times New Roman"/>
                <w:b/>
                <w:sz w:val="24"/>
                <w:szCs w:val="20"/>
              </w:rPr>
            </w:pPr>
            <w:r w:rsidRPr="00005DDC">
              <w:rPr>
                <w:rFonts w:ascii="Times New Roman" w:hAnsi="Times New Roman"/>
                <w:b/>
                <w:sz w:val="24"/>
                <w:szCs w:val="20"/>
              </w:rPr>
              <w:t>2 группа</w:t>
            </w:r>
          </w:p>
        </w:tc>
      </w:tr>
      <w:tr w:rsidR="00015FE3" w:rsidRPr="00005DDC" w14:paraId="14FF53E6" w14:textId="77777777" w:rsidTr="00CF4EB5">
        <w:tc>
          <w:tcPr>
            <w:tcW w:w="1818" w:type="pct"/>
            <w:gridSpan w:val="2"/>
            <w:vMerge/>
          </w:tcPr>
          <w:p w14:paraId="0F8BEAD5" w14:textId="77777777" w:rsidR="00015FE3" w:rsidRPr="00005DDC" w:rsidRDefault="00015FE3" w:rsidP="00015FE3">
            <w:pPr>
              <w:jc w:val="center"/>
              <w:rPr>
                <w:rFonts w:ascii="Times New Roman" w:hAnsi="Times New Roman"/>
                <w:sz w:val="24"/>
                <w:szCs w:val="20"/>
              </w:rPr>
            </w:pPr>
          </w:p>
        </w:tc>
        <w:tc>
          <w:tcPr>
            <w:tcW w:w="1507" w:type="pct"/>
            <w:vMerge/>
          </w:tcPr>
          <w:p w14:paraId="05BC9CBD" w14:textId="77777777" w:rsidR="00015FE3" w:rsidRPr="00005DDC" w:rsidRDefault="00015FE3" w:rsidP="00015FE3">
            <w:pPr>
              <w:jc w:val="center"/>
              <w:rPr>
                <w:rFonts w:ascii="Times New Roman" w:hAnsi="Times New Roman"/>
                <w:sz w:val="24"/>
                <w:szCs w:val="20"/>
              </w:rPr>
            </w:pPr>
          </w:p>
        </w:tc>
        <w:tc>
          <w:tcPr>
            <w:tcW w:w="570" w:type="pct"/>
          </w:tcPr>
          <w:p w14:paraId="2FD5AA58" w14:textId="77777777" w:rsidR="00015FE3" w:rsidRPr="00005DDC" w:rsidRDefault="00015FE3" w:rsidP="00015FE3">
            <w:pPr>
              <w:jc w:val="center"/>
              <w:rPr>
                <w:rFonts w:ascii="Times New Roman" w:hAnsi="Times New Roman"/>
                <w:sz w:val="24"/>
                <w:szCs w:val="20"/>
              </w:rPr>
            </w:pPr>
            <w:r w:rsidRPr="00005DDC">
              <w:rPr>
                <w:rFonts w:ascii="Times New Roman" w:hAnsi="Times New Roman"/>
                <w:sz w:val="24"/>
                <w:szCs w:val="20"/>
              </w:rPr>
              <w:t>Кол-во</w:t>
            </w:r>
          </w:p>
        </w:tc>
        <w:tc>
          <w:tcPr>
            <w:tcW w:w="259" w:type="pct"/>
          </w:tcPr>
          <w:p w14:paraId="32F4C7D6" w14:textId="77777777" w:rsidR="00015FE3" w:rsidRPr="00005DDC" w:rsidRDefault="00015FE3" w:rsidP="00015FE3">
            <w:pPr>
              <w:jc w:val="center"/>
              <w:rPr>
                <w:rFonts w:ascii="Times New Roman" w:hAnsi="Times New Roman"/>
                <w:sz w:val="24"/>
                <w:szCs w:val="20"/>
                <w:lang w:val="en-US"/>
              </w:rPr>
            </w:pPr>
            <w:r w:rsidRPr="00005DDC">
              <w:rPr>
                <w:rFonts w:ascii="Times New Roman" w:hAnsi="Times New Roman"/>
                <w:sz w:val="24"/>
                <w:szCs w:val="20"/>
                <w:lang w:val="en-US"/>
              </w:rPr>
              <w:t>%</w:t>
            </w:r>
          </w:p>
        </w:tc>
        <w:tc>
          <w:tcPr>
            <w:tcW w:w="490" w:type="pct"/>
          </w:tcPr>
          <w:p w14:paraId="73A33CB9" w14:textId="77777777" w:rsidR="00015FE3" w:rsidRPr="00005DDC" w:rsidRDefault="00015FE3" w:rsidP="00015FE3">
            <w:pPr>
              <w:ind w:left="-11"/>
              <w:jc w:val="center"/>
              <w:rPr>
                <w:rFonts w:ascii="Times New Roman" w:hAnsi="Times New Roman"/>
                <w:sz w:val="24"/>
                <w:szCs w:val="20"/>
              </w:rPr>
            </w:pPr>
            <w:r w:rsidRPr="00005DDC">
              <w:rPr>
                <w:rFonts w:ascii="Times New Roman" w:hAnsi="Times New Roman"/>
                <w:sz w:val="24"/>
                <w:szCs w:val="20"/>
              </w:rPr>
              <w:t>Кол-во</w:t>
            </w:r>
          </w:p>
        </w:tc>
        <w:tc>
          <w:tcPr>
            <w:tcW w:w="353" w:type="pct"/>
          </w:tcPr>
          <w:p w14:paraId="585D7932" w14:textId="77777777" w:rsidR="00015FE3" w:rsidRPr="00005DDC" w:rsidRDefault="00015FE3" w:rsidP="00015FE3">
            <w:pPr>
              <w:jc w:val="center"/>
              <w:rPr>
                <w:rFonts w:ascii="Times New Roman" w:hAnsi="Times New Roman"/>
                <w:sz w:val="24"/>
                <w:szCs w:val="20"/>
                <w:lang w:val="en-US"/>
              </w:rPr>
            </w:pPr>
            <w:r w:rsidRPr="00005DDC">
              <w:rPr>
                <w:rFonts w:ascii="Times New Roman" w:hAnsi="Times New Roman"/>
                <w:sz w:val="24"/>
                <w:szCs w:val="20"/>
                <w:lang w:val="en-US"/>
              </w:rPr>
              <w:t>%</w:t>
            </w:r>
          </w:p>
        </w:tc>
      </w:tr>
      <w:tr w:rsidR="00015FE3" w:rsidRPr="00005DDC" w14:paraId="314E9F74" w14:textId="77777777" w:rsidTr="00CF4EB5">
        <w:tc>
          <w:tcPr>
            <w:tcW w:w="973" w:type="pct"/>
            <w:vMerge w:val="restart"/>
          </w:tcPr>
          <w:p w14:paraId="22426524"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тимофеевка</w:t>
            </w:r>
          </w:p>
        </w:tc>
        <w:tc>
          <w:tcPr>
            <w:tcW w:w="844" w:type="pct"/>
            <w:vAlign w:val="center"/>
          </w:tcPr>
          <w:p w14:paraId="682ECD99"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rPhl p 1</w:t>
            </w:r>
          </w:p>
        </w:tc>
        <w:tc>
          <w:tcPr>
            <w:tcW w:w="1507" w:type="pct"/>
          </w:tcPr>
          <w:p w14:paraId="66925746"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мажорный</w:t>
            </w:r>
          </w:p>
        </w:tc>
        <w:tc>
          <w:tcPr>
            <w:tcW w:w="570" w:type="pct"/>
            <w:vAlign w:val="center"/>
          </w:tcPr>
          <w:p w14:paraId="172AF977"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17</w:t>
            </w:r>
          </w:p>
        </w:tc>
        <w:tc>
          <w:tcPr>
            <w:tcW w:w="259" w:type="pct"/>
            <w:vAlign w:val="center"/>
          </w:tcPr>
          <w:p w14:paraId="66B10652"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68</w:t>
            </w:r>
          </w:p>
        </w:tc>
        <w:tc>
          <w:tcPr>
            <w:tcW w:w="490" w:type="pct"/>
            <w:vAlign w:val="center"/>
          </w:tcPr>
          <w:p w14:paraId="304C6B8E"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18</w:t>
            </w:r>
          </w:p>
        </w:tc>
        <w:tc>
          <w:tcPr>
            <w:tcW w:w="353" w:type="pct"/>
            <w:vAlign w:val="center"/>
          </w:tcPr>
          <w:p w14:paraId="7EC6F269"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69,2</w:t>
            </w:r>
          </w:p>
        </w:tc>
      </w:tr>
      <w:tr w:rsidR="00015FE3" w:rsidRPr="00005DDC" w14:paraId="60C3DBAE" w14:textId="77777777" w:rsidTr="00CF4EB5">
        <w:tc>
          <w:tcPr>
            <w:tcW w:w="973" w:type="pct"/>
            <w:vMerge/>
          </w:tcPr>
          <w:p w14:paraId="304801FA" w14:textId="77777777" w:rsidR="00015FE3" w:rsidRPr="00005DDC" w:rsidRDefault="00015FE3" w:rsidP="00015FE3">
            <w:pPr>
              <w:jc w:val="center"/>
              <w:rPr>
                <w:rFonts w:ascii="Times New Roman" w:hAnsi="Times New Roman"/>
                <w:color w:val="000000"/>
                <w:sz w:val="24"/>
                <w:szCs w:val="20"/>
              </w:rPr>
            </w:pPr>
          </w:p>
        </w:tc>
        <w:tc>
          <w:tcPr>
            <w:tcW w:w="844" w:type="pct"/>
            <w:vAlign w:val="center"/>
          </w:tcPr>
          <w:p w14:paraId="5580AFAE"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rPhl p 2</w:t>
            </w:r>
          </w:p>
        </w:tc>
        <w:tc>
          <w:tcPr>
            <w:tcW w:w="1507" w:type="pct"/>
          </w:tcPr>
          <w:p w14:paraId="44E09A93"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минорный</w:t>
            </w:r>
          </w:p>
        </w:tc>
        <w:tc>
          <w:tcPr>
            <w:tcW w:w="570" w:type="pct"/>
            <w:vAlign w:val="center"/>
          </w:tcPr>
          <w:p w14:paraId="7796D69C"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4</w:t>
            </w:r>
          </w:p>
        </w:tc>
        <w:tc>
          <w:tcPr>
            <w:tcW w:w="259" w:type="pct"/>
            <w:vAlign w:val="center"/>
          </w:tcPr>
          <w:p w14:paraId="70B41D5F"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16</w:t>
            </w:r>
          </w:p>
        </w:tc>
        <w:tc>
          <w:tcPr>
            <w:tcW w:w="490" w:type="pct"/>
            <w:vAlign w:val="center"/>
          </w:tcPr>
          <w:p w14:paraId="48D7CBB5"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2</w:t>
            </w:r>
          </w:p>
        </w:tc>
        <w:tc>
          <w:tcPr>
            <w:tcW w:w="353" w:type="pct"/>
            <w:vAlign w:val="center"/>
          </w:tcPr>
          <w:p w14:paraId="19AEC4E2"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7,6</w:t>
            </w:r>
          </w:p>
        </w:tc>
      </w:tr>
      <w:tr w:rsidR="00015FE3" w:rsidRPr="00005DDC" w14:paraId="275FB4DD" w14:textId="77777777" w:rsidTr="00CF4EB5">
        <w:tc>
          <w:tcPr>
            <w:tcW w:w="973" w:type="pct"/>
            <w:vMerge/>
          </w:tcPr>
          <w:p w14:paraId="54CF8A49" w14:textId="77777777" w:rsidR="00015FE3" w:rsidRPr="00005DDC" w:rsidRDefault="00015FE3" w:rsidP="00015FE3">
            <w:pPr>
              <w:jc w:val="center"/>
              <w:rPr>
                <w:rFonts w:ascii="Times New Roman" w:hAnsi="Times New Roman"/>
                <w:color w:val="000000"/>
                <w:sz w:val="24"/>
                <w:szCs w:val="20"/>
              </w:rPr>
            </w:pPr>
          </w:p>
        </w:tc>
        <w:tc>
          <w:tcPr>
            <w:tcW w:w="844" w:type="pct"/>
            <w:vAlign w:val="center"/>
          </w:tcPr>
          <w:p w14:paraId="38F8F7D3"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rPhl p 4</w:t>
            </w:r>
          </w:p>
        </w:tc>
        <w:tc>
          <w:tcPr>
            <w:tcW w:w="1507" w:type="pct"/>
          </w:tcPr>
          <w:p w14:paraId="4248234F"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минорный</w:t>
            </w:r>
          </w:p>
        </w:tc>
        <w:tc>
          <w:tcPr>
            <w:tcW w:w="570" w:type="pct"/>
            <w:vAlign w:val="center"/>
          </w:tcPr>
          <w:p w14:paraId="647F5661"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3</w:t>
            </w:r>
          </w:p>
        </w:tc>
        <w:tc>
          <w:tcPr>
            <w:tcW w:w="259" w:type="pct"/>
            <w:vAlign w:val="center"/>
          </w:tcPr>
          <w:p w14:paraId="0421A86D"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12</w:t>
            </w:r>
          </w:p>
        </w:tc>
        <w:tc>
          <w:tcPr>
            <w:tcW w:w="490" w:type="pct"/>
            <w:vAlign w:val="center"/>
          </w:tcPr>
          <w:p w14:paraId="1A470144"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4</w:t>
            </w:r>
          </w:p>
        </w:tc>
        <w:tc>
          <w:tcPr>
            <w:tcW w:w="353" w:type="pct"/>
            <w:vAlign w:val="center"/>
          </w:tcPr>
          <w:p w14:paraId="310852DD"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15,3</w:t>
            </w:r>
          </w:p>
        </w:tc>
      </w:tr>
      <w:tr w:rsidR="00015FE3" w:rsidRPr="00005DDC" w14:paraId="01F3F856" w14:textId="77777777" w:rsidTr="00CF4EB5">
        <w:tc>
          <w:tcPr>
            <w:tcW w:w="973" w:type="pct"/>
            <w:vMerge/>
          </w:tcPr>
          <w:p w14:paraId="1DAA4E31" w14:textId="77777777" w:rsidR="00015FE3" w:rsidRPr="00005DDC" w:rsidRDefault="00015FE3" w:rsidP="00015FE3">
            <w:pPr>
              <w:jc w:val="center"/>
              <w:rPr>
                <w:rFonts w:ascii="Times New Roman" w:hAnsi="Times New Roman"/>
                <w:color w:val="000000"/>
                <w:sz w:val="24"/>
                <w:szCs w:val="20"/>
              </w:rPr>
            </w:pPr>
          </w:p>
        </w:tc>
        <w:tc>
          <w:tcPr>
            <w:tcW w:w="844" w:type="pct"/>
            <w:vAlign w:val="center"/>
          </w:tcPr>
          <w:p w14:paraId="2986615A"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rPhl p 5</w:t>
            </w:r>
          </w:p>
        </w:tc>
        <w:tc>
          <w:tcPr>
            <w:tcW w:w="1507" w:type="pct"/>
          </w:tcPr>
          <w:p w14:paraId="23519256"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мажорный</w:t>
            </w:r>
          </w:p>
        </w:tc>
        <w:tc>
          <w:tcPr>
            <w:tcW w:w="570" w:type="pct"/>
            <w:vAlign w:val="center"/>
          </w:tcPr>
          <w:p w14:paraId="0B67C284"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5</w:t>
            </w:r>
          </w:p>
        </w:tc>
        <w:tc>
          <w:tcPr>
            <w:tcW w:w="259" w:type="pct"/>
            <w:vAlign w:val="center"/>
          </w:tcPr>
          <w:p w14:paraId="269DEA31"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20</w:t>
            </w:r>
          </w:p>
        </w:tc>
        <w:tc>
          <w:tcPr>
            <w:tcW w:w="490" w:type="pct"/>
            <w:vAlign w:val="center"/>
          </w:tcPr>
          <w:p w14:paraId="132E2209"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4</w:t>
            </w:r>
          </w:p>
        </w:tc>
        <w:tc>
          <w:tcPr>
            <w:tcW w:w="353" w:type="pct"/>
            <w:vAlign w:val="center"/>
          </w:tcPr>
          <w:p w14:paraId="6BDC6AA4"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15,3</w:t>
            </w:r>
          </w:p>
        </w:tc>
      </w:tr>
      <w:tr w:rsidR="00015FE3" w:rsidRPr="00005DDC" w14:paraId="29529C65" w14:textId="77777777" w:rsidTr="00CF4EB5">
        <w:tc>
          <w:tcPr>
            <w:tcW w:w="973" w:type="pct"/>
            <w:vMerge/>
          </w:tcPr>
          <w:p w14:paraId="078ABE4F" w14:textId="77777777" w:rsidR="00015FE3" w:rsidRPr="00005DDC" w:rsidRDefault="00015FE3" w:rsidP="00015FE3">
            <w:pPr>
              <w:jc w:val="center"/>
              <w:rPr>
                <w:rFonts w:ascii="Times New Roman" w:hAnsi="Times New Roman"/>
                <w:color w:val="000000"/>
                <w:sz w:val="24"/>
                <w:szCs w:val="20"/>
              </w:rPr>
            </w:pPr>
          </w:p>
        </w:tc>
        <w:tc>
          <w:tcPr>
            <w:tcW w:w="844" w:type="pct"/>
            <w:vAlign w:val="center"/>
          </w:tcPr>
          <w:p w14:paraId="70B37F9E"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rPhl p 6</w:t>
            </w:r>
          </w:p>
        </w:tc>
        <w:tc>
          <w:tcPr>
            <w:tcW w:w="1507" w:type="pct"/>
          </w:tcPr>
          <w:p w14:paraId="3133B398"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минорный</w:t>
            </w:r>
          </w:p>
        </w:tc>
        <w:tc>
          <w:tcPr>
            <w:tcW w:w="570" w:type="pct"/>
            <w:vAlign w:val="center"/>
          </w:tcPr>
          <w:p w14:paraId="277DABCE"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4</w:t>
            </w:r>
          </w:p>
        </w:tc>
        <w:tc>
          <w:tcPr>
            <w:tcW w:w="259" w:type="pct"/>
            <w:vAlign w:val="center"/>
          </w:tcPr>
          <w:p w14:paraId="1B34D2A8"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16</w:t>
            </w:r>
          </w:p>
        </w:tc>
        <w:tc>
          <w:tcPr>
            <w:tcW w:w="490" w:type="pct"/>
            <w:vAlign w:val="center"/>
          </w:tcPr>
          <w:p w14:paraId="5482422F"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w:t>
            </w:r>
          </w:p>
        </w:tc>
        <w:tc>
          <w:tcPr>
            <w:tcW w:w="353" w:type="pct"/>
            <w:vAlign w:val="center"/>
          </w:tcPr>
          <w:p w14:paraId="2431E609"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3,8</w:t>
            </w:r>
          </w:p>
        </w:tc>
      </w:tr>
      <w:tr w:rsidR="00015FE3" w:rsidRPr="00005DDC" w14:paraId="337FFD0A" w14:textId="77777777" w:rsidTr="00CF4EB5">
        <w:tc>
          <w:tcPr>
            <w:tcW w:w="973" w:type="pct"/>
            <w:vMerge/>
          </w:tcPr>
          <w:p w14:paraId="6146A036" w14:textId="77777777" w:rsidR="00015FE3" w:rsidRPr="00005DDC" w:rsidRDefault="00015FE3" w:rsidP="00015FE3">
            <w:pPr>
              <w:jc w:val="center"/>
              <w:rPr>
                <w:rFonts w:ascii="Times New Roman" w:hAnsi="Times New Roman"/>
                <w:color w:val="000000"/>
                <w:sz w:val="24"/>
                <w:szCs w:val="20"/>
              </w:rPr>
            </w:pPr>
          </w:p>
        </w:tc>
        <w:tc>
          <w:tcPr>
            <w:tcW w:w="844" w:type="pct"/>
            <w:vAlign w:val="center"/>
          </w:tcPr>
          <w:p w14:paraId="6D7D296E"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rPhl p 11</w:t>
            </w:r>
          </w:p>
        </w:tc>
        <w:tc>
          <w:tcPr>
            <w:tcW w:w="1507" w:type="pct"/>
          </w:tcPr>
          <w:p w14:paraId="75AB5DCA"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минорный</w:t>
            </w:r>
          </w:p>
        </w:tc>
        <w:tc>
          <w:tcPr>
            <w:tcW w:w="570" w:type="pct"/>
            <w:vAlign w:val="center"/>
          </w:tcPr>
          <w:p w14:paraId="4A39FFE6"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w:t>
            </w:r>
          </w:p>
        </w:tc>
        <w:tc>
          <w:tcPr>
            <w:tcW w:w="259" w:type="pct"/>
            <w:vAlign w:val="center"/>
          </w:tcPr>
          <w:p w14:paraId="2E1AFB97"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4</w:t>
            </w:r>
          </w:p>
        </w:tc>
        <w:tc>
          <w:tcPr>
            <w:tcW w:w="490" w:type="pct"/>
            <w:vAlign w:val="center"/>
          </w:tcPr>
          <w:p w14:paraId="5C328BF2"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w:t>
            </w:r>
          </w:p>
        </w:tc>
        <w:tc>
          <w:tcPr>
            <w:tcW w:w="353" w:type="pct"/>
            <w:vAlign w:val="center"/>
          </w:tcPr>
          <w:p w14:paraId="1A2FB6AE"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3,84</w:t>
            </w:r>
          </w:p>
        </w:tc>
      </w:tr>
      <w:tr w:rsidR="00015FE3" w:rsidRPr="00005DDC" w14:paraId="67D44BAE" w14:textId="77777777" w:rsidTr="00CF4EB5">
        <w:tc>
          <w:tcPr>
            <w:tcW w:w="973" w:type="pct"/>
            <w:vMerge/>
          </w:tcPr>
          <w:p w14:paraId="501B3B94" w14:textId="77777777" w:rsidR="00015FE3" w:rsidRPr="00005DDC" w:rsidRDefault="00015FE3" w:rsidP="00015FE3">
            <w:pPr>
              <w:jc w:val="center"/>
              <w:rPr>
                <w:rFonts w:ascii="Times New Roman" w:hAnsi="Times New Roman"/>
                <w:color w:val="000000"/>
                <w:sz w:val="24"/>
                <w:szCs w:val="20"/>
              </w:rPr>
            </w:pPr>
          </w:p>
        </w:tc>
        <w:tc>
          <w:tcPr>
            <w:tcW w:w="844" w:type="pct"/>
            <w:vAlign w:val="center"/>
          </w:tcPr>
          <w:p w14:paraId="3FC97987"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rPhl p 12</w:t>
            </w:r>
          </w:p>
        </w:tc>
        <w:tc>
          <w:tcPr>
            <w:tcW w:w="1507" w:type="pct"/>
          </w:tcPr>
          <w:p w14:paraId="2F4804F0" w14:textId="77777777" w:rsidR="00015FE3" w:rsidRPr="00005DDC" w:rsidRDefault="00015FE3" w:rsidP="00015FE3">
            <w:pPr>
              <w:ind w:left="-106"/>
              <w:jc w:val="center"/>
              <w:rPr>
                <w:rFonts w:ascii="Times New Roman" w:hAnsi="Times New Roman"/>
                <w:color w:val="000000"/>
                <w:sz w:val="24"/>
                <w:szCs w:val="20"/>
              </w:rPr>
            </w:pPr>
            <w:r w:rsidRPr="00005DDC">
              <w:rPr>
                <w:rFonts w:ascii="Times New Roman" w:hAnsi="Times New Roman"/>
                <w:color w:val="000000"/>
                <w:sz w:val="24"/>
                <w:szCs w:val="20"/>
              </w:rPr>
              <w:t>минорный перекрёстный</w:t>
            </w:r>
          </w:p>
        </w:tc>
        <w:tc>
          <w:tcPr>
            <w:tcW w:w="570" w:type="pct"/>
            <w:vAlign w:val="center"/>
          </w:tcPr>
          <w:p w14:paraId="78F23D4E"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w:t>
            </w:r>
          </w:p>
        </w:tc>
        <w:tc>
          <w:tcPr>
            <w:tcW w:w="259" w:type="pct"/>
            <w:vAlign w:val="center"/>
          </w:tcPr>
          <w:p w14:paraId="0026DC8A"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4</w:t>
            </w:r>
          </w:p>
        </w:tc>
        <w:tc>
          <w:tcPr>
            <w:tcW w:w="490" w:type="pct"/>
            <w:vAlign w:val="center"/>
          </w:tcPr>
          <w:p w14:paraId="6DE74FB4"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7</w:t>
            </w:r>
          </w:p>
        </w:tc>
        <w:tc>
          <w:tcPr>
            <w:tcW w:w="353" w:type="pct"/>
            <w:vAlign w:val="center"/>
          </w:tcPr>
          <w:p w14:paraId="5DE9A7B9"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26,9</w:t>
            </w:r>
          </w:p>
        </w:tc>
      </w:tr>
      <w:tr w:rsidR="00015FE3" w:rsidRPr="00005DDC" w14:paraId="542BA4DF" w14:textId="77777777" w:rsidTr="00CF4EB5">
        <w:tc>
          <w:tcPr>
            <w:tcW w:w="973" w:type="pct"/>
            <w:vMerge w:val="restart"/>
          </w:tcPr>
          <w:p w14:paraId="56684C7E"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береза</w:t>
            </w:r>
          </w:p>
        </w:tc>
        <w:tc>
          <w:tcPr>
            <w:tcW w:w="844" w:type="pct"/>
            <w:vAlign w:val="center"/>
          </w:tcPr>
          <w:p w14:paraId="7A4B6865"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rBet v 1</w:t>
            </w:r>
          </w:p>
        </w:tc>
        <w:tc>
          <w:tcPr>
            <w:tcW w:w="1507" w:type="pct"/>
          </w:tcPr>
          <w:p w14:paraId="39F0D6BD" w14:textId="77777777" w:rsidR="00015FE3" w:rsidRPr="00005DDC" w:rsidRDefault="00015FE3" w:rsidP="00015FE3">
            <w:pPr>
              <w:ind w:left="-106"/>
              <w:jc w:val="center"/>
              <w:rPr>
                <w:rFonts w:ascii="Times New Roman" w:hAnsi="Times New Roman"/>
                <w:color w:val="000000"/>
                <w:sz w:val="24"/>
                <w:szCs w:val="20"/>
              </w:rPr>
            </w:pPr>
            <w:r w:rsidRPr="00005DDC">
              <w:rPr>
                <w:rFonts w:ascii="Times New Roman" w:hAnsi="Times New Roman"/>
                <w:color w:val="000000"/>
                <w:sz w:val="24"/>
                <w:szCs w:val="20"/>
              </w:rPr>
              <w:t>мажорный</w:t>
            </w:r>
          </w:p>
          <w:p w14:paraId="676AE7CD" w14:textId="77777777" w:rsidR="00015FE3" w:rsidRPr="00005DDC" w:rsidRDefault="00015FE3" w:rsidP="00015FE3">
            <w:pPr>
              <w:ind w:left="-106"/>
              <w:jc w:val="center"/>
              <w:rPr>
                <w:rFonts w:ascii="Times New Roman" w:hAnsi="Times New Roman"/>
                <w:color w:val="000000"/>
                <w:sz w:val="24"/>
                <w:szCs w:val="20"/>
              </w:rPr>
            </w:pPr>
            <w:r w:rsidRPr="00005DDC">
              <w:rPr>
                <w:rFonts w:ascii="Times New Roman" w:hAnsi="Times New Roman"/>
                <w:color w:val="000000"/>
                <w:sz w:val="24"/>
                <w:szCs w:val="20"/>
              </w:rPr>
              <w:t>перекрёстный</w:t>
            </w:r>
          </w:p>
        </w:tc>
        <w:tc>
          <w:tcPr>
            <w:tcW w:w="570" w:type="pct"/>
            <w:vAlign w:val="center"/>
          </w:tcPr>
          <w:p w14:paraId="0B4B86D5"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5</w:t>
            </w:r>
          </w:p>
        </w:tc>
        <w:tc>
          <w:tcPr>
            <w:tcW w:w="259" w:type="pct"/>
            <w:vAlign w:val="center"/>
          </w:tcPr>
          <w:p w14:paraId="6B80474F"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20</w:t>
            </w:r>
          </w:p>
        </w:tc>
        <w:tc>
          <w:tcPr>
            <w:tcW w:w="490" w:type="pct"/>
            <w:vAlign w:val="center"/>
          </w:tcPr>
          <w:p w14:paraId="333C88CD"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7</w:t>
            </w:r>
          </w:p>
        </w:tc>
        <w:tc>
          <w:tcPr>
            <w:tcW w:w="353" w:type="pct"/>
            <w:vAlign w:val="center"/>
          </w:tcPr>
          <w:p w14:paraId="3458F7EA"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26,9</w:t>
            </w:r>
          </w:p>
        </w:tc>
      </w:tr>
      <w:tr w:rsidR="00015FE3" w:rsidRPr="00005DDC" w14:paraId="64267E86" w14:textId="77777777" w:rsidTr="00CF4EB5">
        <w:tc>
          <w:tcPr>
            <w:tcW w:w="973" w:type="pct"/>
            <w:vMerge/>
          </w:tcPr>
          <w:p w14:paraId="2960E930" w14:textId="77777777" w:rsidR="00015FE3" w:rsidRPr="00005DDC" w:rsidRDefault="00015FE3" w:rsidP="00015FE3">
            <w:pPr>
              <w:jc w:val="center"/>
              <w:rPr>
                <w:rFonts w:ascii="Times New Roman" w:hAnsi="Times New Roman"/>
                <w:color w:val="000000"/>
                <w:sz w:val="24"/>
                <w:szCs w:val="20"/>
              </w:rPr>
            </w:pPr>
          </w:p>
        </w:tc>
        <w:tc>
          <w:tcPr>
            <w:tcW w:w="844" w:type="pct"/>
            <w:vAlign w:val="center"/>
          </w:tcPr>
          <w:p w14:paraId="05DE98AE"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rBet v 2</w:t>
            </w:r>
          </w:p>
        </w:tc>
        <w:tc>
          <w:tcPr>
            <w:tcW w:w="1507" w:type="pct"/>
          </w:tcPr>
          <w:p w14:paraId="4793EE34" w14:textId="77777777" w:rsidR="00015FE3" w:rsidRPr="00005DDC" w:rsidRDefault="00015FE3" w:rsidP="00015FE3">
            <w:pPr>
              <w:ind w:left="-106"/>
              <w:jc w:val="center"/>
              <w:rPr>
                <w:rFonts w:ascii="Times New Roman" w:hAnsi="Times New Roman"/>
                <w:sz w:val="24"/>
                <w:szCs w:val="20"/>
              </w:rPr>
            </w:pPr>
            <w:r w:rsidRPr="00005DDC">
              <w:rPr>
                <w:rFonts w:ascii="Times New Roman" w:hAnsi="Times New Roman"/>
                <w:color w:val="000000"/>
                <w:sz w:val="24"/>
                <w:szCs w:val="20"/>
              </w:rPr>
              <w:t>минорный перекрёстный</w:t>
            </w:r>
          </w:p>
        </w:tc>
        <w:tc>
          <w:tcPr>
            <w:tcW w:w="570" w:type="pct"/>
            <w:vAlign w:val="center"/>
          </w:tcPr>
          <w:p w14:paraId="11261410"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4</w:t>
            </w:r>
          </w:p>
        </w:tc>
        <w:tc>
          <w:tcPr>
            <w:tcW w:w="259" w:type="pct"/>
            <w:vAlign w:val="center"/>
          </w:tcPr>
          <w:p w14:paraId="7CDC751D"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16</w:t>
            </w:r>
          </w:p>
        </w:tc>
        <w:tc>
          <w:tcPr>
            <w:tcW w:w="490" w:type="pct"/>
            <w:vAlign w:val="center"/>
          </w:tcPr>
          <w:p w14:paraId="3085C86E"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12</w:t>
            </w:r>
          </w:p>
        </w:tc>
        <w:tc>
          <w:tcPr>
            <w:tcW w:w="353" w:type="pct"/>
            <w:vAlign w:val="center"/>
          </w:tcPr>
          <w:p w14:paraId="1766F736"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46,1</w:t>
            </w:r>
          </w:p>
        </w:tc>
      </w:tr>
      <w:tr w:rsidR="00015FE3" w:rsidRPr="00005DDC" w14:paraId="5BBB874E" w14:textId="77777777" w:rsidTr="00CF4EB5">
        <w:tc>
          <w:tcPr>
            <w:tcW w:w="973" w:type="pct"/>
            <w:vMerge/>
          </w:tcPr>
          <w:p w14:paraId="33D0C574" w14:textId="77777777" w:rsidR="00015FE3" w:rsidRPr="00005DDC" w:rsidRDefault="00015FE3" w:rsidP="00015FE3">
            <w:pPr>
              <w:jc w:val="center"/>
              <w:rPr>
                <w:rFonts w:ascii="Times New Roman" w:hAnsi="Times New Roman"/>
                <w:color w:val="000000"/>
                <w:sz w:val="24"/>
                <w:szCs w:val="20"/>
              </w:rPr>
            </w:pPr>
          </w:p>
        </w:tc>
        <w:tc>
          <w:tcPr>
            <w:tcW w:w="844" w:type="pct"/>
            <w:vAlign w:val="center"/>
          </w:tcPr>
          <w:p w14:paraId="6B33C6C2"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rBet v 4</w:t>
            </w:r>
          </w:p>
        </w:tc>
        <w:tc>
          <w:tcPr>
            <w:tcW w:w="1507" w:type="pct"/>
          </w:tcPr>
          <w:p w14:paraId="3C5CF597" w14:textId="77777777" w:rsidR="00015FE3" w:rsidRPr="00005DDC" w:rsidRDefault="00015FE3" w:rsidP="00015FE3">
            <w:pPr>
              <w:ind w:left="-106"/>
              <w:jc w:val="center"/>
              <w:rPr>
                <w:rFonts w:ascii="Times New Roman" w:hAnsi="Times New Roman"/>
                <w:sz w:val="24"/>
                <w:szCs w:val="20"/>
              </w:rPr>
            </w:pPr>
            <w:r w:rsidRPr="00005DDC">
              <w:rPr>
                <w:rFonts w:ascii="Times New Roman" w:hAnsi="Times New Roman"/>
                <w:color w:val="000000"/>
                <w:sz w:val="24"/>
                <w:szCs w:val="20"/>
              </w:rPr>
              <w:t>минорный перекрёстный</w:t>
            </w:r>
          </w:p>
        </w:tc>
        <w:tc>
          <w:tcPr>
            <w:tcW w:w="570" w:type="pct"/>
            <w:vAlign w:val="center"/>
          </w:tcPr>
          <w:p w14:paraId="55467819"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0</w:t>
            </w:r>
          </w:p>
        </w:tc>
        <w:tc>
          <w:tcPr>
            <w:tcW w:w="259" w:type="pct"/>
            <w:vAlign w:val="center"/>
          </w:tcPr>
          <w:p w14:paraId="0B7A338C"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0</w:t>
            </w:r>
          </w:p>
        </w:tc>
        <w:tc>
          <w:tcPr>
            <w:tcW w:w="490" w:type="pct"/>
            <w:vAlign w:val="center"/>
          </w:tcPr>
          <w:p w14:paraId="6A183AE1"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w:t>
            </w:r>
          </w:p>
        </w:tc>
        <w:tc>
          <w:tcPr>
            <w:tcW w:w="353" w:type="pct"/>
            <w:vAlign w:val="center"/>
          </w:tcPr>
          <w:p w14:paraId="3E97AC58"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3,8</w:t>
            </w:r>
          </w:p>
        </w:tc>
      </w:tr>
      <w:tr w:rsidR="00015FE3" w:rsidRPr="00005DDC" w14:paraId="55198790" w14:textId="77777777" w:rsidTr="00CF4EB5">
        <w:tc>
          <w:tcPr>
            <w:tcW w:w="973" w:type="pct"/>
            <w:vMerge w:val="restart"/>
          </w:tcPr>
          <w:p w14:paraId="4442A549"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полынь</w:t>
            </w:r>
          </w:p>
        </w:tc>
        <w:tc>
          <w:tcPr>
            <w:tcW w:w="844" w:type="pct"/>
            <w:vAlign w:val="center"/>
          </w:tcPr>
          <w:p w14:paraId="4BCBB537"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nArt v 1</w:t>
            </w:r>
          </w:p>
        </w:tc>
        <w:tc>
          <w:tcPr>
            <w:tcW w:w="1507" w:type="pct"/>
          </w:tcPr>
          <w:p w14:paraId="60F3D4B2"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мажорный</w:t>
            </w:r>
          </w:p>
        </w:tc>
        <w:tc>
          <w:tcPr>
            <w:tcW w:w="570" w:type="pct"/>
            <w:vAlign w:val="center"/>
          </w:tcPr>
          <w:p w14:paraId="0533A914"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15</w:t>
            </w:r>
          </w:p>
        </w:tc>
        <w:tc>
          <w:tcPr>
            <w:tcW w:w="259" w:type="pct"/>
            <w:vAlign w:val="center"/>
          </w:tcPr>
          <w:p w14:paraId="29EA13C6"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60</w:t>
            </w:r>
          </w:p>
        </w:tc>
        <w:tc>
          <w:tcPr>
            <w:tcW w:w="490" w:type="pct"/>
            <w:vAlign w:val="center"/>
          </w:tcPr>
          <w:p w14:paraId="14054C8D"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11</w:t>
            </w:r>
          </w:p>
        </w:tc>
        <w:tc>
          <w:tcPr>
            <w:tcW w:w="353" w:type="pct"/>
            <w:vAlign w:val="center"/>
          </w:tcPr>
          <w:p w14:paraId="2A568ADA"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42,3</w:t>
            </w:r>
          </w:p>
        </w:tc>
      </w:tr>
      <w:tr w:rsidR="00015FE3" w:rsidRPr="00005DDC" w14:paraId="48D465FF" w14:textId="77777777" w:rsidTr="00CF4EB5">
        <w:tc>
          <w:tcPr>
            <w:tcW w:w="973" w:type="pct"/>
            <w:vMerge/>
          </w:tcPr>
          <w:p w14:paraId="4F728C42" w14:textId="77777777" w:rsidR="00015FE3" w:rsidRPr="00005DDC" w:rsidRDefault="00015FE3" w:rsidP="00015FE3">
            <w:pPr>
              <w:jc w:val="center"/>
              <w:rPr>
                <w:rFonts w:ascii="Times New Roman" w:hAnsi="Times New Roman"/>
                <w:color w:val="000000"/>
                <w:sz w:val="24"/>
                <w:szCs w:val="20"/>
              </w:rPr>
            </w:pPr>
          </w:p>
        </w:tc>
        <w:tc>
          <w:tcPr>
            <w:tcW w:w="844" w:type="pct"/>
            <w:vAlign w:val="center"/>
          </w:tcPr>
          <w:p w14:paraId="787B9DDC"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n Art v 3</w:t>
            </w:r>
          </w:p>
        </w:tc>
        <w:tc>
          <w:tcPr>
            <w:tcW w:w="1507" w:type="pct"/>
          </w:tcPr>
          <w:p w14:paraId="3963F19D" w14:textId="77777777" w:rsidR="00015FE3" w:rsidRPr="00005DDC" w:rsidRDefault="00015FE3" w:rsidP="00015FE3">
            <w:pPr>
              <w:ind w:left="-106"/>
              <w:jc w:val="center"/>
              <w:rPr>
                <w:rFonts w:ascii="Times New Roman" w:hAnsi="Times New Roman"/>
                <w:color w:val="000000"/>
                <w:sz w:val="24"/>
                <w:szCs w:val="20"/>
              </w:rPr>
            </w:pPr>
            <w:r w:rsidRPr="00005DDC">
              <w:rPr>
                <w:rFonts w:ascii="Times New Roman" w:hAnsi="Times New Roman"/>
                <w:color w:val="000000"/>
                <w:sz w:val="24"/>
                <w:szCs w:val="20"/>
              </w:rPr>
              <w:t>минорный перекрёстный</w:t>
            </w:r>
          </w:p>
        </w:tc>
        <w:tc>
          <w:tcPr>
            <w:tcW w:w="570" w:type="pct"/>
            <w:vAlign w:val="center"/>
          </w:tcPr>
          <w:p w14:paraId="4A38F511"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7</w:t>
            </w:r>
          </w:p>
        </w:tc>
        <w:tc>
          <w:tcPr>
            <w:tcW w:w="259" w:type="pct"/>
            <w:vAlign w:val="center"/>
          </w:tcPr>
          <w:p w14:paraId="061E6FA3"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28</w:t>
            </w:r>
          </w:p>
        </w:tc>
        <w:tc>
          <w:tcPr>
            <w:tcW w:w="490" w:type="pct"/>
            <w:vAlign w:val="center"/>
          </w:tcPr>
          <w:p w14:paraId="58AD6740"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8</w:t>
            </w:r>
          </w:p>
        </w:tc>
        <w:tc>
          <w:tcPr>
            <w:tcW w:w="353" w:type="pct"/>
            <w:vAlign w:val="center"/>
          </w:tcPr>
          <w:p w14:paraId="0F5EF472"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30,7</w:t>
            </w:r>
          </w:p>
        </w:tc>
      </w:tr>
      <w:tr w:rsidR="00015FE3" w:rsidRPr="00005DDC" w14:paraId="30B15A9E" w14:textId="77777777" w:rsidTr="00CF4EB5">
        <w:tc>
          <w:tcPr>
            <w:tcW w:w="973" w:type="pct"/>
          </w:tcPr>
          <w:p w14:paraId="1759C467"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амброзия</w:t>
            </w:r>
          </w:p>
        </w:tc>
        <w:tc>
          <w:tcPr>
            <w:tcW w:w="844" w:type="pct"/>
            <w:vAlign w:val="center"/>
          </w:tcPr>
          <w:p w14:paraId="69D051F2"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nAmb a 1</w:t>
            </w:r>
          </w:p>
        </w:tc>
        <w:tc>
          <w:tcPr>
            <w:tcW w:w="1507" w:type="pct"/>
          </w:tcPr>
          <w:p w14:paraId="77E4A965"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мажорный</w:t>
            </w:r>
          </w:p>
        </w:tc>
        <w:tc>
          <w:tcPr>
            <w:tcW w:w="570" w:type="pct"/>
            <w:vAlign w:val="center"/>
          </w:tcPr>
          <w:p w14:paraId="1A438AE5"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15</w:t>
            </w:r>
          </w:p>
        </w:tc>
        <w:tc>
          <w:tcPr>
            <w:tcW w:w="259" w:type="pct"/>
            <w:vAlign w:val="center"/>
          </w:tcPr>
          <w:p w14:paraId="2C3428C4"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60</w:t>
            </w:r>
          </w:p>
        </w:tc>
        <w:tc>
          <w:tcPr>
            <w:tcW w:w="490" w:type="pct"/>
            <w:vAlign w:val="center"/>
          </w:tcPr>
          <w:p w14:paraId="680CBC2B"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12</w:t>
            </w:r>
          </w:p>
        </w:tc>
        <w:tc>
          <w:tcPr>
            <w:tcW w:w="353" w:type="pct"/>
            <w:vAlign w:val="center"/>
          </w:tcPr>
          <w:p w14:paraId="4B9BBD13"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46,1</w:t>
            </w:r>
          </w:p>
        </w:tc>
      </w:tr>
      <w:tr w:rsidR="00015FE3" w:rsidRPr="00005DDC" w14:paraId="2EC1DB1C" w14:textId="77777777" w:rsidTr="00CF4EB5">
        <w:tc>
          <w:tcPr>
            <w:tcW w:w="973" w:type="pct"/>
          </w:tcPr>
          <w:p w14:paraId="1EEE3BA3"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курай, русский чертополох</w:t>
            </w:r>
          </w:p>
        </w:tc>
        <w:tc>
          <w:tcPr>
            <w:tcW w:w="844" w:type="pct"/>
            <w:vAlign w:val="center"/>
          </w:tcPr>
          <w:p w14:paraId="3472A6B2"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nSal k 1</w:t>
            </w:r>
          </w:p>
        </w:tc>
        <w:tc>
          <w:tcPr>
            <w:tcW w:w="1507" w:type="pct"/>
          </w:tcPr>
          <w:p w14:paraId="2D71C345"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мажорный</w:t>
            </w:r>
          </w:p>
        </w:tc>
        <w:tc>
          <w:tcPr>
            <w:tcW w:w="570" w:type="pct"/>
            <w:vAlign w:val="center"/>
          </w:tcPr>
          <w:p w14:paraId="005D0849"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4</w:t>
            </w:r>
          </w:p>
        </w:tc>
        <w:tc>
          <w:tcPr>
            <w:tcW w:w="259" w:type="pct"/>
            <w:vAlign w:val="center"/>
          </w:tcPr>
          <w:p w14:paraId="0C13804F"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16</w:t>
            </w:r>
          </w:p>
        </w:tc>
        <w:tc>
          <w:tcPr>
            <w:tcW w:w="490" w:type="pct"/>
            <w:vAlign w:val="center"/>
          </w:tcPr>
          <w:p w14:paraId="632E1B7C"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10</w:t>
            </w:r>
          </w:p>
        </w:tc>
        <w:tc>
          <w:tcPr>
            <w:tcW w:w="353" w:type="pct"/>
            <w:vAlign w:val="center"/>
          </w:tcPr>
          <w:p w14:paraId="7AE14285"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38,4</w:t>
            </w:r>
          </w:p>
        </w:tc>
      </w:tr>
      <w:tr w:rsidR="00015FE3" w:rsidRPr="00005DDC" w14:paraId="48BCF426" w14:textId="77777777" w:rsidTr="00CF4EB5">
        <w:tc>
          <w:tcPr>
            <w:tcW w:w="973" w:type="pct"/>
          </w:tcPr>
          <w:p w14:paraId="5DFF7F23"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подорожник</w:t>
            </w:r>
          </w:p>
        </w:tc>
        <w:tc>
          <w:tcPr>
            <w:tcW w:w="844" w:type="pct"/>
            <w:vAlign w:val="center"/>
          </w:tcPr>
          <w:p w14:paraId="2DBD43DF"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rPla I 1</w:t>
            </w:r>
          </w:p>
        </w:tc>
        <w:tc>
          <w:tcPr>
            <w:tcW w:w="1507" w:type="pct"/>
          </w:tcPr>
          <w:p w14:paraId="50E199E7"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мажорный</w:t>
            </w:r>
          </w:p>
        </w:tc>
        <w:tc>
          <w:tcPr>
            <w:tcW w:w="570" w:type="pct"/>
            <w:vAlign w:val="center"/>
          </w:tcPr>
          <w:p w14:paraId="79DA0F3A"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w:t>
            </w:r>
          </w:p>
        </w:tc>
        <w:tc>
          <w:tcPr>
            <w:tcW w:w="259" w:type="pct"/>
            <w:vAlign w:val="center"/>
          </w:tcPr>
          <w:p w14:paraId="3D871BE2"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4</w:t>
            </w:r>
          </w:p>
        </w:tc>
        <w:tc>
          <w:tcPr>
            <w:tcW w:w="490" w:type="pct"/>
            <w:vAlign w:val="center"/>
          </w:tcPr>
          <w:p w14:paraId="034571AA"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0</w:t>
            </w:r>
          </w:p>
        </w:tc>
        <w:tc>
          <w:tcPr>
            <w:tcW w:w="353" w:type="pct"/>
            <w:vAlign w:val="center"/>
          </w:tcPr>
          <w:p w14:paraId="1A2641F4"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0</w:t>
            </w:r>
          </w:p>
        </w:tc>
      </w:tr>
      <w:tr w:rsidR="00015FE3" w:rsidRPr="00005DDC" w14:paraId="202C0856" w14:textId="77777777" w:rsidTr="00CF4EB5">
        <w:tc>
          <w:tcPr>
            <w:tcW w:w="973" w:type="pct"/>
          </w:tcPr>
          <w:p w14:paraId="13EF43BA"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японский кедр</w:t>
            </w:r>
          </w:p>
        </w:tc>
        <w:tc>
          <w:tcPr>
            <w:tcW w:w="844" w:type="pct"/>
            <w:vAlign w:val="center"/>
          </w:tcPr>
          <w:p w14:paraId="5D05FBF4"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nCry j 1</w:t>
            </w:r>
          </w:p>
        </w:tc>
        <w:tc>
          <w:tcPr>
            <w:tcW w:w="1507" w:type="pct"/>
          </w:tcPr>
          <w:p w14:paraId="499FA11F"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мажорный</w:t>
            </w:r>
          </w:p>
        </w:tc>
        <w:tc>
          <w:tcPr>
            <w:tcW w:w="570" w:type="pct"/>
            <w:vAlign w:val="center"/>
          </w:tcPr>
          <w:p w14:paraId="0BF5082B"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10</w:t>
            </w:r>
          </w:p>
        </w:tc>
        <w:tc>
          <w:tcPr>
            <w:tcW w:w="259" w:type="pct"/>
            <w:vAlign w:val="center"/>
          </w:tcPr>
          <w:p w14:paraId="52470E4B"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40</w:t>
            </w:r>
          </w:p>
        </w:tc>
        <w:tc>
          <w:tcPr>
            <w:tcW w:w="490" w:type="pct"/>
            <w:vAlign w:val="center"/>
          </w:tcPr>
          <w:p w14:paraId="0AFC47B0"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2</w:t>
            </w:r>
          </w:p>
        </w:tc>
        <w:tc>
          <w:tcPr>
            <w:tcW w:w="353" w:type="pct"/>
            <w:vAlign w:val="center"/>
          </w:tcPr>
          <w:p w14:paraId="0B56E8C2"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7,6</w:t>
            </w:r>
          </w:p>
        </w:tc>
      </w:tr>
      <w:tr w:rsidR="00015FE3" w:rsidRPr="00005DDC" w14:paraId="1EC2EF69" w14:textId="77777777" w:rsidTr="00CF4EB5">
        <w:tc>
          <w:tcPr>
            <w:tcW w:w="973" w:type="pct"/>
          </w:tcPr>
          <w:p w14:paraId="54488503"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кипарис</w:t>
            </w:r>
          </w:p>
        </w:tc>
        <w:tc>
          <w:tcPr>
            <w:tcW w:w="844" w:type="pct"/>
            <w:vAlign w:val="center"/>
          </w:tcPr>
          <w:p w14:paraId="7D239FA6"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nCup a 1</w:t>
            </w:r>
          </w:p>
        </w:tc>
        <w:tc>
          <w:tcPr>
            <w:tcW w:w="1507" w:type="pct"/>
          </w:tcPr>
          <w:p w14:paraId="5AB0A228"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мажорный</w:t>
            </w:r>
          </w:p>
        </w:tc>
        <w:tc>
          <w:tcPr>
            <w:tcW w:w="570" w:type="pct"/>
            <w:vAlign w:val="center"/>
          </w:tcPr>
          <w:p w14:paraId="4549C64D"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4</w:t>
            </w:r>
          </w:p>
        </w:tc>
        <w:tc>
          <w:tcPr>
            <w:tcW w:w="259" w:type="pct"/>
            <w:vAlign w:val="center"/>
          </w:tcPr>
          <w:p w14:paraId="3A4955C9"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16</w:t>
            </w:r>
          </w:p>
        </w:tc>
        <w:tc>
          <w:tcPr>
            <w:tcW w:w="490" w:type="pct"/>
            <w:vAlign w:val="center"/>
          </w:tcPr>
          <w:p w14:paraId="2A6CC362"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w:t>
            </w:r>
          </w:p>
        </w:tc>
        <w:tc>
          <w:tcPr>
            <w:tcW w:w="353" w:type="pct"/>
            <w:vAlign w:val="center"/>
          </w:tcPr>
          <w:p w14:paraId="29904565"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3,8</w:t>
            </w:r>
          </w:p>
        </w:tc>
      </w:tr>
      <w:tr w:rsidR="00015FE3" w:rsidRPr="00005DDC" w14:paraId="44882C3A" w14:textId="77777777" w:rsidTr="00CF4EB5">
        <w:tc>
          <w:tcPr>
            <w:tcW w:w="973" w:type="pct"/>
          </w:tcPr>
          <w:p w14:paraId="37676011"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марь</w:t>
            </w:r>
          </w:p>
        </w:tc>
        <w:tc>
          <w:tcPr>
            <w:tcW w:w="844" w:type="pct"/>
            <w:vAlign w:val="center"/>
          </w:tcPr>
          <w:p w14:paraId="13DD4C9D"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rChe a 1</w:t>
            </w:r>
          </w:p>
        </w:tc>
        <w:tc>
          <w:tcPr>
            <w:tcW w:w="1507" w:type="pct"/>
          </w:tcPr>
          <w:p w14:paraId="2BD0CDBF"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мажорный</w:t>
            </w:r>
          </w:p>
        </w:tc>
        <w:tc>
          <w:tcPr>
            <w:tcW w:w="570" w:type="pct"/>
            <w:vAlign w:val="center"/>
          </w:tcPr>
          <w:p w14:paraId="0471E066"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w:t>
            </w:r>
          </w:p>
        </w:tc>
        <w:tc>
          <w:tcPr>
            <w:tcW w:w="259" w:type="pct"/>
            <w:vAlign w:val="center"/>
          </w:tcPr>
          <w:p w14:paraId="1FBA4B86"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4</w:t>
            </w:r>
          </w:p>
        </w:tc>
        <w:tc>
          <w:tcPr>
            <w:tcW w:w="490" w:type="pct"/>
            <w:vAlign w:val="center"/>
          </w:tcPr>
          <w:p w14:paraId="48F01C6F"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2</w:t>
            </w:r>
          </w:p>
        </w:tc>
        <w:tc>
          <w:tcPr>
            <w:tcW w:w="353" w:type="pct"/>
            <w:vAlign w:val="center"/>
          </w:tcPr>
          <w:p w14:paraId="3E7FB67A"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7,6</w:t>
            </w:r>
          </w:p>
        </w:tc>
      </w:tr>
      <w:tr w:rsidR="00015FE3" w:rsidRPr="00005DDC" w14:paraId="642AAA14" w14:textId="77777777" w:rsidTr="00CF4EB5">
        <w:tc>
          <w:tcPr>
            <w:tcW w:w="973" w:type="pct"/>
          </w:tcPr>
          <w:p w14:paraId="371598F8"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ольха</w:t>
            </w:r>
          </w:p>
        </w:tc>
        <w:tc>
          <w:tcPr>
            <w:tcW w:w="844" w:type="pct"/>
            <w:vAlign w:val="center"/>
          </w:tcPr>
          <w:p w14:paraId="529A2B26"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rAln g 1</w:t>
            </w:r>
          </w:p>
        </w:tc>
        <w:tc>
          <w:tcPr>
            <w:tcW w:w="1507" w:type="pct"/>
          </w:tcPr>
          <w:p w14:paraId="7F762E76" w14:textId="77777777" w:rsidR="00015FE3" w:rsidRPr="00005DDC" w:rsidRDefault="00015FE3" w:rsidP="00015FE3">
            <w:pPr>
              <w:ind w:left="-106" w:right="-106"/>
              <w:rPr>
                <w:rFonts w:ascii="Times New Roman" w:hAnsi="Times New Roman"/>
                <w:color w:val="000000"/>
                <w:sz w:val="24"/>
                <w:szCs w:val="20"/>
              </w:rPr>
            </w:pPr>
            <w:r w:rsidRPr="00005DDC">
              <w:rPr>
                <w:rFonts w:ascii="Times New Roman" w:hAnsi="Times New Roman"/>
                <w:color w:val="000000"/>
                <w:sz w:val="24"/>
                <w:szCs w:val="20"/>
              </w:rPr>
              <w:t>мажорный перекрёстный</w:t>
            </w:r>
          </w:p>
        </w:tc>
        <w:tc>
          <w:tcPr>
            <w:tcW w:w="570" w:type="pct"/>
            <w:vAlign w:val="center"/>
          </w:tcPr>
          <w:p w14:paraId="73E16704"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0</w:t>
            </w:r>
          </w:p>
        </w:tc>
        <w:tc>
          <w:tcPr>
            <w:tcW w:w="259" w:type="pct"/>
            <w:vAlign w:val="center"/>
          </w:tcPr>
          <w:p w14:paraId="2939F1ED"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0</w:t>
            </w:r>
          </w:p>
        </w:tc>
        <w:tc>
          <w:tcPr>
            <w:tcW w:w="490" w:type="pct"/>
            <w:vAlign w:val="center"/>
          </w:tcPr>
          <w:p w14:paraId="2F02D31C"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w:t>
            </w:r>
          </w:p>
        </w:tc>
        <w:tc>
          <w:tcPr>
            <w:tcW w:w="353" w:type="pct"/>
            <w:vAlign w:val="center"/>
          </w:tcPr>
          <w:p w14:paraId="1A69B3FD"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3,8</w:t>
            </w:r>
          </w:p>
        </w:tc>
      </w:tr>
      <w:tr w:rsidR="00015FE3" w:rsidRPr="00005DDC" w14:paraId="468EE752" w14:textId="77777777" w:rsidTr="00CF4EB5">
        <w:tc>
          <w:tcPr>
            <w:tcW w:w="973" w:type="pct"/>
          </w:tcPr>
          <w:p w14:paraId="53CBB1CF" w14:textId="77777777" w:rsidR="00015FE3" w:rsidRPr="00005DDC" w:rsidRDefault="00015FE3" w:rsidP="00015FE3">
            <w:pPr>
              <w:ind w:left="-112" w:right="-104"/>
              <w:jc w:val="center"/>
              <w:rPr>
                <w:rFonts w:ascii="Times New Roman" w:hAnsi="Times New Roman"/>
                <w:color w:val="000000"/>
                <w:sz w:val="24"/>
                <w:szCs w:val="20"/>
              </w:rPr>
            </w:pPr>
            <w:r w:rsidRPr="00005DDC">
              <w:rPr>
                <w:rFonts w:ascii="Times New Roman" w:hAnsi="Times New Roman"/>
                <w:color w:val="000000"/>
                <w:sz w:val="24"/>
                <w:szCs w:val="20"/>
              </w:rPr>
              <w:t>пыльца орешника</w:t>
            </w:r>
          </w:p>
        </w:tc>
        <w:tc>
          <w:tcPr>
            <w:tcW w:w="844" w:type="pct"/>
            <w:vAlign w:val="center"/>
          </w:tcPr>
          <w:p w14:paraId="4871254B" w14:textId="77777777" w:rsidR="00015FE3" w:rsidRPr="00005DDC" w:rsidRDefault="00015FE3" w:rsidP="00015FE3">
            <w:pPr>
              <w:ind w:left="-112" w:right="-110"/>
              <w:jc w:val="center"/>
              <w:rPr>
                <w:rFonts w:ascii="Times New Roman" w:hAnsi="Times New Roman"/>
                <w:sz w:val="24"/>
                <w:szCs w:val="20"/>
              </w:rPr>
            </w:pPr>
            <w:r w:rsidRPr="00005DDC">
              <w:rPr>
                <w:rFonts w:ascii="Times New Roman" w:hAnsi="Times New Roman"/>
                <w:color w:val="000000"/>
                <w:sz w:val="24"/>
                <w:szCs w:val="20"/>
              </w:rPr>
              <w:t>rCor a 1.0101</w:t>
            </w:r>
          </w:p>
        </w:tc>
        <w:tc>
          <w:tcPr>
            <w:tcW w:w="1507" w:type="pct"/>
          </w:tcPr>
          <w:p w14:paraId="37B098F2" w14:textId="77777777" w:rsidR="00015FE3" w:rsidRPr="00005DDC" w:rsidRDefault="00015FE3" w:rsidP="00015FE3">
            <w:pPr>
              <w:ind w:left="-106" w:right="-106"/>
              <w:rPr>
                <w:rFonts w:ascii="Times New Roman" w:hAnsi="Times New Roman"/>
                <w:color w:val="000000"/>
                <w:sz w:val="24"/>
                <w:szCs w:val="20"/>
              </w:rPr>
            </w:pPr>
            <w:r w:rsidRPr="00005DDC">
              <w:rPr>
                <w:rFonts w:ascii="Times New Roman" w:hAnsi="Times New Roman"/>
                <w:color w:val="000000"/>
                <w:sz w:val="24"/>
                <w:szCs w:val="20"/>
              </w:rPr>
              <w:t>мажорный перекрёстный</w:t>
            </w:r>
          </w:p>
        </w:tc>
        <w:tc>
          <w:tcPr>
            <w:tcW w:w="570" w:type="pct"/>
            <w:vAlign w:val="center"/>
          </w:tcPr>
          <w:p w14:paraId="0CE84892"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3</w:t>
            </w:r>
          </w:p>
        </w:tc>
        <w:tc>
          <w:tcPr>
            <w:tcW w:w="259" w:type="pct"/>
            <w:vAlign w:val="center"/>
          </w:tcPr>
          <w:p w14:paraId="4634B58C"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12</w:t>
            </w:r>
          </w:p>
        </w:tc>
        <w:tc>
          <w:tcPr>
            <w:tcW w:w="490" w:type="pct"/>
            <w:vAlign w:val="center"/>
          </w:tcPr>
          <w:p w14:paraId="6F2591A6"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2</w:t>
            </w:r>
          </w:p>
        </w:tc>
        <w:tc>
          <w:tcPr>
            <w:tcW w:w="353" w:type="pct"/>
            <w:vAlign w:val="center"/>
          </w:tcPr>
          <w:p w14:paraId="0F518CB0"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7,6</w:t>
            </w:r>
          </w:p>
        </w:tc>
      </w:tr>
      <w:tr w:rsidR="00015FE3" w:rsidRPr="00005DDC" w14:paraId="01A0EE34" w14:textId="77777777" w:rsidTr="00CF4EB5">
        <w:tc>
          <w:tcPr>
            <w:tcW w:w="973" w:type="pct"/>
          </w:tcPr>
          <w:p w14:paraId="734D1525"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свинорой</w:t>
            </w:r>
          </w:p>
        </w:tc>
        <w:tc>
          <w:tcPr>
            <w:tcW w:w="844" w:type="pct"/>
            <w:vAlign w:val="center"/>
          </w:tcPr>
          <w:p w14:paraId="6F311CE8"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nCyn d 1</w:t>
            </w:r>
          </w:p>
        </w:tc>
        <w:tc>
          <w:tcPr>
            <w:tcW w:w="1507" w:type="pct"/>
          </w:tcPr>
          <w:p w14:paraId="4A2EE2D9"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мажорный</w:t>
            </w:r>
          </w:p>
        </w:tc>
        <w:tc>
          <w:tcPr>
            <w:tcW w:w="570" w:type="pct"/>
            <w:vAlign w:val="center"/>
          </w:tcPr>
          <w:p w14:paraId="03C16E56"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9</w:t>
            </w:r>
          </w:p>
        </w:tc>
        <w:tc>
          <w:tcPr>
            <w:tcW w:w="259" w:type="pct"/>
            <w:vAlign w:val="center"/>
          </w:tcPr>
          <w:p w14:paraId="2EB28201"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36</w:t>
            </w:r>
          </w:p>
        </w:tc>
        <w:tc>
          <w:tcPr>
            <w:tcW w:w="490" w:type="pct"/>
            <w:vAlign w:val="center"/>
          </w:tcPr>
          <w:p w14:paraId="11323303"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10</w:t>
            </w:r>
          </w:p>
        </w:tc>
        <w:tc>
          <w:tcPr>
            <w:tcW w:w="353" w:type="pct"/>
            <w:vAlign w:val="center"/>
          </w:tcPr>
          <w:p w14:paraId="4DDBBAFA"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38,4</w:t>
            </w:r>
          </w:p>
        </w:tc>
      </w:tr>
      <w:tr w:rsidR="00015FE3" w:rsidRPr="00005DDC" w14:paraId="4A126BD1" w14:textId="77777777" w:rsidTr="00CF4EB5">
        <w:tc>
          <w:tcPr>
            <w:tcW w:w="973" w:type="pct"/>
            <w:vMerge w:val="restart"/>
          </w:tcPr>
          <w:p w14:paraId="15DEEB27"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платан</w:t>
            </w:r>
          </w:p>
        </w:tc>
        <w:tc>
          <w:tcPr>
            <w:tcW w:w="844" w:type="pct"/>
            <w:vAlign w:val="center"/>
          </w:tcPr>
          <w:p w14:paraId="23EFFBBB"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rPla a 2</w:t>
            </w:r>
          </w:p>
        </w:tc>
        <w:tc>
          <w:tcPr>
            <w:tcW w:w="1507" w:type="pct"/>
          </w:tcPr>
          <w:p w14:paraId="4898FBA1"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минорный</w:t>
            </w:r>
          </w:p>
        </w:tc>
        <w:tc>
          <w:tcPr>
            <w:tcW w:w="570" w:type="pct"/>
            <w:vAlign w:val="center"/>
          </w:tcPr>
          <w:p w14:paraId="2FFA24A5"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2</w:t>
            </w:r>
          </w:p>
        </w:tc>
        <w:tc>
          <w:tcPr>
            <w:tcW w:w="259" w:type="pct"/>
            <w:vAlign w:val="center"/>
          </w:tcPr>
          <w:p w14:paraId="2A5CA54F"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8</w:t>
            </w:r>
          </w:p>
        </w:tc>
        <w:tc>
          <w:tcPr>
            <w:tcW w:w="490" w:type="pct"/>
            <w:vAlign w:val="center"/>
          </w:tcPr>
          <w:p w14:paraId="3F3E9999"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3</w:t>
            </w:r>
          </w:p>
        </w:tc>
        <w:tc>
          <w:tcPr>
            <w:tcW w:w="353" w:type="pct"/>
            <w:vAlign w:val="center"/>
          </w:tcPr>
          <w:p w14:paraId="5F974A83"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11,5</w:t>
            </w:r>
          </w:p>
        </w:tc>
      </w:tr>
      <w:tr w:rsidR="00015FE3" w:rsidRPr="00005DDC" w14:paraId="1556AFCA" w14:textId="77777777" w:rsidTr="00CF4EB5">
        <w:tc>
          <w:tcPr>
            <w:tcW w:w="973" w:type="pct"/>
            <w:vMerge/>
          </w:tcPr>
          <w:p w14:paraId="3FBEFDCD" w14:textId="77777777" w:rsidR="00015FE3" w:rsidRPr="00005DDC" w:rsidRDefault="00015FE3" w:rsidP="00015FE3">
            <w:pPr>
              <w:jc w:val="center"/>
              <w:rPr>
                <w:rFonts w:ascii="Times New Roman" w:hAnsi="Times New Roman"/>
                <w:color w:val="000000"/>
                <w:sz w:val="24"/>
                <w:szCs w:val="20"/>
              </w:rPr>
            </w:pPr>
          </w:p>
        </w:tc>
        <w:tc>
          <w:tcPr>
            <w:tcW w:w="844" w:type="pct"/>
            <w:vAlign w:val="center"/>
          </w:tcPr>
          <w:p w14:paraId="1D1B8940"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rPla a 3</w:t>
            </w:r>
          </w:p>
        </w:tc>
        <w:tc>
          <w:tcPr>
            <w:tcW w:w="1507" w:type="pct"/>
          </w:tcPr>
          <w:p w14:paraId="446D25AE" w14:textId="77777777" w:rsidR="00015FE3" w:rsidRPr="00005DDC" w:rsidRDefault="00015FE3" w:rsidP="00015FE3">
            <w:pPr>
              <w:ind w:left="-106"/>
              <w:jc w:val="center"/>
              <w:rPr>
                <w:rFonts w:ascii="Times New Roman" w:hAnsi="Times New Roman"/>
                <w:color w:val="000000"/>
                <w:sz w:val="24"/>
                <w:szCs w:val="20"/>
              </w:rPr>
            </w:pPr>
            <w:r w:rsidRPr="00005DDC">
              <w:rPr>
                <w:rFonts w:ascii="Times New Roman" w:hAnsi="Times New Roman"/>
                <w:color w:val="000000"/>
                <w:sz w:val="24"/>
                <w:szCs w:val="20"/>
              </w:rPr>
              <w:t>минорный перекрёстный</w:t>
            </w:r>
          </w:p>
        </w:tc>
        <w:tc>
          <w:tcPr>
            <w:tcW w:w="570" w:type="pct"/>
            <w:vAlign w:val="center"/>
          </w:tcPr>
          <w:p w14:paraId="2A4B5E5A"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3</w:t>
            </w:r>
          </w:p>
        </w:tc>
        <w:tc>
          <w:tcPr>
            <w:tcW w:w="259" w:type="pct"/>
            <w:vAlign w:val="center"/>
          </w:tcPr>
          <w:p w14:paraId="286F69E1"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12</w:t>
            </w:r>
          </w:p>
        </w:tc>
        <w:tc>
          <w:tcPr>
            <w:tcW w:w="490" w:type="pct"/>
            <w:vAlign w:val="center"/>
          </w:tcPr>
          <w:p w14:paraId="553DA5A4"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5</w:t>
            </w:r>
          </w:p>
        </w:tc>
        <w:tc>
          <w:tcPr>
            <w:tcW w:w="353" w:type="pct"/>
            <w:vAlign w:val="center"/>
          </w:tcPr>
          <w:p w14:paraId="39087AAA"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19,2</w:t>
            </w:r>
          </w:p>
        </w:tc>
      </w:tr>
      <w:tr w:rsidR="00015FE3" w:rsidRPr="00005DDC" w14:paraId="7FCD1626" w14:textId="77777777" w:rsidTr="00CF4EB5">
        <w:tc>
          <w:tcPr>
            <w:tcW w:w="973" w:type="pct"/>
          </w:tcPr>
          <w:p w14:paraId="39A29EAB" w14:textId="77777777" w:rsidR="00015FE3" w:rsidRPr="00005DDC" w:rsidRDefault="00015FE3" w:rsidP="00015FE3">
            <w:pPr>
              <w:jc w:val="center"/>
              <w:rPr>
                <w:rFonts w:ascii="Times New Roman" w:hAnsi="Times New Roman"/>
                <w:color w:val="000000"/>
                <w:sz w:val="24"/>
                <w:szCs w:val="20"/>
              </w:rPr>
            </w:pPr>
            <w:r w:rsidRPr="00005DDC">
              <w:rPr>
                <w:rFonts w:ascii="Times New Roman" w:hAnsi="Times New Roman"/>
                <w:color w:val="000000"/>
                <w:sz w:val="24"/>
                <w:szCs w:val="20"/>
              </w:rPr>
              <w:t>пролесник</w:t>
            </w:r>
          </w:p>
        </w:tc>
        <w:tc>
          <w:tcPr>
            <w:tcW w:w="844" w:type="pct"/>
            <w:vAlign w:val="center"/>
          </w:tcPr>
          <w:p w14:paraId="2EADC822"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rMer a 1</w:t>
            </w:r>
          </w:p>
        </w:tc>
        <w:tc>
          <w:tcPr>
            <w:tcW w:w="1507" w:type="pct"/>
          </w:tcPr>
          <w:p w14:paraId="5BE39B2A" w14:textId="77777777" w:rsidR="00015FE3" w:rsidRPr="00005DDC" w:rsidRDefault="00015FE3" w:rsidP="00015FE3">
            <w:pPr>
              <w:ind w:left="-106"/>
              <w:jc w:val="center"/>
              <w:rPr>
                <w:rFonts w:ascii="Times New Roman" w:hAnsi="Times New Roman"/>
                <w:color w:val="000000"/>
                <w:sz w:val="24"/>
                <w:szCs w:val="20"/>
              </w:rPr>
            </w:pPr>
            <w:r w:rsidRPr="00005DDC">
              <w:rPr>
                <w:rFonts w:ascii="Times New Roman" w:hAnsi="Times New Roman"/>
                <w:color w:val="000000"/>
                <w:sz w:val="24"/>
                <w:szCs w:val="20"/>
              </w:rPr>
              <w:t>минорный перекрёстный</w:t>
            </w:r>
          </w:p>
        </w:tc>
        <w:tc>
          <w:tcPr>
            <w:tcW w:w="570" w:type="pct"/>
            <w:vAlign w:val="center"/>
          </w:tcPr>
          <w:p w14:paraId="45C479CB"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5</w:t>
            </w:r>
          </w:p>
        </w:tc>
        <w:tc>
          <w:tcPr>
            <w:tcW w:w="259" w:type="pct"/>
            <w:vAlign w:val="center"/>
          </w:tcPr>
          <w:p w14:paraId="1D812AED"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20</w:t>
            </w:r>
          </w:p>
        </w:tc>
        <w:tc>
          <w:tcPr>
            <w:tcW w:w="490" w:type="pct"/>
            <w:vAlign w:val="center"/>
          </w:tcPr>
          <w:p w14:paraId="7F589931"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13</w:t>
            </w:r>
          </w:p>
        </w:tc>
        <w:tc>
          <w:tcPr>
            <w:tcW w:w="353" w:type="pct"/>
            <w:vAlign w:val="center"/>
          </w:tcPr>
          <w:p w14:paraId="04F9D781" w14:textId="77777777" w:rsidR="00015FE3" w:rsidRPr="00005DDC" w:rsidRDefault="00015FE3" w:rsidP="00015FE3">
            <w:pPr>
              <w:jc w:val="center"/>
              <w:rPr>
                <w:rFonts w:ascii="Times New Roman" w:hAnsi="Times New Roman"/>
                <w:sz w:val="24"/>
                <w:szCs w:val="20"/>
              </w:rPr>
            </w:pPr>
            <w:r w:rsidRPr="00005DDC">
              <w:rPr>
                <w:rFonts w:ascii="Times New Roman" w:hAnsi="Times New Roman"/>
                <w:color w:val="000000"/>
                <w:sz w:val="24"/>
                <w:szCs w:val="20"/>
              </w:rPr>
              <w:t>50</w:t>
            </w:r>
          </w:p>
        </w:tc>
      </w:tr>
    </w:tbl>
    <w:p w14:paraId="6582ABB8" w14:textId="77777777" w:rsidR="00015FE3" w:rsidRPr="00005DDC" w:rsidRDefault="00015FE3" w:rsidP="009F65CA">
      <w:pPr>
        <w:spacing w:after="0" w:line="240" w:lineRule="auto"/>
        <w:ind w:firstLine="567"/>
        <w:jc w:val="both"/>
        <w:rPr>
          <w:rFonts w:ascii="Times New Roman" w:hAnsi="Times New Roman" w:cs="Times New Roman"/>
          <w:sz w:val="28"/>
          <w:szCs w:val="28"/>
        </w:rPr>
      </w:pPr>
    </w:p>
    <w:p w14:paraId="0FCAD9C1" w14:textId="38E96AC3" w:rsidR="00F57474" w:rsidRPr="00005DDC" w:rsidRDefault="00F57474" w:rsidP="009F65CA">
      <w:pPr>
        <w:spacing w:after="0" w:line="240" w:lineRule="auto"/>
        <w:ind w:firstLine="567"/>
        <w:jc w:val="both"/>
        <w:rPr>
          <w:rFonts w:ascii="Times New Roman" w:hAnsi="Times New Roman" w:cs="Times New Roman"/>
          <w:i/>
          <w:sz w:val="28"/>
          <w:szCs w:val="28"/>
        </w:rPr>
      </w:pPr>
      <w:r w:rsidRPr="00005DDC">
        <w:rPr>
          <w:rFonts w:ascii="Times New Roman" w:hAnsi="Times New Roman" w:cs="Times New Roman"/>
          <w:i/>
          <w:sz w:val="28"/>
          <w:szCs w:val="28"/>
        </w:rPr>
        <w:t>Характеристика контрольных точек рандомизированного клинического исследования</w:t>
      </w:r>
    </w:p>
    <w:p w14:paraId="353BE334" w14:textId="42D2FBD8" w:rsidR="00F57474" w:rsidRPr="00005DDC" w:rsidRDefault="00F57474" w:rsidP="009F65CA">
      <w:pPr>
        <w:tabs>
          <w:tab w:val="left" w:pos="851"/>
          <w:tab w:val="left" w:pos="993"/>
        </w:tabs>
        <w:spacing w:after="0" w:line="240" w:lineRule="auto"/>
        <w:ind w:firstLine="567"/>
        <w:jc w:val="both"/>
        <w:rPr>
          <w:rFonts w:ascii="Times New Roman" w:hAnsi="Times New Roman" w:cs="Times New Roman"/>
          <w:sz w:val="28"/>
          <w:szCs w:val="28"/>
        </w:rPr>
      </w:pPr>
      <w:r w:rsidRPr="00005DDC">
        <w:rPr>
          <w:rFonts w:ascii="Times New Roman" w:hAnsi="Times New Roman" w:cs="Times New Roman"/>
          <w:sz w:val="28"/>
          <w:szCs w:val="28"/>
        </w:rPr>
        <w:t>Общее время наблюдения составило 15 месяцев. Контрольные точки – период скрининга с июня 2020 г по декабрь 2020 г (0 точка), в начале исследования</w:t>
      </w:r>
      <w:r w:rsidR="009C0DEC" w:rsidRPr="00005DDC">
        <w:rPr>
          <w:rFonts w:ascii="Times New Roman" w:hAnsi="Times New Roman" w:cs="Times New Roman"/>
          <w:sz w:val="28"/>
          <w:szCs w:val="28"/>
        </w:rPr>
        <w:t xml:space="preserve"> в январе 2021 г</w:t>
      </w:r>
      <w:r w:rsidRPr="00005DDC">
        <w:rPr>
          <w:rFonts w:ascii="Times New Roman" w:hAnsi="Times New Roman" w:cs="Times New Roman"/>
          <w:sz w:val="28"/>
          <w:szCs w:val="28"/>
        </w:rPr>
        <w:t xml:space="preserve"> (вход, 1 контрольная точка), контрольное измерение через 2,5 месяца</w:t>
      </w:r>
      <w:r w:rsidR="00F104B8" w:rsidRPr="00005DDC">
        <w:rPr>
          <w:rFonts w:ascii="Times New Roman" w:hAnsi="Times New Roman" w:cs="Times New Roman"/>
          <w:sz w:val="28"/>
          <w:szCs w:val="28"/>
        </w:rPr>
        <w:t xml:space="preserve"> в марте-апреле 2021 г</w:t>
      </w:r>
      <w:r w:rsidRPr="00005DDC">
        <w:rPr>
          <w:rFonts w:ascii="Times New Roman" w:hAnsi="Times New Roman" w:cs="Times New Roman"/>
          <w:sz w:val="28"/>
          <w:szCs w:val="28"/>
        </w:rPr>
        <w:t xml:space="preserve"> (10 недель, 2 контрольная точка), через 8 месяцев</w:t>
      </w:r>
      <w:r w:rsidR="00F104B8" w:rsidRPr="00005DDC">
        <w:rPr>
          <w:rFonts w:ascii="Times New Roman" w:hAnsi="Times New Roman" w:cs="Times New Roman"/>
          <w:sz w:val="28"/>
          <w:szCs w:val="28"/>
        </w:rPr>
        <w:t xml:space="preserve"> в августе 2021 г</w:t>
      </w:r>
      <w:r w:rsidRPr="00005DDC">
        <w:rPr>
          <w:rFonts w:ascii="Times New Roman" w:hAnsi="Times New Roman" w:cs="Times New Roman"/>
          <w:sz w:val="28"/>
          <w:szCs w:val="28"/>
        </w:rPr>
        <w:t xml:space="preserve"> (32 недели, 3 контрольная точка, выход) (</w:t>
      </w:r>
      <w:r w:rsidR="000C6890" w:rsidRPr="00005DDC">
        <w:rPr>
          <w:rFonts w:ascii="Times New Roman" w:hAnsi="Times New Roman" w:cs="Times New Roman"/>
          <w:sz w:val="28"/>
          <w:szCs w:val="28"/>
        </w:rPr>
        <w:t>рисунок 5</w:t>
      </w:r>
      <w:r w:rsidRPr="00005DDC">
        <w:rPr>
          <w:rFonts w:ascii="Times New Roman" w:hAnsi="Times New Roman" w:cs="Times New Roman"/>
          <w:sz w:val="28"/>
          <w:szCs w:val="28"/>
        </w:rPr>
        <w:t>).</w:t>
      </w:r>
    </w:p>
    <w:p w14:paraId="5ED3C6AD" w14:textId="1662B721" w:rsidR="00077293" w:rsidRPr="00005DDC" w:rsidRDefault="00077293">
      <w:pPr>
        <w:rPr>
          <w:rFonts w:ascii="Times New Roman" w:hAnsi="Times New Roman" w:cs="Times New Roman"/>
          <w:sz w:val="28"/>
          <w:szCs w:val="28"/>
        </w:rPr>
      </w:pPr>
      <w:r w:rsidRPr="00005DDC">
        <w:rPr>
          <w:rFonts w:ascii="Times New Roman" w:hAnsi="Times New Roman" w:cs="Times New Roman"/>
          <w:sz w:val="28"/>
          <w:szCs w:val="28"/>
        </w:rPr>
        <w:br w:type="page"/>
      </w:r>
    </w:p>
    <w:p w14:paraId="4CE008D7" w14:textId="17D27CBF" w:rsidR="00F57474" w:rsidRPr="00005DDC" w:rsidRDefault="003D199E" w:rsidP="004B7AA9">
      <w:pPr>
        <w:tabs>
          <w:tab w:val="left" w:pos="851"/>
          <w:tab w:val="left" w:pos="993"/>
        </w:tabs>
        <w:spacing w:after="0"/>
        <w:jc w:val="center"/>
        <w:rPr>
          <w:rFonts w:ascii="Times New Roman" w:hAnsi="Times New Roman" w:cs="Times New Roman"/>
          <w:sz w:val="28"/>
          <w:szCs w:val="28"/>
        </w:rPr>
      </w:pPr>
      <w:r>
        <w:rPr>
          <w:rFonts w:ascii="Times New Roman" w:hAnsi="Times New Roman" w:cs="Times New Roman"/>
          <w:sz w:val="28"/>
          <w:szCs w:val="28"/>
        </w:rPr>
        <w:pict w14:anchorId="01887AEC">
          <v:shape id="_x0000_i1026" type="#_x0000_t75" style="width:481.85pt;height:359.4pt">
            <v:imagedata r:id="rId14" o:title="РКИ"/>
          </v:shape>
        </w:pict>
      </w:r>
    </w:p>
    <w:p w14:paraId="568B2F39" w14:textId="1CD1B4A8" w:rsidR="00F57474" w:rsidRPr="00005DDC" w:rsidRDefault="000C6890" w:rsidP="00F57474">
      <w:pPr>
        <w:tabs>
          <w:tab w:val="left" w:pos="851"/>
          <w:tab w:val="left" w:pos="993"/>
        </w:tabs>
        <w:spacing w:after="0" w:line="240" w:lineRule="auto"/>
        <w:jc w:val="center"/>
        <w:rPr>
          <w:rFonts w:ascii="Times New Roman" w:hAnsi="Times New Roman" w:cs="Times New Roman"/>
          <w:sz w:val="28"/>
          <w:szCs w:val="28"/>
        </w:rPr>
      </w:pPr>
      <w:r w:rsidRPr="00005DDC">
        <w:rPr>
          <w:rFonts w:ascii="Times New Roman" w:hAnsi="Times New Roman" w:cs="Times New Roman"/>
          <w:sz w:val="28"/>
          <w:szCs w:val="28"/>
        </w:rPr>
        <w:t>Рисунок 5</w:t>
      </w:r>
      <w:r w:rsidR="00F57474" w:rsidRPr="00005DDC">
        <w:rPr>
          <w:rFonts w:ascii="Times New Roman" w:hAnsi="Times New Roman" w:cs="Times New Roman"/>
          <w:sz w:val="28"/>
          <w:szCs w:val="28"/>
        </w:rPr>
        <w:t xml:space="preserve"> –</w:t>
      </w:r>
      <w:r w:rsidR="0007459B">
        <w:rPr>
          <w:rFonts w:ascii="Times New Roman" w:hAnsi="Times New Roman" w:cs="Times New Roman"/>
          <w:sz w:val="28"/>
          <w:szCs w:val="28"/>
        </w:rPr>
        <w:t xml:space="preserve"> </w:t>
      </w:r>
      <w:r w:rsidR="00F57474" w:rsidRPr="00005DDC">
        <w:rPr>
          <w:rFonts w:ascii="Times New Roman" w:hAnsi="Times New Roman" w:cs="Times New Roman"/>
          <w:sz w:val="28"/>
          <w:szCs w:val="28"/>
        </w:rPr>
        <w:t>Характеристика контрольных точек рандомизированного клинического исследования</w:t>
      </w:r>
    </w:p>
    <w:p w14:paraId="349F8BA1" w14:textId="77777777" w:rsidR="00F57474" w:rsidRPr="00005DDC" w:rsidRDefault="00F57474" w:rsidP="00F57474">
      <w:pPr>
        <w:tabs>
          <w:tab w:val="left" w:pos="851"/>
          <w:tab w:val="left" w:pos="993"/>
        </w:tabs>
        <w:spacing w:after="0" w:line="240" w:lineRule="auto"/>
        <w:jc w:val="center"/>
        <w:rPr>
          <w:rFonts w:ascii="Times New Roman" w:hAnsi="Times New Roman" w:cs="Times New Roman"/>
          <w:b/>
          <w:sz w:val="28"/>
          <w:szCs w:val="28"/>
        </w:rPr>
      </w:pPr>
    </w:p>
    <w:p w14:paraId="67BC64DF" w14:textId="77777777" w:rsidR="00F57474" w:rsidRPr="00005DDC" w:rsidRDefault="00F57474" w:rsidP="000B499A">
      <w:pPr>
        <w:spacing w:after="0"/>
        <w:ind w:firstLine="567"/>
        <w:jc w:val="both"/>
        <w:rPr>
          <w:rFonts w:ascii="Times New Roman" w:hAnsi="Times New Roman" w:cs="Times New Roman"/>
          <w:i/>
          <w:sz w:val="28"/>
          <w:szCs w:val="28"/>
        </w:rPr>
      </w:pPr>
      <w:r w:rsidRPr="00005DDC">
        <w:rPr>
          <w:rFonts w:ascii="Times New Roman" w:hAnsi="Times New Roman" w:cs="Times New Roman"/>
          <w:i/>
          <w:sz w:val="28"/>
          <w:szCs w:val="28"/>
        </w:rPr>
        <w:t>Фазы испытания</w:t>
      </w:r>
    </w:p>
    <w:p w14:paraId="7EF7E7AC" w14:textId="7276EB00" w:rsidR="00F57474" w:rsidRPr="00F57474" w:rsidRDefault="00F57474" w:rsidP="00F57474">
      <w:pPr>
        <w:tabs>
          <w:tab w:val="left" w:pos="851"/>
          <w:tab w:val="left" w:pos="993"/>
        </w:tabs>
        <w:spacing w:after="0" w:line="240" w:lineRule="auto"/>
        <w:ind w:firstLine="567"/>
        <w:jc w:val="both"/>
        <w:rPr>
          <w:rFonts w:ascii="Times New Roman" w:hAnsi="Times New Roman" w:cs="Times New Roman"/>
          <w:sz w:val="28"/>
          <w:szCs w:val="28"/>
        </w:rPr>
      </w:pPr>
      <w:r w:rsidRPr="00005DDC">
        <w:rPr>
          <w:rFonts w:ascii="Times New Roman" w:hAnsi="Times New Roman" w:cs="Times New Roman"/>
          <w:sz w:val="28"/>
          <w:szCs w:val="28"/>
          <w:lang w:val="en-US"/>
        </w:rPr>
        <w:t>I</w:t>
      </w:r>
      <w:r w:rsidRPr="00005DDC">
        <w:rPr>
          <w:rFonts w:ascii="Times New Roman" w:hAnsi="Times New Roman" w:cs="Times New Roman"/>
          <w:sz w:val="28"/>
          <w:szCs w:val="28"/>
        </w:rPr>
        <w:t xml:space="preserve"> фаза испытания. Всем больным в первой фазе исследования проводился осмотр, анкетирование для оценки степени тяжести клинических симптомов и качества жизни (</w:t>
      </w:r>
      <w:r w:rsidR="00594867" w:rsidRPr="00005DDC">
        <w:rPr>
          <w:rFonts w:ascii="Times New Roman" w:hAnsi="Times New Roman" w:cs="Times New Roman"/>
          <w:sz w:val="28"/>
          <w:szCs w:val="28"/>
        </w:rPr>
        <w:t>методология в разделе 2.1.3</w:t>
      </w:r>
      <w:r w:rsidRPr="00005DDC">
        <w:rPr>
          <w:rFonts w:ascii="Times New Roman" w:hAnsi="Times New Roman" w:cs="Times New Roman"/>
          <w:sz w:val="28"/>
          <w:szCs w:val="28"/>
        </w:rPr>
        <w:t>), лабораторное обследование с определением в сыворотке крови уровней эозинофильного катионного белка, специфического иммуноглобулина Е (</w:t>
      </w:r>
      <w:r w:rsidRPr="00005DDC">
        <w:rPr>
          <w:rFonts w:ascii="Times New Roman" w:hAnsi="Times New Roman" w:cs="Times New Roman"/>
          <w:sz w:val="28"/>
          <w:szCs w:val="28"/>
          <w:lang w:val="en-US"/>
        </w:rPr>
        <w:t>ISAC</w:t>
      </w:r>
      <w:r w:rsidRPr="00005DDC">
        <w:rPr>
          <w:rFonts w:ascii="Times New Roman" w:hAnsi="Times New Roman" w:cs="Times New Roman"/>
          <w:sz w:val="28"/>
          <w:szCs w:val="28"/>
        </w:rPr>
        <w:t xml:space="preserve"> тест), витамина Д, общего иммуноглобулина Е</w:t>
      </w:r>
      <w:r w:rsidR="00765C06" w:rsidRPr="00005DDC">
        <w:rPr>
          <w:rFonts w:ascii="Times New Roman" w:hAnsi="Times New Roman" w:cs="Times New Roman"/>
          <w:sz w:val="28"/>
          <w:szCs w:val="28"/>
        </w:rPr>
        <w:t xml:space="preserve"> </w:t>
      </w:r>
      <w:r w:rsidR="00765C06" w:rsidRPr="00005DDC">
        <w:rPr>
          <w:rFonts w:ascii="Times New Roman" w:hAnsi="Times New Roman" w:cs="Times New Roman"/>
          <w:sz w:val="28"/>
          <w:szCs w:val="28"/>
        </w:rPr>
        <w:fldChar w:fldCharType="begin" w:fldLock="1"/>
      </w:r>
      <w:r w:rsidR="006B2D4C">
        <w:rPr>
          <w:rFonts w:ascii="Times New Roman" w:hAnsi="Times New Roman" w:cs="Times New Roman"/>
          <w:sz w:val="28"/>
          <w:szCs w:val="28"/>
        </w:rPr>
        <w:instrText>ADDIN CSL_CITATION {"citationItems":[{"id":"ITEM-1","itemData":{"DOI":"10.15275/rusomj.2022.0205","author":[{"dropping-particle":"","family":"Izmailovich","given":"Marina R","non-dropping-particle":"","parse-names":false,"suffix":""},{"dropping-particle":"","family":"Gazalieva","given":"Meruert A","non-dropping-particle":"","parse-names":false,"suffix":""},{"dropping-particle":"","family":"Glushkova","given":"Natalya Ye","non-dropping-particle":"","parse-names":false,"suffix":""},{"dropping-particle":"","family":"Suleimenov","given":"Erlan M","non-dropping-particle":"","parse-names":false,"suffix":""},{"dropping-particle":"","family":"Suleimenov","given":"Yerzhan A","non-dropping-particle":"","parse-names":false,"suffix":""}],"container-title":"Russian Open Medical Journal","id":"ITEM-1","issue":"2","issued":{"date-parts":[["2022"]]},"page":"1-7","title":"Allergen-specific immunotherapy in combination with vitamin D in patients with seasonal allergic rhinitis","type":"article-journal","volume":"11"},"uris":["http://www.mendeley.com/documents/?uuid=02a1bc23-53e5-4c64-8901-5824eda823a1"]}],"mendeley":{"formattedCitation":"[152]","plainTextFormattedCitation":"[152]","previouslyFormattedCitation":"[152]"},"properties":{"noteIndex":0},"schema":"https://github.com/citation-style-language/schema/raw/master/csl-citation.json"}</w:instrText>
      </w:r>
      <w:r w:rsidR="00765C06" w:rsidRPr="00005DDC">
        <w:rPr>
          <w:rFonts w:ascii="Times New Roman" w:hAnsi="Times New Roman" w:cs="Times New Roman"/>
          <w:sz w:val="28"/>
          <w:szCs w:val="28"/>
        </w:rPr>
        <w:fldChar w:fldCharType="separate"/>
      </w:r>
      <w:r w:rsidR="004028FD" w:rsidRPr="004028FD">
        <w:rPr>
          <w:rFonts w:ascii="Times New Roman" w:hAnsi="Times New Roman" w:cs="Times New Roman"/>
          <w:noProof/>
          <w:sz w:val="28"/>
          <w:szCs w:val="28"/>
        </w:rPr>
        <w:t>[152]</w:t>
      </w:r>
      <w:r w:rsidR="00765C06" w:rsidRPr="00005DDC">
        <w:rPr>
          <w:rFonts w:ascii="Times New Roman" w:hAnsi="Times New Roman" w:cs="Times New Roman"/>
          <w:sz w:val="28"/>
          <w:szCs w:val="28"/>
        </w:rPr>
        <w:fldChar w:fldCharType="end"/>
      </w:r>
      <w:r w:rsidRPr="00005DDC">
        <w:rPr>
          <w:rFonts w:ascii="Times New Roman" w:hAnsi="Times New Roman" w:cs="Times New Roman"/>
          <w:sz w:val="28"/>
          <w:szCs w:val="28"/>
        </w:rPr>
        <w:t>. После</w:t>
      </w:r>
      <w:r w:rsidRPr="00F57474">
        <w:rPr>
          <w:rFonts w:ascii="Times New Roman" w:hAnsi="Times New Roman" w:cs="Times New Roman"/>
          <w:sz w:val="28"/>
          <w:szCs w:val="28"/>
        </w:rPr>
        <w:t xml:space="preserve"> чего был назначен препарат Антиполлин одной группе по классической схеме и другой группе по </w:t>
      </w:r>
      <w:r w:rsidR="0082088E">
        <w:rPr>
          <w:rFonts w:ascii="Times New Roman" w:hAnsi="Times New Roman" w:cs="Times New Roman"/>
          <w:sz w:val="28"/>
          <w:szCs w:val="28"/>
        </w:rPr>
        <w:t>адаптированной</w:t>
      </w:r>
      <w:r w:rsidRPr="00F57474">
        <w:rPr>
          <w:rFonts w:ascii="Times New Roman" w:hAnsi="Times New Roman" w:cs="Times New Roman"/>
          <w:sz w:val="28"/>
          <w:szCs w:val="28"/>
        </w:rPr>
        <w:t xml:space="preserve"> схеме в комплексе с витамином Д. </w:t>
      </w:r>
    </w:p>
    <w:p w14:paraId="077FB2E4" w14:textId="3F3D630B" w:rsidR="00F57474" w:rsidRPr="00F57474" w:rsidRDefault="00F57474" w:rsidP="00F57474">
      <w:pPr>
        <w:tabs>
          <w:tab w:val="left" w:pos="851"/>
          <w:tab w:val="left" w:pos="993"/>
        </w:tabs>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lang w:val="en-US"/>
        </w:rPr>
        <w:t>II</w:t>
      </w:r>
      <w:r w:rsidRPr="00F57474">
        <w:rPr>
          <w:rFonts w:ascii="Times New Roman" w:hAnsi="Times New Roman" w:cs="Times New Roman"/>
          <w:sz w:val="28"/>
          <w:szCs w:val="28"/>
        </w:rPr>
        <w:t xml:space="preserve"> фаза испытания. Вторая точка (через 2,5 месяца или 10 недель</w:t>
      </w:r>
      <w:r w:rsidR="00E83FAE">
        <w:rPr>
          <w:rFonts w:ascii="Times New Roman" w:hAnsi="Times New Roman" w:cs="Times New Roman"/>
          <w:sz w:val="28"/>
          <w:szCs w:val="28"/>
        </w:rPr>
        <w:t>) при явке к врачу пациентов обе</w:t>
      </w:r>
      <w:r w:rsidRPr="00F57474">
        <w:rPr>
          <w:rFonts w:ascii="Times New Roman" w:hAnsi="Times New Roman" w:cs="Times New Roman"/>
          <w:sz w:val="28"/>
          <w:szCs w:val="28"/>
        </w:rPr>
        <w:t>их групп проводился осмотр, лабораторное обследование с определением в сыворотке крови уровней эозинофильного катионного белка, специфического иммуноглобулина Е (</w:t>
      </w:r>
      <w:r w:rsidRPr="00F57474">
        <w:rPr>
          <w:rFonts w:ascii="Times New Roman" w:hAnsi="Times New Roman" w:cs="Times New Roman"/>
          <w:sz w:val="28"/>
          <w:szCs w:val="28"/>
          <w:lang w:val="en-US"/>
        </w:rPr>
        <w:t>ISAC</w:t>
      </w:r>
      <w:r w:rsidRPr="00F57474">
        <w:rPr>
          <w:rFonts w:ascii="Times New Roman" w:hAnsi="Times New Roman" w:cs="Times New Roman"/>
          <w:sz w:val="28"/>
          <w:szCs w:val="28"/>
        </w:rPr>
        <w:t xml:space="preserve"> тест), витамина Д, общего иммуноглобулина Е </w:t>
      </w:r>
      <w:r w:rsidR="00E83FAE">
        <w:rPr>
          <w:rFonts w:ascii="Times New Roman" w:hAnsi="Times New Roman" w:cs="Times New Roman"/>
          <w:sz w:val="28"/>
          <w:szCs w:val="28"/>
        </w:rPr>
        <w:t>до начала</w:t>
      </w:r>
      <w:r w:rsidRPr="00F57474">
        <w:rPr>
          <w:rFonts w:ascii="Times New Roman" w:hAnsi="Times New Roman" w:cs="Times New Roman"/>
          <w:sz w:val="28"/>
          <w:szCs w:val="28"/>
        </w:rPr>
        <w:t xml:space="preserve"> сезона обострения.</w:t>
      </w:r>
    </w:p>
    <w:p w14:paraId="48FE7C9D" w14:textId="77777777" w:rsidR="00F57474" w:rsidRPr="00F57474" w:rsidRDefault="00F57474" w:rsidP="00F57474">
      <w:pPr>
        <w:tabs>
          <w:tab w:val="left" w:pos="851"/>
          <w:tab w:val="left" w:pos="993"/>
        </w:tabs>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lang w:val="en-US"/>
        </w:rPr>
        <w:t>III</w:t>
      </w:r>
      <w:r w:rsidRPr="00F57474">
        <w:rPr>
          <w:rFonts w:ascii="Times New Roman" w:hAnsi="Times New Roman" w:cs="Times New Roman"/>
          <w:sz w:val="28"/>
          <w:szCs w:val="28"/>
        </w:rPr>
        <w:t xml:space="preserve"> фаза испытания. Третья точка (через 8 месяцев или 32 недели) пациентам обоих групп при явке к врачу проводится осмотр, сбор анамнез, анкетирование на определение степени тяжести симптомов обострение и качества жизни в сезон обострения.</w:t>
      </w:r>
    </w:p>
    <w:p w14:paraId="6984981D" w14:textId="77777777" w:rsidR="00E83FAE" w:rsidRPr="00005DDC" w:rsidRDefault="00F57474" w:rsidP="00E83FAE">
      <w:pPr>
        <w:tabs>
          <w:tab w:val="left" w:pos="851"/>
          <w:tab w:val="left" w:pos="993"/>
        </w:tabs>
        <w:spacing w:after="0" w:line="240" w:lineRule="auto"/>
        <w:ind w:firstLine="567"/>
        <w:jc w:val="both"/>
        <w:rPr>
          <w:rFonts w:ascii="Times New Roman" w:hAnsi="Times New Roman" w:cs="Times New Roman"/>
          <w:color w:val="FF0000"/>
          <w:sz w:val="28"/>
          <w:szCs w:val="28"/>
        </w:rPr>
      </w:pPr>
      <w:r w:rsidRPr="00F57474">
        <w:rPr>
          <w:rFonts w:ascii="Times New Roman" w:hAnsi="Times New Roman" w:cs="Times New Roman"/>
          <w:sz w:val="28"/>
          <w:szCs w:val="28"/>
        </w:rPr>
        <w:t>Контрольная точка сопровождалась повторным обследованием пациента и регистрацией результатов. Если пациент пропускал контрольную точку, то он был автоматически исключен из исследования</w:t>
      </w:r>
      <w:r w:rsidRPr="00005DDC">
        <w:rPr>
          <w:rFonts w:ascii="Times New Roman" w:hAnsi="Times New Roman" w:cs="Times New Roman"/>
          <w:sz w:val="28"/>
          <w:szCs w:val="28"/>
        </w:rPr>
        <w:t xml:space="preserve">. </w:t>
      </w:r>
      <w:r w:rsidR="00E83FAE" w:rsidRPr="00005DDC">
        <w:rPr>
          <w:rFonts w:ascii="Times New Roman" w:hAnsi="Times New Roman" w:cs="Times New Roman"/>
          <w:sz w:val="28"/>
          <w:szCs w:val="28"/>
        </w:rPr>
        <w:t xml:space="preserve">На 7 неделе в группе вмешательства 2 пациента выбыли, один по причине развития побочных реакций, второй пациент перестал выходить на связь. Соответственно с 8 недели исследования группа вмешательства составляла 26 человек. На 8 неделе 1 пациент в группе вмешательства и 1 пациент в группе контроля выпали из исследования, один по причине переезда в другую страну, другой по причине заболевания. После чего с 9 недели исследования группа вмешательства составляла 25 человек, группа с классической схемой составляла 26 человек. </w:t>
      </w:r>
    </w:p>
    <w:p w14:paraId="65FF7E2E" w14:textId="058F04DF" w:rsidR="00F57474" w:rsidRPr="00F57474" w:rsidRDefault="00F57474" w:rsidP="00F57474">
      <w:pPr>
        <w:tabs>
          <w:tab w:val="left" w:pos="851"/>
          <w:tab w:val="left" w:pos="993"/>
        </w:tabs>
        <w:spacing w:after="0" w:line="240" w:lineRule="auto"/>
        <w:ind w:firstLine="567"/>
        <w:jc w:val="both"/>
        <w:rPr>
          <w:rFonts w:ascii="Times New Roman" w:hAnsi="Times New Roman" w:cs="Times New Roman"/>
          <w:sz w:val="28"/>
          <w:szCs w:val="28"/>
        </w:rPr>
      </w:pPr>
      <w:r w:rsidRPr="00005DDC">
        <w:rPr>
          <w:rFonts w:ascii="Times New Roman" w:hAnsi="Times New Roman" w:cs="Times New Roman"/>
          <w:sz w:val="28"/>
          <w:szCs w:val="28"/>
        </w:rPr>
        <w:t>При возникновении признаков обострения больным была показана</w:t>
      </w:r>
      <w:r w:rsidRPr="00F57474">
        <w:rPr>
          <w:rFonts w:ascii="Times New Roman" w:hAnsi="Times New Roman" w:cs="Times New Roman"/>
          <w:sz w:val="28"/>
          <w:szCs w:val="28"/>
        </w:rPr>
        <w:t xml:space="preserve"> отмена препарата и применение антигистаминных препаратов в течение 3 дней, после чего лечение продолжалось.</w:t>
      </w:r>
    </w:p>
    <w:p w14:paraId="1598A12D" w14:textId="77777777" w:rsidR="00F57474" w:rsidRPr="00F57474" w:rsidRDefault="00F57474" w:rsidP="00F57474">
      <w:pPr>
        <w:tabs>
          <w:tab w:val="left" w:pos="851"/>
          <w:tab w:val="left" w:pos="993"/>
        </w:tabs>
        <w:spacing w:after="0" w:line="240" w:lineRule="auto"/>
        <w:ind w:firstLine="567"/>
        <w:jc w:val="both"/>
        <w:rPr>
          <w:rFonts w:ascii="Times New Roman" w:hAnsi="Times New Roman" w:cs="Times New Roman"/>
          <w:sz w:val="28"/>
          <w:szCs w:val="28"/>
        </w:rPr>
      </w:pPr>
    </w:p>
    <w:p w14:paraId="1B6BF57F" w14:textId="77777777" w:rsidR="00F57474" w:rsidRPr="00ED6759" w:rsidRDefault="00F57474" w:rsidP="000B499A">
      <w:pPr>
        <w:spacing w:after="0"/>
        <w:ind w:firstLine="567"/>
        <w:jc w:val="both"/>
        <w:rPr>
          <w:rFonts w:ascii="Times New Roman" w:hAnsi="Times New Roman" w:cs="Times New Roman"/>
          <w:i/>
          <w:sz w:val="28"/>
          <w:szCs w:val="28"/>
        </w:rPr>
      </w:pPr>
      <w:r w:rsidRPr="00ED6759">
        <w:rPr>
          <w:rFonts w:ascii="Times New Roman" w:hAnsi="Times New Roman" w:cs="Times New Roman"/>
          <w:i/>
          <w:sz w:val="28"/>
          <w:szCs w:val="28"/>
        </w:rPr>
        <w:t>Протокол обследования пациентов</w:t>
      </w:r>
    </w:p>
    <w:p w14:paraId="31CCA7D0" w14:textId="34DBE832" w:rsidR="00F57474" w:rsidRPr="00ED6759" w:rsidRDefault="000A6A04" w:rsidP="00F57474">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таблице 6</w:t>
      </w:r>
      <w:r w:rsidR="00F57474" w:rsidRPr="00ED6759">
        <w:rPr>
          <w:rFonts w:ascii="Times New Roman" w:hAnsi="Times New Roman" w:cs="Times New Roman"/>
          <w:sz w:val="28"/>
          <w:szCs w:val="28"/>
        </w:rPr>
        <w:t xml:space="preserve"> представлен протокол визитов и обследования, где отражены все этапы исследовательской работы. Данный протокол наглядно демонстрирует структуру визитов пациентов и соответствующие им методы исследования.</w:t>
      </w:r>
    </w:p>
    <w:p w14:paraId="134E9FC5" w14:textId="77777777" w:rsidR="00F57474" w:rsidRPr="00ED6759" w:rsidRDefault="00F57474" w:rsidP="00F57474">
      <w:pPr>
        <w:tabs>
          <w:tab w:val="left" w:pos="851"/>
          <w:tab w:val="left" w:pos="993"/>
        </w:tabs>
        <w:spacing w:after="0" w:line="240" w:lineRule="auto"/>
        <w:jc w:val="both"/>
        <w:rPr>
          <w:rFonts w:ascii="Times New Roman" w:hAnsi="Times New Roman" w:cs="Times New Roman"/>
          <w:b/>
          <w:sz w:val="28"/>
          <w:szCs w:val="28"/>
        </w:rPr>
      </w:pPr>
    </w:p>
    <w:p w14:paraId="4A540DCD" w14:textId="2EC1384F" w:rsidR="00F57474" w:rsidRPr="00F57474" w:rsidRDefault="000A6A04" w:rsidP="00D0108A">
      <w:pPr>
        <w:tabs>
          <w:tab w:val="left" w:pos="851"/>
          <w:tab w:val="left" w:pos="99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6</w:t>
      </w:r>
      <w:r w:rsidR="00F57474" w:rsidRPr="00ED6759">
        <w:rPr>
          <w:rFonts w:ascii="Times New Roman" w:hAnsi="Times New Roman" w:cs="Times New Roman"/>
          <w:sz w:val="28"/>
          <w:szCs w:val="28"/>
        </w:rPr>
        <w:t xml:space="preserve"> - Протокол визитов и обследования</w:t>
      </w:r>
    </w:p>
    <w:p w14:paraId="15A24505" w14:textId="77777777" w:rsidR="00F57474" w:rsidRPr="00F57474" w:rsidRDefault="00F57474" w:rsidP="00F57474">
      <w:pPr>
        <w:tabs>
          <w:tab w:val="left" w:pos="851"/>
          <w:tab w:val="left" w:pos="993"/>
        </w:tabs>
        <w:spacing w:after="0" w:line="240" w:lineRule="auto"/>
        <w:jc w:val="both"/>
        <w:rPr>
          <w:rFonts w:ascii="Times New Roman" w:hAnsi="Times New Roman" w:cs="Times New Roman"/>
          <w:b/>
          <w:sz w:val="28"/>
          <w:szCs w:val="28"/>
        </w:rPr>
      </w:pPr>
    </w:p>
    <w:tbl>
      <w:tblPr>
        <w:tblStyle w:val="13"/>
        <w:tblW w:w="5000" w:type="pct"/>
        <w:tblLook w:val="04A0" w:firstRow="1" w:lastRow="0" w:firstColumn="1" w:lastColumn="0" w:noHBand="0" w:noVBand="1"/>
      </w:tblPr>
      <w:tblGrid>
        <w:gridCol w:w="2737"/>
        <w:gridCol w:w="1721"/>
        <w:gridCol w:w="1762"/>
        <w:gridCol w:w="1723"/>
        <w:gridCol w:w="1685"/>
      </w:tblGrid>
      <w:tr w:rsidR="00F57474" w:rsidRPr="00FE5B34" w14:paraId="71C278DB" w14:textId="77777777" w:rsidTr="00F57474">
        <w:tc>
          <w:tcPr>
            <w:tcW w:w="1421" w:type="pct"/>
          </w:tcPr>
          <w:p w14:paraId="0D3E989A" w14:textId="77777777" w:rsidR="00F57474" w:rsidRPr="00FE5B34" w:rsidRDefault="00F57474" w:rsidP="00F57474">
            <w:pPr>
              <w:jc w:val="both"/>
              <w:rPr>
                <w:rFonts w:ascii="Times New Roman" w:hAnsi="Times New Roman" w:cs="Times New Roman"/>
                <w:sz w:val="24"/>
                <w:szCs w:val="24"/>
              </w:rPr>
            </w:pPr>
            <w:r w:rsidRPr="00FE5B34">
              <w:rPr>
                <w:rFonts w:ascii="Times New Roman" w:hAnsi="Times New Roman" w:cs="Times New Roman"/>
                <w:color w:val="000000"/>
                <w:sz w:val="24"/>
                <w:szCs w:val="24"/>
              </w:rPr>
              <w:t>Протокол обследования</w:t>
            </w:r>
            <w:r w:rsidRPr="00FE5B34">
              <w:rPr>
                <w:rFonts w:ascii="Times New Roman" w:hAnsi="Times New Roman" w:cs="Times New Roman"/>
                <w:color w:val="000000"/>
                <w:sz w:val="24"/>
                <w:szCs w:val="24"/>
                <w:lang w:val="en-US"/>
              </w:rPr>
              <w:t xml:space="preserve"> </w:t>
            </w:r>
            <w:r w:rsidRPr="00FE5B34">
              <w:rPr>
                <w:rFonts w:ascii="Times New Roman" w:hAnsi="Times New Roman" w:cs="Times New Roman"/>
                <w:color w:val="000000"/>
                <w:sz w:val="24"/>
                <w:szCs w:val="24"/>
              </w:rPr>
              <w:t>пациентов</w:t>
            </w:r>
          </w:p>
        </w:tc>
        <w:tc>
          <w:tcPr>
            <w:tcW w:w="894" w:type="pct"/>
          </w:tcPr>
          <w:p w14:paraId="3570FFDF" w14:textId="77777777" w:rsidR="00F57474" w:rsidRPr="00FE5B34" w:rsidRDefault="00F57474" w:rsidP="00F57474">
            <w:pPr>
              <w:rPr>
                <w:rFonts w:ascii="Times New Roman" w:hAnsi="Times New Roman" w:cs="Times New Roman"/>
                <w:sz w:val="24"/>
                <w:szCs w:val="24"/>
              </w:rPr>
            </w:pPr>
            <w:r w:rsidRPr="00FE5B34">
              <w:rPr>
                <w:rFonts w:ascii="Times New Roman" w:hAnsi="Times New Roman" w:cs="Times New Roman"/>
                <w:color w:val="000000"/>
                <w:sz w:val="24"/>
                <w:szCs w:val="24"/>
              </w:rPr>
              <w:t>Визит 0</w:t>
            </w:r>
            <w:r w:rsidRPr="00FE5B34">
              <w:rPr>
                <w:rFonts w:ascii="Times New Roman" w:hAnsi="Times New Roman" w:cs="Times New Roman"/>
                <w:sz w:val="24"/>
                <w:szCs w:val="24"/>
              </w:rPr>
              <w:br/>
            </w:r>
            <w:r w:rsidRPr="00FE5B34">
              <w:rPr>
                <w:rFonts w:ascii="Times New Roman" w:hAnsi="Times New Roman" w:cs="Times New Roman"/>
                <w:color w:val="000000"/>
                <w:sz w:val="24"/>
                <w:szCs w:val="24"/>
              </w:rPr>
              <w:t>(скрининг</w:t>
            </w:r>
            <w:r w:rsidRPr="00FE5B34">
              <w:rPr>
                <w:rFonts w:ascii="Times New Roman" w:hAnsi="Times New Roman" w:cs="Times New Roman"/>
                <w:sz w:val="24"/>
                <w:szCs w:val="24"/>
              </w:rPr>
              <w:br/>
            </w:r>
            <w:r w:rsidRPr="00FE5B34">
              <w:rPr>
                <w:rFonts w:ascii="Times New Roman" w:hAnsi="Times New Roman" w:cs="Times New Roman"/>
                <w:color w:val="000000"/>
                <w:sz w:val="24"/>
                <w:szCs w:val="24"/>
              </w:rPr>
              <w:t>овый)</w:t>
            </w:r>
          </w:p>
        </w:tc>
        <w:tc>
          <w:tcPr>
            <w:tcW w:w="915" w:type="pct"/>
          </w:tcPr>
          <w:p w14:paraId="4B14E321" w14:textId="77777777" w:rsidR="00F57474" w:rsidRPr="00FE5B34" w:rsidRDefault="00F57474" w:rsidP="00F57474">
            <w:pPr>
              <w:rPr>
                <w:rFonts w:ascii="Times New Roman" w:hAnsi="Times New Roman" w:cs="Times New Roman"/>
                <w:sz w:val="24"/>
                <w:szCs w:val="24"/>
              </w:rPr>
            </w:pPr>
            <w:r w:rsidRPr="00FE5B34">
              <w:rPr>
                <w:rFonts w:ascii="Times New Roman" w:hAnsi="Times New Roman" w:cs="Times New Roman"/>
                <w:color w:val="000000"/>
                <w:sz w:val="24"/>
                <w:szCs w:val="24"/>
              </w:rPr>
              <w:t>Визит 1</w:t>
            </w:r>
            <w:r w:rsidRPr="00FE5B34">
              <w:rPr>
                <w:rFonts w:ascii="Times New Roman" w:hAnsi="Times New Roman" w:cs="Times New Roman"/>
                <w:sz w:val="24"/>
                <w:szCs w:val="24"/>
              </w:rPr>
              <w:br/>
            </w:r>
            <w:r w:rsidRPr="00FE5B34">
              <w:rPr>
                <w:rFonts w:ascii="Times New Roman" w:hAnsi="Times New Roman" w:cs="Times New Roman"/>
                <w:color w:val="000000"/>
                <w:sz w:val="24"/>
                <w:szCs w:val="24"/>
              </w:rPr>
              <w:t>(рандомиза</w:t>
            </w:r>
            <w:r w:rsidRPr="00FE5B34">
              <w:rPr>
                <w:rFonts w:ascii="Times New Roman" w:hAnsi="Times New Roman" w:cs="Times New Roman"/>
                <w:sz w:val="24"/>
                <w:szCs w:val="24"/>
              </w:rPr>
              <w:br/>
            </w:r>
            <w:r w:rsidRPr="00FE5B34">
              <w:rPr>
                <w:rFonts w:ascii="Times New Roman" w:hAnsi="Times New Roman" w:cs="Times New Roman"/>
                <w:color w:val="000000"/>
                <w:sz w:val="24"/>
                <w:szCs w:val="24"/>
              </w:rPr>
              <w:t>ционный)</w:t>
            </w:r>
          </w:p>
        </w:tc>
        <w:tc>
          <w:tcPr>
            <w:tcW w:w="895" w:type="pct"/>
          </w:tcPr>
          <w:p w14:paraId="7B5A5003"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Визит 2 в</w:t>
            </w:r>
          </w:p>
          <w:p w14:paraId="52BC79ED"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конце</w:t>
            </w:r>
          </w:p>
          <w:p w14:paraId="239E563C"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лечебного</w:t>
            </w:r>
          </w:p>
          <w:p w14:paraId="0C5F0D2C"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периода АСИТ</w:t>
            </w:r>
          </w:p>
          <w:p w14:paraId="35890E80"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(через 2,5 мес.</w:t>
            </w:r>
          </w:p>
          <w:p w14:paraId="65FE2335"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от начала</w:t>
            </w:r>
          </w:p>
          <w:p w14:paraId="619998DF"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лечения)</w:t>
            </w:r>
          </w:p>
        </w:tc>
        <w:tc>
          <w:tcPr>
            <w:tcW w:w="875" w:type="pct"/>
          </w:tcPr>
          <w:p w14:paraId="5C8A7D13"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Визит 3 в</w:t>
            </w:r>
          </w:p>
          <w:p w14:paraId="47ED287B"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текущий</w:t>
            </w:r>
          </w:p>
          <w:p w14:paraId="7036C3B5"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сезон</w:t>
            </w:r>
          </w:p>
          <w:p w14:paraId="7FFEEC76"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цветения (через 8 месяцев)</w:t>
            </w:r>
          </w:p>
        </w:tc>
      </w:tr>
      <w:tr w:rsidR="00F57474" w:rsidRPr="00FE5B34" w14:paraId="7D1953B2" w14:textId="77777777" w:rsidTr="00F57474">
        <w:tc>
          <w:tcPr>
            <w:tcW w:w="1421" w:type="pct"/>
          </w:tcPr>
          <w:p w14:paraId="4CA34B7D" w14:textId="77777777" w:rsidR="00F57474" w:rsidRPr="00FE5B34" w:rsidRDefault="00F57474" w:rsidP="00F57474">
            <w:pPr>
              <w:jc w:val="both"/>
              <w:rPr>
                <w:rFonts w:ascii="Times New Roman" w:hAnsi="Times New Roman" w:cs="Times New Roman"/>
                <w:sz w:val="24"/>
                <w:szCs w:val="24"/>
              </w:rPr>
            </w:pPr>
            <w:r w:rsidRPr="00FE5B34">
              <w:rPr>
                <w:rFonts w:ascii="Times New Roman" w:hAnsi="Times New Roman" w:cs="Times New Roman"/>
                <w:color w:val="000000"/>
                <w:sz w:val="24"/>
                <w:szCs w:val="24"/>
              </w:rPr>
              <w:t>Информированное</w:t>
            </w:r>
            <w:r w:rsidRPr="00FE5B34">
              <w:rPr>
                <w:rFonts w:ascii="Times New Roman" w:hAnsi="Times New Roman" w:cs="Times New Roman"/>
                <w:color w:val="000000"/>
                <w:sz w:val="24"/>
                <w:szCs w:val="24"/>
                <w:lang w:val="en-US"/>
              </w:rPr>
              <w:t xml:space="preserve"> </w:t>
            </w:r>
            <w:r w:rsidRPr="00FE5B34">
              <w:rPr>
                <w:rFonts w:ascii="Times New Roman" w:hAnsi="Times New Roman" w:cs="Times New Roman"/>
                <w:color w:val="000000"/>
                <w:sz w:val="24"/>
                <w:szCs w:val="24"/>
              </w:rPr>
              <w:t>согласие</w:t>
            </w:r>
          </w:p>
        </w:tc>
        <w:tc>
          <w:tcPr>
            <w:tcW w:w="894" w:type="pct"/>
          </w:tcPr>
          <w:p w14:paraId="2F93E3D6"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w:t>
            </w:r>
          </w:p>
        </w:tc>
        <w:tc>
          <w:tcPr>
            <w:tcW w:w="915" w:type="pct"/>
          </w:tcPr>
          <w:p w14:paraId="57985205"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c>
          <w:tcPr>
            <w:tcW w:w="895" w:type="pct"/>
          </w:tcPr>
          <w:p w14:paraId="098F7C63"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c>
          <w:tcPr>
            <w:tcW w:w="875" w:type="pct"/>
          </w:tcPr>
          <w:p w14:paraId="60A38B06"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r>
      <w:tr w:rsidR="00F57474" w:rsidRPr="00FE5B34" w14:paraId="5FB8191A" w14:textId="77777777" w:rsidTr="00F57474">
        <w:tc>
          <w:tcPr>
            <w:tcW w:w="1421" w:type="pct"/>
          </w:tcPr>
          <w:p w14:paraId="4FACD0CB" w14:textId="77777777" w:rsidR="00F57474" w:rsidRPr="00FE5B34" w:rsidRDefault="00F57474" w:rsidP="00F57474">
            <w:pPr>
              <w:jc w:val="both"/>
              <w:rPr>
                <w:rFonts w:ascii="Times New Roman" w:hAnsi="Times New Roman" w:cs="Times New Roman"/>
                <w:sz w:val="24"/>
                <w:szCs w:val="24"/>
              </w:rPr>
            </w:pPr>
            <w:r w:rsidRPr="00FE5B34">
              <w:rPr>
                <w:rFonts w:ascii="Times New Roman" w:hAnsi="Times New Roman" w:cs="Times New Roman"/>
                <w:color w:val="000000"/>
                <w:sz w:val="24"/>
                <w:szCs w:val="24"/>
              </w:rPr>
              <w:t>Соответствие</w:t>
            </w:r>
            <w:r w:rsidRPr="00FE5B34">
              <w:rPr>
                <w:rFonts w:ascii="Times New Roman" w:hAnsi="Times New Roman" w:cs="Times New Roman"/>
                <w:color w:val="000000"/>
                <w:sz w:val="24"/>
                <w:szCs w:val="24"/>
                <w:lang w:val="en-US"/>
              </w:rPr>
              <w:t xml:space="preserve"> </w:t>
            </w:r>
            <w:r w:rsidRPr="00FE5B34">
              <w:rPr>
                <w:rFonts w:ascii="Times New Roman" w:hAnsi="Times New Roman" w:cs="Times New Roman"/>
                <w:color w:val="000000"/>
                <w:sz w:val="24"/>
                <w:szCs w:val="24"/>
              </w:rPr>
              <w:t>критериям</w:t>
            </w:r>
            <w:r w:rsidRPr="00FE5B34">
              <w:rPr>
                <w:rFonts w:ascii="Times New Roman" w:hAnsi="Times New Roman" w:cs="Times New Roman"/>
                <w:color w:val="000000"/>
                <w:sz w:val="24"/>
                <w:szCs w:val="24"/>
                <w:lang w:val="en-US"/>
              </w:rPr>
              <w:t xml:space="preserve"> </w:t>
            </w:r>
            <w:r w:rsidRPr="00FE5B34">
              <w:rPr>
                <w:rFonts w:ascii="Times New Roman" w:hAnsi="Times New Roman" w:cs="Times New Roman"/>
                <w:color w:val="000000"/>
                <w:sz w:val="24"/>
                <w:szCs w:val="24"/>
              </w:rPr>
              <w:t>включения/ исключения</w:t>
            </w:r>
          </w:p>
        </w:tc>
        <w:tc>
          <w:tcPr>
            <w:tcW w:w="894" w:type="pct"/>
          </w:tcPr>
          <w:p w14:paraId="33D2E2C6"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w:t>
            </w:r>
          </w:p>
        </w:tc>
        <w:tc>
          <w:tcPr>
            <w:tcW w:w="915" w:type="pct"/>
          </w:tcPr>
          <w:p w14:paraId="3C529667"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w:t>
            </w:r>
          </w:p>
        </w:tc>
        <w:tc>
          <w:tcPr>
            <w:tcW w:w="895" w:type="pct"/>
          </w:tcPr>
          <w:p w14:paraId="4760CA67"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c>
          <w:tcPr>
            <w:tcW w:w="875" w:type="pct"/>
          </w:tcPr>
          <w:p w14:paraId="6741BB37"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r>
      <w:tr w:rsidR="00F57474" w:rsidRPr="00FE5B34" w14:paraId="3D377871" w14:textId="77777777" w:rsidTr="00F57474">
        <w:tc>
          <w:tcPr>
            <w:tcW w:w="1421" w:type="pct"/>
          </w:tcPr>
          <w:p w14:paraId="34A7D868" w14:textId="77777777" w:rsidR="00F57474" w:rsidRPr="00FE5B34" w:rsidRDefault="00F57474" w:rsidP="00F57474">
            <w:pPr>
              <w:jc w:val="both"/>
              <w:rPr>
                <w:rFonts w:ascii="Times New Roman" w:hAnsi="Times New Roman" w:cs="Times New Roman"/>
                <w:sz w:val="24"/>
                <w:szCs w:val="24"/>
              </w:rPr>
            </w:pPr>
            <w:r w:rsidRPr="00FE5B34">
              <w:rPr>
                <w:rFonts w:ascii="Times New Roman" w:hAnsi="Times New Roman" w:cs="Times New Roman"/>
                <w:color w:val="000000"/>
                <w:sz w:val="24"/>
                <w:szCs w:val="24"/>
              </w:rPr>
              <w:t>Оценка выраженности</w:t>
            </w:r>
            <w:r w:rsidRPr="00FE5B34">
              <w:rPr>
                <w:rFonts w:ascii="Times New Roman" w:hAnsi="Times New Roman" w:cs="Times New Roman"/>
                <w:sz w:val="24"/>
                <w:szCs w:val="24"/>
              </w:rPr>
              <w:br/>
            </w:r>
            <w:r w:rsidRPr="00FE5B34">
              <w:rPr>
                <w:rFonts w:ascii="Times New Roman" w:hAnsi="Times New Roman" w:cs="Times New Roman"/>
                <w:color w:val="000000"/>
                <w:sz w:val="24"/>
                <w:szCs w:val="24"/>
              </w:rPr>
              <w:t>симптомов</w:t>
            </w:r>
          </w:p>
        </w:tc>
        <w:tc>
          <w:tcPr>
            <w:tcW w:w="894" w:type="pct"/>
          </w:tcPr>
          <w:p w14:paraId="2625DF15"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w:t>
            </w:r>
          </w:p>
        </w:tc>
        <w:tc>
          <w:tcPr>
            <w:tcW w:w="915" w:type="pct"/>
          </w:tcPr>
          <w:p w14:paraId="15EBDF2E"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c>
          <w:tcPr>
            <w:tcW w:w="895" w:type="pct"/>
          </w:tcPr>
          <w:p w14:paraId="14DDA42E"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c>
          <w:tcPr>
            <w:tcW w:w="875" w:type="pct"/>
          </w:tcPr>
          <w:p w14:paraId="15F04298"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w:t>
            </w:r>
          </w:p>
        </w:tc>
      </w:tr>
      <w:tr w:rsidR="00F57474" w:rsidRPr="00FE5B34" w14:paraId="14226923" w14:textId="77777777" w:rsidTr="00F57474">
        <w:tc>
          <w:tcPr>
            <w:tcW w:w="1421" w:type="pct"/>
          </w:tcPr>
          <w:p w14:paraId="14145BDF" w14:textId="77777777" w:rsidR="00F57474" w:rsidRPr="00FE5B34" w:rsidRDefault="00F57474" w:rsidP="00F57474">
            <w:pPr>
              <w:jc w:val="both"/>
              <w:rPr>
                <w:rFonts w:ascii="Times New Roman" w:hAnsi="Times New Roman" w:cs="Times New Roman"/>
                <w:sz w:val="24"/>
                <w:szCs w:val="24"/>
              </w:rPr>
            </w:pPr>
            <w:r w:rsidRPr="00FE5B34">
              <w:rPr>
                <w:rFonts w:ascii="Times New Roman" w:hAnsi="Times New Roman" w:cs="Times New Roman"/>
                <w:color w:val="000000"/>
                <w:sz w:val="24"/>
                <w:szCs w:val="24"/>
              </w:rPr>
              <w:t>Заполнение опросников</w:t>
            </w:r>
            <w:r w:rsidRPr="00FE5B34">
              <w:rPr>
                <w:rFonts w:ascii="Times New Roman" w:hAnsi="Times New Roman" w:cs="Times New Roman"/>
                <w:color w:val="000000"/>
                <w:sz w:val="24"/>
                <w:szCs w:val="24"/>
                <w:lang w:val="en-US"/>
              </w:rPr>
              <w:t xml:space="preserve"> </w:t>
            </w:r>
            <w:r w:rsidRPr="00FE5B34">
              <w:rPr>
                <w:rFonts w:ascii="Times New Roman" w:hAnsi="Times New Roman" w:cs="Times New Roman"/>
                <w:color w:val="000000"/>
                <w:sz w:val="24"/>
                <w:szCs w:val="24"/>
              </w:rPr>
              <w:t>качества жизни</w:t>
            </w:r>
          </w:p>
        </w:tc>
        <w:tc>
          <w:tcPr>
            <w:tcW w:w="894" w:type="pct"/>
          </w:tcPr>
          <w:p w14:paraId="6C15452A"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w:t>
            </w:r>
          </w:p>
        </w:tc>
        <w:tc>
          <w:tcPr>
            <w:tcW w:w="915" w:type="pct"/>
          </w:tcPr>
          <w:p w14:paraId="070B3D38"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c>
          <w:tcPr>
            <w:tcW w:w="895" w:type="pct"/>
          </w:tcPr>
          <w:p w14:paraId="5538429E"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c>
          <w:tcPr>
            <w:tcW w:w="875" w:type="pct"/>
          </w:tcPr>
          <w:p w14:paraId="6A6086DB"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w:t>
            </w:r>
          </w:p>
        </w:tc>
      </w:tr>
      <w:tr w:rsidR="00F57474" w:rsidRPr="00FE5B34" w14:paraId="3CD443A5" w14:textId="77777777" w:rsidTr="00F57474">
        <w:tc>
          <w:tcPr>
            <w:tcW w:w="1421" w:type="pct"/>
          </w:tcPr>
          <w:p w14:paraId="07281492"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lang w:val="en-US"/>
              </w:rPr>
              <w:t>ISAC</w:t>
            </w:r>
            <w:r w:rsidRPr="00FE5B34">
              <w:rPr>
                <w:rFonts w:ascii="Times New Roman" w:hAnsi="Times New Roman" w:cs="Times New Roman"/>
                <w:sz w:val="24"/>
                <w:szCs w:val="24"/>
              </w:rPr>
              <w:t xml:space="preserve"> тест</w:t>
            </w:r>
          </w:p>
        </w:tc>
        <w:tc>
          <w:tcPr>
            <w:tcW w:w="894" w:type="pct"/>
          </w:tcPr>
          <w:p w14:paraId="27A9E900"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c>
          <w:tcPr>
            <w:tcW w:w="915" w:type="pct"/>
          </w:tcPr>
          <w:p w14:paraId="3C5C752C"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w:t>
            </w:r>
          </w:p>
        </w:tc>
        <w:tc>
          <w:tcPr>
            <w:tcW w:w="895" w:type="pct"/>
          </w:tcPr>
          <w:p w14:paraId="42080076"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w:t>
            </w:r>
          </w:p>
        </w:tc>
        <w:tc>
          <w:tcPr>
            <w:tcW w:w="875" w:type="pct"/>
          </w:tcPr>
          <w:p w14:paraId="480682C9"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r>
      <w:tr w:rsidR="00F57474" w:rsidRPr="00FE5B34" w14:paraId="7455C232" w14:textId="77777777" w:rsidTr="00F57474">
        <w:tc>
          <w:tcPr>
            <w:tcW w:w="1421" w:type="pct"/>
          </w:tcPr>
          <w:p w14:paraId="3633D6A0"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Общий иммуноглобулин Е</w:t>
            </w:r>
          </w:p>
        </w:tc>
        <w:tc>
          <w:tcPr>
            <w:tcW w:w="894" w:type="pct"/>
          </w:tcPr>
          <w:p w14:paraId="7DBD8F1D"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c>
          <w:tcPr>
            <w:tcW w:w="915" w:type="pct"/>
          </w:tcPr>
          <w:p w14:paraId="6C284750"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w:t>
            </w:r>
          </w:p>
        </w:tc>
        <w:tc>
          <w:tcPr>
            <w:tcW w:w="895" w:type="pct"/>
          </w:tcPr>
          <w:p w14:paraId="6044CAF6"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w:t>
            </w:r>
          </w:p>
        </w:tc>
        <w:tc>
          <w:tcPr>
            <w:tcW w:w="875" w:type="pct"/>
          </w:tcPr>
          <w:p w14:paraId="4A2B25CB"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r>
      <w:tr w:rsidR="00F57474" w:rsidRPr="00FE5B34" w14:paraId="1CAAEC35" w14:textId="77777777" w:rsidTr="00F57474">
        <w:tc>
          <w:tcPr>
            <w:tcW w:w="1421" w:type="pct"/>
          </w:tcPr>
          <w:p w14:paraId="1907F61F"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Измерение уровня ЭКБ в крови</w:t>
            </w:r>
          </w:p>
        </w:tc>
        <w:tc>
          <w:tcPr>
            <w:tcW w:w="894" w:type="pct"/>
          </w:tcPr>
          <w:p w14:paraId="6179C3C6"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c>
          <w:tcPr>
            <w:tcW w:w="915" w:type="pct"/>
          </w:tcPr>
          <w:p w14:paraId="17586BD5"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w:t>
            </w:r>
          </w:p>
        </w:tc>
        <w:tc>
          <w:tcPr>
            <w:tcW w:w="895" w:type="pct"/>
          </w:tcPr>
          <w:p w14:paraId="362D893F"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w:t>
            </w:r>
          </w:p>
        </w:tc>
        <w:tc>
          <w:tcPr>
            <w:tcW w:w="875" w:type="pct"/>
          </w:tcPr>
          <w:p w14:paraId="0BF6F894"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r>
      <w:tr w:rsidR="00F57474" w:rsidRPr="00FE5B34" w14:paraId="2023246D" w14:textId="77777777" w:rsidTr="00F57474">
        <w:tc>
          <w:tcPr>
            <w:tcW w:w="1421" w:type="pct"/>
          </w:tcPr>
          <w:p w14:paraId="643467B2"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Измерение уровня витамина Д в крови</w:t>
            </w:r>
          </w:p>
        </w:tc>
        <w:tc>
          <w:tcPr>
            <w:tcW w:w="894" w:type="pct"/>
          </w:tcPr>
          <w:p w14:paraId="497B0B94"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c>
          <w:tcPr>
            <w:tcW w:w="915" w:type="pct"/>
          </w:tcPr>
          <w:p w14:paraId="10780688"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w:t>
            </w:r>
          </w:p>
        </w:tc>
        <w:tc>
          <w:tcPr>
            <w:tcW w:w="895" w:type="pct"/>
          </w:tcPr>
          <w:p w14:paraId="679F5A1C"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w:t>
            </w:r>
          </w:p>
        </w:tc>
        <w:tc>
          <w:tcPr>
            <w:tcW w:w="875" w:type="pct"/>
          </w:tcPr>
          <w:p w14:paraId="6750C1AE"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r>
      <w:tr w:rsidR="00F57474" w:rsidRPr="00FE5B34" w14:paraId="24989FED" w14:textId="77777777" w:rsidTr="00F57474">
        <w:tc>
          <w:tcPr>
            <w:tcW w:w="1421" w:type="pct"/>
          </w:tcPr>
          <w:p w14:paraId="7F3938DE"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Оценка безопасности</w:t>
            </w:r>
          </w:p>
          <w:p w14:paraId="5147A398"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Терапии (побочных реакций)</w:t>
            </w:r>
          </w:p>
        </w:tc>
        <w:tc>
          <w:tcPr>
            <w:tcW w:w="894" w:type="pct"/>
          </w:tcPr>
          <w:p w14:paraId="445BDD4E"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c>
          <w:tcPr>
            <w:tcW w:w="915" w:type="pct"/>
          </w:tcPr>
          <w:p w14:paraId="1345C012"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c>
          <w:tcPr>
            <w:tcW w:w="895" w:type="pct"/>
          </w:tcPr>
          <w:p w14:paraId="75E637FF" w14:textId="77777777" w:rsidR="00F57474" w:rsidRPr="00FE5B34" w:rsidRDefault="00F57474" w:rsidP="00F57474">
            <w:pPr>
              <w:tabs>
                <w:tab w:val="left" w:pos="851"/>
                <w:tab w:val="left" w:pos="993"/>
              </w:tabs>
              <w:jc w:val="both"/>
              <w:rPr>
                <w:rFonts w:ascii="Times New Roman" w:hAnsi="Times New Roman" w:cs="Times New Roman"/>
                <w:sz w:val="24"/>
                <w:szCs w:val="24"/>
              </w:rPr>
            </w:pPr>
            <w:r w:rsidRPr="00FE5B34">
              <w:rPr>
                <w:rFonts w:ascii="Times New Roman" w:hAnsi="Times New Roman" w:cs="Times New Roman"/>
                <w:sz w:val="24"/>
                <w:szCs w:val="24"/>
              </w:rPr>
              <w:t>*</w:t>
            </w:r>
          </w:p>
        </w:tc>
        <w:tc>
          <w:tcPr>
            <w:tcW w:w="875" w:type="pct"/>
          </w:tcPr>
          <w:p w14:paraId="1BFF1A17" w14:textId="77777777" w:rsidR="00F57474" w:rsidRPr="00FE5B34" w:rsidRDefault="00F57474" w:rsidP="00F57474">
            <w:pPr>
              <w:tabs>
                <w:tab w:val="left" w:pos="851"/>
                <w:tab w:val="left" w:pos="993"/>
              </w:tabs>
              <w:jc w:val="both"/>
              <w:rPr>
                <w:rFonts w:ascii="Times New Roman" w:hAnsi="Times New Roman" w:cs="Times New Roman"/>
                <w:sz w:val="24"/>
                <w:szCs w:val="24"/>
              </w:rPr>
            </w:pPr>
          </w:p>
        </w:tc>
      </w:tr>
    </w:tbl>
    <w:p w14:paraId="0E3C0A16" w14:textId="77777777" w:rsidR="00F57474" w:rsidRPr="00F57474" w:rsidRDefault="00F57474" w:rsidP="00F57474">
      <w:pPr>
        <w:rPr>
          <w:rFonts w:ascii="Times New Roman" w:hAnsi="Times New Roman" w:cs="Times New Roman"/>
          <w:sz w:val="28"/>
          <w:szCs w:val="28"/>
        </w:rPr>
      </w:pPr>
    </w:p>
    <w:p w14:paraId="305BB04E" w14:textId="7878F40B" w:rsidR="00F57474" w:rsidRPr="000B499A" w:rsidRDefault="000B499A" w:rsidP="004736B9">
      <w:pPr>
        <w:keepNext/>
        <w:keepLines/>
        <w:tabs>
          <w:tab w:val="left" w:pos="1134"/>
        </w:tabs>
        <w:spacing w:after="0"/>
        <w:ind w:firstLine="567"/>
        <w:outlineLvl w:val="0"/>
        <w:rPr>
          <w:rFonts w:ascii="Times New Roman" w:eastAsiaTheme="majorEastAsia" w:hAnsi="Times New Roman" w:cs="Times New Roman"/>
          <w:b/>
          <w:sz w:val="28"/>
          <w:szCs w:val="28"/>
        </w:rPr>
      </w:pPr>
      <w:bookmarkStart w:id="28" w:name="_Toc137904350"/>
      <w:r w:rsidRPr="000B499A">
        <w:rPr>
          <w:rFonts w:ascii="Times New Roman" w:eastAsiaTheme="majorEastAsia" w:hAnsi="Times New Roman" w:cs="Times New Roman"/>
          <w:b/>
          <w:sz w:val="28"/>
          <w:szCs w:val="28"/>
        </w:rPr>
        <w:t>2.2</w:t>
      </w:r>
      <w:r w:rsidR="00F57474" w:rsidRPr="000B499A">
        <w:rPr>
          <w:rFonts w:ascii="Times New Roman" w:eastAsiaTheme="majorEastAsia" w:hAnsi="Times New Roman" w:cs="Times New Roman"/>
          <w:b/>
          <w:sz w:val="28"/>
          <w:szCs w:val="28"/>
        </w:rPr>
        <w:t xml:space="preserve"> Характеристика вмешательства</w:t>
      </w:r>
      <w:bookmarkEnd w:id="28"/>
    </w:p>
    <w:p w14:paraId="488770A9" w14:textId="77777777" w:rsidR="00F57474" w:rsidRPr="00F57474" w:rsidRDefault="00F57474" w:rsidP="004736B9">
      <w:pPr>
        <w:spacing w:after="0"/>
        <w:ind w:firstLine="567"/>
        <w:rPr>
          <w:rFonts w:ascii="Times New Roman" w:hAnsi="Times New Roman" w:cs="Times New Roman"/>
          <w:sz w:val="28"/>
          <w:szCs w:val="28"/>
        </w:rPr>
      </w:pPr>
    </w:p>
    <w:p w14:paraId="0EF9D272" w14:textId="79CEE764" w:rsidR="00F57474" w:rsidRPr="005B1B93" w:rsidRDefault="000B499A" w:rsidP="004736B9">
      <w:pPr>
        <w:keepNext/>
        <w:keepLines/>
        <w:spacing w:after="0"/>
        <w:ind w:firstLine="567"/>
        <w:outlineLvl w:val="1"/>
        <w:rPr>
          <w:rFonts w:ascii="Times New Roman" w:eastAsiaTheme="majorEastAsia" w:hAnsi="Times New Roman" w:cs="Times New Roman"/>
          <w:i/>
          <w:sz w:val="28"/>
          <w:szCs w:val="28"/>
        </w:rPr>
      </w:pPr>
      <w:bookmarkStart w:id="29" w:name="_Toc137904351"/>
      <w:r w:rsidRPr="005B1B93">
        <w:rPr>
          <w:rFonts w:ascii="Times New Roman" w:eastAsiaTheme="majorEastAsia" w:hAnsi="Times New Roman" w:cs="Times New Roman"/>
          <w:i/>
          <w:sz w:val="28"/>
          <w:szCs w:val="28"/>
        </w:rPr>
        <w:t>2.2</w:t>
      </w:r>
      <w:r w:rsidR="00F57474" w:rsidRPr="005B1B93">
        <w:rPr>
          <w:rFonts w:ascii="Times New Roman" w:eastAsiaTheme="majorEastAsia" w:hAnsi="Times New Roman" w:cs="Times New Roman"/>
          <w:i/>
          <w:sz w:val="28"/>
          <w:szCs w:val="28"/>
        </w:rPr>
        <w:t>.1 Методика проведения аллерген-специфической иммунотерапии</w:t>
      </w:r>
      <w:bookmarkEnd w:id="29"/>
    </w:p>
    <w:p w14:paraId="4480FCBA" w14:textId="16E01FDA" w:rsidR="00F57474" w:rsidRPr="00F57474" w:rsidRDefault="00F57474" w:rsidP="00F57474">
      <w:pPr>
        <w:tabs>
          <w:tab w:val="left" w:pos="851"/>
          <w:tab w:val="left" w:pos="993"/>
        </w:tabs>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rPr>
        <w:t xml:space="preserve">АСИТ проводили препаратом «Антиполлин» в виде таблетированных сублингвальных экстрактов аллергенов компании «Бурли» по схеме, прилагающейся к инструкции производителя. Препарат разрешен для использования на территории Республики Казахстан на основании приказа председателя ККМФД МЗ РК от 6 ноября 2012 года № 845 </w:t>
      </w:r>
      <w:r w:rsidRPr="00F57474">
        <w:rPr>
          <w:rFonts w:ascii="Times New Roman" w:hAnsi="Times New Roman" w:cs="Times New Roman"/>
          <w:sz w:val="28"/>
          <w:szCs w:val="28"/>
        </w:rPr>
        <w:fldChar w:fldCharType="begin" w:fldLock="1"/>
      </w:r>
      <w:r w:rsidR="006B2D4C">
        <w:rPr>
          <w:rFonts w:ascii="Times New Roman" w:hAnsi="Times New Roman" w:cs="Times New Roman"/>
          <w:sz w:val="28"/>
          <w:szCs w:val="28"/>
        </w:rPr>
        <w:instrText>ADDIN CSL_CITATION {"citationItems":[{"id":"ITEM-1","itemData":{"id":"ITEM-1","issued":{"date-parts":[["0"]]},"title":"Инструкция по медицинскому применению лекарственного средства Антиполлин (утверждена приказом председателя ККМФД МЗ РК от 6 ноября 2012 года № 845). Номер регистрации в РК: № РК-ЛС-5№019347","type":"report"},"uris":["http://www.mendeley.com/documents/?uuid=6c4db897-1bca-456d-a0d8-08db96a19fb4"]}],"mendeley":{"formattedCitation":"[153]","plainTextFormattedCitation":"[153]","previouslyFormattedCitation":"[153]"},"properties":{"noteIndex":0},"schema":"https://github.com/citation-style-language/schema/raw/master/csl-citation.json"}</w:instrText>
      </w:r>
      <w:r w:rsidRPr="00F57474">
        <w:rPr>
          <w:rFonts w:ascii="Times New Roman" w:hAnsi="Times New Roman" w:cs="Times New Roman"/>
          <w:sz w:val="28"/>
          <w:szCs w:val="28"/>
        </w:rPr>
        <w:fldChar w:fldCharType="separate"/>
      </w:r>
      <w:r w:rsidR="004028FD" w:rsidRPr="004028FD">
        <w:rPr>
          <w:rFonts w:ascii="Times New Roman" w:hAnsi="Times New Roman" w:cs="Times New Roman"/>
          <w:noProof/>
          <w:sz w:val="28"/>
          <w:szCs w:val="28"/>
        </w:rPr>
        <w:t>[153]</w:t>
      </w:r>
      <w:r w:rsidRPr="00F57474">
        <w:rPr>
          <w:rFonts w:ascii="Times New Roman" w:hAnsi="Times New Roman" w:cs="Times New Roman"/>
          <w:sz w:val="28"/>
          <w:szCs w:val="28"/>
        </w:rPr>
        <w:fldChar w:fldCharType="end"/>
      </w:r>
      <w:r w:rsidRPr="00F57474">
        <w:rPr>
          <w:rFonts w:ascii="Times New Roman" w:hAnsi="Times New Roman" w:cs="Times New Roman"/>
          <w:sz w:val="28"/>
          <w:szCs w:val="28"/>
        </w:rPr>
        <w:t xml:space="preserve">. </w:t>
      </w:r>
    </w:p>
    <w:p w14:paraId="236C5093" w14:textId="39C09442" w:rsidR="00F57474" w:rsidRPr="00F57474" w:rsidRDefault="00F57474" w:rsidP="00F57474">
      <w:pPr>
        <w:tabs>
          <w:tab w:val="left" w:pos="851"/>
          <w:tab w:val="left" w:pos="993"/>
        </w:tabs>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rPr>
        <w:t>Антиполлин представляет собой стандартизированный комплекс, состоящий из трех компонентов. Первый – стандартизированный экстракт из пыльцы растений (одного, двух или трех аллергенов). Его объем составляет 15% от массы таблетки. Второй – аскорбиновая кислота в дозе 0,05 г – 15% от массы таблетки; третий – носитель для создания твердой, легкорастворимой во рту таблетки с процентным содержанием вспомогательных веществ 70%. Ассортимент таблеток «Антиполлин» составляет около 20 видов, в том числе различные миксты. Нами были использованы составы «Антиполлин микст полыней», «Антиполлин тимофеевка луговая», «Антиполлин береза повислая», «Антиполлин амброзия полыннолистная»</w:t>
      </w:r>
      <w:r w:rsidR="00BC62EC">
        <w:rPr>
          <w:rFonts w:ascii="Times New Roman" w:hAnsi="Times New Roman" w:cs="Times New Roman"/>
          <w:sz w:val="28"/>
          <w:szCs w:val="28"/>
        </w:rPr>
        <w:t xml:space="preserve">, </w:t>
      </w:r>
      <w:r w:rsidR="00BC62EC" w:rsidRPr="00F57474">
        <w:rPr>
          <w:rFonts w:ascii="Times New Roman" w:hAnsi="Times New Roman" w:cs="Times New Roman"/>
          <w:sz w:val="28"/>
          <w:szCs w:val="28"/>
        </w:rPr>
        <w:t xml:space="preserve">«Антиполлин </w:t>
      </w:r>
      <w:r w:rsidR="00BC62EC">
        <w:rPr>
          <w:rFonts w:ascii="Times New Roman" w:hAnsi="Times New Roman" w:cs="Times New Roman"/>
          <w:sz w:val="28"/>
          <w:szCs w:val="28"/>
        </w:rPr>
        <w:t>микст сорных трав №1</w:t>
      </w:r>
      <w:r w:rsidR="00BC62EC" w:rsidRPr="00F57474">
        <w:rPr>
          <w:rFonts w:ascii="Times New Roman" w:hAnsi="Times New Roman" w:cs="Times New Roman"/>
          <w:sz w:val="28"/>
          <w:szCs w:val="28"/>
        </w:rPr>
        <w:t>»</w:t>
      </w:r>
      <w:r w:rsidRPr="00F57474">
        <w:rPr>
          <w:rFonts w:ascii="Times New Roman" w:hAnsi="Times New Roman" w:cs="Times New Roman"/>
          <w:sz w:val="28"/>
          <w:szCs w:val="28"/>
        </w:rPr>
        <w:t>.</w:t>
      </w:r>
    </w:p>
    <w:p w14:paraId="0D5BEB8D" w14:textId="77777777" w:rsidR="00F57474" w:rsidRPr="00F57474" w:rsidRDefault="00F57474" w:rsidP="00FE5B34">
      <w:pPr>
        <w:tabs>
          <w:tab w:val="left" w:pos="851"/>
          <w:tab w:val="left" w:pos="993"/>
        </w:tabs>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rPr>
        <w:t>Лечение каждому больному назначает врач-аллерголог в период полной ремиссии и не менее чем за 2 месяца до начала цветения причинного аллергена. Таблетку помещают за щеку или под язык и держат до полного растворения, не запивая водой. Применяют препарат натощак в одно и то же время. Первый прием препарата осуществляется в присутствии лечащего врача, далее пациент по определенной схеме самостоятельно принимал препарат с контрольными визитами к лечащему врачу.</w:t>
      </w:r>
    </w:p>
    <w:p w14:paraId="1A683307" w14:textId="580DA797" w:rsidR="00F57474" w:rsidRPr="00F57474" w:rsidRDefault="00F57474" w:rsidP="00FE5B34">
      <w:pPr>
        <w:tabs>
          <w:tab w:val="left" w:pos="851"/>
          <w:tab w:val="left" w:pos="993"/>
        </w:tabs>
        <w:spacing w:after="0" w:line="240" w:lineRule="auto"/>
        <w:ind w:firstLine="567"/>
        <w:jc w:val="both"/>
        <w:rPr>
          <w:rFonts w:ascii="Times New Roman" w:hAnsi="Times New Roman" w:cs="Times New Roman"/>
          <w:color w:val="000000"/>
          <w:sz w:val="28"/>
          <w:szCs w:val="28"/>
        </w:rPr>
      </w:pPr>
      <w:r w:rsidRPr="00F57474">
        <w:rPr>
          <w:rFonts w:ascii="Times New Roman" w:hAnsi="Times New Roman" w:cs="Times New Roman"/>
          <w:color w:val="000000"/>
          <w:sz w:val="28"/>
          <w:szCs w:val="28"/>
        </w:rPr>
        <w:t xml:space="preserve">Аллерген-специфическая иммунотерапия проводилась по </w:t>
      </w:r>
      <w:r w:rsidR="00F325FF">
        <w:rPr>
          <w:rFonts w:ascii="Times New Roman" w:hAnsi="Times New Roman" w:cs="Times New Roman"/>
          <w:color w:val="000000"/>
          <w:sz w:val="28"/>
          <w:szCs w:val="28"/>
        </w:rPr>
        <w:t>классической</w:t>
      </w:r>
      <w:r w:rsidR="00F325FF" w:rsidRPr="00ED6759">
        <w:rPr>
          <w:rFonts w:ascii="Times New Roman" w:hAnsi="Times New Roman" w:cs="Times New Roman"/>
          <w:color w:val="000000"/>
          <w:sz w:val="28"/>
          <w:szCs w:val="28"/>
        </w:rPr>
        <w:t xml:space="preserve"> </w:t>
      </w:r>
      <w:r w:rsidRPr="00F57474">
        <w:rPr>
          <w:rFonts w:ascii="Times New Roman" w:hAnsi="Times New Roman" w:cs="Times New Roman"/>
          <w:color w:val="000000"/>
          <w:sz w:val="28"/>
          <w:szCs w:val="28"/>
        </w:rPr>
        <w:t xml:space="preserve">схеме в 3 этапа </w:t>
      </w:r>
      <w:r w:rsidRPr="00F57474">
        <w:rPr>
          <w:rFonts w:ascii="Times New Roman" w:hAnsi="Times New Roman" w:cs="Times New Roman"/>
          <w:color w:val="000000"/>
          <w:sz w:val="28"/>
          <w:szCs w:val="28"/>
        </w:rPr>
        <w:fldChar w:fldCharType="begin" w:fldLock="1"/>
      </w:r>
      <w:r w:rsidR="006B2D4C">
        <w:rPr>
          <w:rFonts w:ascii="Times New Roman" w:hAnsi="Times New Roman" w:cs="Times New Roman"/>
          <w:color w:val="000000"/>
          <w:sz w:val="28"/>
          <w:szCs w:val="28"/>
        </w:rPr>
        <w:instrText>ADDIN CSL_CITATION {"citationItems":[{"id":"ITEM-1","itemData":{"id":"ITEM-1","issued":{"date-parts":[["0"]]},"title":"Инструкция по медицинскому применению лекарственного средства Антиполлин (утверждена приказом председателя ККМФД МЗ РК от 6 ноября 2012 года № 845). Номер регистрации в РК: № РК-ЛС-5№019347","type":"report"},"uris":["http://www.mendeley.com/documents/?uuid=6c4db897-1bca-456d-a0d8-08db96a19fb4"]}],"mendeley":{"formattedCitation":"[153]","plainTextFormattedCitation":"[153]","previouslyFormattedCitation":"[153]"},"properties":{"noteIndex":0},"schema":"https://github.com/citation-style-language/schema/raw/master/csl-citation.json"}</w:instrText>
      </w:r>
      <w:r w:rsidRPr="00F57474">
        <w:rPr>
          <w:rFonts w:ascii="Times New Roman" w:hAnsi="Times New Roman" w:cs="Times New Roman"/>
          <w:color w:val="000000"/>
          <w:sz w:val="28"/>
          <w:szCs w:val="28"/>
        </w:rPr>
        <w:fldChar w:fldCharType="separate"/>
      </w:r>
      <w:r w:rsidR="004028FD" w:rsidRPr="004028FD">
        <w:rPr>
          <w:rFonts w:ascii="Times New Roman" w:hAnsi="Times New Roman" w:cs="Times New Roman"/>
          <w:noProof/>
          <w:color w:val="000000"/>
          <w:sz w:val="28"/>
          <w:szCs w:val="28"/>
        </w:rPr>
        <w:t>[153]</w:t>
      </w:r>
      <w:r w:rsidRPr="00F57474">
        <w:rPr>
          <w:rFonts w:ascii="Times New Roman" w:hAnsi="Times New Roman" w:cs="Times New Roman"/>
          <w:color w:val="000000"/>
          <w:sz w:val="28"/>
          <w:szCs w:val="28"/>
        </w:rPr>
        <w:fldChar w:fldCharType="end"/>
      </w:r>
      <w:r w:rsidRPr="00F57474">
        <w:rPr>
          <w:rFonts w:ascii="Times New Roman" w:hAnsi="Times New Roman" w:cs="Times New Roman"/>
          <w:color w:val="000000"/>
          <w:sz w:val="28"/>
          <w:szCs w:val="28"/>
        </w:rPr>
        <w:t>:</w:t>
      </w:r>
    </w:p>
    <w:p w14:paraId="2A7A4CDD" w14:textId="77777777" w:rsidR="00F57474" w:rsidRPr="00ED6759" w:rsidRDefault="00F57474" w:rsidP="00FE5B34">
      <w:pPr>
        <w:tabs>
          <w:tab w:val="left" w:pos="851"/>
          <w:tab w:val="left" w:pos="993"/>
        </w:tabs>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rPr>
        <w:t xml:space="preserve"> </w:t>
      </w:r>
      <w:r w:rsidRPr="00F57474">
        <w:rPr>
          <w:rFonts w:ascii="Times New Roman" w:hAnsi="Times New Roman" w:cs="Times New Roman"/>
          <w:color w:val="000000"/>
          <w:sz w:val="28"/>
          <w:szCs w:val="28"/>
        </w:rPr>
        <w:t xml:space="preserve">1 этап – </w:t>
      </w:r>
      <w:r w:rsidRPr="00F57474">
        <w:rPr>
          <w:rFonts w:ascii="Times New Roman" w:hAnsi="Times New Roman" w:cs="Times New Roman"/>
          <w:b/>
          <w:bCs/>
          <w:i/>
          <w:iCs/>
          <w:color w:val="000000"/>
          <w:sz w:val="28"/>
          <w:szCs w:val="28"/>
        </w:rPr>
        <w:t xml:space="preserve">начальный курс, </w:t>
      </w:r>
      <w:r w:rsidRPr="00F57474">
        <w:rPr>
          <w:rFonts w:ascii="Times New Roman" w:hAnsi="Times New Roman" w:cs="Times New Roman"/>
          <w:color w:val="000000"/>
          <w:sz w:val="28"/>
          <w:szCs w:val="28"/>
        </w:rPr>
        <w:t xml:space="preserve">во время которой производилось наращивание </w:t>
      </w:r>
      <w:r w:rsidRPr="00F57474">
        <w:rPr>
          <w:rFonts w:ascii="Times New Roman" w:hAnsi="Times New Roman" w:cs="Times New Roman"/>
          <w:sz w:val="28"/>
          <w:szCs w:val="28"/>
        </w:rPr>
        <w:t xml:space="preserve">дозы с постоянным повышением концентрации </w:t>
      </w:r>
      <w:r w:rsidRPr="00ED6759">
        <w:rPr>
          <w:rFonts w:ascii="Times New Roman" w:hAnsi="Times New Roman" w:cs="Times New Roman"/>
          <w:sz w:val="28"/>
          <w:szCs w:val="28"/>
        </w:rPr>
        <w:t xml:space="preserve">аллергена в течение 1 месяца, начиная с дозы </w:t>
      </w:r>
      <w:r w:rsidRPr="00ED6759">
        <w:rPr>
          <w:rFonts w:ascii="Times New Roman" w:hAnsi="Times New Roman" w:cs="Times New Roman"/>
          <w:sz w:val="28"/>
          <w:szCs w:val="28"/>
          <w:shd w:val="clear" w:color="auto" w:fill="FFFFFF"/>
        </w:rPr>
        <w:t>0,0001 PNU</w:t>
      </w:r>
      <w:r w:rsidRPr="00ED6759">
        <w:rPr>
          <w:rFonts w:ascii="Times New Roman" w:hAnsi="Times New Roman" w:cs="Times New Roman"/>
          <w:sz w:val="28"/>
          <w:szCs w:val="28"/>
        </w:rPr>
        <w:t xml:space="preserve"> </w:t>
      </w:r>
      <w:r w:rsidRPr="00ED6759">
        <w:rPr>
          <w:rFonts w:ascii="Times New Roman" w:hAnsi="Times New Roman" w:cs="Times New Roman"/>
          <w:color w:val="000000"/>
          <w:sz w:val="28"/>
          <w:szCs w:val="28"/>
        </w:rPr>
        <w:t xml:space="preserve">до достижения </w:t>
      </w:r>
      <w:r w:rsidRPr="00ED6759">
        <w:rPr>
          <w:rFonts w:ascii="Times New Roman" w:hAnsi="Times New Roman" w:cs="Times New Roman"/>
          <w:sz w:val="28"/>
          <w:szCs w:val="28"/>
        </w:rPr>
        <w:t>1</w:t>
      </w:r>
      <w:r w:rsidRPr="00ED6759">
        <w:rPr>
          <w:rFonts w:ascii="Times New Roman" w:hAnsi="Times New Roman" w:cs="Times New Roman"/>
          <w:color w:val="000000"/>
          <w:sz w:val="28"/>
          <w:szCs w:val="28"/>
        </w:rPr>
        <w:t xml:space="preserve"> </w:t>
      </w:r>
      <w:r w:rsidRPr="00ED6759">
        <w:rPr>
          <w:rFonts w:ascii="Times New Roman" w:hAnsi="Times New Roman" w:cs="Times New Roman"/>
          <w:sz w:val="28"/>
          <w:szCs w:val="28"/>
          <w:shd w:val="clear" w:color="auto" w:fill="FFFFFF"/>
        </w:rPr>
        <w:t>PNU</w:t>
      </w:r>
      <w:r w:rsidRPr="00ED6759">
        <w:rPr>
          <w:rFonts w:ascii="Times New Roman" w:hAnsi="Times New Roman" w:cs="Times New Roman"/>
          <w:color w:val="000000"/>
          <w:sz w:val="28"/>
          <w:szCs w:val="28"/>
        </w:rPr>
        <w:t>.</w:t>
      </w:r>
    </w:p>
    <w:p w14:paraId="30E39267" w14:textId="77777777" w:rsidR="00F57474" w:rsidRPr="00ED6759" w:rsidRDefault="00F57474" w:rsidP="00FE5B34">
      <w:pPr>
        <w:tabs>
          <w:tab w:val="left" w:pos="851"/>
          <w:tab w:val="left" w:pos="993"/>
        </w:tabs>
        <w:spacing w:after="0" w:line="240" w:lineRule="auto"/>
        <w:ind w:firstLine="567"/>
        <w:jc w:val="both"/>
        <w:rPr>
          <w:rFonts w:ascii="Times New Roman" w:hAnsi="Times New Roman" w:cs="Times New Roman"/>
          <w:sz w:val="28"/>
          <w:szCs w:val="28"/>
        </w:rPr>
      </w:pPr>
      <w:r w:rsidRPr="00ED6759">
        <w:rPr>
          <w:rFonts w:ascii="Times New Roman" w:hAnsi="Times New Roman" w:cs="Times New Roman"/>
          <w:sz w:val="28"/>
          <w:szCs w:val="28"/>
        </w:rPr>
        <w:t xml:space="preserve">2 этап – </w:t>
      </w:r>
      <w:r w:rsidRPr="00ED6759">
        <w:rPr>
          <w:rFonts w:ascii="Times New Roman" w:hAnsi="Times New Roman" w:cs="Times New Roman"/>
          <w:b/>
          <w:i/>
          <w:sz w:val="28"/>
          <w:szCs w:val="28"/>
        </w:rPr>
        <w:t>основной курс</w:t>
      </w:r>
      <w:r w:rsidRPr="00ED6759">
        <w:rPr>
          <w:rFonts w:ascii="Times New Roman" w:hAnsi="Times New Roman" w:cs="Times New Roman"/>
          <w:sz w:val="28"/>
          <w:szCs w:val="28"/>
        </w:rPr>
        <w:t xml:space="preserve">, в течение 26 дней продолжается наращивание концентрации аллергена с 10 до достижения </w:t>
      </w:r>
      <w:r w:rsidRPr="00ED6759">
        <w:rPr>
          <w:rFonts w:ascii="Times New Roman" w:hAnsi="Times New Roman" w:cs="Times New Roman"/>
          <w:color w:val="000000"/>
          <w:sz w:val="28"/>
          <w:szCs w:val="28"/>
        </w:rPr>
        <w:t>максимально допустимой дозы</w:t>
      </w:r>
      <w:r w:rsidRPr="00ED6759">
        <w:rPr>
          <w:rFonts w:ascii="Times New Roman" w:hAnsi="Times New Roman" w:cs="Times New Roman"/>
          <w:sz w:val="28"/>
          <w:szCs w:val="28"/>
        </w:rPr>
        <w:t xml:space="preserve"> 1000 </w:t>
      </w:r>
      <w:r w:rsidRPr="00ED6759">
        <w:rPr>
          <w:rFonts w:ascii="Times New Roman" w:hAnsi="Times New Roman" w:cs="Times New Roman"/>
          <w:sz w:val="28"/>
          <w:szCs w:val="28"/>
          <w:lang w:val="en-US"/>
        </w:rPr>
        <w:t>PNU</w:t>
      </w:r>
      <w:r w:rsidRPr="00ED6759">
        <w:rPr>
          <w:rFonts w:ascii="Times New Roman" w:hAnsi="Times New Roman" w:cs="Times New Roman"/>
          <w:sz w:val="28"/>
          <w:szCs w:val="28"/>
        </w:rPr>
        <w:t>.</w:t>
      </w:r>
    </w:p>
    <w:p w14:paraId="25744446" w14:textId="77777777" w:rsidR="00F57474" w:rsidRPr="00ED6759" w:rsidRDefault="00F57474" w:rsidP="00FE5B34">
      <w:pPr>
        <w:tabs>
          <w:tab w:val="left" w:pos="851"/>
          <w:tab w:val="left" w:pos="993"/>
        </w:tabs>
        <w:spacing w:after="0" w:line="240" w:lineRule="auto"/>
        <w:ind w:firstLine="567"/>
        <w:jc w:val="both"/>
        <w:rPr>
          <w:rFonts w:ascii="Times New Roman" w:hAnsi="Times New Roman" w:cs="Times New Roman"/>
          <w:color w:val="000000"/>
          <w:sz w:val="28"/>
          <w:szCs w:val="28"/>
        </w:rPr>
      </w:pPr>
      <w:r w:rsidRPr="00ED6759">
        <w:rPr>
          <w:rFonts w:ascii="Times New Roman" w:hAnsi="Times New Roman" w:cs="Times New Roman"/>
          <w:sz w:val="28"/>
          <w:szCs w:val="28"/>
        </w:rPr>
        <w:t xml:space="preserve">3 этап - </w:t>
      </w:r>
      <w:r w:rsidRPr="00ED6759">
        <w:rPr>
          <w:rFonts w:ascii="Times New Roman" w:hAnsi="Times New Roman" w:cs="Times New Roman"/>
          <w:b/>
          <w:i/>
          <w:sz w:val="28"/>
          <w:szCs w:val="28"/>
        </w:rPr>
        <w:t>поддерживающий курс</w:t>
      </w:r>
      <w:r w:rsidRPr="00ED6759">
        <w:rPr>
          <w:rFonts w:ascii="Times New Roman" w:hAnsi="Times New Roman" w:cs="Times New Roman"/>
          <w:sz w:val="28"/>
          <w:szCs w:val="28"/>
        </w:rPr>
        <w:t xml:space="preserve">, заключается в применении </w:t>
      </w:r>
      <w:r w:rsidRPr="00ED6759">
        <w:rPr>
          <w:rFonts w:ascii="Times New Roman" w:hAnsi="Times New Roman" w:cs="Times New Roman"/>
          <w:color w:val="000000"/>
          <w:sz w:val="28"/>
          <w:szCs w:val="28"/>
        </w:rPr>
        <w:t xml:space="preserve">максимально допустимой дозы и концентрации аллергена в 1000 </w:t>
      </w:r>
      <w:r w:rsidRPr="00ED6759">
        <w:rPr>
          <w:rFonts w:ascii="Times New Roman" w:hAnsi="Times New Roman" w:cs="Times New Roman"/>
          <w:sz w:val="28"/>
          <w:szCs w:val="28"/>
          <w:shd w:val="clear" w:color="auto" w:fill="FFFFFF"/>
        </w:rPr>
        <w:t>PNU, по одной таблетке 1 раз через 2 дня</w:t>
      </w:r>
      <w:r w:rsidRPr="00ED6759">
        <w:rPr>
          <w:rFonts w:ascii="Times New Roman" w:hAnsi="Times New Roman" w:cs="Times New Roman"/>
          <w:sz w:val="28"/>
          <w:szCs w:val="28"/>
        </w:rPr>
        <w:t xml:space="preserve"> в течение 16 дней. Лечение заканчивали за 2 недели до предполагаемого сезона цветения растений, к пыльце которых имелась повышенная чувствительность. </w:t>
      </w:r>
    </w:p>
    <w:p w14:paraId="60DCEB8F" w14:textId="54420766" w:rsidR="00F57474" w:rsidRPr="00ED6759" w:rsidRDefault="00F57474" w:rsidP="00FE5B34">
      <w:pPr>
        <w:tabs>
          <w:tab w:val="left" w:pos="851"/>
          <w:tab w:val="left" w:pos="993"/>
        </w:tabs>
        <w:spacing w:after="0" w:line="240" w:lineRule="auto"/>
        <w:ind w:firstLine="567"/>
        <w:jc w:val="both"/>
        <w:rPr>
          <w:rFonts w:ascii="Times New Roman" w:hAnsi="Times New Roman" w:cs="Times New Roman"/>
          <w:sz w:val="28"/>
          <w:szCs w:val="28"/>
        </w:rPr>
      </w:pPr>
      <w:r w:rsidRPr="00ED6759">
        <w:rPr>
          <w:rFonts w:ascii="Times New Roman" w:hAnsi="Times New Roman" w:cs="Times New Roman"/>
          <w:color w:val="000000"/>
          <w:sz w:val="28"/>
          <w:szCs w:val="28"/>
        </w:rPr>
        <w:t xml:space="preserve">Классическая схема сублингвальной </w:t>
      </w:r>
      <w:r w:rsidRPr="00ED6759">
        <w:rPr>
          <w:rFonts w:ascii="Times New Roman" w:hAnsi="Times New Roman" w:cs="Times New Roman"/>
          <w:sz w:val="28"/>
          <w:szCs w:val="28"/>
        </w:rPr>
        <w:t>аллерген-специфической иммунотерапии была назначена группе контроля (П</w:t>
      </w:r>
      <w:r w:rsidR="00E34DF9" w:rsidRPr="00ED6759">
        <w:rPr>
          <w:rFonts w:ascii="Times New Roman" w:hAnsi="Times New Roman" w:cs="Times New Roman"/>
          <w:color w:val="000000"/>
          <w:sz w:val="28"/>
          <w:szCs w:val="28"/>
        </w:rPr>
        <w:t xml:space="preserve">риложение </w:t>
      </w:r>
      <w:r w:rsidR="00FB3093" w:rsidRPr="00ED6759">
        <w:rPr>
          <w:rFonts w:ascii="Times New Roman" w:hAnsi="Times New Roman" w:cs="Times New Roman"/>
          <w:color w:val="000000"/>
          <w:sz w:val="28"/>
          <w:szCs w:val="28"/>
        </w:rPr>
        <w:t>Е</w:t>
      </w:r>
      <w:r w:rsidRPr="00ED6759">
        <w:rPr>
          <w:rFonts w:ascii="Times New Roman" w:hAnsi="Times New Roman" w:cs="Times New Roman"/>
          <w:color w:val="000000"/>
          <w:sz w:val="28"/>
          <w:szCs w:val="28"/>
        </w:rPr>
        <w:t xml:space="preserve">) </w:t>
      </w:r>
      <w:r w:rsidRPr="00ED6759">
        <w:rPr>
          <w:rFonts w:ascii="Times New Roman" w:hAnsi="Times New Roman" w:cs="Times New Roman"/>
          <w:color w:val="000000"/>
          <w:sz w:val="28"/>
          <w:szCs w:val="28"/>
        </w:rPr>
        <w:fldChar w:fldCharType="begin" w:fldLock="1"/>
      </w:r>
      <w:r w:rsidR="006B2D4C">
        <w:rPr>
          <w:rFonts w:ascii="Times New Roman" w:hAnsi="Times New Roman" w:cs="Times New Roman"/>
          <w:color w:val="000000"/>
          <w:sz w:val="28"/>
          <w:szCs w:val="28"/>
        </w:rPr>
        <w:instrText>ADDIN CSL_CITATION {"citationItems":[{"id":"ITEM-1","itemData":{"id":"ITEM-1","issued":{"date-parts":[["0"]]},"title":"Инструкция по медицинскому применению лекарственного средства Антиполлин (утверждена приказом председателя ККМФД МЗ РК от 6 ноября 2012 года № 845). Номер регистрации в РК: № РК-ЛС-5№019347","type":"report"},"uris":["http://www.mendeley.com/documents/?uuid=6c4db897-1bca-456d-a0d8-08db96a19fb4"]}],"mendeley":{"formattedCitation":"[153]","plainTextFormattedCitation":"[153]","previouslyFormattedCitation":"[153]"},"properties":{"noteIndex":0},"schema":"https://github.com/citation-style-language/schema/raw/master/csl-citation.json"}</w:instrText>
      </w:r>
      <w:r w:rsidRPr="00ED6759">
        <w:rPr>
          <w:rFonts w:ascii="Times New Roman" w:hAnsi="Times New Roman" w:cs="Times New Roman"/>
          <w:color w:val="000000"/>
          <w:sz w:val="28"/>
          <w:szCs w:val="28"/>
        </w:rPr>
        <w:fldChar w:fldCharType="separate"/>
      </w:r>
      <w:r w:rsidR="004028FD" w:rsidRPr="004028FD">
        <w:rPr>
          <w:rFonts w:ascii="Times New Roman" w:hAnsi="Times New Roman" w:cs="Times New Roman"/>
          <w:noProof/>
          <w:color w:val="000000"/>
          <w:sz w:val="28"/>
          <w:szCs w:val="28"/>
        </w:rPr>
        <w:t>[153]</w:t>
      </w:r>
      <w:r w:rsidRPr="00ED6759">
        <w:rPr>
          <w:rFonts w:ascii="Times New Roman" w:hAnsi="Times New Roman" w:cs="Times New Roman"/>
          <w:color w:val="000000"/>
          <w:sz w:val="28"/>
          <w:szCs w:val="28"/>
        </w:rPr>
        <w:fldChar w:fldCharType="end"/>
      </w:r>
      <w:r w:rsidRPr="00ED6759">
        <w:rPr>
          <w:rFonts w:ascii="Times New Roman" w:hAnsi="Times New Roman" w:cs="Times New Roman"/>
          <w:sz w:val="28"/>
          <w:szCs w:val="28"/>
        </w:rPr>
        <w:t xml:space="preserve">. Группе вмешательства была назначена </w:t>
      </w:r>
      <w:r w:rsidR="00F478F6">
        <w:rPr>
          <w:rFonts w:ascii="Times New Roman" w:hAnsi="Times New Roman" w:cs="Times New Roman"/>
          <w:sz w:val="28"/>
          <w:szCs w:val="28"/>
        </w:rPr>
        <w:t>адаптированная</w:t>
      </w:r>
      <w:r w:rsidRPr="00ED6759">
        <w:rPr>
          <w:rFonts w:ascii="Times New Roman" w:hAnsi="Times New Roman" w:cs="Times New Roman"/>
          <w:sz w:val="28"/>
          <w:szCs w:val="28"/>
        </w:rPr>
        <w:t xml:space="preserve"> схема аллерген-специфической иммунотерапии в комплексе с витамином Д на протяжении двух с половиной месяцев (</w:t>
      </w:r>
      <w:r w:rsidR="00FB3093" w:rsidRPr="00ED6759">
        <w:rPr>
          <w:rFonts w:ascii="Times New Roman" w:hAnsi="Times New Roman" w:cs="Times New Roman"/>
          <w:sz w:val="28"/>
          <w:szCs w:val="28"/>
        </w:rPr>
        <w:t>Приложение Е</w:t>
      </w:r>
      <w:r w:rsidRPr="00ED6759">
        <w:rPr>
          <w:rFonts w:ascii="Times New Roman" w:hAnsi="Times New Roman" w:cs="Times New Roman"/>
          <w:sz w:val="28"/>
          <w:szCs w:val="28"/>
        </w:rPr>
        <w:t>). Подбор дозы витамина Д в группе вмешательства (АСИТ + витамин Д) был осуществлен по схеме, в соответствии с уровнем дефицита в сыворотке крови пациента для достижения ожидаемого уровня в 40 нг/мл (</w:t>
      </w:r>
      <w:r w:rsidR="000A6A04">
        <w:rPr>
          <w:rFonts w:ascii="Times New Roman" w:hAnsi="Times New Roman" w:cs="Times New Roman"/>
          <w:sz w:val="28"/>
          <w:szCs w:val="28"/>
        </w:rPr>
        <w:t>таблица 7</w:t>
      </w:r>
      <w:r w:rsidRPr="00ED6759">
        <w:rPr>
          <w:rFonts w:ascii="Times New Roman" w:hAnsi="Times New Roman" w:cs="Times New Roman"/>
          <w:sz w:val="28"/>
          <w:szCs w:val="28"/>
        </w:rPr>
        <w:t xml:space="preserve">) </w:t>
      </w:r>
      <w:r w:rsidRPr="00ED6759">
        <w:rPr>
          <w:rFonts w:ascii="Times New Roman" w:hAnsi="Times New Roman" w:cs="Times New Roman"/>
          <w:sz w:val="28"/>
          <w:szCs w:val="28"/>
        </w:rPr>
        <w:fldChar w:fldCharType="begin" w:fldLock="1"/>
      </w:r>
      <w:r w:rsidR="006B2D4C">
        <w:rPr>
          <w:rFonts w:ascii="Times New Roman" w:hAnsi="Times New Roman" w:cs="Times New Roman"/>
          <w:sz w:val="28"/>
          <w:szCs w:val="28"/>
        </w:rPr>
        <w:instrText>ADDIN CSL_CITATION {"citationItems":[{"id":"ITEM-1","itemData":{"DOI":"10.17116/repro201622428-36","ISSN":"1025-7217","author":[{"dropping-particle":"","family":"Калинченко","given":"С.Ю.","non-dropping-particle":"","parse-names":false,"suffix":""},{"dropping-particle":"","family":"Жиленко","given":"М.И.","non-dropping-particle":"","parse-names":false,"suffix":""},{"dropping-particle":"","family":"Гусакова","given":"Д.А.","non-dropping-particle":"","parse-names":false,"suffix":""},{"dropping-particle":"","family":"Тюзиков","given":"И.А.","non-dropping-particle":"","parse-names":false,"suffix":""},{"dropping-particle":"","family":"Мсхалая","given":"Г.Ж.","non-dropping-particle":"","parse-names":false,"suffix":""},{"dropping-particle":"","family":"Саблин","given":"К.С.","non-dropping-particle":"","parse-names":false,"suffix":""},{"dropping-particle":"","family":"Дымова","given":"А.В.","non-dropping-particle":"","parse-names":false,"suffix":""}],"container-title":"Проблемы репродукции","id":"ITEM-1","issue":"4","issued":{"date-parts":[["2016"]]},"page":"28","title":"Витамин D и репродуктивное здоровье женщин","type":"article-journal","volume":"22"},"uris":["http://www.mendeley.com/documents/?uuid=83364608-c6ab-415d-b730-8b64c4ec2205"]},{"id":"ITEM-2","itemData":{"DOI":"10.1016/j.jsbmb.2017.01.021","ISSN":"18791220","PMID":"28216084","abstract":"Research carried out during the past two-decades extended the understanding of actions of vitamin D, from regulating calcium and phosphate absorption and bone metabolism to many pleiotropic actions in organs and tissues in the body. Most observational and ecological studies report association of higher serum 25-hydroxyvitamin D [25(OH)D] concentrations with improved outcomes for several chronic, communicable and non-communicable diseases. Consequently, numerous agencies and scientific organizations have developed recommendations for vitamin D supplementation and guidance on optimal serum 25(OH)D concentrations. The bone-centric guidelines recommend a target 25(OH)D concentration of 20 ng/mL (50 nmol/L), and age-dependent daily vitamin D doses of 400–800 IU. The guidelines focused on pleiotropic effects of vitamin D recommend a target 25(OH)D concentration of 30 ng/mL (75 nmol/L), and age-, body weight-, disease-status, and ethnicity dependent vitamin D doses ranging between 400 and 2000 IU/day. The wise and balanced choice of the recommendations to follow depends on one's individual health outcome concerns, age, body weight, latitude of residence, dietary and cultural habits, making the regional or nationwide guidelines more applicable in clinical practice. While natural sources of vitamin D can raise 25(OH)D concentrations, relative to dietary preferences and latitude of residence, in the context of general population, these sources are regarded ineffective to maintain the year-round 25(OH)D concentrations in the range of 30–50 ng/mL (75–125 nmol/L). Vitamin D self-administration related adverse effects, such as hypercalcemia and hypercalciuria are rare, and usually result from taking extremely high doses of vitamin D for a prolonged time.","author":[{"dropping-particle":"","family":"Pludowski","given":"Pawel","non-dropping-particle":"","parse-names":false,"suffix":""},{"dropping-particle":"","family":"Holick","given":"Michael F.","non-dropping-particle":"","parse-names":false,"suffix":""},{"dropping-particle":"","family":"Grant","given":"William B.","non-dropping-particle":"","parse-names":false,"suffix":""},{"dropping-particle":"","family":"Konstantynowicz","given":"Jerzy","non-dropping-particle":"","parse-names":false,"suffix":""},{"dropping-particle":"","family":"Mascarenhas","given":"Mario R.","non-dropping-particle":"","parse-names":false,"suffix":""},{"dropping-particle":"","family":"Haq","given":"Afrozul","non-dropping-particle":"","parse-names":false,"suffix":""},{"dropping-particle":"","family":"Povoroznyuk","given":"Vladyslav","non-dropping-particle":"","parse-names":false,"suffix":""},{"dropping-particle":"","family":"Balatska","given":"Nataliya","non-dropping-particle":"","parse-names":false,"suffix":""},{"dropping-particle":"","family":"Barbosa","given":"Ana Paula","non-dropping-particle":"","parse-names":false,"suffix":""},{"dropping-particle":"","family":"Karonova","given":"Tatiana","non-dropping-particle":"","parse-names":false,"suffix":""},{"dropping-particle":"","family":"Rudenka","given":"Ema","non-dropping-particle":"","parse-names":false,"suffix":""},{"dropping-particle":"","family":"Misiorowski","given":"Waldemar","non-dropping-particle":"","parse-names":false,"suffix":""},{"dropping-particle":"","family":"Zakharova","given":"Irina","non-dropping-particle":"","parse-names":false,"suffix":""},{"dropping-particle":"","family":"Rudenka","given":"Alena","non-dropping-particle":"","parse-names":false,"suffix":""},{"dropping-particle":"","family":"Łukaszkiewicz","given":"Jacek","non-dropping-particle":"","parse-names":false,"suffix":""},{"dropping-particle":"","family":"Marcinowska-Suchowierska","given":"Ewa","non-dropping-particle":"","parse-names":false,"suffix":""},{"dropping-particle":"","family":"Łaszcz","given":"Natalia","non-dropping-particle":"","parse-names":false,"suffix":""},{"dropping-particle":"","family":"Abramowicz","given":"Pawel","non-dropping-particle":"","parse-names":false,"suffix":""},{"dropping-particle":"","family":"Bhattoa","given":"Harjit P.","non-dropping-particle":"","parse-names":false,"suffix":""},{"dropping-particle":"","family":"Wimalawansa","given":"Sunil J.","non-dropping-particle":"","parse-names":false,"suffix":""}],"container-title":"Journal of Steroid Biochemistry and Molecular Biology","id":"ITEM-2","issue":"2016","issued":{"date-parts":[["2018"]]},"page":"125-135","title":"Vitamin D supplementation guidelines","type":"article-journal","volume":"175"},"uris":["http://www.mendeley.com/documents/?uuid=b6c8963f-c3fc-43da-88bf-483b893263a8"]}],"mendeley":{"formattedCitation":"[154,155]","plainTextFormattedCitation":"[154,155]","previouslyFormattedCitation":"[154,155]"},"properties":{"noteIndex":0},"schema":"https://github.com/citation-style-language/schema/raw/master/csl-citation.json"}</w:instrText>
      </w:r>
      <w:r w:rsidRPr="00ED6759">
        <w:rPr>
          <w:rFonts w:ascii="Times New Roman" w:hAnsi="Times New Roman" w:cs="Times New Roman"/>
          <w:sz w:val="28"/>
          <w:szCs w:val="28"/>
        </w:rPr>
        <w:fldChar w:fldCharType="separate"/>
      </w:r>
      <w:r w:rsidR="004028FD" w:rsidRPr="004028FD">
        <w:rPr>
          <w:rFonts w:ascii="Times New Roman" w:hAnsi="Times New Roman" w:cs="Times New Roman"/>
          <w:noProof/>
          <w:sz w:val="28"/>
          <w:szCs w:val="28"/>
        </w:rPr>
        <w:t>[154,155]</w:t>
      </w:r>
      <w:r w:rsidRPr="00ED6759">
        <w:rPr>
          <w:rFonts w:ascii="Times New Roman" w:hAnsi="Times New Roman" w:cs="Times New Roman"/>
          <w:sz w:val="28"/>
          <w:szCs w:val="28"/>
        </w:rPr>
        <w:fldChar w:fldCharType="end"/>
      </w:r>
      <w:r w:rsidRPr="00ED6759">
        <w:rPr>
          <w:rFonts w:ascii="Times New Roman" w:hAnsi="Times New Roman" w:cs="Times New Roman"/>
          <w:sz w:val="28"/>
          <w:szCs w:val="28"/>
        </w:rPr>
        <w:t>.</w:t>
      </w:r>
    </w:p>
    <w:p w14:paraId="1645C36A" w14:textId="77777777" w:rsidR="00F57474" w:rsidRPr="00ED6759" w:rsidRDefault="00F57474" w:rsidP="00FE5B34">
      <w:pPr>
        <w:tabs>
          <w:tab w:val="left" w:pos="851"/>
          <w:tab w:val="left" w:pos="993"/>
        </w:tabs>
        <w:spacing w:after="0" w:line="240" w:lineRule="auto"/>
        <w:ind w:firstLine="567"/>
        <w:jc w:val="both"/>
        <w:rPr>
          <w:rFonts w:ascii="Times New Roman" w:hAnsi="Times New Roman" w:cs="Times New Roman"/>
          <w:sz w:val="28"/>
          <w:szCs w:val="28"/>
        </w:rPr>
      </w:pPr>
    </w:p>
    <w:p w14:paraId="0D6673A8" w14:textId="38E41299" w:rsidR="00F57474" w:rsidRPr="00ED6759" w:rsidRDefault="000A6A04" w:rsidP="00FE5B34">
      <w:pPr>
        <w:tabs>
          <w:tab w:val="left" w:pos="851"/>
          <w:tab w:val="left" w:pos="99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7</w:t>
      </w:r>
      <w:r w:rsidR="00F57474" w:rsidRPr="00ED6759">
        <w:rPr>
          <w:rFonts w:ascii="Times New Roman" w:hAnsi="Times New Roman" w:cs="Times New Roman"/>
          <w:sz w:val="28"/>
          <w:szCs w:val="28"/>
        </w:rPr>
        <w:t xml:space="preserve"> - Подбор оптимальной дозы витамина Д </w:t>
      </w:r>
    </w:p>
    <w:p w14:paraId="2E6FA5B6" w14:textId="77777777" w:rsidR="00F57474" w:rsidRPr="00ED6759" w:rsidRDefault="00F57474" w:rsidP="00FE5B34">
      <w:pPr>
        <w:tabs>
          <w:tab w:val="left" w:pos="851"/>
          <w:tab w:val="left" w:pos="993"/>
        </w:tabs>
        <w:spacing w:after="0" w:line="240" w:lineRule="auto"/>
        <w:jc w:val="both"/>
        <w:rPr>
          <w:rFonts w:ascii="Times New Roman" w:hAnsi="Times New Roman" w:cs="Times New Roman"/>
          <w:sz w:val="28"/>
          <w:szCs w:val="28"/>
        </w:rPr>
      </w:pPr>
    </w:p>
    <w:tbl>
      <w:tblPr>
        <w:tblStyle w:val="13"/>
        <w:tblW w:w="5000" w:type="pct"/>
        <w:tblLook w:val="04A0" w:firstRow="1" w:lastRow="0" w:firstColumn="1" w:lastColumn="0" w:noHBand="0" w:noVBand="1"/>
      </w:tblPr>
      <w:tblGrid>
        <w:gridCol w:w="1341"/>
        <w:gridCol w:w="1175"/>
        <w:gridCol w:w="1192"/>
        <w:gridCol w:w="1192"/>
        <w:gridCol w:w="1192"/>
        <w:gridCol w:w="1192"/>
        <w:gridCol w:w="1192"/>
        <w:gridCol w:w="1152"/>
      </w:tblGrid>
      <w:tr w:rsidR="00F57474" w:rsidRPr="00ED6759" w14:paraId="52378C46" w14:textId="77777777" w:rsidTr="00F57474">
        <w:tc>
          <w:tcPr>
            <w:tcW w:w="1307" w:type="pct"/>
            <w:gridSpan w:val="2"/>
            <w:vMerge w:val="restart"/>
          </w:tcPr>
          <w:p w14:paraId="0C34FB01"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3693" w:type="pct"/>
            <w:gridSpan w:val="6"/>
          </w:tcPr>
          <w:p w14:paraId="678E1E91"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Ожидаемый уровень (нг/мл)</w:t>
            </w:r>
          </w:p>
        </w:tc>
      </w:tr>
      <w:tr w:rsidR="00F57474" w:rsidRPr="00ED6759" w14:paraId="3A0C4526" w14:textId="77777777" w:rsidTr="00F57474">
        <w:tc>
          <w:tcPr>
            <w:tcW w:w="1307" w:type="pct"/>
            <w:gridSpan w:val="2"/>
            <w:vMerge/>
          </w:tcPr>
          <w:p w14:paraId="380D2CFA"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6C833A99"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20</w:t>
            </w:r>
          </w:p>
        </w:tc>
        <w:tc>
          <w:tcPr>
            <w:tcW w:w="619" w:type="pct"/>
          </w:tcPr>
          <w:p w14:paraId="016C003D"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30</w:t>
            </w:r>
          </w:p>
        </w:tc>
        <w:tc>
          <w:tcPr>
            <w:tcW w:w="619" w:type="pct"/>
          </w:tcPr>
          <w:p w14:paraId="2751D2FE"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40</w:t>
            </w:r>
          </w:p>
        </w:tc>
        <w:tc>
          <w:tcPr>
            <w:tcW w:w="619" w:type="pct"/>
          </w:tcPr>
          <w:p w14:paraId="091821E9"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50</w:t>
            </w:r>
          </w:p>
        </w:tc>
        <w:tc>
          <w:tcPr>
            <w:tcW w:w="619" w:type="pct"/>
          </w:tcPr>
          <w:p w14:paraId="7DD99922"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60</w:t>
            </w:r>
          </w:p>
        </w:tc>
        <w:tc>
          <w:tcPr>
            <w:tcW w:w="598" w:type="pct"/>
          </w:tcPr>
          <w:p w14:paraId="1FD4995D"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70</w:t>
            </w:r>
          </w:p>
        </w:tc>
      </w:tr>
      <w:tr w:rsidR="00F57474" w:rsidRPr="00ED6759" w14:paraId="5592610D" w14:textId="77777777" w:rsidTr="00F57474">
        <w:tc>
          <w:tcPr>
            <w:tcW w:w="697" w:type="pct"/>
            <w:vMerge w:val="restart"/>
          </w:tcPr>
          <w:p w14:paraId="03C59DC6"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Текущий уровень (нг/мл)</w:t>
            </w:r>
          </w:p>
        </w:tc>
        <w:tc>
          <w:tcPr>
            <w:tcW w:w="610" w:type="pct"/>
          </w:tcPr>
          <w:p w14:paraId="4F4255AC"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10</w:t>
            </w:r>
          </w:p>
        </w:tc>
        <w:tc>
          <w:tcPr>
            <w:tcW w:w="619" w:type="pct"/>
          </w:tcPr>
          <w:p w14:paraId="3EDD8FC9"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1000</w:t>
            </w:r>
          </w:p>
        </w:tc>
        <w:tc>
          <w:tcPr>
            <w:tcW w:w="619" w:type="pct"/>
          </w:tcPr>
          <w:p w14:paraId="54E1E5DD"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2200</w:t>
            </w:r>
          </w:p>
        </w:tc>
        <w:tc>
          <w:tcPr>
            <w:tcW w:w="619" w:type="pct"/>
          </w:tcPr>
          <w:p w14:paraId="793C32F0"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3600</w:t>
            </w:r>
          </w:p>
        </w:tc>
        <w:tc>
          <w:tcPr>
            <w:tcW w:w="619" w:type="pct"/>
          </w:tcPr>
          <w:p w14:paraId="157B115C"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5300</w:t>
            </w:r>
          </w:p>
        </w:tc>
        <w:tc>
          <w:tcPr>
            <w:tcW w:w="619" w:type="pct"/>
          </w:tcPr>
          <w:p w14:paraId="2D55A6C1"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7400</w:t>
            </w:r>
          </w:p>
        </w:tc>
        <w:tc>
          <w:tcPr>
            <w:tcW w:w="598" w:type="pct"/>
          </w:tcPr>
          <w:p w14:paraId="49EAF3A8"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10100</w:t>
            </w:r>
          </w:p>
        </w:tc>
      </w:tr>
      <w:tr w:rsidR="00F57474" w:rsidRPr="00ED6759" w14:paraId="1280FC6D" w14:textId="77777777" w:rsidTr="00F57474">
        <w:tc>
          <w:tcPr>
            <w:tcW w:w="697" w:type="pct"/>
            <w:vMerge/>
          </w:tcPr>
          <w:p w14:paraId="6BA21493"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0" w:type="pct"/>
          </w:tcPr>
          <w:p w14:paraId="43FC37F9"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15</w:t>
            </w:r>
          </w:p>
        </w:tc>
        <w:tc>
          <w:tcPr>
            <w:tcW w:w="619" w:type="pct"/>
          </w:tcPr>
          <w:p w14:paraId="3DFC2CF0"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500</w:t>
            </w:r>
          </w:p>
        </w:tc>
        <w:tc>
          <w:tcPr>
            <w:tcW w:w="619" w:type="pct"/>
          </w:tcPr>
          <w:p w14:paraId="0E54D918"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1700</w:t>
            </w:r>
          </w:p>
        </w:tc>
        <w:tc>
          <w:tcPr>
            <w:tcW w:w="619" w:type="pct"/>
          </w:tcPr>
          <w:p w14:paraId="68192264"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3200</w:t>
            </w:r>
          </w:p>
        </w:tc>
        <w:tc>
          <w:tcPr>
            <w:tcW w:w="619" w:type="pct"/>
          </w:tcPr>
          <w:p w14:paraId="27494AC5"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4900</w:t>
            </w:r>
          </w:p>
        </w:tc>
        <w:tc>
          <w:tcPr>
            <w:tcW w:w="619" w:type="pct"/>
          </w:tcPr>
          <w:p w14:paraId="41C62562"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7000</w:t>
            </w:r>
          </w:p>
        </w:tc>
        <w:tc>
          <w:tcPr>
            <w:tcW w:w="598" w:type="pct"/>
          </w:tcPr>
          <w:p w14:paraId="6994F4D2"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9700</w:t>
            </w:r>
          </w:p>
        </w:tc>
      </w:tr>
      <w:tr w:rsidR="00F57474" w:rsidRPr="00ED6759" w14:paraId="0D98F2E2" w14:textId="77777777" w:rsidTr="00F57474">
        <w:tc>
          <w:tcPr>
            <w:tcW w:w="697" w:type="pct"/>
            <w:vMerge/>
          </w:tcPr>
          <w:p w14:paraId="796096CB"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0" w:type="pct"/>
          </w:tcPr>
          <w:p w14:paraId="0985E89A"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20</w:t>
            </w:r>
          </w:p>
        </w:tc>
        <w:tc>
          <w:tcPr>
            <w:tcW w:w="619" w:type="pct"/>
          </w:tcPr>
          <w:p w14:paraId="71392359"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380E1182"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1200</w:t>
            </w:r>
          </w:p>
        </w:tc>
        <w:tc>
          <w:tcPr>
            <w:tcW w:w="619" w:type="pct"/>
          </w:tcPr>
          <w:p w14:paraId="0EC26B97"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2600</w:t>
            </w:r>
          </w:p>
        </w:tc>
        <w:tc>
          <w:tcPr>
            <w:tcW w:w="619" w:type="pct"/>
          </w:tcPr>
          <w:p w14:paraId="53A63EA5"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4300</w:t>
            </w:r>
          </w:p>
        </w:tc>
        <w:tc>
          <w:tcPr>
            <w:tcW w:w="619" w:type="pct"/>
          </w:tcPr>
          <w:p w14:paraId="2BBE2206"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6400</w:t>
            </w:r>
          </w:p>
        </w:tc>
        <w:tc>
          <w:tcPr>
            <w:tcW w:w="598" w:type="pct"/>
          </w:tcPr>
          <w:p w14:paraId="382C111A"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9100</w:t>
            </w:r>
          </w:p>
        </w:tc>
      </w:tr>
      <w:tr w:rsidR="00F57474" w:rsidRPr="00ED6759" w14:paraId="10865629" w14:textId="77777777" w:rsidTr="00F57474">
        <w:tc>
          <w:tcPr>
            <w:tcW w:w="697" w:type="pct"/>
            <w:vMerge/>
          </w:tcPr>
          <w:p w14:paraId="3FAA72D0"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0" w:type="pct"/>
          </w:tcPr>
          <w:p w14:paraId="09035D93"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25</w:t>
            </w:r>
          </w:p>
        </w:tc>
        <w:tc>
          <w:tcPr>
            <w:tcW w:w="619" w:type="pct"/>
          </w:tcPr>
          <w:p w14:paraId="612972DE"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0E289DC5"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600</w:t>
            </w:r>
          </w:p>
        </w:tc>
        <w:tc>
          <w:tcPr>
            <w:tcW w:w="619" w:type="pct"/>
          </w:tcPr>
          <w:p w14:paraId="4739505A"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2000</w:t>
            </w:r>
          </w:p>
        </w:tc>
        <w:tc>
          <w:tcPr>
            <w:tcW w:w="619" w:type="pct"/>
          </w:tcPr>
          <w:p w14:paraId="7CCC78F7"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3700</w:t>
            </w:r>
          </w:p>
        </w:tc>
        <w:tc>
          <w:tcPr>
            <w:tcW w:w="619" w:type="pct"/>
          </w:tcPr>
          <w:p w14:paraId="4B4987A0"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5800</w:t>
            </w:r>
          </w:p>
        </w:tc>
        <w:tc>
          <w:tcPr>
            <w:tcW w:w="598" w:type="pct"/>
          </w:tcPr>
          <w:p w14:paraId="5EE4F48B"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8600</w:t>
            </w:r>
          </w:p>
        </w:tc>
      </w:tr>
      <w:tr w:rsidR="00F57474" w:rsidRPr="00ED6759" w14:paraId="34CD4311" w14:textId="77777777" w:rsidTr="00F57474">
        <w:tc>
          <w:tcPr>
            <w:tcW w:w="697" w:type="pct"/>
            <w:vMerge/>
          </w:tcPr>
          <w:p w14:paraId="0CA41852"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0" w:type="pct"/>
          </w:tcPr>
          <w:p w14:paraId="0E45C8D3"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30</w:t>
            </w:r>
          </w:p>
        </w:tc>
        <w:tc>
          <w:tcPr>
            <w:tcW w:w="619" w:type="pct"/>
          </w:tcPr>
          <w:p w14:paraId="2636019F"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00E908BB"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0700AADB"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1400</w:t>
            </w:r>
          </w:p>
        </w:tc>
        <w:tc>
          <w:tcPr>
            <w:tcW w:w="619" w:type="pct"/>
          </w:tcPr>
          <w:p w14:paraId="3FA73A86"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3100</w:t>
            </w:r>
          </w:p>
        </w:tc>
        <w:tc>
          <w:tcPr>
            <w:tcW w:w="619" w:type="pct"/>
          </w:tcPr>
          <w:p w14:paraId="0D7CF70B"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5200</w:t>
            </w:r>
          </w:p>
        </w:tc>
        <w:tc>
          <w:tcPr>
            <w:tcW w:w="598" w:type="pct"/>
          </w:tcPr>
          <w:p w14:paraId="0E1E2064"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7900</w:t>
            </w:r>
          </w:p>
        </w:tc>
      </w:tr>
      <w:tr w:rsidR="00F57474" w:rsidRPr="00ED6759" w14:paraId="0535D57A" w14:textId="77777777" w:rsidTr="00F57474">
        <w:tc>
          <w:tcPr>
            <w:tcW w:w="697" w:type="pct"/>
            <w:vMerge/>
          </w:tcPr>
          <w:p w14:paraId="4192B97E"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0" w:type="pct"/>
          </w:tcPr>
          <w:p w14:paraId="34E2FA34"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35</w:t>
            </w:r>
          </w:p>
        </w:tc>
        <w:tc>
          <w:tcPr>
            <w:tcW w:w="619" w:type="pct"/>
          </w:tcPr>
          <w:p w14:paraId="02A57828"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20FF5327"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7E25B09F"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800</w:t>
            </w:r>
          </w:p>
        </w:tc>
        <w:tc>
          <w:tcPr>
            <w:tcW w:w="619" w:type="pct"/>
          </w:tcPr>
          <w:p w14:paraId="06F5B01D"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2500</w:t>
            </w:r>
          </w:p>
        </w:tc>
        <w:tc>
          <w:tcPr>
            <w:tcW w:w="619" w:type="pct"/>
          </w:tcPr>
          <w:p w14:paraId="1A71EED3"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4600</w:t>
            </w:r>
          </w:p>
        </w:tc>
        <w:tc>
          <w:tcPr>
            <w:tcW w:w="598" w:type="pct"/>
          </w:tcPr>
          <w:p w14:paraId="1FE3E786"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7300</w:t>
            </w:r>
          </w:p>
        </w:tc>
      </w:tr>
      <w:tr w:rsidR="00F57474" w:rsidRPr="00ED6759" w14:paraId="3A319966" w14:textId="77777777" w:rsidTr="00F57474">
        <w:tc>
          <w:tcPr>
            <w:tcW w:w="697" w:type="pct"/>
            <w:vMerge/>
          </w:tcPr>
          <w:p w14:paraId="7D4B5BF8"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0" w:type="pct"/>
          </w:tcPr>
          <w:p w14:paraId="4F143134"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40</w:t>
            </w:r>
          </w:p>
        </w:tc>
        <w:tc>
          <w:tcPr>
            <w:tcW w:w="619" w:type="pct"/>
          </w:tcPr>
          <w:p w14:paraId="54B07853"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1104D93A"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020E4E15"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79D61E18"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1700</w:t>
            </w:r>
          </w:p>
        </w:tc>
        <w:tc>
          <w:tcPr>
            <w:tcW w:w="619" w:type="pct"/>
          </w:tcPr>
          <w:p w14:paraId="264D6DD7"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3800</w:t>
            </w:r>
          </w:p>
        </w:tc>
        <w:tc>
          <w:tcPr>
            <w:tcW w:w="598" w:type="pct"/>
          </w:tcPr>
          <w:p w14:paraId="037BA9E6"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6500</w:t>
            </w:r>
          </w:p>
        </w:tc>
      </w:tr>
      <w:tr w:rsidR="00F57474" w:rsidRPr="00ED6759" w14:paraId="06841FE2" w14:textId="77777777" w:rsidTr="00F57474">
        <w:tc>
          <w:tcPr>
            <w:tcW w:w="697" w:type="pct"/>
            <w:vMerge/>
          </w:tcPr>
          <w:p w14:paraId="1BD6A46A"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0" w:type="pct"/>
          </w:tcPr>
          <w:p w14:paraId="146E3F7E"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45</w:t>
            </w:r>
          </w:p>
        </w:tc>
        <w:tc>
          <w:tcPr>
            <w:tcW w:w="619" w:type="pct"/>
          </w:tcPr>
          <w:p w14:paraId="6486751A"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1547465B"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6A62D7B7"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6CFA6C55"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900</w:t>
            </w:r>
          </w:p>
        </w:tc>
        <w:tc>
          <w:tcPr>
            <w:tcW w:w="619" w:type="pct"/>
          </w:tcPr>
          <w:p w14:paraId="5E1AE573"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3000</w:t>
            </w:r>
          </w:p>
        </w:tc>
        <w:tc>
          <w:tcPr>
            <w:tcW w:w="598" w:type="pct"/>
          </w:tcPr>
          <w:p w14:paraId="48E14E42"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5700</w:t>
            </w:r>
          </w:p>
        </w:tc>
      </w:tr>
      <w:tr w:rsidR="00F57474" w:rsidRPr="00ED6759" w14:paraId="71E3860C" w14:textId="77777777" w:rsidTr="00F57474">
        <w:tc>
          <w:tcPr>
            <w:tcW w:w="697" w:type="pct"/>
            <w:vMerge/>
          </w:tcPr>
          <w:p w14:paraId="15C7D5C7"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0" w:type="pct"/>
          </w:tcPr>
          <w:p w14:paraId="2E61015F"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50</w:t>
            </w:r>
          </w:p>
        </w:tc>
        <w:tc>
          <w:tcPr>
            <w:tcW w:w="619" w:type="pct"/>
          </w:tcPr>
          <w:p w14:paraId="5A7E5754"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3BE905BC"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758DDD6D"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5E74A086"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3B3F0D52"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2100</w:t>
            </w:r>
          </w:p>
        </w:tc>
        <w:tc>
          <w:tcPr>
            <w:tcW w:w="598" w:type="pct"/>
          </w:tcPr>
          <w:p w14:paraId="7CEED80E"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4800</w:t>
            </w:r>
          </w:p>
        </w:tc>
      </w:tr>
      <w:tr w:rsidR="00F57474" w:rsidRPr="00ED6759" w14:paraId="7F69999F" w14:textId="77777777" w:rsidTr="00F57474">
        <w:tc>
          <w:tcPr>
            <w:tcW w:w="697" w:type="pct"/>
            <w:vMerge/>
          </w:tcPr>
          <w:p w14:paraId="409A6907"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0" w:type="pct"/>
          </w:tcPr>
          <w:p w14:paraId="7EBC1651"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60</w:t>
            </w:r>
          </w:p>
        </w:tc>
        <w:tc>
          <w:tcPr>
            <w:tcW w:w="619" w:type="pct"/>
          </w:tcPr>
          <w:p w14:paraId="10B12D65"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78273ADA"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1409C21F"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5568DBBA"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619" w:type="pct"/>
          </w:tcPr>
          <w:p w14:paraId="32C25ED0" w14:textId="77777777" w:rsidR="00F57474" w:rsidRPr="00ED6759" w:rsidRDefault="00F57474" w:rsidP="00FE5B34">
            <w:pPr>
              <w:tabs>
                <w:tab w:val="left" w:pos="851"/>
                <w:tab w:val="left" w:pos="993"/>
              </w:tabs>
              <w:jc w:val="both"/>
              <w:rPr>
                <w:rFonts w:ascii="Times New Roman" w:hAnsi="Times New Roman" w:cs="Times New Roman"/>
                <w:sz w:val="24"/>
                <w:szCs w:val="24"/>
              </w:rPr>
            </w:pPr>
          </w:p>
        </w:tc>
        <w:tc>
          <w:tcPr>
            <w:tcW w:w="598" w:type="pct"/>
          </w:tcPr>
          <w:p w14:paraId="65BC2F25" w14:textId="77777777" w:rsidR="00F57474" w:rsidRPr="00ED6759" w:rsidRDefault="00F57474" w:rsidP="00FE5B34">
            <w:pPr>
              <w:tabs>
                <w:tab w:val="left" w:pos="851"/>
                <w:tab w:val="left" w:pos="993"/>
              </w:tabs>
              <w:jc w:val="both"/>
              <w:rPr>
                <w:rFonts w:ascii="Times New Roman" w:hAnsi="Times New Roman" w:cs="Times New Roman"/>
                <w:sz w:val="24"/>
                <w:szCs w:val="24"/>
              </w:rPr>
            </w:pPr>
            <w:r w:rsidRPr="00ED6759">
              <w:rPr>
                <w:rFonts w:ascii="Times New Roman" w:hAnsi="Times New Roman" w:cs="Times New Roman"/>
                <w:sz w:val="24"/>
                <w:szCs w:val="24"/>
              </w:rPr>
              <w:t>2700</w:t>
            </w:r>
          </w:p>
        </w:tc>
      </w:tr>
    </w:tbl>
    <w:p w14:paraId="11375A48" w14:textId="77777777" w:rsidR="00F57474" w:rsidRPr="00ED6759" w:rsidRDefault="00F57474" w:rsidP="00FE5B34">
      <w:pPr>
        <w:tabs>
          <w:tab w:val="left" w:pos="851"/>
          <w:tab w:val="left" w:pos="993"/>
        </w:tabs>
        <w:spacing w:after="0" w:line="240" w:lineRule="auto"/>
        <w:ind w:firstLine="567"/>
        <w:jc w:val="both"/>
        <w:rPr>
          <w:rFonts w:ascii="Times New Roman" w:hAnsi="Times New Roman" w:cs="Times New Roman"/>
          <w:sz w:val="28"/>
          <w:szCs w:val="28"/>
        </w:rPr>
      </w:pPr>
    </w:p>
    <w:p w14:paraId="138F36D4" w14:textId="19C57622" w:rsidR="00F57474" w:rsidRPr="00ED6759" w:rsidRDefault="00F57474" w:rsidP="00FE5B34">
      <w:pPr>
        <w:tabs>
          <w:tab w:val="left" w:pos="851"/>
          <w:tab w:val="left" w:pos="993"/>
        </w:tabs>
        <w:spacing w:after="0" w:line="240" w:lineRule="auto"/>
        <w:ind w:firstLine="567"/>
        <w:jc w:val="both"/>
        <w:rPr>
          <w:rFonts w:ascii="Times New Roman" w:hAnsi="Times New Roman" w:cs="Times New Roman"/>
          <w:sz w:val="28"/>
          <w:szCs w:val="28"/>
        </w:rPr>
      </w:pPr>
      <w:r w:rsidRPr="00ED6759">
        <w:rPr>
          <w:rFonts w:ascii="Times New Roman" w:hAnsi="Times New Roman" w:cs="Times New Roman"/>
          <w:sz w:val="28"/>
          <w:szCs w:val="28"/>
        </w:rPr>
        <w:t>Пациентам было рекомендовано посещение лечащего врача по завершении каждого курса для контроля побочных действий. Проводилось разъяснение, что всем пациентам необходимо явиться на повторный прием спустя 2,5 месяца и 8 месяцев</w:t>
      </w:r>
      <w:r w:rsidR="00A821BD">
        <w:rPr>
          <w:rFonts w:ascii="Times New Roman" w:hAnsi="Times New Roman" w:cs="Times New Roman"/>
          <w:sz w:val="28"/>
          <w:szCs w:val="28"/>
        </w:rPr>
        <w:t xml:space="preserve"> для</w:t>
      </w:r>
      <w:r w:rsidRPr="00ED6759">
        <w:rPr>
          <w:rFonts w:ascii="Times New Roman" w:hAnsi="Times New Roman" w:cs="Times New Roman"/>
          <w:sz w:val="28"/>
          <w:szCs w:val="28"/>
        </w:rPr>
        <w:t xml:space="preserve"> повторного обследования. </w:t>
      </w:r>
    </w:p>
    <w:p w14:paraId="78371F1B" w14:textId="77777777" w:rsidR="00F57474" w:rsidRPr="00ED6759" w:rsidRDefault="00F57474" w:rsidP="00F57474">
      <w:pPr>
        <w:spacing w:after="0" w:line="240" w:lineRule="auto"/>
        <w:rPr>
          <w:rFonts w:ascii="Times New Roman" w:hAnsi="Times New Roman" w:cs="Times New Roman"/>
          <w:sz w:val="28"/>
          <w:szCs w:val="28"/>
        </w:rPr>
      </w:pPr>
    </w:p>
    <w:p w14:paraId="75B14292" w14:textId="78CAE153" w:rsidR="00F57474" w:rsidRPr="00ED6759" w:rsidRDefault="000B499A" w:rsidP="00FE5B34">
      <w:pPr>
        <w:keepNext/>
        <w:keepLines/>
        <w:tabs>
          <w:tab w:val="left" w:pos="1134"/>
        </w:tabs>
        <w:spacing w:after="0" w:line="240" w:lineRule="auto"/>
        <w:ind w:firstLine="567"/>
        <w:jc w:val="both"/>
        <w:outlineLvl w:val="1"/>
        <w:rPr>
          <w:rFonts w:ascii="Times New Roman" w:eastAsiaTheme="majorEastAsia" w:hAnsi="Times New Roman" w:cs="Times New Roman"/>
          <w:i/>
          <w:sz w:val="28"/>
          <w:szCs w:val="28"/>
        </w:rPr>
      </w:pPr>
      <w:bookmarkStart w:id="30" w:name="_Toc137904352"/>
      <w:r w:rsidRPr="00ED6759">
        <w:rPr>
          <w:rFonts w:ascii="Times New Roman" w:eastAsiaTheme="majorEastAsia" w:hAnsi="Times New Roman" w:cs="Times New Roman"/>
          <w:i/>
          <w:sz w:val="28"/>
          <w:szCs w:val="28"/>
        </w:rPr>
        <w:t>2.2</w:t>
      </w:r>
      <w:r w:rsidR="00F57474" w:rsidRPr="00ED6759">
        <w:rPr>
          <w:rFonts w:ascii="Times New Roman" w:eastAsiaTheme="majorEastAsia" w:hAnsi="Times New Roman" w:cs="Times New Roman"/>
          <w:i/>
          <w:sz w:val="28"/>
          <w:szCs w:val="28"/>
        </w:rPr>
        <w:t>.2 Оценка безопасности аллерген-специфической иммунотерапии</w:t>
      </w:r>
      <w:bookmarkEnd w:id="30"/>
    </w:p>
    <w:p w14:paraId="25F80354" w14:textId="5548656D" w:rsidR="00F57474" w:rsidRPr="00ED6759" w:rsidRDefault="00F57474" w:rsidP="00FE5B34">
      <w:pPr>
        <w:tabs>
          <w:tab w:val="left" w:pos="851"/>
          <w:tab w:val="left" w:pos="993"/>
        </w:tabs>
        <w:spacing w:after="0" w:line="240" w:lineRule="auto"/>
        <w:ind w:firstLine="567"/>
        <w:jc w:val="both"/>
        <w:rPr>
          <w:rFonts w:ascii="Times New Roman" w:hAnsi="Times New Roman" w:cs="Times New Roman"/>
          <w:sz w:val="28"/>
          <w:szCs w:val="28"/>
        </w:rPr>
      </w:pPr>
      <w:r w:rsidRPr="00ED6759">
        <w:rPr>
          <w:rFonts w:ascii="Times New Roman" w:hAnsi="Times New Roman" w:cs="Times New Roman"/>
          <w:sz w:val="28"/>
          <w:szCs w:val="28"/>
        </w:rPr>
        <w:t>Оценка безопасности аллерген-специфической иммунотерапии осуществлялась пациентами путем фиксации побочных явлений в дневнике контроля побочных реакций (</w:t>
      </w:r>
      <w:r w:rsidR="005B3FCE" w:rsidRPr="00ED6759">
        <w:rPr>
          <w:rFonts w:ascii="Times New Roman" w:hAnsi="Times New Roman" w:cs="Times New Roman"/>
          <w:sz w:val="28"/>
          <w:szCs w:val="28"/>
        </w:rPr>
        <w:t>приложение Ж</w:t>
      </w:r>
      <w:r w:rsidRPr="00ED6759">
        <w:rPr>
          <w:rFonts w:ascii="Times New Roman" w:hAnsi="Times New Roman" w:cs="Times New Roman"/>
          <w:sz w:val="28"/>
          <w:szCs w:val="28"/>
        </w:rPr>
        <w:t>).</w:t>
      </w:r>
      <w:r w:rsidR="0007459B">
        <w:rPr>
          <w:rFonts w:ascii="Times New Roman" w:hAnsi="Times New Roman" w:cs="Times New Roman"/>
          <w:sz w:val="28"/>
          <w:szCs w:val="28"/>
        </w:rPr>
        <w:t xml:space="preserve"> </w:t>
      </w:r>
      <w:r w:rsidRPr="00ED6759">
        <w:rPr>
          <w:rFonts w:ascii="Times New Roman" w:hAnsi="Times New Roman" w:cs="Times New Roman"/>
          <w:sz w:val="28"/>
          <w:szCs w:val="28"/>
        </w:rPr>
        <w:t>В дневнике пациент отмечал дату приема препарата, дозировку применяемого препарата, наличие побочных реакций, а также потребность в дополнительной симптоматической терапии на фоне проведения аллерген-специфической иммунотерапии. Среди побочных реакций отмечались зуд в ротовой полости, жжение в ротовой полости, отечность в ро</w:t>
      </w:r>
      <w:r w:rsidR="000E48A4">
        <w:rPr>
          <w:rFonts w:ascii="Times New Roman" w:hAnsi="Times New Roman" w:cs="Times New Roman"/>
          <w:sz w:val="28"/>
          <w:szCs w:val="28"/>
        </w:rPr>
        <w:t>товой полости и першение в горле</w:t>
      </w:r>
      <w:r w:rsidRPr="00ED6759">
        <w:rPr>
          <w:rFonts w:ascii="Times New Roman" w:hAnsi="Times New Roman" w:cs="Times New Roman"/>
          <w:sz w:val="28"/>
          <w:szCs w:val="28"/>
        </w:rPr>
        <w:t>.</w:t>
      </w:r>
    </w:p>
    <w:p w14:paraId="36A466C3" w14:textId="77777777" w:rsidR="00F57474" w:rsidRPr="00F57474" w:rsidRDefault="00F57474" w:rsidP="00FE5B34">
      <w:pPr>
        <w:spacing w:after="0" w:line="240" w:lineRule="auto"/>
        <w:ind w:firstLine="567"/>
        <w:jc w:val="both"/>
        <w:rPr>
          <w:rFonts w:ascii="Times New Roman" w:hAnsi="Times New Roman" w:cs="Times New Roman"/>
          <w:color w:val="000000"/>
          <w:sz w:val="28"/>
          <w:szCs w:val="28"/>
        </w:rPr>
      </w:pPr>
      <w:r w:rsidRPr="00ED6759">
        <w:rPr>
          <w:rFonts w:ascii="Times New Roman" w:hAnsi="Times New Roman" w:cs="Times New Roman"/>
          <w:color w:val="000000"/>
          <w:sz w:val="28"/>
          <w:szCs w:val="28"/>
        </w:rPr>
        <w:t>Степень выраженности побочных реакций</w:t>
      </w:r>
      <w:r w:rsidRPr="00F57474">
        <w:rPr>
          <w:rFonts w:ascii="Times New Roman" w:hAnsi="Times New Roman" w:cs="Times New Roman"/>
          <w:color w:val="000000"/>
          <w:sz w:val="28"/>
          <w:szCs w:val="28"/>
        </w:rPr>
        <w:t xml:space="preserve"> оценивается по следующей шкале: </w:t>
      </w:r>
    </w:p>
    <w:p w14:paraId="5C0717FC" w14:textId="77777777" w:rsidR="00F57474" w:rsidRPr="00F57474" w:rsidRDefault="00F57474" w:rsidP="00FE5B34">
      <w:pPr>
        <w:spacing w:after="0" w:line="240" w:lineRule="auto"/>
        <w:ind w:firstLine="567"/>
        <w:jc w:val="both"/>
        <w:rPr>
          <w:rFonts w:ascii="Times New Roman" w:hAnsi="Times New Roman" w:cs="Times New Roman"/>
          <w:color w:val="000000"/>
          <w:sz w:val="28"/>
          <w:szCs w:val="28"/>
        </w:rPr>
      </w:pPr>
      <w:r w:rsidRPr="00F57474">
        <w:rPr>
          <w:rFonts w:ascii="Times New Roman" w:hAnsi="Times New Roman" w:cs="Times New Roman"/>
          <w:color w:val="000000"/>
          <w:sz w:val="28"/>
          <w:szCs w:val="28"/>
        </w:rPr>
        <w:t xml:space="preserve">0 – отсутствие побочной реакции; </w:t>
      </w:r>
    </w:p>
    <w:p w14:paraId="173013E3" w14:textId="77777777" w:rsidR="00F57474" w:rsidRPr="00F57474" w:rsidRDefault="00F57474" w:rsidP="00FE5B34">
      <w:pPr>
        <w:spacing w:after="0" w:line="240" w:lineRule="auto"/>
        <w:ind w:firstLine="567"/>
        <w:jc w:val="both"/>
        <w:rPr>
          <w:rFonts w:ascii="Times New Roman" w:hAnsi="Times New Roman" w:cs="Times New Roman"/>
          <w:color w:val="000000"/>
          <w:sz w:val="28"/>
          <w:szCs w:val="28"/>
        </w:rPr>
      </w:pPr>
      <w:r w:rsidRPr="00F57474">
        <w:rPr>
          <w:rFonts w:ascii="Times New Roman" w:hAnsi="Times New Roman" w:cs="Times New Roman"/>
          <w:color w:val="000000"/>
          <w:sz w:val="28"/>
          <w:szCs w:val="28"/>
        </w:rPr>
        <w:t xml:space="preserve">1 - побочный эффект легкой степени выраженности, самостоятельно купируемый в течение 30 минут после приема сублингвальных таблеток аллергена; </w:t>
      </w:r>
    </w:p>
    <w:p w14:paraId="2A77B02D" w14:textId="77777777" w:rsidR="00F57474" w:rsidRPr="00F57474" w:rsidRDefault="00F57474" w:rsidP="00FE5B34">
      <w:pPr>
        <w:spacing w:after="0" w:line="240" w:lineRule="auto"/>
        <w:ind w:firstLine="567"/>
        <w:jc w:val="both"/>
        <w:rPr>
          <w:rFonts w:ascii="Times New Roman" w:hAnsi="Times New Roman" w:cs="Times New Roman"/>
          <w:color w:val="000000"/>
          <w:sz w:val="28"/>
          <w:szCs w:val="28"/>
        </w:rPr>
      </w:pPr>
      <w:r w:rsidRPr="00F57474">
        <w:rPr>
          <w:rFonts w:ascii="Times New Roman" w:hAnsi="Times New Roman" w:cs="Times New Roman"/>
          <w:color w:val="000000"/>
          <w:sz w:val="28"/>
          <w:szCs w:val="28"/>
        </w:rPr>
        <w:t xml:space="preserve">2 - побочный эффект средней степени выраженности, чётко ощущаемый в течение более чем 30 минут, порой требующий приема симптоматической терапии (антигистаминные препараты, деконгестанты); </w:t>
      </w:r>
    </w:p>
    <w:p w14:paraId="4CAE777A" w14:textId="77777777" w:rsidR="00F57474" w:rsidRPr="00F57474" w:rsidRDefault="00F57474" w:rsidP="00FE5B34">
      <w:pPr>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color w:val="000000"/>
          <w:sz w:val="28"/>
          <w:szCs w:val="28"/>
        </w:rPr>
        <w:t>3 - побочный эффект тяжелой степени выраженности, тяжело переносится, возникает ежедневно, требует регулярного приёма симптоматических препаратов (антигистаминные препараты, деконгестанты), иногда необходимо временное прекращение лечения.</w:t>
      </w:r>
    </w:p>
    <w:p w14:paraId="5C2A67F3" w14:textId="77777777" w:rsidR="00F57474" w:rsidRPr="00ED6759" w:rsidRDefault="00F57474" w:rsidP="00FE5B34">
      <w:pPr>
        <w:tabs>
          <w:tab w:val="left" w:pos="851"/>
          <w:tab w:val="left" w:pos="993"/>
        </w:tabs>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rPr>
        <w:t xml:space="preserve">При проведении аллерген-специфической иммунотерапии обязательно оценивались не только местные, но и системные побочные эффекты, которые были отражены в графе «другие нежелательные явления». Для купирования возможных побочных реакций пациенты могли использовать неседативные антигистаминные препараты (цетиризин 10мг в сутки), деконгестанты (ксилометазолина гидрохлорид 0,5 мг) и ß2-агонисты короткого действия (сальбутамол, 100мкг). В случае возникновения побочной реакции, лечение возобновляли спустя 3 дня после снятия симптомов. Анализируя полученные данные делался вывод о безопасности </w:t>
      </w:r>
      <w:r w:rsidRPr="00ED6759">
        <w:rPr>
          <w:rFonts w:ascii="Times New Roman" w:hAnsi="Times New Roman" w:cs="Times New Roman"/>
          <w:sz w:val="28"/>
          <w:szCs w:val="28"/>
        </w:rPr>
        <w:t>проводимой терапии.</w:t>
      </w:r>
    </w:p>
    <w:p w14:paraId="61E2ACF1" w14:textId="77777777" w:rsidR="00F57474" w:rsidRPr="00ED6759" w:rsidRDefault="00F57474" w:rsidP="00FE5B34">
      <w:pPr>
        <w:tabs>
          <w:tab w:val="left" w:pos="851"/>
          <w:tab w:val="left" w:pos="993"/>
        </w:tabs>
        <w:spacing w:after="0" w:line="240" w:lineRule="auto"/>
        <w:ind w:firstLine="567"/>
        <w:jc w:val="both"/>
        <w:rPr>
          <w:rFonts w:ascii="Times New Roman" w:hAnsi="Times New Roman" w:cs="Times New Roman"/>
          <w:sz w:val="28"/>
          <w:szCs w:val="28"/>
        </w:rPr>
      </w:pPr>
    </w:p>
    <w:p w14:paraId="50118752" w14:textId="1D6FC384" w:rsidR="00F57474" w:rsidRDefault="000B499A" w:rsidP="00FE5B34">
      <w:pPr>
        <w:keepNext/>
        <w:keepLines/>
        <w:spacing w:after="0" w:line="240" w:lineRule="auto"/>
        <w:ind w:firstLine="567"/>
        <w:jc w:val="both"/>
        <w:outlineLvl w:val="0"/>
        <w:rPr>
          <w:rFonts w:ascii="Times New Roman" w:eastAsiaTheme="majorEastAsia" w:hAnsi="Times New Roman" w:cs="Times New Roman"/>
          <w:b/>
          <w:sz w:val="28"/>
          <w:szCs w:val="28"/>
        </w:rPr>
      </w:pPr>
      <w:bookmarkStart w:id="31" w:name="_Toc137904353"/>
      <w:r w:rsidRPr="00ED6759">
        <w:rPr>
          <w:rFonts w:ascii="Times New Roman" w:eastAsiaTheme="majorEastAsia" w:hAnsi="Times New Roman" w:cs="Times New Roman"/>
          <w:b/>
          <w:sz w:val="28"/>
          <w:szCs w:val="28"/>
        </w:rPr>
        <w:t>2.3</w:t>
      </w:r>
      <w:r w:rsidR="00F57474" w:rsidRPr="00ED6759">
        <w:rPr>
          <w:rFonts w:ascii="Times New Roman" w:eastAsiaTheme="majorEastAsia" w:hAnsi="Times New Roman" w:cs="Times New Roman"/>
          <w:b/>
          <w:sz w:val="28"/>
          <w:szCs w:val="28"/>
        </w:rPr>
        <w:t xml:space="preserve"> Соблюдение нормативов медицинской этики</w:t>
      </w:r>
      <w:bookmarkEnd w:id="31"/>
    </w:p>
    <w:p w14:paraId="63AC5E9A" w14:textId="77777777" w:rsidR="00AA1416" w:rsidRPr="00ED6759" w:rsidRDefault="00AA1416" w:rsidP="00FE5B34">
      <w:pPr>
        <w:keepNext/>
        <w:keepLines/>
        <w:spacing w:after="0" w:line="240" w:lineRule="auto"/>
        <w:ind w:firstLine="567"/>
        <w:jc w:val="both"/>
        <w:outlineLvl w:val="0"/>
        <w:rPr>
          <w:rFonts w:ascii="Times New Roman" w:eastAsiaTheme="majorEastAsia" w:hAnsi="Times New Roman" w:cs="Times New Roman"/>
          <w:b/>
          <w:sz w:val="28"/>
          <w:szCs w:val="28"/>
        </w:rPr>
      </w:pPr>
    </w:p>
    <w:p w14:paraId="367F014F" w14:textId="47D0D354" w:rsidR="00F57474" w:rsidRPr="00ED6759" w:rsidRDefault="00F57474" w:rsidP="00FE5B34">
      <w:pPr>
        <w:tabs>
          <w:tab w:val="left" w:pos="851"/>
          <w:tab w:val="left" w:pos="993"/>
        </w:tabs>
        <w:spacing w:after="0" w:line="240" w:lineRule="auto"/>
        <w:ind w:firstLine="567"/>
        <w:contextualSpacing/>
        <w:jc w:val="both"/>
        <w:rPr>
          <w:rFonts w:ascii="Times New Roman" w:hAnsi="Times New Roman" w:cs="Times New Roman"/>
          <w:sz w:val="28"/>
          <w:szCs w:val="28"/>
        </w:rPr>
      </w:pPr>
      <w:r w:rsidRPr="00ED6759">
        <w:rPr>
          <w:rFonts w:ascii="Times New Roman" w:hAnsi="Times New Roman" w:cs="Times New Roman"/>
          <w:sz w:val="28"/>
          <w:szCs w:val="28"/>
        </w:rPr>
        <w:t>Все этапы данной работы на стадии планирования были проанализированы с позиции изучения нормативно-правовых актов, обеспечивающих соблюдение этических принципов проведения исследований с участием человека (</w:t>
      </w:r>
      <w:r w:rsidR="003949E9">
        <w:rPr>
          <w:rFonts w:ascii="Times New Roman" w:hAnsi="Times New Roman" w:cs="Times New Roman"/>
          <w:sz w:val="28"/>
          <w:szCs w:val="28"/>
        </w:rPr>
        <w:t>Протокол № 14</w:t>
      </w:r>
      <w:r w:rsidRPr="00ED6759">
        <w:rPr>
          <w:rFonts w:ascii="Times New Roman" w:hAnsi="Times New Roman" w:cs="Times New Roman"/>
          <w:sz w:val="28"/>
          <w:szCs w:val="28"/>
        </w:rPr>
        <w:t xml:space="preserve"> от 11.03.2019 года</w:t>
      </w:r>
      <w:r w:rsidR="003949E9">
        <w:rPr>
          <w:rFonts w:ascii="Times New Roman" w:hAnsi="Times New Roman" w:cs="Times New Roman"/>
          <w:sz w:val="28"/>
          <w:szCs w:val="28"/>
        </w:rPr>
        <w:t>; № 7 от 27.03.2023 года</w:t>
      </w:r>
      <w:r w:rsidRPr="00ED6759">
        <w:rPr>
          <w:rFonts w:ascii="Times New Roman" w:hAnsi="Times New Roman" w:cs="Times New Roman"/>
          <w:sz w:val="28"/>
          <w:szCs w:val="28"/>
        </w:rPr>
        <w:t>).</w:t>
      </w:r>
    </w:p>
    <w:p w14:paraId="4161F27D" w14:textId="56B90695" w:rsidR="00F57474" w:rsidRPr="00F57474" w:rsidRDefault="00F57474" w:rsidP="00FE5B34">
      <w:pPr>
        <w:tabs>
          <w:tab w:val="left" w:pos="851"/>
          <w:tab w:val="left" w:pos="993"/>
        </w:tabs>
        <w:spacing w:after="0" w:line="240" w:lineRule="auto"/>
        <w:ind w:firstLine="567"/>
        <w:contextualSpacing/>
        <w:jc w:val="both"/>
        <w:rPr>
          <w:rFonts w:ascii="Times New Roman" w:hAnsi="Times New Roman" w:cs="Times New Roman"/>
          <w:sz w:val="28"/>
          <w:szCs w:val="28"/>
        </w:rPr>
      </w:pPr>
      <w:r w:rsidRPr="00ED6759">
        <w:rPr>
          <w:rFonts w:ascii="Times New Roman" w:hAnsi="Times New Roman" w:cs="Times New Roman"/>
          <w:sz w:val="28"/>
          <w:szCs w:val="28"/>
        </w:rPr>
        <w:t>До включения в исследование, от каждого участника было получено письменное информированное согласие (</w:t>
      </w:r>
      <w:r w:rsidR="005B3FCE" w:rsidRPr="00ED6759">
        <w:rPr>
          <w:rFonts w:ascii="Times New Roman" w:hAnsi="Times New Roman" w:cs="Times New Roman"/>
          <w:sz w:val="28"/>
          <w:szCs w:val="28"/>
        </w:rPr>
        <w:t>Приложение И</w:t>
      </w:r>
      <w:r w:rsidRPr="00ED6759">
        <w:rPr>
          <w:rFonts w:ascii="Times New Roman" w:hAnsi="Times New Roman" w:cs="Times New Roman"/>
          <w:sz w:val="28"/>
          <w:szCs w:val="28"/>
        </w:rPr>
        <w:t>), адаптированное для целей исследования. Каждый из участников исследования и РКИ принял добровольное участие в исследовании, а также получил гарантии полной анонимности и конфиденциальности персональных данных.</w:t>
      </w:r>
    </w:p>
    <w:p w14:paraId="65A0877D" w14:textId="77777777" w:rsidR="00F57474" w:rsidRPr="00F57474" w:rsidRDefault="00F57474" w:rsidP="00FE5B34">
      <w:pPr>
        <w:tabs>
          <w:tab w:val="left" w:pos="851"/>
          <w:tab w:val="left" w:pos="993"/>
        </w:tabs>
        <w:spacing w:after="0" w:line="240" w:lineRule="auto"/>
        <w:ind w:firstLine="567"/>
        <w:contextualSpacing/>
        <w:jc w:val="both"/>
        <w:rPr>
          <w:rFonts w:ascii="Times New Roman" w:hAnsi="Times New Roman" w:cs="Times New Roman"/>
          <w:sz w:val="28"/>
          <w:szCs w:val="28"/>
        </w:rPr>
      </w:pPr>
    </w:p>
    <w:p w14:paraId="5A7ABDB2" w14:textId="72A3083A" w:rsidR="00F57474" w:rsidRPr="000B499A" w:rsidRDefault="000B499A" w:rsidP="00FE5B34">
      <w:pPr>
        <w:keepNext/>
        <w:keepLines/>
        <w:spacing w:after="0" w:line="240" w:lineRule="auto"/>
        <w:ind w:firstLine="567"/>
        <w:jc w:val="both"/>
        <w:outlineLvl w:val="0"/>
        <w:rPr>
          <w:rFonts w:ascii="Times New Roman" w:eastAsiaTheme="majorEastAsia" w:hAnsi="Times New Roman" w:cs="Times New Roman"/>
          <w:b/>
          <w:sz w:val="28"/>
          <w:szCs w:val="28"/>
        </w:rPr>
      </w:pPr>
      <w:bookmarkStart w:id="32" w:name="_Toc137904354"/>
      <w:r w:rsidRPr="000B499A">
        <w:rPr>
          <w:rFonts w:ascii="Times New Roman" w:eastAsiaTheme="majorEastAsia" w:hAnsi="Times New Roman" w:cs="Times New Roman"/>
          <w:b/>
          <w:sz w:val="28"/>
          <w:szCs w:val="28"/>
        </w:rPr>
        <w:t>2.4</w:t>
      </w:r>
      <w:r w:rsidR="00F57474" w:rsidRPr="000B499A">
        <w:rPr>
          <w:rFonts w:ascii="Times New Roman" w:eastAsiaTheme="majorEastAsia" w:hAnsi="Times New Roman" w:cs="Times New Roman"/>
          <w:b/>
          <w:sz w:val="28"/>
          <w:szCs w:val="28"/>
        </w:rPr>
        <w:t xml:space="preserve"> Статистические процедуры исследования</w:t>
      </w:r>
      <w:bookmarkEnd w:id="32"/>
    </w:p>
    <w:p w14:paraId="31CC3619" w14:textId="77777777" w:rsidR="00F57474" w:rsidRPr="00F57474" w:rsidRDefault="00F57474" w:rsidP="00FE5B34">
      <w:pPr>
        <w:spacing w:after="0" w:line="240" w:lineRule="auto"/>
        <w:rPr>
          <w:rFonts w:ascii="Times New Roman" w:hAnsi="Times New Roman" w:cs="Times New Roman"/>
          <w:sz w:val="28"/>
          <w:szCs w:val="28"/>
        </w:rPr>
      </w:pPr>
    </w:p>
    <w:p w14:paraId="0CAB7C8A" w14:textId="5C2672DD" w:rsidR="00F57474" w:rsidRPr="00F57474" w:rsidRDefault="00F57474" w:rsidP="00FE5B34">
      <w:pPr>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rPr>
        <w:t>Все статистические процедуры</w:t>
      </w:r>
      <w:r w:rsidR="000B499A">
        <w:rPr>
          <w:rFonts w:ascii="Times New Roman" w:hAnsi="Times New Roman" w:cs="Times New Roman"/>
          <w:sz w:val="28"/>
          <w:szCs w:val="28"/>
        </w:rPr>
        <w:t xml:space="preserve"> </w:t>
      </w:r>
      <w:r w:rsidRPr="00F57474">
        <w:rPr>
          <w:rFonts w:ascii="Times New Roman" w:hAnsi="Times New Roman" w:cs="Times New Roman"/>
          <w:sz w:val="28"/>
          <w:szCs w:val="28"/>
        </w:rPr>
        <w:t>были выполнены с использованием программного обеспечения «Statistica for Windows v. 13.0» (StatSoftInc, США)</w:t>
      </w:r>
      <w:r w:rsidR="0097664C" w:rsidRPr="0097664C">
        <w:rPr>
          <w:rFonts w:ascii="Times New Roman" w:hAnsi="Times New Roman" w:cs="Times New Roman"/>
          <w:sz w:val="28"/>
          <w:szCs w:val="28"/>
        </w:rPr>
        <w:t xml:space="preserve"> </w:t>
      </w:r>
      <w:r w:rsidR="0097664C">
        <w:rPr>
          <w:rFonts w:ascii="Times New Roman" w:hAnsi="Times New Roman" w:cs="Times New Roman"/>
          <w:sz w:val="28"/>
          <w:szCs w:val="28"/>
        </w:rPr>
        <w:t xml:space="preserve">и онлайн-программы </w:t>
      </w:r>
      <w:r w:rsidR="0097664C" w:rsidRPr="0097664C">
        <w:rPr>
          <w:rFonts w:ascii="Times New Roman" w:hAnsi="Times New Roman" w:cs="Times New Roman"/>
          <w:sz w:val="28"/>
          <w:szCs w:val="28"/>
        </w:rPr>
        <w:t>https://stattech.ru/databases</w:t>
      </w:r>
      <w:r w:rsidRPr="00F57474">
        <w:rPr>
          <w:rFonts w:ascii="Times New Roman" w:hAnsi="Times New Roman" w:cs="Times New Roman"/>
          <w:sz w:val="28"/>
          <w:szCs w:val="28"/>
        </w:rPr>
        <w:t>.</w:t>
      </w:r>
      <w:r w:rsidR="000B499A">
        <w:rPr>
          <w:rFonts w:ascii="Times New Roman" w:hAnsi="Times New Roman" w:cs="Times New Roman"/>
          <w:sz w:val="28"/>
          <w:szCs w:val="28"/>
        </w:rPr>
        <w:t xml:space="preserve"> </w:t>
      </w:r>
      <w:r w:rsidRPr="00F57474">
        <w:rPr>
          <w:rFonts w:ascii="Times New Roman" w:hAnsi="Times New Roman" w:cs="Times New Roman"/>
          <w:sz w:val="28"/>
          <w:szCs w:val="28"/>
        </w:rPr>
        <w:t>Результаты были проанализированы с использованием методов описательной статистики. Все переменные были проанализированы для оценки характера распределения (Тест Шапиро-Вилка, коэффициента Эксцесс и критерия Колмогорова-Смирнова). При критическом уровне значимости равном p &lt; 0,05 нулевая гипотеза о нормальности распределения отклонялась. Для количественных признаков, если распределение признавалось нормальным – рассчитывались среднее и стандартное отклонение. Если распределение отличалось от нормального, рассчитывались медиана, 25% и 75% квартили.</w:t>
      </w:r>
    </w:p>
    <w:p w14:paraId="29D582F8" w14:textId="77777777" w:rsidR="00F57474" w:rsidRPr="00934630" w:rsidRDefault="00F57474" w:rsidP="00FE5B34">
      <w:pPr>
        <w:spacing w:after="0" w:line="240" w:lineRule="auto"/>
        <w:ind w:firstLine="567"/>
        <w:jc w:val="both"/>
        <w:rPr>
          <w:rFonts w:ascii="Times New Roman" w:hAnsi="Times New Roman" w:cs="Times New Roman"/>
          <w:sz w:val="28"/>
          <w:szCs w:val="28"/>
        </w:rPr>
      </w:pPr>
      <w:r w:rsidRPr="00934630">
        <w:rPr>
          <w:rFonts w:ascii="Times New Roman" w:hAnsi="Times New Roman" w:cs="Times New Roman"/>
          <w:sz w:val="28"/>
          <w:szCs w:val="28"/>
        </w:rPr>
        <w:t xml:space="preserve">Для определения частоты встречаемости значений качественных показателей строились таблицы частот. Категориальные данные представлены в виде абсолютных чисел и процентного соотношения ко всей группе. Для сравнения частот распределения пациентов по качественным признакам между группами использовался статистический критерий Хи-квадрат. При p &lt; 0,05 нулевая гипотеза об отсутствии различий частот внутри групп отклонялась. </w:t>
      </w:r>
    </w:p>
    <w:p w14:paraId="7F0E1D7A" w14:textId="77777777" w:rsidR="00F57474" w:rsidRPr="00F57474" w:rsidRDefault="00F57474" w:rsidP="00FE5B34">
      <w:pPr>
        <w:spacing w:after="0" w:line="240" w:lineRule="auto"/>
        <w:ind w:firstLine="567"/>
        <w:jc w:val="both"/>
        <w:rPr>
          <w:rFonts w:ascii="Times New Roman" w:hAnsi="Times New Roman" w:cs="Times New Roman"/>
          <w:sz w:val="28"/>
          <w:szCs w:val="28"/>
        </w:rPr>
      </w:pPr>
      <w:r w:rsidRPr="00934630">
        <w:rPr>
          <w:rFonts w:ascii="Times New Roman" w:hAnsi="Times New Roman" w:cs="Times New Roman"/>
          <w:sz w:val="28"/>
          <w:szCs w:val="28"/>
        </w:rPr>
        <w:t>Для поиска различий в группах сравнения, по параметрам, выраженным в количественных переменных использовался расчет критерия Манна-Уитни. Для расчета различий в группах сравнения, по параметрам, выраженных в качественных переменных использовался расчет критерия Хи-квадрат. Для поиска различий в двух связанных (зависимых) группах использовался критерий</w:t>
      </w:r>
      <w:r w:rsidRPr="00F57474">
        <w:rPr>
          <w:rFonts w:ascii="Times New Roman" w:hAnsi="Times New Roman" w:cs="Times New Roman"/>
          <w:sz w:val="28"/>
          <w:szCs w:val="28"/>
        </w:rPr>
        <w:t xml:space="preserve"> Вилкоксона. При сравнении качественных данных, являющихся зависимыми для 2 точек наблюдения применяли статистический критерии Мак-Нимара. </w:t>
      </w:r>
    </w:p>
    <w:p w14:paraId="5B8DC785" w14:textId="7FBF201E" w:rsidR="00F57474" w:rsidRPr="00F57474" w:rsidRDefault="00F57474" w:rsidP="00FE5B34">
      <w:pPr>
        <w:spacing w:after="0" w:line="240" w:lineRule="auto"/>
        <w:ind w:firstLine="567"/>
        <w:jc w:val="both"/>
        <w:rPr>
          <w:rFonts w:ascii="Times New Roman" w:hAnsi="Times New Roman" w:cs="Times New Roman"/>
          <w:sz w:val="28"/>
          <w:szCs w:val="28"/>
        </w:rPr>
      </w:pPr>
      <w:r w:rsidRPr="00F57474">
        <w:rPr>
          <w:rFonts w:ascii="Times New Roman" w:hAnsi="Times New Roman" w:cs="Times New Roman"/>
          <w:sz w:val="28"/>
          <w:szCs w:val="28"/>
        </w:rPr>
        <w:t>Для определения линейных связей между количественными и между количественными и качественными бинарными показателями проводился корреляционный анализ. Анализ корреляций в парах выполнялся с помощью расчета статистического критерия корреляции Спирмена. С целью поиска зависимостей исхода от величин различных показателей, а также для определения показателей-предикторов проводился анализ</w:t>
      </w:r>
      <w:r w:rsidR="005B1B93">
        <w:rPr>
          <w:rFonts w:ascii="Times New Roman" w:hAnsi="Times New Roman" w:cs="Times New Roman"/>
          <w:sz w:val="28"/>
          <w:szCs w:val="28"/>
        </w:rPr>
        <w:t xml:space="preserve"> с использованием множественной</w:t>
      </w:r>
      <w:r w:rsidRPr="00F57474">
        <w:rPr>
          <w:rFonts w:ascii="Times New Roman" w:hAnsi="Times New Roman" w:cs="Times New Roman"/>
          <w:sz w:val="28"/>
          <w:szCs w:val="28"/>
        </w:rPr>
        <w:t xml:space="preserve"> логистической регрессии. При p&lt;0,05 нулевая гипотеза об отсутствии зависимости предиктора и исхода отклонялась. </w:t>
      </w:r>
    </w:p>
    <w:p w14:paraId="692C14A7" w14:textId="77777777" w:rsidR="00F57474" w:rsidRPr="00F57474" w:rsidRDefault="00F57474" w:rsidP="00F57474">
      <w:pPr>
        <w:spacing w:after="0" w:line="240" w:lineRule="auto"/>
        <w:ind w:firstLine="567"/>
        <w:jc w:val="both"/>
        <w:rPr>
          <w:rFonts w:ascii="Times New Roman" w:hAnsi="Times New Roman" w:cs="Times New Roman"/>
          <w:sz w:val="28"/>
          <w:szCs w:val="28"/>
        </w:rPr>
      </w:pPr>
    </w:p>
    <w:p w14:paraId="0D4F3CA1" w14:textId="5B21349E" w:rsidR="00E43D1F" w:rsidRDefault="00F57474" w:rsidP="00F57474">
      <w:pPr>
        <w:tabs>
          <w:tab w:val="left" w:pos="851"/>
        </w:tabs>
        <w:spacing w:after="0" w:line="240" w:lineRule="auto"/>
        <w:ind w:firstLine="567"/>
        <w:jc w:val="both"/>
        <w:rPr>
          <w:rStyle w:val="fontstyle01"/>
          <w:color w:val="auto"/>
        </w:rPr>
      </w:pPr>
      <w:r w:rsidRPr="00F57474">
        <w:rPr>
          <w:rFonts w:ascii="Times New Roman" w:hAnsi="Times New Roman" w:cs="Times New Roman"/>
          <w:sz w:val="28"/>
          <w:szCs w:val="28"/>
        </w:rPr>
        <w:br w:type="page"/>
      </w:r>
    </w:p>
    <w:p w14:paraId="5AE5964B" w14:textId="3AAEB642" w:rsidR="00437528" w:rsidRPr="003D198D" w:rsidRDefault="003D198D" w:rsidP="003D198D">
      <w:pPr>
        <w:keepNext/>
        <w:keepLines/>
        <w:spacing w:after="0" w:line="240" w:lineRule="auto"/>
        <w:ind w:firstLine="567"/>
        <w:jc w:val="both"/>
        <w:outlineLvl w:val="0"/>
        <w:rPr>
          <w:rFonts w:ascii="Times New Roman" w:eastAsiaTheme="majorEastAsia" w:hAnsi="Times New Roman" w:cs="Times New Roman"/>
          <w:b/>
          <w:sz w:val="28"/>
          <w:szCs w:val="28"/>
        </w:rPr>
      </w:pPr>
      <w:bookmarkStart w:id="33" w:name="_Toc121590248"/>
      <w:bookmarkStart w:id="34" w:name="_Toc137904355"/>
      <w:r w:rsidRPr="003D198D">
        <w:rPr>
          <w:rFonts w:ascii="Times New Roman" w:eastAsiaTheme="majorEastAsia" w:hAnsi="Times New Roman" w:cs="Times New Roman"/>
          <w:b/>
          <w:sz w:val="28"/>
          <w:szCs w:val="28"/>
        </w:rPr>
        <w:t>3 РЕЗУЛЬТАТЫ СОБСТВЕННЫХ ИССЛЕДОВАНИЙ</w:t>
      </w:r>
      <w:bookmarkEnd w:id="33"/>
      <w:bookmarkEnd w:id="34"/>
    </w:p>
    <w:p w14:paraId="4D552654" w14:textId="77777777" w:rsidR="003D198D" w:rsidRPr="003D198D" w:rsidRDefault="00437528" w:rsidP="003D198D">
      <w:pPr>
        <w:spacing w:after="0" w:line="240" w:lineRule="auto"/>
        <w:ind w:firstLine="567"/>
        <w:jc w:val="both"/>
        <w:rPr>
          <w:sz w:val="28"/>
          <w:szCs w:val="28"/>
        </w:rPr>
      </w:pPr>
      <w:r w:rsidRPr="00437528">
        <w:t xml:space="preserve"> </w:t>
      </w:r>
      <w:bookmarkStart w:id="35" w:name="_Toc121590249"/>
    </w:p>
    <w:p w14:paraId="34C3B262" w14:textId="78F0EA30" w:rsidR="00437528" w:rsidRPr="00437528" w:rsidRDefault="00437528" w:rsidP="003D198D">
      <w:pPr>
        <w:keepNext/>
        <w:keepLines/>
        <w:spacing w:after="0" w:line="240" w:lineRule="auto"/>
        <w:ind w:firstLine="567"/>
        <w:jc w:val="both"/>
        <w:outlineLvl w:val="0"/>
        <w:rPr>
          <w:rFonts w:ascii="Times New Roman" w:eastAsiaTheme="majorEastAsia" w:hAnsi="Times New Roman" w:cs="Times New Roman"/>
          <w:b/>
          <w:sz w:val="28"/>
          <w:szCs w:val="28"/>
        </w:rPr>
      </w:pPr>
      <w:bookmarkStart w:id="36" w:name="_Toc137904356"/>
      <w:r w:rsidRPr="00437528">
        <w:rPr>
          <w:rFonts w:ascii="Times New Roman" w:eastAsiaTheme="majorEastAsia" w:hAnsi="Times New Roman" w:cs="Times New Roman"/>
          <w:b/>
          <w:sz w:val="28"/>
          <w:szCs w:val="28"/>
        </w:rPr>
        <w:t>3.1 Систематический обзор исследований, посвященных изучению молекулярной аллергодиагностики при назначении аллерген-специфической иммунотерапии</w:t>
      </w:r>
      <w:bookmarkEnd w:id="35"/>
      <w:bookmarkEnd w:id="36"/>
    </w:p>
    <w:p w14:paraId="529F2C19" w14:textId="77777777" w:rsidR="00437528" w:rsidRPr="00437528" w:rsidRDefault="00437528" w:rsidP="003D198D">
      <w:pPr>
        <w:spacing w:after="0" w:line="240" w:lineRule="auto"/>
        <w:ind w:firstLine="567"/>
        <w:rPr>
          <w:rFonts w:ascii="Times New Roman" w:eastAsia="Calibri" w:hAnsi="Times New Roman" w:cs="Times New Roman"/>
          <w:sz w:val="28"/>
          <w:szCs w:val="28"/>
        </w:rPr>
      </w:pPr>
    </w:p>
    <w:p w14:paraId="3F6B9466" w14:textId="128469AC" w:rsidR="00437528" w:rsidRPr="00437528" w:rsidRDefault="00437528" w:rsidP="003D198D">
      <w:pPr>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 xml:space="preserve">Первоначальный поиск, проведенный в Pubmed, привел к 521 публикациям, в то время как поиск в других базах данных помог выявить 47 дополнительных записей. Когда все дубликаты были удалены, осталось 568 документов, и они были подвергнуты тщательной проверке. После отбора публикаций 67 статей были признаны приемлемыми на основе критериев включения. Применение критериев исключения привело к </w:t>
      </w:r>
      <w:r w:rsidRPr="0092696A">
        <w:rPr>
          <w:rFonts w:ascii="Times New Roman" w:eastAsia="Calibri" w:hAnsi="Times New Roman" w:cs="Times New Roman"/>
          <w:sz w:val="28"/>
          <w:szCs w:val="28"/>
        </w:rPr>
        <w:t xml:space="preserve">появлению 12 публикаций, которые были включены в этот систематический обзор. В </w:t>
      </w:r>
      <w:r w:rsidR="000C1AF9">
        <w:rPr>
          <w:rFonts w:ascii="Times New Roman" w:eastAsia="Calibri" w:hAnsi="Times New Roman" w:cs="Times New Roman"/>
          <w:sz w:val="28"/>
          <w:szCs w:val="28"/>
        </w:rPr>
        <w:t>таблице 8</w:t>
      </w:r>
      <w:r w:rsidRPr="0092696A">
        <w:rPr>
          <w:rFonts w:ascii="Times New Roman" w:eastAsia="Calibri" w:hAnsi="Times New Roman" w:cs="Times New Roman"/>
          <w:sz w:val="28"/>
          <w:szCs w:val="28"/>
        </w:rPr>
        <w:t xml:space="preserve"> представлена</w:t>
      </w:r>
      <w:r w:rsidRPr="00437528">
        <w:rPr>
          <w:rFonts w:ascii="Times New Roman" w:eastAsia="Calibri" w:hAnsi="Times New Roman" w:cs="Times New Roman"/>
          <w:sz w:val="28"/>
          <w:szCs w:val="28"/>
        </w:rPr>
        <w:t xml:space="preserve"> краткая информация, полученная из этих публикаций.</w:t>
      </w:r>
    </w:p>
    <w:p w14:paraId="1D28D450" w14:textId="77777777" w:rsidR="00437528" w:rsidRPr="00437528" w:rsidRDefault="00437528" w:rsidP="003D198D">
      <w:pPr>
        <w:spacing w:after="200" w:line="240" w:lineRule="auto"/>
        <w:ind w:firstLine="567"/>
        <w:jc w:val="both"/>
        <w:rPr>
          <w:rFonts w:ascii="Times New Roman" w:eastAsia="Calibri" w:hAnsi="Times New Roman" w:cs="Times New Roman"/>
          <w:sz w:val="28"/>
          <w:szCs w:val="28"/>
        </w:rPr>
      </w:pPr>
    </w:p>
    <w:p w14:paraId="43078F2C" w14:textId="7A1D4BB7" w:rsidR="002D1741" w:rsidRDefault="002D1741">
      <w:pPr>
        <w:rPr>
          <w:rFonts w:ascii="Times New Roman" w:eastAsia="Calibri" w:hAnsi="Times New Roman" w:cs="Times New Roman"/>
          <w:sz w:val="28"/>
          <w:szCs w:val="28"/>
        </w:rPr>
        <w:sectPr w:rsidR="002D1741" w:rsidSect="00AA59AB">
          <w:pgSz w:w="11906" w:h="16838" w:code="9"/>
          <w:pgMar w:top="1134" w:right="567" w:bottom="1134" w:left="1701" w:header="709" w:footer="709" w:gutter="0"/>
          <w:cols w:space="708"/>
          <w:docGrid w:linePitch="360"/>
        </w:sectPr>
      </w:pPr>
    </w:p>
    <w:p w14:paraId="4265D0F0" w14:textId="03CBF877" w:rsidR="00F552A8" w:rsidRDefault="00F552A8">
      <w:pPr>
        <w:rPr>
          <w:rFonts w:ascii="Times New Roman" w:eastAsia="Calibri" w:hAnsi="Times New Roman" w:cs="Times New Roman"/>
          <w:sz w:val="28"/>
          <w:szCs w:val="28"/>
        </w:rPr>
      </w:pPr>
    </w:p>
    <w:p w14:paraId="570D52CA" w14:textId="02AA3FDF" w:rsidR="00437528" w:rsidRPr="00437528" w:rsidRDefault="000C1AF9" w:rsidP="004339E8">
      <w:pPr>
        <w:spacing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Таблица 8</w:t>
      </w:r>
      <w:r w:rsidR="00437528" w:rsidRPr="00437528">
        <w:rPr>
          <w:rFonts w:ascii="Times New Roman" w:eastAsia="Calibri" w:hAnsi="Times New Roman" w:cs="Times New Roman"/>
          <w:sz w:val="28"/>
          <w:szCs w:val="28"/>
        </w:rPr>
        <w:t xml:space="preserve"> - Исследования, оценивающие роль молекулярной аллергодиагностики в проведении аллерген-специфической иммунотерапии у пациентов с аллергическим ринитом</w:t>
      </w:r>
    </w:p>
    <w:tbl>
      <w:tblPr>
        <w:tblW w:w="14715" w:type="dxa"/>
        <w:tblInd w:w="-431"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1390"/>
        <w:gridCol w:w="992"/>
        <w:gridCol w:w="851"/>
        <w:gridCol w:w="1984"/>
        <w:gridCol w:w="1701"/>
        <w:gridCol w:w="6095"/>
        <w:gridCol w:w="1702"/>
      </w:tblGrid>
      <w:tr w:rsidR="00437528" w:rsidRPr="00437528" w14:paraId="76CF243C" w14:textId="77777777" w:rsidTr="009F65CA">
        <w:trPr>
          <w:trHeight w:val="767"/>
        </w:trPr>
        <w:tc>
          <w:tcPr>
            <w:tcW w:w="1390" w:type="dxa"/>
            <w:shd w:val="clear" w:color="auto" w:fill="auto"/>
          </w:tcPr>
          <w:p w14:paraId="352DF3CA" w14:textId="77777777" w:rsidR="00437528" w:rsidRPr="002D2065" w:rsidRDefault="00437528" w:rsidP="003D198D">
            <w:pPr>
              <w:spacing w:line="240" w:lineRule="auto"/>
              <w:jc w:val="center"/>
              <w:rPr>
                <w:rFonts w:ascii="Times New Roman" w:eastAsia="Calibri" w:hAnsi="Times New Roman" w:cs="Times New Roman"/>
                <w:lang w:val="en-US"/>
              </w:rPr>
            </w:pPr>
            <w:r w:rsidRPr="002D2065">
              <w:rPr>
                <w:rFonts w:ascii="Times New Roman" w:eastAsia="Calibri" w:hAnsi="Times New Roman" w:cs="Times New Roman"/>
                <w:lang w:val="en-US"/>
              </w:rPr>
              <w:t>Автор, год публикации</w:t>
            </w:r>
          </w:p>
        </w:tc>
        <w:tc>
          <w:tcPr>
            <w:tcW w:w="992" w:type="dxa"/>
            <w:shd w:val="clear" w:color="auto" w:fill="auto"/>
          </w:tcPr>
          <w:p w14:paraId="3EEE4F25" w14:textId="77777777" w:rsidR="00437528" w:rsidRPr="00437528" w:rsidRDefault="00437528" w:rsidP="003D198D">
            <w:pPr>
              <w:spacing w:line="240" w:lineRule="auto"/>
              <w:jc w:val="center"/>
              <w:rPr>
                <w:rFonts w:ascii="Times New Roman" w:eastAsia="Calibri" w:hAnsi="Times New Roman" w:cs="Times New Roman"/>
              </w:rPr>
            </w:pPr>
            <w:r w:rsidRPr="00437528">
              <w:rPr>
                <w:rFonts w:ascii="Times New Roman" w:eastAsia="Calibri" w:hAnsi="Times New Roman" w:cs="Times New Roman"/>
                <w:lang w:val="en-US"/>
              </w:rPr>
              <w:t>Возраст пациентов</w:t>
            </w:r>
          </w:p>
        </w:tc>
        <w:tc>
          <w:tcPr>
            <w:tcW w:w="851" w:type="dxa"/>
            <w:shd w:val="clear" w:color="auto" w:fill="auto"/>
          </w:tcPr>
          <w:p w14:paraId="575F1236" w14:textId="77777777" w:rsidR="00437528" w:rsidRPr="00437528" w:rsidRDefault="00437528" w:rsidP="003D198D">
            <w:pPr>
              <w:spacing w:line="240" w:lineRule="auto"/>
              <w:jc w:val="center"/>
              <w:rPr>
                <w:rFonts w:ascii="Times New Roman" w:eastAsia="Calibri" w:hAnsi="Times New Roman" w:cs="Times New Roman"/>
                <w:lang w:val="en-US"/>
              </w:rPr>
            </w:pPr>
            <w:r w:rsidRPr="00437528">
              <w:rPr>
                <w:rFonts w:ascii="Times New Roman" w:eastAsia="Calibri" w:hAnsi="Times New Roman" w:cs="Times New Roman"/>
                <w:lang w:val="en-US"/>
              </w:rPr>
              <w:t>Размер выборки</w:t>
            </w:r>
          </w:p>
        </w:tc>
        <w:tc>
          <w:tcPr>
            <w:tcW w:w="1984" w:type="dxa"/>
            <w:shd w:val="clear" w:color="auto" w:fill="auto"/>
          </w:tcPr>
          <w:p w14:paraId="754A7E4D" w14:textId="77777777" w:rsidR="00437528" w:rsidRPr="00437528" w:rsidRDefault="00437528" w:rsidP="003D198D">
            <w:pPr>
              <w:spacing w:line="240" w:lineRule="auto"/>
              <w:jc w:val="center"/>
              <w:rPr>
                <w:rFonts w:ascii="Times New Roman" w:eastAsia="Calibri" w:hAnsi="Times New Roman" w:cs="Times New Roman"/>
              </w:rPr>
            </w:pPr>
            <w:r w:rsidRPr="00437528">
              <w:rPr>
                <w:rFonts w:ascii="Times New Roman" w:eastAsia="Calibri" w:hAnsi="Times New Roman" w:cs="Times New Roman"/>
                <w:lang w:val="en-US"/>
              </w:rPr>
              <w:t>Тип аллергии</w:t>
            </w:r>
          </w:p>
        </w:tc>
        <w:tc>
          <w:tcPr>
            <w:tcW w:w="1701" w:type="dxa"/>
            <w:shd w:val="clear" w:color="auto" w:fill="auto"/>
          </w:tcPr>
          <w:p w14:paraId="45DC4443" w14:textId="77777777" w:rsidR="00437528" w:rsidRPr="00437528" w:rsidRDefault="00437528" w:rsidP="003D198D">
            <w:pPr>
              <w:spacing w:line="240" w:lineRule="auto"/>
              <w:jc w:val="center"/>
              <w:rPr>
                <w:rFonts w:ascii="Times New Roman" w:eastAsia="Calibri" w:hAnsi="Times New Roman" w:cs="Times New Roman"/>
                <w:lang w:val="en-US"/>
              </w:rPr>
            </w:pPr>
            <w:r w:rsidRPr="00437528">
              <w:rPr>
                <w:rFonts w:ascii="Times New Roman" w:eastAsia="Calibri" w:hAnsi="Times New Roman" w:cs="Times New Roman"/>
                <w:lang w:val="en-US"/>
              </w:rPr>
              <w:t>Страна</w:t>
            </w:r>
          </w:p>
        </w:tc>
        <w:tc>
          <w:tcPr>
            <w:tcW w:w="6095" w:type="dxa"/>
            <w:shd w:val="clear" w:color="auto" w:fill="auto"/>
          </w:tcPr>
          <w:p w14:paraId="2E339495" w14:textId="77777777" w:rsidR="00437528" w:rsidRPr="00437528" w:rsidRDefault="00437528" w:rsidP="003D198D">
            <w:pPr>
              <w:spacing w:line="240" w:lineRule="auto"/>
              <w:jc w:val="center"/>
              <w:rPr>
                <w:rFonts w:ascii="Times New Roman" w:eastAsia="Calibri" w:hAnsi="Times New Roman" w:cs="Times New Roman"/>
                <w:lang w:val="en-US"/>
              </w:rPr>
            </w:pPr>
            <w:r w:rsidRPr="00437528">
              <w:rPr>
                <w:rFonts w:ascii="Times New Roman" w:eastAsia="Calibri" w:hAnsi="Times New Roman" w:cs="Times New Roman"/>
                <w:lang w:val="en-US"/>
              </w:rPr>
              <w:t>Основные выводы</w:t>
            </w:r>
          </w:p>
        </w:tc>
        <w:tc>
          <w:tcPr>
            <w:tcW w:w="1702" w:type="dxa"/>
          </w:tcPr>
          <w:p w14:paraId="0BD7F498" w14:textId="77777777" w:rsidR="00437528" w:rsidRPr="00437528" w:rsidRDefault="00437528" w:rsidP="003D198D">
            <w:pPr>
              <w:spacing w:line="240" w:lineRule="auto"/>
              <w:jc w:val="center"/>
              <w:rPr>
                <w:rFonts w:ascii="Times New Roman" w:eastAsia="Calibri" w:hAnsi="Times New Roman" w:cs="Times New Roman"/>
              </w:rPr>
            </w:pPr>
            <w:r w:rsidRPr="00437528">
              <w:rPr>
                <w:rFonts w:ascii="Times New Roman" w:eastAsia="Calibri" w:hAnsi="Times New Roman" w:cs="Times New Roman"/>
              </w:rPr>
              <w:t>Шкала «</w:t>
            </w:r>
            <w:r w:rsidRPr="00437528">
              <w:rPr>
                <w:rFonts w:ascii="Times New Roman" w:eastAsia="Calibri" w:hAnsi="Times New Roman" w:cs="Times New Roman"/>
                <w:lang w:val="en-US"/>
              </w:rPr>
              <w:t>Оттава</w:t>
            </w:r>
            <w:r w:rsidRPr="00437528">
              <w:rPr>
                <w:rFonts w:ascii="Times New Roman" w:eastAsia="Calibri" w:hAnsi="Times New Roman" w:cs="Times New Roman"/>
              </w:rPr>
              <w:t>»</w:t>
            </w:r>
            <w:r w:rsidRPr="00437528">
              <w:rPr>
                <w:rFonts w:ascii="Times New Roman" w:eastAsia="Calibri" w:hAnsi="Times New Roman" w:cs="Times New Roman"/>
                <w:lang w:val="en-US"/>
              </w:rPr>
              <w:t>-</w:t>
            </w:r>
            <w:r w:rsidRPr="00437528">
              <w:rPr>
                <w:rFonts w:ascii="Times New Roman" w:eastAsia="Calibri" w:hAnsi="Times New Roman" w:cs="Times New Roman"/>
              </w:rPr>
              <w:t>«</w:t>
            </w:r>
            <w:r w:rsidRPr="00437528">
              <w:rPr>
                <w:rFonts w:ascii="Times New Roman" w:eastAsia="Calibri" w:hAnsi="Times New Roman" w:cs="Times New Roman"/>
                <w:lang w:val="en-US"/>
              </w:rPr>
              <w:t>Ньюкасл</w:t>
            </w:r>
            <w:r w:rsidRPr="00437528">
              <w:rPr>
                <w:rFonts w:ascii="Times New Roman" w:eastAsia="Calibri" w:hAnsi="Times New Roman" w:cs="Times New Roman"/>
              </w:rPr>
              <w:t>»</w:t>
            </w:r>
          </w:p>
        </w:tc>
      </w:tr>
      <w:tr w:rsidR="00437528" w:rsidRPr="00437528" w14:paraId="2CF28F5B" w14:textId="77777777" w:rsidTr="009F65CA">
        <w:trPr>
          <w:trHeight w:val="1604"/>
        </w:trPr>
        <w:tc>
          <w:tcPr>
            <w:tcW w:w="1390" w:type="dxa"/>
            <w:shd w:val="clear" w:color="auto" w:fill="auto"/>
          </w:tcPr>
          <w:p w14:paraId="03AE1AC5" w14:textId="70598FF0" w:rsidR="00437528" w:rsidRPr="002D2065" w:rsidRDefault="00F34529" w:rsidP="003D198D">
            <w:pPr>
              <w:spacing w:line="240" w:lineRule="auto"/>
              <w:rPr>
                <w:rFonts w:ascii="Times New Roman" w:eastAsia="Calibri" w:hAnsi="Times New Roman" w:cs="Times New Roman"/>
                <w:lang w:val="en-US"/>
              </w:rPr>
            </w:pPr>
            <w:hyperlink r:id="rId15" w:history="1">
              <w:r w:rsidR="00437528" w:rsidRPr="002D2065">
                <w:rPr>
                  <w:rFonts w:ascii="Times New Roman" w:eastAsia="Calibri" w:hAnsi="Times New Roman" w:cs="Times New Roman"/>
                  <w:shd w:val="clear" w:color="auto" w:fill="FFFFFF"/>
                  <w:lang w:val="en-US"/>
                </w:rPr>
                <w:t>Movérare</w:t>
              </w:r>
            </w:hyperlink>
            <w:r w:rsidR="00437528" w:rsidRPr="002D2065">
              <w:rPr>
                <w:rFonts w:ascii="Times New Roman" w:eastAsia="Calibri" w:hAnsi="Times New Roman" w:cs="Times New Roman"/>
                <w:lang w:val="en-US"/>
              </w:rPr>
              <w:t xml:space="preserve">, 2011 </w:t>
            </w:r>
            <w:r w:rsidR="00437528" w:rsidRPr="002D2065">
              <w:rPr>
                <w:rFonts w:ascii="Times New Roman" w:eastAsia="Calibri" w:hAnsi="Times New Roman" w:cs="Times New Roman"/>
                <w:lang w:val="en-US"/>
              </w:rPr>
              <w:fldChar w:fldCharType="begin" w:fldLock="1"/>
            </w:r>
            <w:r w:rsidR="006B2D4C">
              <w:rPr>
                <w:rFonts w:ascii="Times New Roman" w:eastAsia="Calibri" w:hAnsi="Times New Roman" w:cs="Times New Roman"/>
                <w:lang w:val="en-US"/>
              </w:rPr>
              <w:instrText>ADDIN CSL_CITATION {"citationItems":[{"id":"ITEM-1","itemData":{"DOI":"10.1159/000320231","ISSN":"10182438","PMID":"20733325","abstract":"Background: Sensitization to weed pollen allergens at the molecular level is not fully understood. We studied IgE reactivity to the major mugwort allergen Art v 1 in relation to allergens from other weed pollen and cross-reactive components in mugwort-sensitized subjects. Methods: Art v 1 and Amb a 1 were affinity purified and coupled to experimental ImmunoCAP® tests. Samples from North Europe (n = 50), South Europe (n = 19) and North America (n = 41) were analyzed for IgE against mugwort pollen, weed allergen components, pan-allergens and cross-reactive carbohydrate determinants (CCDs). Results: The prevalence of IgE reactivity (&gt;0.35 kUA/l) to Art v 1 was significantly higher in samples from North Europe than in those from North America. IgE to Amb a 1 was more common in North America than in North and South Europe, while IgE to Par j 2 was common in South Europe, less common in North America, and absent in North Europe. IgE to Art v 3 in mugwort-allergic patients was more common in North Europe than in South Europe and North America, while IgE to Sal k 1 was similar between the areas. Subjects with an Art v 1/mugwort-specific IgE ratio &lt;0.5 had more often IgE to Amb a 1, profilin, polcalcin and CCDs than subjects with a ratio &gt;0.5. Conclusions: Mugwort-sensitized subjects have different IgE reactivity profiles to weed allergens, reflecting their exposure to various pollens. Subjects with a low ratio between the IgE levels to Art v 1 and mugwort have a diverse IgE reactivity profile, indicating a role for cross-reactive allergens in their mugwort sensitization. Copyright © 2010 S. Karger AG, Basel.","author":[{"dropping-particle":"","family":"Movérare","given":"Robert","non-dropping-particle":"","parse-names":false,"suffix":""},{"dropping-particle":"","family":"Larsson","given":"Håkan","non-dropping-particle":"","parse-names":false,"suffix":""},{"dropping-particle":"","family":"Carlsson","given":"Raimo","non-dropping-particle":"","parse-names":false,"suffix":""},{"dropping-particle":"","family":"Holmquist","given":"Ingrid","non-dropping-particle":"","parse-names":false,"suffix":""}],"container-title":"International Archives of Allergy and Immunology","id":"ITEM-1","issue":"2","issued":{"date-parts":[["2011"]]},"page":"164-172","title":"Mugwort-sensitized individuals from North Europe, South Europe and North America show different IgE reactivity patterns","type":"article-journal","volume":"154"},"uris":["http://www.mendeley.com/documents/?uuid=febd07bf-7965-4844-9f2f-a689f2d3c160"]}],"mendeley":{"formattedCitation":"[156]","plainTextFormattedCitation":"[156]","previouslyFormattedCitation":"[156]"},"properties":{"noteIndex":0},"schema":"https://github.com/citation-style-language/schema/raw/master/csl-citation.json"}</w:instrText>
            </w:r>
            <w:r w:rsidR="00437528" w:rsidRPr="002D2065">
              <w:rPr>
                <w:rFonts w:ascii="Times New Roman" w:eastAsia="Calibri" w:hAnsi="Times New Roman" w:cs="Times New Roman"/>
                <w:lang w:val="en-US"/>
              </w:rPr>
              <w:fldChar w:fldCharType="separate"/>
            </w:r>
            <w:r w:rsidR="004028FD" w:rsidRPr="004028FD">
              <w:rPr>
                <w:rFonts w:ascii="Times New Roman" w:eastAsia="Calibri" w:hAnsi="Times New Roman" w:cs="Times New Roman"/>
                <w:noProof/>
                <w:lang w:val="en-US"/>
              </w:rPr>
              <w:t>[156]</w:t>
            </w:r>
            <w:r w:rsidR="00437528" w:rsidRPr="002D2065">
              <w:rPr>
                <w:rFonts w:ascii="Times New Roman" w:eastAsia="Calibri" w:hAnsi="Times New Roman" w:cs="Times New Roman"/>
                <w:lang w:val="en-US"/>
              </w:rPr>
              <w:fldChar w:fldCharType="end"/>
            </w:r>
          </w:p>
        </w:tc>
        <w:tc>
          <w:tcPr>
            <w:tcW w:w="992" w:type="dxa"/>
            <w:shd w:val="clear" w:color="auto" w:fill="auto"/>
          </w:tcPr>
          <w:p w14:paraId="4945AC8A"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Все возрасты</w:t>
            </w:r>
          </w:p>
        </w:tc>
        <w:tc>
          <w:tcPr>
            <w:tcW w:w="851" w:type="dxa"/>
            <w:shd w:val="clear" w:color="auto" w:fill="auto"/>
          </w:tcPr>
          <w:p w14:paraId="10F91416" w14:textId="77777777" w:rsidR="00437528" w:rsidRPr="00437528" w:rsidRDefault="00437528" w:rsidP="003D198D">
            <w:pPr>
              <w:spacing w:line="240" w:lineRule="auto"/>
              <w:rPr>
                <w:rFonts w:ascii="Times New Roman" w:eastAsia="Calibri" w:hAnsi="Times New Roman" w:cs="Times New Roman"/>
                <w:lang w:val="en-US"/>
              </w:rPr>
            </w:pPr>
            <w:r w:rsidRPr="00437528">
              <w:rPr>
                <w:rFonts w:ascii="Times New Roman" w:eastAsia="Calibri" w:hAnsi="Times New Roman" w:cs="Times New Roman"/>
                <w:lang w:val="en-US"/>
              </w:rPr>
              <w:t>110</w:t>
            </w:r>
          </w:p>
        </w:tc>
        <w:tc>
          <w:tcPr>
            <w:tcW w:w="1984" w:type="dxa"/>
            <w:shd w:val="clear" w:color="auto" w:fill="auto"/>
          </w:tcPr>
          <w:p w14:paraId="3E843D53" w14:textId="77777777" w:rsidR="00437528" w:rsidRPr="00437528" w:rsidRDefault="00437528" w:rsidP="003D198D">
            <w:pPr>
              <w:spacing w:line="240" w:lineRule="auto"/>
              <w:rPr>
                <w:rFonts w:ascii="Times New Roman" w:eastAsia="Calibri" w:hAnsi="Times New Roman" w:cs="Times New Roman"/>
                <w:lang w:val="en-US"/>
              </w:rPr>
            </w:pPr>
            <w:r w:rsidRPr="00437528">
              <w:rPr>
                <w:rFonts w:ascii="Times New Roman" w:eastAsia="Calibri" w:hAnsi="Times New Roman" w:cs="Times New Roman"/>
                <w:lang w:val="en-US"/>
              </w:rPr>
              <w:t>Аллергия на полынь</w:t>
            </w:r>
          </w:p>
        </w:tc>
        <w:tc>
          <w:tcPr>
            <w:tcW w:w="1701" w:type="dxa"/>
            <w:shd w:val="clear" w:color="auto" w:fill="auto"/>
          </w:tcPr>
          <w:p w14:paraId="72316EDE"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Швеция, Эстония, Швейцария, Испания, Греция, Соединенные Штаты, Канада</w:t>
            </w:r>
          </w:p>
        </w:tc>
        <w:tc>
          <w:tcPr>
            <w:tcW w:w="6095" w:type="dxa"/>
            <w:shd w:val="clear" w:color="auto" w:fill="auto"/>
          </w:tcPr>
          <w:p w14:paraId="6D77330E" w14:textId="77777777" w:rsidR="00437528" w:rsidRPr="00437528" w:rsidRDefault="00437528" w:rsidP="003D198D">
            <w:pPr>
              <w:spacing w:line="240" w:lineRule="auto"/>
              <w:jc w:val="both"/>
              <w:rPr>
                <w:rFonts w:ascii="Times New Roman" w:eastAsia="Calibri" w:hAnsi="Times New Roman" w:cs="Times New Roman"/>
                <w:shd w:val="clear" w:color="auto" w:fill="FFFFFF"/>
              </w:rPr>
            </w:pPr>
            <w:r w:rsidRPr="00437528">
              <w:rPr>
                <w:rFonts w:ascii="Times New Roman" w:eastAsia="Calibri" w:hAnsi="Times New Roman" w:cs="Times New Roman"/>
                <w:shd w:val="clear" w:color="auto" w:fill="FFFFFF"/>
              </w:rPr>
              <w:t>Это исследование указывает на роль перекрестно-реактивных IgE-антител в положительных результатах теста на полынь у этих испытуемых. Субъекты, сенсибилизированные к полыни, имеют различные профили реактивности IgE к аллергенам сорняков (Art v 3, Amb a 1, Par j 2, Sal k 1, Bet v 2, Bet v 4, CCDs). МАД в клинической практике приводит к более подробной информации о реактивности IgE на молекулярном уровне, что может быть полезно для выбора подходящих экстрактов пыльцы для АСИТ.</w:t>
            </w:r>
          </w:p>
        </w:tc>
        <w:tc>
          <w:tcPr>
            <w:tcW w:w="1702" w:type="dxa"/>
          </w:tcPr>
          <w:p w14:paraId="10EE9C65" w14:textId="77777777" w:rsidR="00437528" w:rsidRPr="00437528" w:rsidRDefault="00437528" w:rsidP="003D198D">
            <w:pPr>
              <w:spacing w:line="240" w:lineRule="auto"/>
              <w:jc w:val="center"/>
              <w:rPr>
                <w:rFonts w:ascii="Times New Roman" w:eastAsia="Calibri" w:hAnsi="Times New Roman" w:cs="Times New Roman"/>
                <w:shd w:val="clear" w:color="auto" w:fill="FFFFFF"/>
              </w:rPr>
            </w:pPr>
            <w:r w:rsidRPr="00437528">
              <w:rPr>
                <w:rFonts w:ascii="Times New Roman" w:eastAsia="Calibri" w:hAnsi="Times New Roman" w:cs="Times New Roman"/>
                <w:shd w:val="clear" w:color="auto" w:fill="FFFFFF"/>
              </w:rPr>
              <w:t>4</w:t>
            </w:r>
          </w:p>
        </w:tc>
      </w:tr>
      <w:tr w:rsidR="00437528" w:rsidRPr="00437528" w14:paraId="553B0029" w14:textId="77777777" w:rsidTr="009F65CA">
        <w:trPr>
          <w:trHeight w:val="797"/>
        </w:trPr>
        <w:tc>
          <w:tcPr>
            <w:tcW w:w="1390" w:type="dxa"/>
            <w:shd w:val="clear" w:color="auto" w:fill="auto"/>
          </w:tcPr>
          <w:p w14:paraId="70726687" w14:textId="6148EEE6" w:rsidR="00437528" w:rsidRPr="002D2065" w:rsidRDefault="00437528" w:rsidP="003D198D">
            <w:pPr>
              <w:spacing w:line="240" w:lineRule="auto"/>
              <w:rPr>
                <w:rFonts w:ascii="Times New Roman" w:eastAsia="Calibri" w:hAnsi="Times New Roman" w:cs="Times New Roman"/>
              </w:rPr>
            </w:pPr>
            <w:r w:rsidRPr="002D2065">
              <w:rPr>
                <w:rFonts w:ascii="Times New Roman" w:eastAsia="Calibri" w:hAnsi="Times New Roman" w:cs="Times New Roman"/>
                <w:lang w:val="en-US"/>
              </w:rPr>
              <w:t>Sastre</w:t>
            </w:r>
            <w:r w:rsidRPr="002D2065">
              <w:rPr>
                <w:rFonts w:ascii="Times New Roman" w:eastAsia="Calibri" w:hAnsi="Times New Roman" w:cs="Times New Roman"/>
              </w:rPr>
              <w:t xml:space="preserve">, 2012 </w:t>
            </w:r>
            <w:r w:rsidRPr="002D2065">
              <w:rPr>
                <w:rFonts w:ascii="Times New Roman" w:eastAsia="Calibri" w:hAnsi="Times New Roman" w:cs="Times New Roman"/>
                <w:lang w:val="en-US"/>
              </w:rPr>
              <w:fldChar w:fldCharType="begin" w:fldLock="1"/>
            </w:r>
            <w:r w:rsidR="006B2D4C">
              <w:rPr>
                <w:rFonts w:ascii="Times New Roman" w:eastAsia="Calibri" w:hAnsi="Times New Roman" w:cs="Times New Roman"/>
                <w:lang w:val="en-US"/>
              </w:rPr>
              <w:instrText>ADDIN CSL_CITATION {"citationItems":[{"id":"ITEM-1","itemData":{"DOI":"10.1111/j.1398-9995.2012.02808.x","ISBN":"3491549949","ISSN":"01054538","PMID":"22379958","abstract":"Background: The identification of disease-eliciting allergens is a prerequisite for accurate prescription of allergen-specific immunotherapy (SIT). The aim of this study was to determine whether molecular diagnosis (MD) may change indication and allergen prescription of SIT. Methods: A total of 141 patients with allergic rhinoconjunctivitis and/or asthma sensitized to pollen with or without concomitant food allergy were included. Skin prick testing with a panel of aeroallergens and a microarray-based panel of allergens (ISAC®; Phadia, Sweden) was performed in all patients. Prior to learning the results of molecular diagnosis, three of the authors reached a consensus on the indication of SIT and use of allergens following EAACI recommendations, basing their judgment on clinical history and skin prick test results before and after obtaining the ISAC results. The agreement coefficient (kappa index) was used to analyze the results. Results: Fifty-nine percent of the patients were women with a mean age of 31 ± 13.63. Agreement in SIT indication before and after ISAC® results was found in only 62 (46%) patients (kappa = 0.1057 ± 0.0413). Concerning allergens used in the most common prescriptions before and after MD results, we obtained the following results: κ = 0.117 ± 0.0825 for grass; κ = 0.1624 ± 0.0639 for olive; κ = 0.0505 ± 0.0548 for olive and grass; κ = 0.1711 ± 0.0471 for grass and cypress; κ = 0.1897 ± 0.0493 for grass and London plane; κ = 1 ± 0.0842 for olive and cypress, and κ = 0.3586 ± 0.0798 for other combinations. Conclusions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There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was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very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low</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agreement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concerning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indication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use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allergens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SIT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before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after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performing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This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discrepancy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emphasizes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usefulness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least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areas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complex</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sensitization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pollen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determining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correct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indication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SIT</w:instrText>
            </w:r>
            <w:r w:rsidR="006B2D4C" w:rsidRPr="005150E3">
              <w:rPr>
                <w:rFonts w:ascii="Times New Roman" w:eastAsia="Calibri" w:hAnsi="Times New Roman" w:cs="Times New Roman"/>
              </w:rPr>
              <w:instrText xml:space="preserve">. © 2012 </w:instrText>
            </w:r>
            <w:r w:rsidR="006B2D4C">
              <w:rPr>
                <w:rFonts w:ascii="Times New Roman" w:eastAsia="Calibri" w:hAnsi="Times New Roman" w:cs="Times New Roman"/>
                <w:lang w:val="en-US"/>
              </w:rPr>
              <w:instrText>John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Wiley</w:instrText>
            </w:r>
            <w:r w:rsidR="006B2D4C" w:rsidRPr="005150E3">
              <w:rPr>
                <w:rFonts w:ascii="Times New Roman" w:eastAsia="Calibri" w:hAnsi="Times New Roman" w:cs="Times New Roman"/>
              </w:rPr>
              <w:instrText xml:space="preserve"> &amp; </w:instrText>
            </w:r>
            <w:r w:rsidR="006B2D4C">
              <w:rPr>
                <w:rFonts w:ascii="Times New Roman" w:eastAsia="Calibri" w:hAnsi="Times New Roman" w:cs="Times New Roman"/>
                <w:lang w:val="en-US"/>
              </w:rPr>
              <w:instrText>Sons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author</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Sastre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Joaqu</w:instrText>
            </w:r>
            <w:r w:rsidR="006B2D4C" w:rsidRPr="005150E3">
              <w:rPr>
                <w:rFonts w:ascii="Times New Roman" w:eastAsia="Calibri" w:hAnsi="Times New Roman" w:cs="Times New Roman"/>
              </w:rPr>
              <w:instrText>í</w:instrText>
            </w:r>
            <w:r w:rsidR="006B2D4C">
              <w:rPr>
                <w:rFonts w:ascii="Times New Roman" w:eastAsia="Calibri" w:hAnsi="Times New Roman" w:cs="Times New Roman"/>
                <w:lang w:val="en-US"/>
              </w:rPr>
              <w:instrText>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Landivar</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M</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Ruiz</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Garc</w:instrText>
            </w:r>
            <w:r w:rsidR="006B2D4C" w:rsidRPr="005150E3">
              <w:rPr>
                <w:rFonts w:ascii="Times New Roman" w:eastAsia="Calibri" w:hAnsi="Times New Roman" w:cs="Times New Roman"/>
              </w:rPr>
              <w:instrText>í</w:instrText>
            </w:r>
            <w:r w:rsidR="006B2D4C">
              <w:rPr>
                <w:rFonts w:ascii="Times New Roman" w:eastAsia="Calibri" w:hAnsi="Times New Roman" w:cs="Times New Roman"/>
                <w:lang w:val="en-US"/>
              </w:rPr>
              <w:instrText>a</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M</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V</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Andregnette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Rosigno</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M</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Mahillo</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I</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container</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title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Allergy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id</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ITEM</w:instrText>
            </w:r>
            <w:r w:rsidR="006B2D4C" w:rsidRPr="005150E3">
              <w:rPr>
                <w:rFonts w:ascii="Times New Roman" w:eastAsia="Calibri" w:hAnsi="Times New Roman" w:cs="Times New Roman"/>
              </w:rPr>
              <w:instrText>-1","</w:instrText>
            </w:r>
            <w:r w:rsidR="006B2D4C">
              <w:rPr>
                <w:rFonts w:ascii="Times New Roman" w:eastAsia="Calibri" w:hAnsi="Times New Roman" w:cs="Times New Roman"/>
                <w:lang w:val="en-US"/>
              </w:rPr>
              <w:instrText>issue</w:instrText>
            </w:r>
            <w:r w:rsidR="006B2D4C" w:rsidRPr="005150E3">
              <w:rPr>
                <w:rFonts w:ascii="Times New Roman" w:eastAsia="Calibri" w:hAnsi="Times New Roman" w:cs="Times New Roman"/>
              </w:rPr>
              <w:instrText>":"5","</w:instrText>
            </w:r>
            <w:r w:rsidR="006B2D4C">
              <w:rPr>
                <w:rFonts w:ascii="Times New Roman" w:eastAsia="Calibri" w:hAnsi="Times New Roman" w:cs="Times New Roman"/>
                <w:lang w:val="en-US"/>
              </w:rPr>
              <w:instrText>issued</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date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parts</w:instrText>
            </w:r>
            <w:r w:rsidR="006B2D4C" w:rsidRPr="005150E3">
              <w:rPr>
                <w:rFonts w:ascii="Times New Roman" w:eastAsia="Calibri" w:hAnsi="Times New Roman" w:cs="Times New Roman"/>
              </w:rPr>
              <w:instrText>":[["2012","5"]]},"</w:instrText>
            </w:r>
            <w:r w:rsidR="006B2D4C">
              <w:rPr>
                <w:rFonts w:ascii="Times New Roman" w:eastAsia="Calibri" w:hAnsi="Times New Roman" w:cs="Times New Roman"/>
                <w:lang w:val="en-US"/>
              </w:rPr>
              <w:instrText>page</w:instrText>
            </w:r>
            <w:r w:rsidR="006B2D4C" w:rsidRPr="005150E3">
              <w:rPr>
                <w:rFonts w:ascii="Times New Roman" w:eastAsia="Calibri" w:hAnsi="Times New Roman" w:cs="Times New Roman"/>
              </w:rPr>
              <w:instrText>":"709-711","</w:instrText>
            </w:r>
            <w:r w:rsidR="006B2D4C">
              <w:rPr>
                <w:rFonts w:ascii="Times New Roman" w:eastAsia="Calibri" w:hAnsi="Times New Roman" w:cs="Times New Roman"/>
                <w:lang w:val="en-US"/>
              </w:rPr>
              <w:instrText>title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How</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molecular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diagnosis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can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change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specific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immunotherapy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prescription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complex</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pollen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area</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type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journal</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volume</w:instrText>
            </w:r>
            <w:r w:rsidR="006B2D4C" w:rsidRPr="005150E3">
              <w:rPr>
                <w:rFonts w:ascii="Times New Roman" w:eastAsia="Calibri" w:hAnsi="Times New Roman" w:cs="Times New Roman"/>
              </w:rPr>
              <w:instrText>":"67"},"</w:instrText>
            </w:r>
            <w:r w:rsidR="006B2D4C">
              <w:rPr>
                <w:rFonts w:ascii="Times New Roman" w:eastAsia="Calibri" w:hAnsi="Times New Roman" w:cs="Times New Roman"/>
                <w:lang w:val="en-US"/>
              </w:rPr>
              <w:instrText>uris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http</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www</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mendeley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com</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documents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uuid</w:instrText>
            </w:r>
            <w:r w:rsidR="006B2D4C" w:rsidRPr="005150E3">
              <w:rPr>
                <w:rFonts w:ascii="Times New Roman" w:eastAsia="Calibri" w:hAnsi="Times New Roman" w:cs="Times New Roman"/>
              </w:rPr>
              <w:instrText>=69</w:instrText>
            </w:r>
            <w:r w:rsidR="006B2D4C">
              <w:rPr>
                <w:rFonts w:ascii="Times New Roman" w:eastAsia="Calibri" w:hAnsi="Times New Roman" w:cs="Times New Roman"/>
                <w:lang w:val="en-US"/>
              </w:rPr>
              <w:instrText>ab</w:instrText>
            </w:r>
            <w:r w:rsidR="006B2D4C" w:rsidRPr="005150E3">
              <w:rPr>
                <w:rFonts w:ascii="Times New Roman" w:eastAsia="Calibri" w:hAnsi="Times New Roman" w:cs="Times New Roman"/>
              </w:rPr>
              <w:instrText>2770-</w:instrText>
            </w:r>
            <w:r w:rsidR="006B2D4C">
              <w:rPr>
                <w:rFonts w:ascii="Times New Roman" w:eastAsia="Calibri" w:hAnsi="Times New Roman" w:cs="Times New Roman"/>
                <w:lang w:val="en-US"/>
              </w:rPr>
              <w:instrText>e</w:instrText>
            </w:r>
            <w:r w:rsidR="006B2D4C" w:rsidRPr="005150E3">
              <w:rPr>
                <w:rFonts w:ascii="Times New Roman" w:eastAsia="Calibri" w:hAnsi="Times New Roman" w:cs="Times New Roman"/>
              </w:rPr>
              <w:instrText>46</w:instrText>
            </w:r>
            <w:r w:rsidR="006B2D4C">
              <w:rPr>
                <w:rFonts w:ascii="Times New Roman" w:eastAsia="Calibri" w:hAnsi="Times New Roman" w:cs="Times New Roman"/>
                <w:lang w:val="en-US"/>
              </w:rPr>
              <w:instrText>c</w:instrText>
            </w:r>
            <w:r w:rsidR="006B2D4C" w:rsidRPr="005150E3">
              <w:rPr>
                <w:rFonts w:ascii="Times New Roman" w:eastAsia="Calibri" w:hAnsi="Times New Roman" w:cs="Times New Roman"/>
              </w:rPr>
              <w:instrText>-446</w:instrText>
            </w:r>
            <w:r w:rsidR="006B2D4C">
              <w:rPr>
                <w:rFonts w:ascii="Times New Roman" w:eastAsia="Calibri" w:hAnsi="Times New Roman" w:cs="Times New Roman"/>
                <w:lang w:val="en-US"/>
              </w:rPr>
              <w:instrText>d</w:instrText>
            </w:r>
            <w:r w:rsidR="006B2D4C" w:rsidRPr="005150E3">
              <w:rPr>
                <w:rFonts w:ascii="Times New Roman" w:eastAsia="Calibri" w:hAnsi="Times New Roman" w:cs="Times New Roman"/>
              </w:rPr>
              <w:instrText>-8099-1317</w:instrText>
            </w:r>
            <w:r w:rsidR="006B2D4C">
              <w:rPr>
                <w:rFonts w:ascii="Times New Roman" w:eastAsia="Calibri" w:hAnsi="Times New Roman" w:cs="Times New Roman"/>
                <w:lang w:val="en-US"/>
              </w:rPr>
              <w:instrText>f</w:instrText>
            </w:r>
            <w:r w:rsidR="006B2D4C" w:rsidRPr="005150E3">
              <w:rPr>
                <w:rFonts w:ascii="Times New Roman" w:eastAsia="Calibri" w:hAnsi="Times New Roman" w:cs="Times New Roman"/>
              </w:rPr>
              <w:instrText>4</w:instrText>
            </w:r>
            <w:r w:rsidR="006B2D4C">
              <w:rPr>
                <w:rFonts w:ascii="Times New Roman" w:eastAsia="Calibri" w:hAnsi="Times New Roman" w:cs="Times New Roman"/>
                <w:lang w:val="en-US"/>
              </w:rPr>
              <w:instrText>fd</w:instrText>
            </w:r>
            <w:r w:rsidR="006B2D4C" w:rsidRPr="005150E3">
              <w:rPr>
                <w:rFonts w:ascii="Times New Roman" w:eastAsia="Calibri" w:hAnsi="Times New Roman" w:cs="Times New Roman"/>
              </w:rPr>
              <w:instrText>7426"]}],"</w:instrText>
            </w:r>
            <w:r w:rsidR="006B2D4C">
              <w:rPr>
                <w:rFonts w:ascii="Times New Roman" w:eastAsia="Calibri" w:hAnsi="Times New Roman" w:cs="Times New Roman"/>
                <w:lang w:val="en-US"/>
              </w:rPr>
              <w:instrText>mendeley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formattedCitation</w:instrText>
            </w:r>
            <w:r w:rsidR="006B2D4C" w:rsidRPr="005150E3">
              <w:rPr>
                <w:rFonts w:ascii="Times New Roman" w:eastAsia="Calibri" w:hAnsi="Times New Roman" w:cs="Times New Roman"/>
              </w:rPr>
              <w:instrText>":"[157]","</w:instrText>
            </w:r>
            <w:r w:rsidR="006B2D4C">
              <w:rPr>
                <w:rFonts w:ascii="Times New Roman" w:eastAsia="Calibri" w:hAnsi="Times New Roman" w:cs="Times New Roman"/>
                <w:lang w:val="en-US"/>
              </w:rPr>
              <w:instrText>plainTextFormattedCitation</w:instrText>
            </w:r>
            <w:r w:rsidR="006B2D4C" w:rsidRPr="005150E3">
              <w:rPr>
                <w:rFonts w:ascii="Times New Roman" w:eastAsia="Calibri" w:hAnsi="Times New Roman" w:cs="Times New Roman"/>
              </w:rPr>
              <w:instrText>":"[157]","</w:instrText>
            </w:r>
            <w:r w:rsidR="006B2D4C">
              <w:rPr>
                <w:rFonts w:ascii="Times New Roman" w:eastAsia="Calibri" w:hAnsi="Times New Roman" w:cs="Times New Roman"/>
                <w:lang w:val="en-US"/>
              </w:rPr>
              <w:instrText>previouslyFormattedCitation</w:instrText>
            </w:r>
            <w:r w:rsidR="006B2D4C" w:rsidRPr="005150E3">
              <w:rPr>
                <w:rFonts w:ascii="Times New Roman" w:eastAsia="Calibri" w:hAnsi="Times New Roman" w:cs="Times New Roman"/>
              </w:rPr>
              <w:instrText>":"[157]"},"</w:instrText>
            </w:r>
            <w:r w:rsidR="006B2D4C">
              <w:rPr>
                <w:rFonts w:ascii="Times New Roman" w:eastAsia="Calibri" w:hAnsi="Times New Roman" w:cs="Times New Roman"/>
                <w:lang w:val="en-US"/>
              </w:rPr>
              <w:instrText>properties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noteIndex</w:instrText>
            </w:r>
            <w:r w:rsidR="006B2D4C" w:rsidRPr="005150E3">
              <w:rPr>
                <w:rFonts w:ascii="Times New Roman" w:eastAsia="Calibri" w:hAnsi="Times New Roman" w:cs="Times New Roman"/>
              </w:rPr>
              <w:instrText>":0},"</w:instrText>
            </w:r>
            <w:r w:rsidR="006B2D4C">
              <w:rPr>
                <w:rFonts w:ascii="Times New Roman" w:eastAsia="Calibri" w:hAnsi="Times New Roman" w:cs="Times New Roman"/>
                <w:lang w:val="en-US"/>
              </w:rPr>
              <w:instrText>schema</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https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github</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com</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citation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style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language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schema</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raw</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master</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csl</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citation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json</w:instrText>
            </w:r>
            <w:r w:rsidR="006B2D4C" w:rsidRPr="005150E3">
              <w:rPr>
                <w:rFonts w:ascii="Times New Roman" w:eastAsia="Calibri" w:hAnsi="Times New Roman" w:cs="Times New Roman"/>
              </w:rPr>
              <w:instrText>"}</w:instrText>
            </w:r>
            <w:r w:rsidRPr="002D2065">
              <w:rPr>
                <w:rFonts w:ascii="Times New Roman" w:eastAsia="Calibri" w:hAnsi="Times New Roman" w:cs="Times New Roman"/>
                <w:lang w:val="en-US"/>
              </w:rPr>
              <w:fldChar w:fldCharType="separate"/>
            </w:r>
            <w:r w:rsidR="004028FD" w:rsidRPr="004028FD">
              <w:rPr>
                <w:rFonts w:ascii="Times New Roman" w:eastAsia="Calibri" w:hAnsi="Times New Roman" w:cs="Times New Roman"/>
                <w:noProof/>
              </w:rPr>
              <w:t>[157]</w:t>
            </w:r>
            <w:r w:rsidRPr="002D2065">
              <w:rPr>
                <w:rFonts w:ascii="Times New Roman" w:eastAsia="Calibri" w:hAnsi="Times New Roman" w:cs="Times New Roman"/>
                <w:lang w:val="en-US"/>
              </w:rPr>
              <w:fldChar w:fldCharType="end"/>
            </w:r>
          </w:p>
        </w:tc>
        <w:tc>
          <w:tcPr>
            <w:tcW w:w="992" w:type="dxa"/>
            <w:shd w:val="clear" w:color="auto" w:fill="auto"/>
          </w:tcPr>
          <w:p w14:paraId="6FD44C64"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Все возрасты</w:t>
            </w:r>
          </w:p>
        </w:tc>
        <w:tc>
          <w:tcPr>
            <w:tcW w:w="851" w:type="dxa"/>
            <w:shd w:val="clear" w:color="auto" w:fill="auto"/>
          </w:tcPr>
          <w:p w14:paraId="3E838234" w14:textId="77777777" w:rsidR="00437528" w:rsidRPr="00437528" w:rsidRDefault="00437528" w:rsidP="003D198D">
            <w:pPr>
              <w:spacing w:line="240" w:lineRule="auto"/>
              <w:rPr>
                <w:rFonts w:ascii="Times New Roman" w:eastAsia="Calibri" w:hAnsi="Times New Roman" w:cs="Times New Roman"/>
                <w:shd w:val="clear" w:color="auto" w:fill="FFFFFF"/>
              </w:rPr>
            </w:pPr>
            <w:r w:rsidRPr="00437528">
              <w:rPr>
                <w:rFonts w:ascii="Times New Roman" w:eastAsia="Calibri" w:hAnsi="Times New Roman" w:cs="Times New Roman"/>
                <w:shd w:val="clear" w:color="auto" w:fill="FFFFFF"/>
              </w:rPr>
              <w:t>141</w:t>
            </w:r>
          </w:p>
        </w:tc>
        <w:tc>
          <w:tcPr>
            <w:tcW w:w="1984" w:type="dxa"/>
            <w:shd w:val="clear" w:color="auto" w:fill="auto"/>
          </w:tcPr>
          <w:p w14:paraId="5626D1B1" w14:textId="77777777" w:rsidR="00437528" w:rsidRPr="00437528" w:rsidRDefault="00437528" w:rsidP="003D198D">
            <w:pPr>
              <w:spacing w:line="240" w:lineRule="auto"/>
              <w:rPr>
                <w:rFonts w:ascii="Times New Roman" w:eastAsia="Calibri" w:hAnsi="Times New Roman" w:cs="Times New Roman"/>
                <w:shd w:val="clear" w:color="auto" w:fill="FFFFFF"/>
              </w:rPr>
            </w:pPr>
            <w:r w:rsidRPr="00437528">
              <w:rPr>
                <w:rFonts w:ascii="Times New Roman" w:eastAsia="Calibri" w:hAnsi="Times New Roman" w:cs="Times New Roman"/>
              </w:rPr>
              <w:t>Аллергический ринит/астма</w:t>
            </w:r>
          </w:p>
        </w:tc>
        <w:tc>
          <w:tcPr>
            <w:tcW w:w="1701" w:type="dxa"/>
            <w:shd w:val="clear" w:color="auto" w:fill="auto"/>
          </w:tcPr>
          <w:p w14:paraId="2A47541C" w14:textId="77777777" w:rsidR="00437528" w:rsidRPr="00437528" w:rsidRDefault="00437528" w:rsidP="003D198D">
            <w:pPr>
              <w:spacing w:line="240" w:lineRule="auto"/>
              <w:rPr>
                <w:rFonts w:ascii="Times New Roman" w:eastAsia="Calibri" w:hAnsi="Times New Roman" w:cs="Times New Roman"/>
                <w:shd w:val="clear" w:color="auto" w:fill="FFFFFF"/>
              </w:rPr>
            </w:pPr>
            <w:r w:rsidRPr="00437528">
              <w:rPr>
                <w:rFonts w:ascii="Times New Roman" w:eastAsia="Calibri" w:hAnsi="Times New Roman" w:cs="Times New Roman"/>
              </w:rPr>
              <w:t>Испания</w:t>
            </w:r>
          </w:p>
        </w:tc>
        <w:tc>
          <w:tcPr>
            <w:tcW w:w="6095" w:type="dxa"/>
            <w:shd w:val="clear" w:color="auto" w:fill="auto"/>
          </w:tcPr>
          <w:p w14:paraId="0D7283BA" w14:textId="77777777" w:rsidR="00437528" w:rsidRPr="00437528" w:rsidRDefault="00437528" w:rsidP="003D198D">
            <w:pPr>
              <w:spacing w:line="240" w:lineRule="auto"/>
              <w:jc w:val="both"/>
              <w:rPr>
                <w:rFonts w:ascii="Times New Roman" w:eastAsia="Calibri" w:hAnsi="Times New Roman" w:cs="Times New Roman"/>
                <w:shd w:val="clear" w:color="auto" w:fill="FFFFFF"/>
              </w:rPr>
            </w:pPr>
            <w:r w:rsidRPr="00437528">
              <w:rPr>
                <w:rFonts w:ascii="Times New Roman" w:eastAsia="Calibri" w:hAnsi="Times New Roman" w:cs="Times New Roman"/>
                <w:shd w:val="clear" w:color="auto" w:fill="FFFFFF"/>
              </w:rPr>
              <w:t>Выявлено очень низкое соответствие между показаниями и использованием аллергенов для специфической иммунотерапии до и после проведения молекулярной диагностики (46 % пациентов).</w:t>
            </w:r>
          </w:p>
        </w:tc>
        <w:tc>
          <w:tcPr>
            <w:tcW w:w="1702" w:type="dxa"/>
          </w:tcPr>
          <w:p w14:paraId="7D3429F8" w14:textId="77777777" w:rsidR="00437528" w:rsidRPr="00437528" w:rsidRDefault="00437528" w:rsidP="003D198D">
            <w:pPr>
              <w:spacing w:line="240" w:lineRule="auto"/>
              <w:jc w:val="center"/>
              <w:rPr>
                <w:rFonts w:ascii="Times New Roman" w:eastAsia="Calibri" w:hAnsi="Times New Roman" w:cs="Times New Roman"/>
                <w:shd w:val="clear" w:color="auto" w:fill="FFFFFF"/>
              </w:rPr>
            </w:pPr>
            <w:r w:rsidRPr="00437528">
              <w:rPr>
                <w:rFonts w:ascii="Times New Roman" w:eastAsia="Calibri" w:hAnsi="Times New Roman" w:cs="Times New Roman"/>
                <w:shd w:val="clear" w:color="auto" w:fill="FFFFFF"/>
              </w:rPr>
              <w:t>4</w:t>
            </w:r>
          </w:p>
        </w:tc>
      </w:tr>
      <w:tr w:rsidR="00437528" w:rsidRPr="00437528" w14:paraId="628C46DF" w14:textId="77777777" w:rsidTr="009F65CA">
        <w:trPr>
          <w:trHeight w:val="1134"/>
        </w:trPr>
        <w:tc>
          <w:tcPr>
            <w:tcW w:w="1390" w:type="dxa"/>
            <w:shd w:val="clear" w:color="auto" w:fill="auto"/>
          </w:tcPr>
          <w:p w14:paraId="5382027B" w14:textId="2DDD1070" w:rsidR="00437528" w:rsidRPr="002D2065" w:rsidRDefault="00437528" w:rsidP="003D198D">
            <w:pPr>
              <w:spacing w:line="240" w:lineRule="auto"/>
              <w:rPr>
                <w:rFonts w:ascii="Times New Roman" w:eastAsia="Calibri" w:hAnsi="Times New Roman" w:cs="Times New Roman"/>
              </w:rPr>
            </w:pPr>
            <w:r w:rsidRPr="002D2065">
              <w:rPr>
                <w:rFonts w:ascii="Times New Roman" w:eastAsia="Calibri" w:hAnsi="Times New Roman" w:cs="Times New Roman"/>
                <w:lang w:val="en-US"/>
              </w:rPr>
              <w:t>Letr</w:t>
            </w:r>
            <w:r w:rsidRPr="002D2065">
              <w:rPr>
                <w:rFonts w:ascii="Times New Roman" w:eastAsia="Calibri" w:hAnsi="Times New Roman" w:cs="Times New Roman"/>
              </w:rPr>
              <w:t>á</w:t>
            </w:r>
            <w:r w:rsidRPr="002D2065">
              <w:rPr>
                <w:rFonts w:ascii="Times New Roman" w:eastAsia="Calibri" w:hAnsi="Times New Roman" w:cs="Times New Roman"/>
                <w:lang w:val="en-US"/>
              </w:rPr>
              <w:t>n</w:t>
            </w:r>
            <w:r w:rsidRPr="002D2065">
              <w:rPr>
                <w:rFonts w:ascii="Times New Roman" w:eastAsia="Calibri" w:hAnsi="Times New Roman" w:cs="Times New Roman"/>
              </w:rPr>
              <w:t xml:space="preserve">, 2013 </w:t>
            </w:r>
            <w:r w:rsidRPr="002D2065">
              <w:rPr>
                <w:rFonts w:ascii="Times New Roman" w:eastAsia="Calibri" w:hAnsi="Times New Roman" w:cs="Times New Roman"/>
              </w:rPr>
              <w:fldChar w:fldCharType="begin" w:fldLock="1"/>
            </w:r>
            <w:r w:rsidR="006B2D4C">
              <w:rPr>
                <w:rFonts w:ascii="Times New Roman" w:eastAsia="Calibri" w:hAnsi="Times New Roman" w:cs="Times New Roman"/>
                <w:lang w:val="en-US"/>
              </w:rPr>
              <w:instrText>ADDIN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CSL</w:instrText>
            </w:r>
            <w:r w:rsidR="006B2D4C" w:rsidRPr="005150E3">
              <w:rPr>
                <w:rFonts w:ascii="Times New Roman" w:eastAsia="Calibri" w:hAnsi="Times New Roman" w:cs="Times New Roman"/>
              </w:rPr>
              <w:instrText>_</w:instrText>
            </w:r>
            <w:r w:rsidR="006B2D4C">
              <w:rPr>
                <w:rFonts w:ascii="Times New Roman" w:eastAsia="Calibri" w:hAnsi="Times New Roman" w:cs="Times New Roman"/>
                <w:lang w:val="en-US"/>
              </w:rPr>
              <w:instrText>CITATION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citationItems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id</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ITEM</w:instrText>
            </w:r>
            <w:r w:rsidR="006B2D4C" w:rsidRPr="005150E3">
              <w:rPr>
                <w:rFonts w:ascii="Times New Roman" w:eastAsia="Calibri" w:hAnsi="Times New Roman" w:cs="Times New Roman"/>
              </w:rPr>
              <w:instrText>-1","</w:instrText>
            </w:r>
            <w:r w:rsidR="006B2D4C">
              <w:rPr>
                <w:rFonts w:ascii="Times New Roman" w:eastAsia="Calibri" w:hAnsi="Times New Roman" w:cs="Times New Roman"/>
                <w:lang w:val="en-US"/>
              </w:rPr>
              <w:instrText>itemData</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DOI</w:instrText>
            </w:r>
            <w:r w:rsidR="006B2D4C" w:rsidRPr="005150E3">
              <w:rPr>
                <w:rFonts w:ascii="Times New Roman" w:eastAsia="Calibri" w:hAnsi="Times New Roman" w:cs="Times New Roman"/>
              </w:rPr>
              <w:instrText>":"10.1016/</w:instrText>
            </w:r>
            <w:r w:rsidR="006B2D4C">
              <w:rPr>
                <w:rFonts w:ascii="Times New Roman" w:eastAsia="Calibri" w:hAnsi="Times New Roman" w:cs="Times New Roman"/>
                <w:lang w:val="en-US"/>
              </w:rPr>
              <w:instrText>j</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anai</w:instrText>
            </w:r>
            <w:r w:rsidR="006B2D4C" w:rsidRPr="005150E3">
              <w:rPr>
                <w:rFonts w:ascii="Times New Roman" w:eastAsia="Calibri" w:hAnsi="Times New Roman" w:cs="Times New Roman"/>
              </w:rPr>
              <w:instrText>.2013.07.005","</w:instrText>
            </w:r>
            <w:r w:rsidR="006B2D4C">
              <w:rPr>
                <w:rFonts w:ascii="Times New Roman" w:eastAsia="Calibri" w:hAnsi="Times New Roman" w:cs="Times New Roman"/>
                <w:lang w:val="en-US"/>
              </w:rPr>
              <w:instrText>ISSN</w:instrText>
            </w:r>
            <w:r w:rsidR="006B2D4C" w:rsidRPr="005150E3">
              <w:rPr>
                <w:rFonts w:ascii="Times New Roman" w:eastAsia="Calibri" w:hAnsi="Times New Roman" w:cs="Times New Roman"/>
              </w:rPr>
              <w:instrText>":"10811206","</w:instrText>
            </w:r>
            <w:r w:rsidR="006B2D4C">
              <w:rPr>
                <w:rFonts w:ascii="Times New Roman" w:eastAsia="Calibri" w:hAnsi="Times New Roman" w:cs="Times New Roman"/>
                <w:lang w:val="en-US"/>
              </w:rPr>
              <w:instrText>PMID</w:instrText>
            </w:r>
            <w:r w:rsidR="006B2D4C" w:rsidRPr="005150E3">
              <w:rPr>
                <w:rFonts w:ascii="Times New Roman" w:eastAsia="Calibri" w:hAnsi="Times New Roman" w:cs="Times New Roman"/>
              </w:rPr>
              <w:instrText>":"24054367","</w:instrText>
            </w:r>
            <w:r w:rsidR="006B2D4C">
              <w:rPr>
                <w:rFonts w:ascii="Times New Roman" w:eastAsia="Calibri" w:hAnsi="Times New Roman" w:cs="Times New Roman"/>
                <w:lang w:val="en-US"/>
              </w:rPr>
              <w:instrText>abstract</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Background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Pollen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still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represents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important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cause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allergic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morbidity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worldwide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Accurate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diagnostic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methods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are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important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determine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disease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causing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allergen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Objective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describe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sensitization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patterns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patients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with</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spring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pollinosis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make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real</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life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evaluation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usefulness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predetermined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IgE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molecular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profile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compared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with</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other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sensitization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methods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choosing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composition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immunotherapy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Methods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One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hundred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seventy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five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patients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with</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diagnosis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spring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pollinosis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completed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skin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prick</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test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study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with</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Olea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europaea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Phleum</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pratense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palm</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profilin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peach</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peel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vitro</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study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application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specific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recombinant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IgE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protocol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nOle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w:instrText>
            </w:r>
            <w:r w:rsidR="006B2D4C" w:rsidRPr="005150E3">
              <w:rPr>
                <w:rFonts w:ascii="Times New Roman" w:eastAsia="Calibri" w:hAnsi="Times New Roman" w:cs="Times New Roman"/>
              </w:rPr>
              <w:instrText xml:space="preserve">1, </w:instrText>
            </w:r>
            <w:r w:rsidR="006B2D4C">
              <w:rPr>
                <w:rFonts w:ascii="Times New Roman" w:eastAsia="Calibri" w:hAnsi="Times New Roman" w:cs="Times New Roman"/>
                <w:lang w:val="en-US"/>
              </w:rPr>
              <w:instrText>rPhl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w:instrText>
            </w:r>
            <w:r w:rsidR="006B2D4C" w:rsidRPr="005150E3">
              <w:rPr>
                <w:rFonts w:ascii="Times New Roman" w:eastAsia="Calibri" w:hAnsi="Times New Roman" w:cs="Times New Roman"/>
              </w:rPr>
              <w:instrText>1-5</w:instrText>
            </w:r>
            <w:r w:rsidR="006B2D4C">
              <w:rPr>
                <w:rFonts w:ascii="Times New Roman" w:eastAsia="Calibri" w:hAnsi="Times New Roman" w:cs="Times New Roman"/>
                <w:lang w:val="en-US"/>
              </w:rPr>
              <w:instrText>b</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rPhl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w:instrText>
            </w:r>
            <w:r w:rsidR="006B2D4C" w:rsidRPr="005150E3">
              <w:rPr>
                <w:rFonts w:ascii="Times New Roman" w:eastAsia="Calibri" w:hAnsi="Times New Roman" w:cs="Times New Roman"/>
              </w:rPr>
              <w:instrText xml:space="preserve">12, </w:instrText>
            </w:r>
            <w:r w:rsidR="006B2D4C">
              <w:rPr>
                <w:rFonts w:ascii="Times New Roman" w:eastAsia="Calibri" w:hAnsi="Times New Roman" w:cs="Times New Roman"/>
                <w:lang w:val="en-US"/>
              </w:rPr>
              <w:instrText>rPhl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w:instrText>
            </w:r>
            <w:r w:rsidR="006B2D4C" w:rsidRPr="005150E3">
              <w:rPr>
                <w:rFonts w:ascii="Times New Roman" w:eastAsia="Calibri" w:hAnsi="Times New Roman" w:cs="Times New Roman"/>
              </w:rPr>
              <w:instrText xml:space="preserve">7,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rPru</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w:instrText>
            </w:r>
            <w:r w:rsidR="006B2D4C" w:rsidRPr="005150E3">
              <w:rPr>
                <w:rFonts w:ascii="Times New Roman" w:eastAsia="Calibri" w:hAnsi="Times New Roman" w:cs="Times New Roman"/>
              </w:rPr>
              <w:instrText xml:space="preserve">3). </w:instrText>
            </w:r>
            <w:r w:rsidR="006B2D4C">
              <w:rPr>
                <w:rFonts w:ascii="Times New Roman" w:eastAsia="Calibri" w:hAnsi="Times New Roman" w:cs="Times New Roman"/>
                <w:lang w:val="en-US"/>
              </w:rPr>
              <w:instrText>Immunotherapy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using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2 </w:instrText>
            </w:r>
            <w:r w:rsidR="006B2D4C">
              <w:rPr>
                <w:rFonts w:ascii="Times New Roman" w:eastAsia="Calibri" w:hAnsi="Times New Roman" w:cs="Times New Roman"/>
                <w:lang w:val="en-US"/>
              </w:rPr>
              <w:instrText>methods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was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compared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Results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high</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sensitization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nOle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w:instrText>
            </w:r>
            <w:r w:rsidR="006B2D4C" w:rsidRPr="005150E3">
              <w:rPr>
                <w:rFonts w:ascii="Times New Roman" w:eastAsia="Calibri" w:hAnsi="Times New Roman" w:cs="Times New Roman"/>
              </w:rPr>
              <w:instrText xml:space="preserve">1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rPhl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w:instrText>
            </w:r>
            <w:r w:rsidR="006B2D4C" w:rsidRPr="005150E3">
              <w:rPr>
                <w:rFonts w:ascii="Times New Roman" w:eastAsia="Calibri" w:hAnsi="Times New Roman" w:cs="Times New Roman"/>
              </w:rPr>
              <w:instrText>1-5</w:instrText>
            </w:r>
            <w:r w:rsidR="006B2D4C">
              <w:rPr>
                <w:rFonts w:ascii="Times New Roman" w:eastAsia="Calibri" w:hAnsi="Times New Roman" w:cs="Times New Roman"/>
                <w:lang w:val="en-US"/>
              </w:rPr>
              <w:instrText>b</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was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found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Profilin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polcalcin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lipid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transfer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proteins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seemed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irrelevant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differential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diagnosis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olea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grass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pollen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sensitization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most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southern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area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Iberian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Peninsula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Application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component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resolved the diagnosis, and the choice of immunotherapy was changed in more than 50% of patients. Conclusion These results support the necessity of the habitual use of this kind of protocol in routine allergologic practice. © 2013 American College of Allergy, Asthma &amp; Immunology. Published by Elsevier Inc. All rights reserved.","author":[{"dropping-particle":"","family":"Letrán","given":"Antonio","non-dropping-particle":"","parse-names":false,"suffix":""},{"dropping-particle":"","family":"Espinazo","given":"Marisa","non-dropping-particle":"","parse-names":false,"suffix":""},{"dropping-particle":"","family":"Moreno","given":"Francisco","non-dropping-particle":"","parse-names":false,"suffix":""}],"container-title":"Annals of Allergy, Asthma and Immunology","id":"ITEM-1","issue":"4","issued":{"date-parts":[["2013"]]},"page":"295-297","publisher":"American College of Allergy, Asthma &amp; Immunology","title":"Measurement of IgE to pollen allergen components is helpful in selecting patients for immunotherapy","type":"article-journal","volume":"111"},"uris":["http://www.mendeley.com/documents/?uuid=7d87f3b3-9ecb-423e-b216-c23fc923a1fb"]}],"mendeley":{"formattedCitation":"[158]","plainTextFormattedCitation":"[158]","previouslyFormattedCitation":"[158]"},"properties":{"noteIndex":0},"schema":"https://github.com/citation-style-language/schema/raw/master/csl-citation.json"}</w:instrText>
            </w:r>
            <w:r w:rsidRPr="002D2065">
              <w:rPr>
                <w:rFonts w:ascii="Times New Roman" w:eastAsia="Calibri" w:hAnsi="Times New Roman" w:cs="Times New Roman"/>
              </w:rPr>
              <w:fldChar w:fldCharType="separate"/>
            </w:r>
            <w:r w:rsidR="004028FD" w:rsidRPr="004028FD">
              <w:rPr>
                <w:rFonts w:ascii="Times New Roman" w:eastAsia="Calibri" w:hAnsi="Times New Roman" w:cs="Times New Roman"/>
                <w:noProof/>
              </w:rPr>
              <w:t>[158]</w:t>
            </w:r>
            <w:r w:rsidRPr="002D2065">
              <w:rPr>
                <w:rFonts w:ascii="Times New Roman" w:eastAsia="Calibri" w:hAnsi="Times New Roman" w:cs="Times New Roman"/>
              </w:rPr>
              <w:fldChar w:fldCharType="end"/>
            </w:r>
          </w:p>
        </w:tc>
        <w:tc>
          <w:tcPr>
            <w:tcW w:w="992" w:type="dxa"/>
            <w:shd w:val="clear" w:color="auto" w:fill="auto"/>
          </w:tcPr>
          <w:p w14:paraId="3DA5FD81"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6-62 лет</w:t>
            </w:r>
          </w:p>
        </w:tc>
        <w:tc>
          <w:tcPr>
            <w:tcW w:w="851" w:type="dxa"/>
            <w:shd w:val="clear" w:color="auto" w:fill="auto"/>
          </w:tcPr>
          <w:p w14:paraId="23FB0905"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175</w:t>
            </w:r>
          </w:p>
        </w:tc>
        <w:tc>
          <w:tcPr>
            <w:tcW w:w="1984" w:type="dxa"/>
            <w:shd w:val="clear" w:color="auto" w:fill="auto"/>
          </w:tcPr>
          <w:p w14:paraId="7095BF68" w14:textId="0BA72B0C"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Сезонный аллергический</w:t>
            </w:r>
            <w:r w:rsidR="0007459B">
              <w:rPr>
                <w:rFonts w:ascii="Times New Roman" w:eastAsia="Calibri" w:hAnsi="Times New Roman" w:cs="Times New Roman"/>
              </w:rPr>
              <w:t xml:space="preserve"> </w:t>
            </w:r>
            <w:r w:rsidRPr="00437528">
              <w:rPr>
                <w:rFonts w:ascii="Times New Roman" w:eastAsia="Calibri" w:hAnsi="Times New Roman" w:cs="Times New Roman"/>
              </w:rPr>
              <w:t>риноконъюнктивит и/или астма</w:t>
            </w:r>
          </w:p>
        </w:tc>
        <w:tc>
          <w:tcPr>
            <w:tcW w:w="1701" w:type="dxa"/>
            <w:shd w:val="clear" w:color="auto" w:fill="auto"/>
          </w:tcPr>
          <w:p w14:paraId="3BDCFAA2" w14:textId="77777777" w:rsidR="00437528" w:rsidRPr="00437528" w:rsidRDefault="00437528" w:rsidP="003D198D">
            <w:pPr>
              <w:spacing w:line="240" w:lineRule="auto"/>
              <w:rPr>
                <w:rFonts w:ascii="Times New Roman" w:eastAsia="Calibri" w:hAnsi="Times New Roman" w:cs="Times New Roman"/>
                <w:lang w:val="en-US"/>
              </w:rPr>
            </w:pPr>
            <w:r w:rsidRPr="00437528">
              <w:rPr>
                <w:rFonts w:ascii="Times New Roman" w:eastAsia="Calibri" w:hAnsi="Times New Roman" w:cs="Times New Roman"/>
                <w:lang w:val="en-US"/>
              </w:rPr>
              <w:t>Испания</w:t>
            </w:r>
          </w:p>
        </w:tc>
        <w:tc>
          <w:tcPr>
            <w:tcW w:w="6095" w:type="dxa"/>
            <w:shd w:val="clear" w:color="auto" w:fill="auto"/>
          </w:tcPr>
          <w:p w14:paraId="2787EA73" w14:textId="77777777" w:rsidR="00437528" w:rsidRPr="00437528" w:rsidRDefault="00437528" w:rsidP="003D198D">
            <w:pPr>
              <w:spacing w:line="240" w:lineRule="auto"/>
              <w:jc w:val="both"/>
              <w:rPr>
                <w:rFonts w:ascii="Times New Roman" w:eastAsia="Calibri" w:hAnsi="Times New Roman" w:cs="Times New Roman"/>
                <w:shd w:val="clear" w:color="auto" w:fill="FFFFFF"/>
              </w:rPr>
            </w:pPr>
            <w:r w:rsidRPr="00437528">
              <w:rPr>
                <w:rFonts w:ascii="Times New Roman" w:eastAsia="Calibri" w:hAnsi="Times New Roman" w:cs="Times New Roman"/>
                <w:shd w:val="clear" w:color="auto" w:fill="FFFFFF"/>
              </w:rPr>
              <w:t>Использование молекулярной аллергодиагностики помогло тщательно отобрать аллергены для АСИТ. МАД# изменила набор аллергенов для АСИТ более чем в 50% случаев по сравнению с первоначальным подбором.</w:t>
            </w:r>
          </w:p>
        </w:tc>
        <w:tc>
          <w:tcPr>
            <w:tcW w:w="1702" w:type="dxa"/>
          </w:tcPr>
          <w:p w14:paraId="243A1033" w14:textId="77777777" w:rsidR="00437528" w:rsidRPr="00437528" w:rsidRDefault="00437528" w:rsidP="003D198D">
            <w:pPr>
              <w:spacing w:line="240" w:lineRule="auto"/>
              <w:jc w:val="center"/>
              <w:rPr>
                <w:rFonts w:ascii="Times New Roman" w:eastAsia="Calibri" w:hAnsi="Times New Roman" w:cs="Times New Roman"/>
                <w:shd w:val="clear" w:color="auto" w:fill="FFFFFF"/>
              </w:rPr>
            </w:pPr>
            <w:r w:rsidRPr="00437528">
              <w:rPr>
                <w:rFonts w:ascii="Times New Roman" w:eastAsia="Calibri" w:hAnsi="Times New Roman" w:cs="Times New Roman"/>
                <w:shd w:val="clear" w:color="auto" w:fill="FFFFFF"/>
              </w:rPr>
              <w:t>4</w:t>
            </w:r>
          </w:p>
        </w:tc>
      </w:tr>
      <w:tr w:rsidR="00437528" w:rsidRPr="00437528" w14:paraId="66CE79A1" w14:textId="77777777" w:rsidTr="009F65CA">
        <w:tc>
          <w:tcPr>
            <w:tcW w:w="1390" w:type="dxa"/>
            <w:shd w:val="clear" w:color="auto" w:fill="auto"/>
          </w:tcPr>
          <w:p w14:paraId="3A87CAC1" w14:textId="52E15CD8" w:rsidR="00437528" w:rsidRPr="002D2065" w:rsidRDefault="00437528" w:rsidP="003D198D">
            <w:pPr>
              <w:spacing w:line="240" w:lineRule="auto"/>
              <w:rPr>
                <w:rFonts w:ascii="Times New Roman" w:eastAsia="Calibri" w:hAnsi="Times New Roman" w:cs="Times New Roman"/>
                <w:lang w:val="en-US"/>
              </w:rPr>
            </w:pPr>
            <w:r w:rsidRPr="002D2065">
              <w:rPr>
                <w:rFonts w:ascii="Times New Roman" w:eastAsia="Calibri" w:hAnsi="Times New Roman" w:cs="Times New Roman"/>
                <w:lang w:val="en-US"/>
              </w:rPr>
              <w:t xml:space="preserve">Moreno, 2014 </w:t>
            </w:r>
            <w:r w:rsidRPr="002D2065">
              <w:rPr>
                <w:rFonts w:ascii="Times New Roman" w:eastAsia="Calibri" w:hAnsi="Times New Roman" w:cs="Times New Roman"/>
                <w:lang w:val="en-US"/>
              </w:rPr>
              <w:fldChar w:fldCharType="begin" w:fldLock="1"/>
            </w:r>
            <w:r w:rsidR="006B2D4C">
              <w:rPr>
                <w:rFonts w:ascii="Times New Roman" w:eastAsia="Calibri" w:hAnsi="Times New Roman" w:cs="Times New Roman"/>
                <w:lang w:val="en-US"/>
              </w:rPr>
              <w:instrText>ADDIN CSL_CITATION {"citationItems":[{"id":"ITEM-1","itemData":{"DOI":"10.1111/all.12474","ISSN":"01054538","PMID":"24988991","abstract":"Background: Grass and olive are the most frequently pollens that induce seasonal allergic rhinitis in Spain. Cross-reactivity due to panallergens shared by them and overlapping pollination complicates the recognition of allergy-causing agents, making it difficult to identify the most appropriate allergen immunotherapy (AIT) to use. The aim of this study was to determine the sensitization pattern to major grass and olive pollen allergens using component-resolved diagnostics in patients with seasonal allergic rhinitis (SAR) and positive skin prick test to grass and olive pollens and evaluate how knowledge of the sensitization patterns might influence AIT prescription. Methods: After informed written consent, a total of 1263 patients were recruited. A serum determination of specific IgE levels to Ole e 1 and Phl p 1 + 5 was performed to all patients. A comparison was made before and after obtaining the specific IgE results, and differences in diagnosis were stated. Results: At the 0.35 kU/l cut-off point, 71.2% of patients were positive to Ole e 1 and Phl p 1 + 5, 14% were positive only to Phl p 1 + 5 and 12% were positive only to Ole e 1. Based on available clinical data and skin prick test results, 922 (73%) patients would have been indicated for a mixture of grass and olive pollens for AIT. In 56.8% of patients, there was non-coincidence in the composition of AIT that would be selected before and after investigators received the in vitro data. Conclusion: The diagnostic accuracy of the recombinant allergen-specific IgE test could help to improve the selection of specific-allergen immunotherapy in polysensitized patients.","author":[{"dropping-particle":"","family":"Moreno","given":"C.","non-dropping-particle":"","parse-names":false,"suffix":""},{"dropping-particle":"","family":"Justicia","given":"J. L.","non-dropping-particle":"","parse-names":false,"suffix":""},{"dropping-particle":"","family":"Quiralte","given":"J.","non-dropping-particle":"","parse-names":false,"suffix":""},{"dropping-particle":"","family":"Moreno-Ancillo","given":"Á.","non-dropping-particle":"","parse-names":false,"suffix":""},{"dropping-particle":"","family":"Iglesias-Cadarso","given":"A.","non-dropping-particle":"","parse-names":false,"suffix":""},{"dropping-particle":"","family":"Torrecillas","given":"M.","non-dropping-particle":"","parse-names":false,"suffix":""},{"dropping-particle":"","family":"Labarta","given":"N.","non-dropping-particle":"","parse-names":false,"suffix":""},{"dropping-particle":"","family":"García","given":"M. A.","non-dropping-particle":"","parse-names":false,"suffix":""},{"dropping-particle":"","family":"Dávila","given":"I.","non-dropping-particle":"","parse-names":false,"suffix":""}],"container-title":"Allergy","id":"ITEM-1","issue":"10","issued":{"date-parts":[["2014","10"]]},"page":"1357-1363","title":"Olive, grass or both? Molecular diagnosis for the allergen immunotherapy selection in polysensitized pollinic patients","type":"article-journal","volume":"69"},"uris":["http://www.mendeley.com/documents/?uuid=9942324f-7d55-4f67-8c42-468a24beb2ce"]}],"mendeley":{"formattedCitation":"[159]","plainTextFormattedCitation":"[159]","previouslyFormattedCitation":"[159]"},"properties":{"noteIndex":0},"schema":"https://github.com/citation-style-language/schema/raw/master/csl-citation.json"}</w:instrText>
            </w:r>
            <w:r w:rsidRPr="002D2065">
              <w:rPr>
                <w:rFonts w:ascii="Times New Roman" w:eastAsia="Calibri" w:hAnsi="Times New Roman" w:cs="Times New Roman"/>
                <w:lang w:val="en-US"/>
              </w:rPr>
              <w:fldChar w:fldCharType="separate"/>
            </w:r>
            <w:r w:rsidR="004028FD" w:rsidRPr="004028FD">
              <w:rPr>
                <w:rFonts w:ascii="Times New Roman" w:eastAsia="Calibri" w:hAnsi="Times New Roman" w:cs="Times New Roman"/>
                <w:noProof/>
                <w:lang w:val="en-US"/>
              </w:rPr>
              <w:t>[159]</w:t>
            </w:r>
            <w:r w:rsidRPr="002D2065">
              <w:rPr>
                <w:rFonts w:ascii="Times New Roman" w:eastAsia="Calibri" w:hAnsi="Times New Roman" w:cs="Times New Roman"/>
                <w:lang w:val="en-US"/>
              </w:rPr>
              <w:fldChar w:fldCharType="end"/>
            </w:r>
          </w:p>
        </w:tc>
        <w:tc>
          <w:tcPr>
            <w:tcW w:w="992" w:type="dxa"/>
            <w:shd w:val="clear" w:color="auto" w:fill="auto"/>
          </w:tcPr>
          <w:p w14:paraId="067A1D9E"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lang w:val="en-US"/>
              </w:rPr>
              <w:t xml:space="preserve">5–65 </w:t>
            </w:r>
            <w:r w:rsidRPr="00437528">
              <w:rPr>
                <w:rFonts w:ascii="Times New Roman" w:eastAsia="Calibri" w:hAnsi="Times New Roman" w:cs="Times New Roman"/>
              </w:rPr>
              <w:t>лет</w:t>
            </w:r>
          </w:p>
        </w:tc>
        <w:tc>
          <w:tcPr>
            <w:tcW w:w="851" w:type="dxa"/>
            <w:shd w:val="clear" w:color="auto" w:fill="auto"/>
          </w:tcPr>
          <w:p w14:paraId="15CEDF2A" w14:textId="77777777" w:rsidR="00437528" w:rsidRPr="00437528" w:rsidRDefault="00437528" w:rsidP="003D198D">
            <w:pPr>
              <w:spacing w:line="240" w:lineRule="auto"/>
              <w:rPr>
                <w:rFonts w:ascii="Times New Roman" w:eastAsia="Calibri" w:hAnsi="Times New Roman" w:cs="Times New Roman"/>
                <w:lang w:val="en-US"/>
              </w:rPr>
            </w:pPr>
            <w:r w:rsidRPr="00437528">
              <w:rPr>
                <w:rFonts w:ascii="Times New Roman" w:eastAsia="Calibri" w:hAnsi="Times New Roman" w:cs="Times New Roman"/>
                <w:lang w:val="en-US"/>
              </w:rPr>
              <w:t>1263</w:t>
            </w:r>
          </w:p>
        </w:tc>
        <w:tc>
          <w:tcPr>
            <w:tcW w:w="1984" w:type="dxa"/>
            <w:shd w:val="clear" w:color="auto" w:fill="auto"/>
          </w:tcPr>
          <w:p w14:paraId="3C53FA8A" w14:textId="77777777" w:rsidR="00437528" w:rsidRPr="00437528" w:rsidRDefault="00437528" w:rsidP="003D198D">
            <w:pPr>
              <w:spacing w:after="0" w:line="240" w:lineRule="auto"/>
              <w:rPr>
                <w:rFonts w:ascii="Times New Roman" w:eastAsia="Calibri" w:hAnsi="Times New Roman" w:cs="Times New Roman"/>
              </w:rPr>
            </w:pPr>
            <w:r w:rsidRPr="00437528">
              <w:rPr>
                <w:rFonts w:ascii="Times New Roman" w:eastAsia="Calibri" w:hAnsi="Times New Roman" w:cs="Times New Roman"/>
              </w:rPr>
              <w:t>Сезонный аллергический ринит, астма, аллергический конъюнктивит</w:t>
            </w:r>
          </w:p>
        </w:tc>
        <w:tc>
          <w:tcPr>
            <w:tcW w:w="1701" w:type="dxa"/>
            <w:shd w:val="clear" w:color="auto" w:fill="auto"/>
          </w:tcPr>
          <w:p w14:paraId="7CBF6761" w14:textId="77777777" w:rsidR="00437528" w:rsidRPr="00437528" w:rsidRDefault="00437528" w:rsidP="003D198D">
            <w:pPr>
              <w:spacing w:line="240" w:lineRule="auto"/>
              <w:rPr>
                <w:rFonts w:ascii="Times New Roman" w:eastAsia="Calibri" w:hAnsi="Times New Roman" w:cs="Times New Roman"/>
                <w:lang w:val="en-US"/>
              </w:rPr>
            </w:pPr>
            <w:r w:rsidRPr="00437528">
              <w:rPr>
                <w:rFonts w:ascii="Times New Roman" w:eastAsia="Calibri" w:hAnsi="Times New Roman" w:cs="Times New Roman"/>
                <w:shd w:val="clear" w:color="auto" w:fill="FFFFFF"/>
                <w:lang w:val="en-US"/>
              </w:rPr>
              <w:t>Испания</w:t>
            </w:r>
          </w:p>
        </w:tc>
        <w:tc>
          <w:tcPr>
            <w:tcW w:w="6095" w:type="dxa"/>
            <w:shd w:val="clear" w:color="auto" w:fill="auto"/>
          </w:tcPr>
          <w:p w14:paraId="55EDFFFB" w14:textId="77777777" w:rsidR="00437528" w:rsidRPr="00437528" w:rsidRDefault="00437528" w:rsidP="003D198D">
            <w:pPr>
              <w:spacing w:line="240" w:lineRule="auto"/>
              <w:jc w:val="both"/>
              <w:rPr>
                <w:rFonts w:ascii="Times New Roman" w:eastAsia="Calibri" w:hAnsi="Times New Roman" w:cs="Times New Roman"/>
              </w:rPr>
            </w:pPr>
            <w:r w:rsidRPr="00437528">
              <w:rPr>
                <w:rFonts w:ascii="Times New Roman" w:eastAsia="Calibri" w:hAnsi="Times New Roman" w:cs="Times New Roman"/>
              </w:rPr>
              <w:t>Большинству пациентов (922 пациента – 73 %) была бы показана смесь пыльцы травы и оливы для проведения АСИТ. В результате МАД у 56,8% пациентов наблюдалось несоответствие в составе аллергенов для АСИТ. МАД помогает улучшить выбор аллергенов для АСИТ у полисенсибилизированных пациентов.</w:t>
            </w:r>
          </w:p>
        </w:tc>
        <w:tc>
          <w:tcPr>
            <w:tcW w:w="1702" w:type="dxa"/>
          </w:tcPr>
          <w:p w14:paraId="268210E2" w14:textId="77777777" w:rsidR="00437528" w:rsidRPr="00437528" w:rsidRDefault="00437528" w:rsidP="003D198D">
            <w:pPr>
              <w:spacing w:line="240" w:lineRule="auto"/>
              <w:jc w:val="center"/>
              <w:rPr>
                <w:rFonts w:ascii="Times New Roman" w:eastAsia="Calibri" w:hAnsi="Times New Roman" w:cs="Times New Roman"/>
                <w:lang w:val="en-US"/>
              </w:rPr>
            </w:pPr>
            <w:r w:rsidRPr="00437528">
              <w:rPr>
                <w:rFonts w:ascii="Times New Roman" w:eastAsia="Calibri" w:hAnsi="Times New Roman" w:cs="Times New Roman"/>
                <w:shd w:val="clear" w:color="auto" w:fill="FFFFFF"/>
              </w:rPr>
              <w:t>4</w:t>
            </w:r>
          </w:p>
        </w:tc>
      </w:tr>
      <w:tr w:rsidR="00437528" w:rsidRPr="00437528" w14:paraId="1D1B279C" w14:textId="77777777" w:rsidTr="009F65CA">
        <w:tc>
          <w:tcPr>
            <w:tcW w:w="1390" w:type="dxa"/>
            <w:shd w:val="clear" w:color="auto" w:fill="auto"/>
          </w:tcPr>
          <w:p w14:paraId="1A1CF2ED" w14:textId="6B51A66B" w:rsidR="00437528" w:rsidRPr="002D2065" w:rsidRDefault="00437528" w:rsidP="003D198D">
            <w:pPr>
              <w:spacing w:line="240" w:lineRule="auto"/>
              <w:rPr>
                <w:rFonts w:ascii="Times New Roman" w:eastAsia="Calibri" w:hAnsi="Times New Roman" w:cs="Times New Roman"/>
              </w:rPr>
            </w:pPr>
            <w:r w:rsidRPr="002D2065">
              <w:rPr>
                <w:rFonts w:ascii="Times New Roman" w:eastAsia="Calibri" w:hAnsi="Times New Roman" w:cs="Times New Roman"/>
                <w:lang w:val="en-US"/>
              </w:rPr>
              <w:t xml:space="preserve">Stringari, 2014 </w:t>
            </w:r>
            <w:r w:rsidRPr="002D2065">
              <w:rPr>
                <w:rFonts w:ascii="Times New Roman" w:eastAsia="Calibri" w:hAnsi="Times New Roman" w:cs="Times New Roman"/>
                <w:lang w:val="en-US"/>
              </w:rPr>
              <w:fldChar w:fldCharType="begin" w:fldLock="1"/>
            </w:r>
            <w:r w:rsidR="006B2D4C">
              <w:rPr>
                <w:rFonts w:ascii="Times New Roman" w:eastAsia="Calibri" w:hAnsi="Times New Roman" w:cs="Times New Roman"/>
                <w:lang w:val="en-US"/>
              </w:rPr>
              <w:instrText>ADDIN CSL_CITATION {"citationItems":[{"id":"ITEM-1","itemData":{"DOI":"10.1016/j.jaci.2014.01.042","author":[{"dropping-particle":"","family":"Stringari","given":"Giovanna","non-dropping-particle":"","parse-names":false,"suffix":""},{"dropping-particle":"","family":"Tripodi","given":"Salvatore","non-dropping-particle":"","parse-names":false,"suffix":""},{"dropping-particle":"","family":"Caffarelli","given":"Carlo","non-dropping-particle":"","parse-names":false,"suffix":""},{"dropping-particle":"","family":"Dondi","given":"Arianna","non-dropping-particle":"","parse-names":false,"suffix":""},{"dropping-particle":"","family":"Asero","given":"Riccardo","non-dropping-particle":"","parse-names":false,"suffix":""},{"dropping-particle":"","family":"Bellini","given":"Federica","non-dropping-particle":"","parse-names":false,"suffix":""},{"dropping-particle":"","family":"Maiello","given":"Nunzia","non-dropping-particle":"","parse-names":false,"suffix":""},{"dropping-particle":"","family":"Frediani","given":"Tullio","non-dropping-particle":"","parse-names":false,"suffix":""},{"dropping-particle":"","family":"Peparini","given":"Ilaria","non-dropping-particle":"","parse-names":false,"suffix":""},{"dropping-particle":"","family":"Dascola","given":"Povesi","non-dropping-particle":"","parse-names":false,"suffix":""},{"dropping-particle":"","family":"Patria","given":"Maria Francesca","non-dropping-particle":"","parse-names":false,"suffix":""},{"dropping-particle":"","family":"Varin","given":"Elena","non-dropping-particle":"","parse-names":false,"suffix":""},{"dropping-particle":"","family":"Peroni","given":"Diego","non-dropping-particle":"","parse-names":false,"suffix":""},{"dropping-particle":"","family":"Comberiati","given":"Pasquale","non-dropping-particle":"","parse-names":false,"suffix":""},{"dropping-particle":"","family":"Chini","given":"Loredana","non-dropping-particle":"","parse-names":false,"suffix":""},{"dropping-particle":"","family":"Moschese","given":"Viviana","non-dropping-particle":"","parse-names":false,"suffix":""},</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Lucarelli</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Sandra</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Bernardini</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Roberto</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Pingitore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Giuseppe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Pelosi</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Umberto</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Tosca</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Mariangela</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Cirisano</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Anastasia</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Faggian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Diego</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Sci</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Biol</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id</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ITEM</w:instrText>
            </w:r>
            <w:r w:rsidR="006B2D4C" w:rsidRPr="00C72046">
              <w:rPr>
                <w:rFonts w:ascii="Times New Roman" w:eastAsia="Calibri" w:hAnsi="Times New Roman" w:cs="Times New Roman"/>
              </w:rPr>
              <w:instrText>-1","</w:instrText>
            </w:r>
            <w:r w:rsidR="006B2D4C">
              <w:rPr>
                <w:rFonts w:ascii="Times New Roman" w:eastAsia="Calibri" w:hAnsi="Times New Roman" w:cs="Times New Roman"/>
                <w:lang w:val="en-US"/>
              </w:rPr>
              <w:instrText>issued</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date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parts</w:instrText>
            </w:r>
            <w:r w:rsidR="006B2D4C" w:rsidRPr="00C72046">
              <w:rPr>
                <w:rFonts w:ascii="Times New Roman" w:eastAsia="Calibri" w:hAnsi="Times New Roman" w:cs="Times New Roman"/>
              </w:rPr>
              <w:instrText>":[["0"]]},"</w:instrText>
            </w:r>
            <w:r w:rsidR="006B2D4C">
              <w:rPr>
                <w:rFonts w:ascii="Times New Roman" w:eastAsia="Calibri" w:hAnsi="Times New Roman" w:cs="Times New Roman"/>
                <w:lang w:val="en-US"/>
              </w:rPr>
              <w:instrText>page</w:instrText>
            </w:r>
            <w:r w:rsidR="006B2D4C" w:rsidRPr="00C72046">
              <w:rPr>
                <w:rFonts w:ascii="Times New Roman" w:eastAsia="Calibri" w:hAnsi="Times New Roman" w:cs="Times New Roman"/>
              </w:rPr>
              <w:instrText>":"1-9","</w:instrText>
            </w:r>
            <w:r w:rsidR="006B2D4C">
              <w:rPr>
                <w:rFonts w:ascii="Times New Roman" w:eastAsia="Calibri" w:hAnsi="Times New Roman" w:cs="Times New Roman"/>
                <w:lang w:val="en-US"/>
              </w:rPr>
              <w:instrText>title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The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effect</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component</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resolved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diagnosis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specific</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immunotherapy</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prescription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children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with</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hay</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fever</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type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journal</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uris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http</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www</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mendeley</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com</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documents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uuid</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baba</w:instrText>
            </w:r>
            <w:r w:rsidR="006B2D4C" w:rsidRPr="00C72046">
              <w:rPr>
                <w:rFonts w:ascii="Times New Roman" w:eastAsia="Calibri" w:hAnsi="Times New Roman" w:cs="Times New Roman"/>
              </w:rPr>
              <w:instrText>58</w:instrText>
            </w:r>
            <w:r w:rsidR="006B2D4C">
              <w:rPr>
                <w:rFonts w:ascii="Times New Roman" w:eastAsia="Calibri" w:hAnsi="Times New Roman" w:cs="Times New Roman"/>
                <w:lang w:val="en-US"/>
              </w:rPr>
              <w:instrText>ac</w:instrText>
            </w:r>
            <w:r w:rsidR="006B2D4C" w:rsidRPr="00C72046">
              <w:rPr>
                <w:rFonts w:ascii="Times New Roman" w:eastAsia="Calibri" w:hAnsi="Times New Roman" w:cs="Times New Roman"/>
              </w:rPr>
              <w:instrText>-7080-4479-8</w:instrText>
            </w:r>
            <w:r w:rsidR="006B2D4C">
              <w:rPr>
                <w:rFonts w:ascii="Times New Roman" w:eastAsia="Calibri" w:hAnsi="Times New Roman" w:cs="Times New Roman"/>
                <w:lang w:val="en-US"/>
              </w:rPr>
              <w:instrText>a</w:instrText>
            </w:r>
            <w:r w:rsidR="006B2D4C" w:rsidRPr="00C72046">
              <w:rPr>
                <w:rFonts w:ascii="Times New Roman" w:eastAsia="Calibri" w:hAnsi="Times New Roman" w:cs="Times New Roman"/>
              </w:rPr>
              <w:instrText>04-371</w:instrText>
            </w:r>
            <w:r w:rsidR="006B2D4C">
              <w:rPr>
                <w:rFonts w:ascii="Times New Roman" w:eastAsia="Calibri" w:hAnsi="Times New Roman" w:cs="Times New Roman"/>
                <w:lang w:val="en-US"/>
              </w:rPr>
              <w:instrText>f</w:instrText>
            </w:r>
            <w:r w:rsidR="006B2D4C" w:rsidRPr="00C72046">
              <w:rPr>
                <w:rFonts w:ascii="Times New Roman" w:eastAsia="Calibri" w:hAnsi="Times New Roman" w:cs="Times New Roman"/>
              </w:rPr>
              <w:instrText>9</w:instrText>
            </w:r>
            <w:r w:rsidR="006B2D4C">
              <w:rPr>
                <w:rFonts w:ascii="Times New Roman" w:eastAsia="Calibri" w:hAnsi="Times New Roman" w:cs="Times New Roman"/>
                <w:lang w:val="en-US"/>
              </w:rPr>
              <w:instrText>ad</w:instrText>
            </w:r>
            <w:r w:rsidR="006B2D4C" w:rsidRPr="00C72046">
              <w:rPr>
                <w:rFonts w:ascii="Times New Roman" w:eastAsia="Calibri" w:hAnsi="Times New Roman" w:cs="Times New Roman"/>
              </w:rPr>
              <w:instrText>2</w:instrText>
            </w:r>
            <w:r w:rsidR="006B2D4C">
              <w:rPr>
                <w:rFonts w:ascii="Times New Roman" w:eastAsia="Calibri" w:hAnsi="Times New Roman" w:cs="Times New Roman"/>
                <w:lang w:val="en-US"/>
              </w:rPr>
              <w:instrText>b</w:instrText>
            </w:r>
            <w:r w:rsidR="006B2D4C" w:rsidRPr="00C72046">
              <w:rPr>
                <w:rFonts w:ascii="Times New Roman" w:eastAsia="Calibri" w:hAnsi="Times New Roman" w:cs="Times New Roman"/>
              </w:rPr>
              <w:instrText>5</w:instrText>
            </w:r>
            <w:r w:rsidR="006B2D4C">
              <w:rPr>
                <w:rFonts w:ascii="Times New Roman" w:eastAsia="Calibri" w:hAnsi="Times New Roman" w:cs="Times New Roman"/>
                <w:lang w:val="en-US"/>
              </w:rPr>
              <w:instrText>db</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mendeley</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formattedCitation</w:instrText>
            </w:r>
            <w:r w:rsidR="006B2D4C" w:rsidRPr="00C72046">
              <w:rPr>
                <w:rFonts w:ascii="Times New Roman" w:eastAsia="Calibri" w:hAnsi="Times New Roman" w:cs="Times New Roman"/>
              </w:rPr>
              <w:instrText>":"[160]","</w:instrText>
            </w:r>
            <w:r w:rsidR="006B2D4C">
              <w:rPr>
                <w:rFonts w:ascii="Times New Roman" w:eastAsia="Calibri" w:hAnsi="Times New Roman" w:cs="Times New Roman"/>
                <w:lang w:val="en-US"/>
              </w:rPr>
              <w:instrText>plainTextFormattedCitation</w:instrText>
            </w:r>
            <w:r w:rsidR="006B2D4C" w:rsidRPr="00C72046">
              <w:rPr>
                <w:rFonts w:ascii="Times New Roman" w:eastAsia="Calibri" w:hAnsi="Times New Roman" w:cs="Times New Roman"/>
              </w:rPr>
              <w:instrText>":"[160]","</w:instrText>
            </w:r>
            <w:r w:rsidR="006B2D4C">
              <w:rPr>
                <w:rFonts w:ascii="Times New Roman" w:eastAsia="Calibri" w:hAnsi="Times New Roman" w:cs="Times New Roman"/>
                <w:lang w:val="en-US"/>
              </w:rPr>
              <w:instrText>previouslyFormattedCitation</w:instrText>
            </w:r>
            <w:r w:rsidR="006B2D4C" w:rsidRPr="00C72046">
              <w:rPr>
                <w:rFonts w:ascii="Times New Roman" w:eastAsia="Calibri" w:hAnsi="Times New Roman" w:cs="Times New Roman"/>
              </w:rPr>
              <w:instrText>":"[160]"},"</w:instrText>
            </w:r>
            <w:r w:rsidR="006B2D4C">
              <w:rPr>
                <w:rFonts w:ascii="Times New Roman" w:eastAsia="Calibri" w:hAnsi="Times New Roman" w:cs="Times New Roman"/>
                <w:lang w:val="en-US"/>
              </w:rPr>
              <w:instrText>properties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noteIndex</w:instrText>
            </w:r>
            <w:r w:rsidR="006B2D4C" w:rsidRPr="00C72046">
              <w:rPr>
                <w:rFonts w:ascii="Times New Roman" w:eastAsia="Calibri" w:hAnsi="Times New Roman" w:cs="Times New Roman"/>
              </w:rPr>
              <w:instrText>":0},"</w:instrText>
            </w:r>
            <w:r w:rsidR="006B2D4C">
              <w:rPr>
                <w:rFonts w:ascii="Times New Roman" w:eastAsia="Calibri" w:hAnsi="Times New Roman" w:cs="Times New Roman"/>
                <w:lang w:val="en-US"/>
              </w:rPr>
              <w:instrText>schema</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https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github</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com</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citation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style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language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schema</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raw</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master</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csl</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citation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json</w:instrText>
            </w:r>
            <w:r w:rsidR="006B2D4C" w:rsidRPr="00C72046">
              <w:rPr>
                <w:rFonts w:ascii="Times New Roman" w:eastAsia="Calibri" w:hAnsi="Times New Roman" w:cs="Times New Roman"/>
              </w:rPr>
              <w:instrText>"}</w:instrText>
            </w:r>
            <w:r w:rsidRPr="002D2065">
              <w:rPr>
                <w:rFonts w:ascii="Times New Roman" w:eastAsia="Calibri" w:hAnsi="Times New Roman" w:cs="Times New Roman"/>
                <w:lang w:val="en-US"/>
              </w:rPr>
              <w:fldChar w:fldCharType="separate"/>
            </w:r>
            <w:r w:rsidR="004028FD" w:rsidRPr="004028FD">
              <w:rPr>
                <w:rFonts w:ascii="Times New Roman" w:eastAsia="Calibri" w:hAnsi="Times New Roman" w:cs="Times New Roman"/>
                <w:noProof/>
              </w:rPr>
              <w:t>[160]</w:t>
            </w:r>
            <w:r w:rsidRPr="002D2065">
              <w:rPr>
                <w:rFonts w:ascii="Times New Roman" w:eastAsia="Calibri" w:hAnsi="Times New Roman" w:cs="Times New Roman"/>
                <w:lang w:val="en-US"/>
              </w:rPr>
              <w:fldChar w:fldCharType="end"/>
            </w:r>
          </w:p>
        </w:tc>
        <w:tc>
          <w:tcPr>
            <w:tcW w:w="992" w:type="dxa"/>
            <w:shd w:val="clear" w:color="auto" w:fill="auto"/>
          </w:tcPr>
          <w:p w14:paraId="63A034FA"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4-18 лет</w:t>
            </w:r>
          </w:p>
        </w:tc>
        <w:tc>
          <w:tcPr>
            <w:tcW w:w="851" w:type="dxa"/>
            <w:shd w:val="clear" w:color="auto" w:fill="auto"/>
          </w:tcPr>
          <w:p w14:paraId="141D5495"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651</w:t>
            </w:r>
          </w:p>
        </w:tc>
        <w:tc>
          <w:tcPr>
            <w:tcW w:w="1984" w:type="dxa"/>
            <w:shd w:val="clear" w:color="auto" w:fill="auto"/>
          </w:tcPr>
          <w:p w14:paraId="444291F9"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Аллергический ринит, астма</w:t>
            </w:r>
          </w:p>
        </w:tc>
        <w:tc>
          <w:tcPr>
            <w:tcW w:w="1701" w:type="dxa"/>
            <w:shd w:val="clear" w:color="auto" w:fill="auto"/>
          </w:tcPr>
          <w:p w14:paraId="48E6DFFD"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Италия</w:t>
            </w:r>
          </w:p>
        </w:tc>
        <w:tc>
          <w:tcPr>
            <w:tcW w:w="6095" w:type="dxa"/>
            <w:shd w:val="clear" w:color="auto" w:fill="auto"/>
          </w:tcPr>
          <w:p w14:paraId="5C2BC147" w14:textId="77777777" w:rsidR="00437528" w:rsidRPr="00437528" w:rsidRDefault="00437528" w:rsidP="003D198D">
            <w:pPr>
              <w:spacing w:line="240" w:lineRule="auto"/>
              <w:jc w:val="both"/>
              <w:rPr>
                <w:rFonts w:ascii="Times New Roman" w:eastAsia="Calibri" w:hAnsi="Times New Roman" w:cs="Times New Roman"/>
              </w:rPr>
            </w:pPr>
            <w:r w:rsidRPr="00437528">
              <w:rPr>
                <w:rFonts w:ascii="Times New Roman" w:eastAsia="Calibri" w:hAnsi="Times New Roman" w:cs="Times New Roman"/>
              </w:rPr>
              <w:t>Решение о назначении или составе аллергенов для специфической иммунотерапии было изменено у 277 (42%) из 651 ребенка или у 315 (48%) из 651 ребенка, в зависимости от европейского или американского подхода, соответственно.</w:t>
            </w:r>
          </w:p>
        </w:tc>
        <w:tc>
          <w:tcPr>
            <w:tcW w:w="1702" w:type="dxa"/>
          </w:tcPr>
          <w:p w14:paraId="15A2AEDE" w14:textId="77777777" w:rsidR="00437528" w:rsidRPr="00437528" w:rsidRDefault="00437528" w:rsidP="003D198D">
            <w:pPr>
              <w:spacing w:line="240" w:lineRule="auto"/>
              <w:jc w:val="center"/>
              <w:rPr>
                <w:rFonts w:ascii="Times New Roman" w:eastAsia="Calibri" w:hAnsi="Times New Roman" w:cs="Times New Roman"/>
              </w:rPr>
            </w:pPr>
            <w:r w:rsidRPr="00437528">
              <w:rPr>
                <w:rFonts w:ascii="Times New Roman" w:eastAsia="Calibri" w:hAnsi="Times New Roman" w:cs="Times New Roman"/>
              </w:rPr>
              <w:t>4</w:t>
            </w:r>
          </w:p>
        </w:tc>
      </w:tr>
      <w:tr w:rsidR="00437528" w:rsidRPr="00437528" w14:paraId="4C9BAE23" w14:textId="77777777" w:rsidTr="009F65CA">
        <w:tc>
          <w:tcPr>
            <w:tcW w:w="1390" w:type="dxa"/>
            <w:shd w:val="clear" w:color="auto" w:fill="auto"/>
          </w:tcPr>
          <w:p w14:paraId="35CB3E8D" w14:textId="5DDF2901" w:rsidR="00437528" w:rsidRPr="002D2065" w:rsidRDefault="00437528" w:rsidP="003D198D">
            <w:pPr>
              <w:spacing w:line="240" w:lineRule="auto"/>
              <w:jc w:val="both"/>
              <w:rPr>
                <w:rFonts w:ascii="Times New Roman" w:eastAsia="Calibri" w:hAnsi="Times New Roman" w:cs="Times New Roman"/>
              </w:rPr>
            </w:pPr>
            <w:r w:rsidRPr="002D2065">
              <w:rPr>
                <w:rFonts w:ascii="Times New Roman" w:eastAsia="Calibri" w:hAnsi="Times New Roman" w:cs="Times New Roman"/>
                <w:lang w:val="en-US"/>
              </w:rPr>
              <w:t>Darsow</w:t>
            </w:r>
            <w:r w:rsidRPr="002D2065">
              <w:rPr>
                <w:rFonts w:ascii="Times New Roman" w:eastAsia="Calibri" w:hAnsi="Times New Roman" w:cs="Times New Roman"/>
              </w:rPr>
              <w:t xml:space="preserve">, 2014 </w:t>
            </w:r>
            <w:r w:rsidRPr="002D2065">
              <w:rPr>
                <w:rFonts w:ascii="Times New Roman" w:eastAsia="Calibri" w:hAnsi="Times New Roman" w:cs="Times New Roman"/>
                <w:lang w:val="en-US"/>
              </w:rPr>
              <w:fldChar w:fldCharType="begin" w:fldLock="1"/>
            </w:r>
            <w:r w:rsidR="006B2D4C">
              <w:rPr>
                <w:rFonts w:ascii="Times New Roman" w:eastAsia="Calibri" w:hAnsi="Times New Roman" w:cs="Times New Roman"/>
                <w:lang w:val="en-US"/>
              </w:rPr>
              <w:instrText>ADDIN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CSL</w:instrText>
            </w:r>
            <w:r w:rsidR="006B2D4C" w:rsidRPr="00C72046">
              <w:rPr>
                <w:rFonts w:ascii="Times New Roman" w:eastAsia="Calibri" w:hAnsi="Times New Roman" w:cs="Times New Roman"/>
              </w:rPr>
              <w:instrText>_</w:instrText>
            </w:r>
            <w:r w:rsidR="006B2D4C">
              <w:rPr>
                <w:rFonts w:ascii="Times New Roman" w:eastAsia="Calibri" w:hAnsi="Times New Roman" w:cs="Times New Roman"/>
                <w:lang w:val="en-US"/>
              </w:rPr>
              <w:instrText>CITATION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citationItems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id</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ITEM</w:instrText>
            </w:r>
            <w:r w:rsidR="006B2D4C" w:rsidRPr="00C72046">
              <w:rPr>
                <w:rFonts w:ascii="Times New Roman" w:eastAsia="Calibri" w:hAnsi="Times New Roman" w:cs="Times New Roman"/>
              </w:rPr>
              <w:instrText>-1","</w:instrText>
            </w:r>
            <w:r w:rsidR="006B2D4C">
              <w:rPr>
                <w:rFonts w:ascii="Times New Roman" w:eastAsia="Calibri" w:hAnsi="Times New Roman" w:cs="Times New Roman"/>
                <w:lang w:val="en-US"/>
              </w:rPr>
              <w:instrText>itemData</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DOI</w:instrText>
            </w:r>
            <w:r w:rsidR="006B2D4C" w:rsidRPr="00C72046">
              <w:rPr>
                <w:rFonts w:ascii="Times New Roman" w:eastAsia="Calibri" w:hAnsi="Times New Roman" w:cs="Times New Roman"/>
              </w:rPr>
              <w:instrText>":"10.1111/</w:instrText>
            </w:r>
            <w:r w:rsidR="006B2D4C">
              <w:rPr>
                <w:rFonts w:ascii="Times New Roman" w:eastAsia="Calibri" w:hAnsi="Times New Roman" w:cs="Times New Roman"/>
                <w:lang w:val="en-US"/>
              </w:rPr>
              <w:instrText>cea</w:instrText>
            </w:r>
            <w:r w:rsidR="006B2D4C" w:rsidRPr="00C72046">
              <w:rPr>
                <w:rFonts w:ascii="Times New Roman" w:eastAsia="Calibri" w:hAnsi="Times New Roman" w:cs="Times New Roman"/>
              </w:rPr>
              <w:instrText>.12303","</w:instrText>
            </w:r>
            <w:r w:rsidR="006B2D4C">
              <w:rPr>
                <w:rFonts w:ascii="Times New Roman" w:eastAsia="Calibri" w:hAnsi="Times New Roman" w:cs="Times New Roman"/>
                <w:lang w:val="en-US"/>
              </w:rPr>
              <w:instrText>ISSN</w:instrText>
            </w:r>
            <w:r w:rsidR="006B2D4C" w:rsidRPr="00C72046">
              <w:rPr>
                <w:rFonts w:ascii="Times New Roman" w:eastAsia="Calibri" w:hAnsi="Times New Roman" w:cs="Times New Roman"/>
              </w:rPr>
              <w:instrText>":"13652222","</w:instrText>
            </w:r>
            <w:r w:rsidR="006B2D4C">
              <w:rPr>
                <w:rFonts w:ascii="Times New Roman" w:eastAsia="Calibri" w:hAnsi="Times New Roman" w:cs="Times New Roman"/>
                <w:lang w:val="en-US"/>
              </w:rPr>
              <w:instrText>PMID</w:instrText>
            </w:r>
            <w:r w:rsidR="006B2D4C" w:rsidRPr="00C72046">
              <w:rPr>
                <w:rFonts w:ascii="Times New Roman" w:eastAsia="Calibri" w:hAnsi="Times New Roman" w:cs="Times New Roman"/>
              </w:rPr>
              <w:instrText>":"24598010","</w:instrText>
            </w:r>
            <w:r w:rsidR="006B2D4C">
              <w:rPr>
                <w:rFonts w:ascii="Times New Roman" w:eastAsia="Calibri" w:hAnsi="Times New Roman" w:cs="Times New Roman"/>
                <w:lang w:val="en-US"/>
              </w:rPr>
              <w:instrText>abstract</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Background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Data</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molecular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allergy</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diagnostics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adults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with</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grass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pollen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allergy</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with</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regard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conjunctival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nasal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provocation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test</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outcome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specific</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immunotherapy</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are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lacking</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date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Objective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assess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whether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molecular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allergy</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diagnostics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grass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pollen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allergens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could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help</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with</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predicting</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provocation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test</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outcomes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serve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basis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future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component</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resolved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specific</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immunotherapy</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Methods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Sera</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C72046">
              <w:rPr>
                <w:rFonts w:ascii="Times New Roman" w:eastAsia="Calibri" w:hAnsi="Times New Roman" w:cs="Times New Roman"/>
              </w:rPr>
              <w:instrText xml:space="preserve"> 101 </w:instrText>
            </w:r>
            <w:r w:rsidR="006B2D4C">
              <w:rPr>
                <w:rFonts w:ascii="Times New Roman" w:eastAsia="Calibri" w:hAnsi="Times New Roman" w:cs="Times New Roman"/>
                <w:lang w:val="en-US"/>
              </w:rPr>
              <w:instrText>adults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with</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grass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pollen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allergy</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was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analysed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IgE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against</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timothy</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grass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pollen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Phleum</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pratense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rPhl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w:instrText>
            </w:r>
            <w:r w:rsidR="006B2D4C" w:rsidRPr="00C72046">
              <w:rPr>
                <w:rFonts w:ascii="Times New Roman" w:eastAsia="Calibri" w:hAnsi="Times New Roman" w:cs="Times New Roman"/>
              </w:rPr>
              <w:instrText xml:space="preserve"> 1, </w:instrText>
            </w:r>
            <w:r w:rsidR="006B2D4C">
              <w:rPr>
                <w:rFonts w:ascii="Times New Roman" w:eastAsia="Calibri" w:hAnsi="Times New Roman" w:cs="Times New Roman"/>
                <w:lang w:val="en-US"/>
              </w:rPr>
              <w:instrText>rPhl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w:instrText>
            </w:r>
            <w:r w:rsidR="006B2D4C" w:rsidRPr="00C72046">
              <w:rPr>
                <w:rFonts w:ascii="Times New Roman" w:eastAsia="Calibri" w:hAnsi="Times New Roman" w:cs="Times New Roman"/>
              </w:rPr>
              <w:instrText xml:space="preserve"> 2, </w:instrText>
            </w:r>
            <w:r w:rsidR="006B2D4C">
              <w:rPr>
                <w:rFonts w:ascii="Times New Roman" w:eastAsia="Calibri" w:hAnsi="Times New Roman" w:cs="Times New Roman"/>
                <w:lang w:val="en-US"/>
              </w:rPr>
              <w:instrText>nPhl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w:instrText>
            </w:r>
            <w:r w:rsidR="006B2D4C" w:rsidRPr="00C72046">
              <w:rPr>
                <w:rFonts w:ascii="Times New Roman" w:eastAsia="Calibri" w:hAnsi="Times New Roman" w:cs="Times New Roman"/>
              </w:rPr>
              <w:instrText xml:space="preserve"> 4, </w:instrText>
            </w:r>
            <w:r w:rsidR="006B2D4C">
              <w:rPr>
                <w:rFonts w:ascii="Times New Roman" w:eastAsia="Calibri" w:hAnsi="Times New Roman" w:cs="Times New Roman"/>
                <w:lang w:val="en-US"/>
              </w:rPr>
              <w:instrText>rPhl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w:instrText>
            </w:r>
            <w:r w:rsidR="006B2D4C" w:rsidRPr="00C72046">
              <w:rPr>
                <w:rFonts w:ascii="Times New Roman" w:eastAsia="Calibri" w:hAnsi="Times New Roman" w:cs="Times New Roman"/>
              </w:rPr>
              <w:instrText xml:space="preserve"> 5</w:instrText>
            </w:r>
            <w:r w:rsidR="006B2D4C">
              <w:rPr>
                <w:rFonts w:ascii="Times New Roman" w:eastAsia="Calibri" w:hAnsi="Times New Roman" w:cs="Times New Roman"/>
                <w:lang w:val="en-US"/>
              </w:rPr>
              <w:instrText>b</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rPhl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w:instrText>
            </w:r>
            <w:r w:rsidR="006B2D4C" w:rsidRPr="00C72046">
              <w:rPr>
                <w:rFonts w:ascii="Times New Roman" w:eastAsia="Calibri" w:hAnsi="Times New Roman" w:cs="Times New Roman"/>
              </w:rPr>
              <w:instrText xml:space="preserve"> 6, </w:instrText>
            </w:r>
            <w:r w:rsidR="006B2D4C">
              <w:rPr>
                <w:rFonts w:ascii="Times New Roman" w:eastAsia="Calibri" w:hAnsi="Times New Roman" w:cs="Times New Roman"/>
                <w:lang w:val="en-US"/>
              </w:rPr>
              <w:instrText>rPhl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w:instrText>
            </w:r>
            <w:r w:rsidR="006B2D4C" w:rsidRPr="00C72046">
              <w:rPr>
                <w:rFonts w:ascii="Times New Roman" w:eastAsia="Calibri" w:hAnsi="Times New Roman" w:cs="Times New Roman"/>
              </w:rPr>
              <w:instrText xml:space="preserve"> 7, </w:instrText>
            </w:r>
            <w:r w:rsidR="006B2D4C">
              <w:rPr>
                <w:rFonts w:ascii="Times New Roman" w:eastAsia="Calibri" w:hAnsi="Times New Roman" w:cs="Times New Roman"/>
                <w:lang w:val="en-US"/>
              </w:rPr>
              <w:instrText>rPhl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w:instrText>
            </w:r>
            <w:r w:rsidR="006B2D4C" w:rsidRPr="00C72046">
              <w:rPr>
                <w:rFonts w:ascii="Times New Roman" w:eastAsia="Calibri" w:hAnsi="Times New Roman" w:cs="Times New Roman"/>
              </w:rPr>
              <w:instrText xml:space="preserve"> 11 </w:instrText>
            </w:r>
            <w:r w:rsidR="006B2D4C">
              <w:rPr>
                <w:rFonts w:ascii="Times New Roman" w:eastAsia="Calibri" w:hAnsi="Times New Roman" w:cs="Times New Roman"/>
                <w:lang w:val="en-US"/>
              </w:rPr>
              <w:instrText>and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rPhl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w:instrText>
            </w:r>
            <w:r w:rsidR="006B2D4C" w:rsidRPr="00C72046">
              <w:rPr>
                <w:rFonts w:ascii="Times New Roman" w:eastAsia="Calibri" w:hAnsi="Times New Roman" w:cs="Times New Roman"/>
              </w:rPr>
              <w:instrText xml:space="preserve">12 </w:instrText>
            </w:r>
            <w:r w:rsidR="006B2D4C">
              <w:rPr>
                <w:rFonts w:ascii="Times New Roman" w:eastAsia="Calibri" w:hAnsi="Times New Roman" w:cs="Times New Roman"/>
                <w:lang w:val="en-US"/>
              </w:rPr>
              <w:instrText>and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correlated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with</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individuals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outcome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nasal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conjunctival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provocation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tests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investigated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regard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potential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component</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resolved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specific</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immunotherapy</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Results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increasing</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number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sensitizations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timothy</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grass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allergens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was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correlated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positive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reaction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conjunctival</w:instrText>
            </w:r>
            <w:r w:rsidR="006B2D4C" w:rsidRPr="00C72046">
              <w:rPr>
                <w:rFonts w:ascii="Times New Roman" w:eastAsia="Calibri" w:hAnsi="Times New Roman" w:cs="Times New Roman"/>
              </w:rPr>
              <w:instrText xml:space="preserve"> (4.9 </w:instrText>
            </w:r>
            <w:r w:rsidR="006B2D4C">
              <w:rPr>
                <w:rFonts w:ascii="Times New Roman" w:eastAsia="Calibri" w:hAnsi="Times New Roman" w:cs="Times New Roman"/>
                <w:lang w:val="en-US"/>
              </w:rPr>
              <w:instrText>vs</w:instrText>
            </w:r>
            <w:r w:rsidR="006B2D4C" w:rsidRPr="00C72046">
              <w:rPr>
                <w:rFonts w:ascii="Times New Roman" w:eastAsia="Calibri" w:hAnsi="Times New Roman" w:cs="Times New Roman"/>
              </w:rPr>
              <w:instrText xml:space="preserve">. 3.6, </w:instrText>
            </w:r>
            <w:r w:rsidR="006B2D4C">
              <w:rPr>
                <w:rFonts w:ascii="Times New Roman" w:eastAsia="Calibri" w:hAnsi="Times New Roman" w:cs="Times New Roman"/>
                <w:lang w:val="en-US"/>
              </w:rPr>
              <w:instrText>P</w:instrText>
            </w:r>
            <w:r w:rsidR="006B2D4C" w:rsidRPr="00C72046">
              <w:rPr>
                <w:rFonts w:ascii="Times New Roman" w:eastAsia="Calibri" w:hAnsi="Times New Roman" w:cs="Times New Roman"/>
              </w:rPr>
              <w:instrText xml:space="preserve"> = 0.003) </w:instrText>
            </w:r>
            <w:r w:rsidR="006B2D4C">
              <w:rPr>
                <w:rFonts w:ascii="Times New Roman" w:eastAsia="Calibri" w:hAnsi="Times New Roman" w:cs="Times New Roman"/>
                <w:lang w:val="en-US"/>
              </w:rPr>
              <w:instrText>and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nasal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provocation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tests</w:instrText>
            </w:r>
            <w:r w:rsidR="006B2D4C" w:rsidRPr="00C72046">
              <w:rPr>
                <w:rFonts w:ascii="Times New Roman" w:eastAsia="Calibri" w:hAnsi="Times New Roman" w:cs="Times New Roman"/>
              </w:rPr>
              <w:instrText xml:space="preserve"> (4.5 </w:instrText>
            </w:r>
            <w:r w:rsidR="006B2D4C">
              <w:rPr>
                <w:rFonts w:ascii="Times New Roman" w:eastAsia="Calibri" w:hAnsi="Times New Roman" w:cs="Times New Roman"/>
                <w:lang w:val="en-US"/>
              </w:rPr>
              <w:instrText>vs</w:instrText>
            </w:r>
            <w:r w:rsidR="006B2D4C" w:rsidRPr="00C72046">
              <w:rPr>
                <w:rFonts w:ascii="Times New Roman" w:eastAsia="Calibri" w:hAnsi="Times New Roman" w:cs="Times New Roman"/>
              </w:rPr>
              <w:instrText xml:space="preserve">. 2.2, </w:instrText>
            </w:r>
            <w:r w:rsidR="006B2D4C">
              <w:rPr>
                <w:rFonts w:ascii="Times New Roman" w:eastAsia="Calibri" w:hAnsi="Times New Roman" w:cs="Times New Roman"/>
                <w:lang w:val="en-US"/>
              </w:rPr>
              <w:instrText>P</w:instrText>
            </w:r>
            <w:r w:rsidR="006B2D4C" w:rsidRPr="00C72046">
              <w:rPr>
                <w:rFonts w:ascii="Times New Roman" w:eastAsia="Calibri" w:hAnsi="Times New Roman" w:cs="Times New Roman"/>
              </w:rPr>
              <w:instrText xml:space="preserve"> = 0.0175). </w:instrText>
            </w:r>
            <w:r w:rsidR="006B2D4C">
              <w:rPr>
                <w:rFonts w:ascii="Times New Roman" w:eastAsia="Calibri" w:hAnsi="Times New Roman" w:cs="Times New Roman"/>
                <w:lang w:val="en-US"/>
              </w:rPr>
              <w:instrText>In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molecular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sensitization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profiles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substantial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heterogeneity was detected, with none of the patients exactly matching the allergen composition of a previously published component-resolved specific immunotherapy containing Phl p 1, Phl p 2, Phl p 5a/b and Phl p 6. The results indicate that in 95% of the patients, a proportion of 50% of timothy-IgE would be targeted with such a specific immunotherapy, while in 50% and 10% of patients, 80% and 90% of timothy-IgE would be targeted, respectively. Conclusion and Clinical Relevance: Molecular allergy diagnostics is a prerequisite for future component-resolved specific immunotherapy due to the high heterogeneity of sensitization profiles. However, of current clinical relevance is the observed correlation between the number of sensitizations and provocation test outcome. © 2014 John Wiley &amp; Sons Ltd.","author":[{"dropping-particle":"","family":"Darsow","given":"U.","non-dropping-particle":"","parse-names":false,"suffix":""},{"dropping-particle":"","family":"Brockow","given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K</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Pfab</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Jakob</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T</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Petersson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J</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Borres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M</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Ring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J</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Behrendt</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H</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Huss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Marp</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J</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container</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title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Clinical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Experimental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id</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ITEM</w:instrText>
            </w:r>
            <w:r w:rsidR="006B2D4C" w:rsidRPr="005150E3">
              <w:rPr>
                <w:rFonts w:ascii="Times New Roman" w:eastAsia="Calibri" w:hAnsi="Times New Roman" w:cs="Times New Roman"/>
              </w:rPr>
              <w:instrText>-1","</w:instrText>
            </w:r>
            <w:r w:rsidR="006B2D4C">
              <w:rPr>
                <w:rFonts w:ascii="Times New Roman" w:eastAsia="Calibri" w:hAnsi="Times New Roman" w:cs="Times New Roman"/>
                <w:lang w:val="en-US"/>
              </w:rPr>
              <w:instrText>issue</w:instrText>
            </w:r>
            <w:r w:rsidR="006B2D4C" w:rsidRPr="005150E3">
              <w:rPr>
                <w:rFonts w:ascii="Times New Roman" w:eastAsia="Calibri" w:hAnsi="Times New Roman" w:cs="Times New Roman"/>
              </w:rPr>
              <w:instrText>":"5","</w:instrText>
            </w:r>
            <w:r w:rsidR="006B2D4C">
              <w:rPr>
                <w:rFonts w:ascii="Times New Roman" w:eastAsia="Calibri" w:hAnsi="Times New Roman" w:cs="Times New Roman"/>
                <w:lang w:val="en-US"/>
              </w:rPr>
              <w:instrText>issued</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date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parts</w:instrText>
            </w:r>
            <w:r w:rsidR="006B2D4C" w:rsidRPr="005150E3">
              <w:rPr>
                <w:rFonts w:ascii="Times New Roman" w:eastAsia="Calibri" w:hAnsi="Times New Roman" w:cs="Times New Roman"/>
              </w:rPr>
              <w:instrText>":[["2014"]]},"</w:instrText>
            </w:r>
            <w:r w:rsidR="006B2D4C">
              <w:rPr>
                <w:rFonts w:ascii="Times New Roman" w:eastAsia="Calibri" w:hAnsi="Times New Roman" w:cs="Times New Roman"/>
                <w:lang w:val="en-US"/>
              </w:rPr>
              <w:instrText>page</w:instrText>
            </w:r>
            <w:r w:rsidR="006B2D4C" w:rsidRPr="005150E3">
              <w:rPr>
                <w:rFonts w:ascii="Times New Roman" w:eastAsia="Calibri" w:hAnsi="Times New Roman" w:cs="Times New Roman"/>
              </w:rPr>
              <w:instrText>":"778-786","</w:instrText>
            </w:r>
            <w:r w:rsidR="006B2D4C">
              <w:rPr>
                <w:rFonts w:ascii="Times New Roman" w:eastAsia="Calibri" w:hAnsi="Times New Roman" w:cs="Times New Roman"/>
                <w:lang w:val="en-US"/>
              </w:rPr>
              <w:instrText>title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Heterogeneity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molecular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sensitization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profiles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grass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pollen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allergy</w:instrText>
            </w:r>
            <w:r w:rsidR="006B2D4C" w:rsidRPr="005150E3">
              <w:rPr>
                <w:rFonts w:ascii="Times New Roman" w:eastAsia="Calibri" w:hAnsi="Times New Roman" w:cs="Times New Roman"/>
              </w:rPr>
              <w:instrText xml:space="preserve"> - </w:instrText>
            </w:r>
            <w:r w:rsidR="006B2D4C">
              <w:rPr>
                <w:rFonts w:ascii="Times New Roman" w:eastAsia="Calibri" w:hAnsi="Times New Roman" w:cs="Times New Roman"/>
                <w:lang w:val="en-US"/>
              </w:rPr>
              <w:instrText>implications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immunotherapy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type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journal</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volume</w:instrText>
            </w:r>
            <w:r w:rsidR="006B2D4C" w:rsidRPr="005150E3">
              <w:rPr>
                <w:rFonts w:ascii="Times New Roman" w:eastAsia="Calibri" w:hAnsi="Times New Roman" w:cs="Times New Roman"/>
              </w:rPr>
              <w:instrText>":"44"},"</w:instrText>
            </w:r>
            <w:r w:rsidR="006B2D4C">
              <w:rPr>
                <w:rFonts w:ascii="Times New Roman" w:eastAsia="Calibri" w:hAnsi="Times New Roman" w:cs="Times New Roman"/>
                <w:lang w:val="en-US"/>
              </w:rPr>
              <w:instrText>uris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http</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www</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mendeley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com</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documents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uuid</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a</w:instrText>
            </w:r>
            <w:r w:rsidR="006B2D4C" w:rsidRPr="005150E3">
              <w:rPr>
                <w:rFonts w:ascii="Times New Roman" w:eastAsia="Calibri" w:hAnsi="Times New Roman" w:cs="Times New Roman"/>
              </w:rPr>
              <w:instrText>111</w:instrText>
            </w:r>
            <w:r w:rsidR="006B2D4C">
              <w:rPr>
                <w:rFonts w:ascii="Times New Roman" w:eastAsia="Calibri" w:hAnsi="Times New Roman" w:cs="Times New Roman"/>
                <w:lang w:val="en-US"/>
              </w:rPr>
              <w:instrText>f</w:instrText>
            </w:r>
            <w:r w:rsidR="006B2D4C" w:rsidRPr="005150E3">
              <w:rPr>
                <w:rFonts w:ascii="Times New Roman" w:eastAsia="Calibri" w:hAnsi="Times New Roman" w:cs="Times New Roman"/>
              </w:rPr>
              <w:instrText>5</w:instrText>
            </w:r>
            <w:r w:rsidR="006B2D4C">
              <w:rPr>
                <w:rFonts w:ascii="Times New Roman" w:eastAsia="Calibri" w:hAnsi="Times New Roman" w:cs="Times New Roman"/>
                <w:lang w:val="en-US"/>
              </w:rPr>
              <w:instrText>d</w:instrText>
            </w:r>
            <w:r w:rsidR="006B2D4C" w:rsidRPr="005150E3">
              <w:rPr>
                <w:rFonts w:ascii="Times New Roman" w:eastAsia="Calibri" w:hAnsi="Times New Roman" w:cs="Times New Roman"/>
              </w:rPr>
              <w:instrText>1-</w:instrText>
            </w:r>
            <w:r w:rsidR="006B2D4C">
              <w:rPr>
                <w:rFonts w:ascii="Times New Roman" w:eastAsia="Calibri" w:hAnsi="Times New Roman" w:cs="Times New Roman"/>
                <w:lang w:val="en-US"/>
              </w:rPr>
              <w:instrText>d</w:instrText>
            </w:r>
            <w:r w:rsidR="006B2D4C" w:rsidRPr="005150E3">
              <w:rPr>
                <w:rFonts w:ascii="Times New Roman" w:eastAsia="Calibri" w:hAnsi="Times New Roman" w:cs="Times New Roman"/>
              </w:rPr>
              <w:instrText>419-42</w:instrText>
            </w:r>
            <w:r w:rsidR="006B2D4C">
              <w:rPr>
                <w:rFonts w:ascii="Times New Roman" w:eastAsia="Calibri" w:hAnsi="Times New Roman" w:cs="Times New Roman"/>
                <w:lang w:val="en-US"/>
              </w:rPr>
              <w:instrText>d</w:instrText>
            </w:r>
            <w:r w:rsidR="006B2D4C" w:rsidRPr="005150E3">
              <w:rPr>
                <w:rFonts w:ascii="Times New Roman" w:eastAsia="Calibri" w:hAnsi="Times New Roman" w:cs="Times New Roman"/>
              </w:rPr>
              <w:instrText>7-9</w:instrText>
            </w:r>
            <w:r w:rsidR="006B2D4C">
              <w:rPr>
                <w:rFonts w:ascii="Times New Roman" w:eastAsia="Calibri" w:hAnsi="Times New Roman" w:cs="Times New Roman"/>
                <w:lang w:val="en-US"/>
              </w:rPr>
              <w:instrText>e</w:instrText>
            </w:r>
            <w:r w:rsidR="006B2D4C" w:rsidRPr="005150E3">
              <w:rPr>
                <w:rFonts w:ascii="Times New Roman" w:eastAsia="Calibri" w:hAnsi="Times New Roman" w:cs="Times New Roman"/>
              </w:rPr>
              <w:instrText>90-94382</w:instrText>
            </w:r>
            <w:r w:rsidR="006B2D4C">
              <w:rPr>
                <w:rFonts w:ascii="Times New Roman" w:eastAsia="Calibri" w:hAnsi="Times New Roman" w:cs="Times New Roman"/>
                <w:lang w:val="en-US"/>
              </w:rPr>
              <w:instrText>be</w:instrText>
            </w:r>
            <w:r w:rsidR="006B2D4C" w:rsidRPr="005150E3">
              <w:rPr>
                <w:rFonts w:ascii="Times New Roman" w:eastAsia="Calibri" w:hAnsi="Times New Roman" w:cs="Times New Roman"/>
              </w:rPr>
              <w:instrText>65170"]}],"</w:instrText>
            </w:r>
            <w:r w:rsidR="006B2D4C">
              <w:rPr>
                <w:rFonts w:ascii="Times New Roman" w:eastAsia="Calibri" w:hAnsi="Times New Roman" w:cs="Times New Roman"/>
                <w:lang w:val="en-US"/>
              </w:rPr>
              <w:instrText>mendeley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formattedCitation</w:instrText>
            </w:r>
            <w:r w:rsidR="006B2D4C" w:rsidRPr="005150E3">
              <w:rPr>
                <w:rFonts w:ascii="Times New Roman" w:eastAsia="Calibri" w:hAnsi="Times New Roman" w:cs="Times New Roman"/>
              </w:rPr>
              <w:instrText>":"[161]","</w:instrText>
            </w:r>
            <w:r w:rsidR="006B2D4C">
              <w:rPr>
                <w:rFonts w:ascii="Times New Roman" w:eastAsia="Calibri" w:hAnsi="Times New Roman" w:cs="Times New Roman"/>
                <w:lang w:val="en-US"/>
              </w:rPr>
              <w:instrText>plainTextFormattedCitation</w:instrText>
            </w:r>
            <w:r w:rsidR="006B2D4C" w:rsidRPr="005150E3">
              <w:rPr>
                <w:rFonts w:ascii="Times New Roman" w:eastAsia="Calibri" w:hAnsi="Times New Roman" w:cs="Times New Roman"/>
              </w:rPr>
              <w:instrText>":"[161]","</w:instrText>
            </w:r>
            <w:r w:rsidR="006B2D4C">
              <w:rPr>
                <w:rFonts w:ascii="Times New Roman" w:eastAsia="Calibri" w:hAnsi="Times New Roman" w:cs="Times New Roman"/>
                <w:lang w:val="en-US"/>
              </w:rPr>
              <w:instrText>previouslyFormattedCitation</w:instrText>
            </w:r>
            <w:r w:rsidR="006B2D4C" w:rsidRPr="005150E3">
              <w:rPr>
                <w:rFonts w:ascii="Times New Roman" w:eastAsia="Calibri" w:hAnsi="Times New Roman" w:cs="Times New Roman"/>
              </w:rPr>
              <w:instrText>":"[161]"},"</w:instrText>
            </w:r>
            <w:r w:rsidR="006B2D4C">
              <w:rPr>
                <w:rFonts w:ascii="Times New Roman" w:eastAsia="Calibri" w:hAnsi="Times New Roman" w:cs="Times New Roman"/>
                <w:lang w:val="en-US"/>
              </w:rPr>
              <w:instrText>properties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noteIndex</w:instrText>
            </w:r>
            <w:r w:rsidR="006B2D4C" w:rsidRPr="005150E3">
              <w:rPr>
                <w:rFonts w:ascii="Times New Roman" w:eastAsia="Calibri" w:hAnsi="Times New Roman" w:cs="Times New Roman"/>
              </w:rPr>
              <w:instrText>":0},"</w:instrText>
            </w:r>
            <w:r w:rsidR="006B2D4C">
              <w:rPr>
                <w:rFonts w:ascii="Times New Roman" w:eastAsia="Calibri" w:hAnsi="Times New Roman" w:cs="Times New Roman"/>
                <w:lang w:val="en-US"/>
              </w:rPr>
              <w:instrText>schema</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https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github</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com</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citation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style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language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schema</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raw</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master</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csl</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citation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json</w:instrText>
            </w:r>
            <w:r w:rsidR="006B2D4C" w:rsidRPr="005150E3">
              <w:rPr>
                <w:rFonts w:ascii="Times New Roman" w:eastAsia="Calibri" w:hAnsi="Times New Roman" w:cs="Times New Roman"/>
              </w:rPr>
              <w:instrText>"}</w:instrText>
            </w:r>
            <w:r w:rsidRPr="002D2065">
              <w:rPr>
                <w:rFonts w:ascii="Times New Roman" w:eastAsia="Calibri" w:hAnsi="Times New Roman" w:cs="Times New Roman"/>
                <w:lang w:val="en-US"/>
              </w:rPr>
              <w:fldChar w:fldCharType="separate"/>
            </w:r>
            <w:r w:rsidR="004028FD" w:rsidRPr="004028FD">
              <w:rPr>
                <w:rFonts w:ascii="Times New Roman" w:eastAsia="Calibri" w:hAnsi="Times New Roman" w:cs="Times New Roman"/>
                <w:noProof/>
              </w:rPr>
              <w:t>[161]</w:t>
            </w:r>
            <w:r w:rsidRPr="002D2065">
              <w:rPr>
                <w:rFonts w:ascii="Times New Roman" w:eastAsia="Calibri" w:hAnsi="Times New Roman" w:cs="Times New Roman"/>
                <w:lang w:val="en-US"/>
              </w:rPr>
              <w:fldChar w:fldCharType="end"/>
            </w:r>
          </w:p>
        </w:tc>
        <w:tc>
          <w:tcPr>
            <w:tcW w:w="992" w:type="dxa"/>
            <w:shd w:val="clear" w:color="auto" w:fill="auto"/>
          </w:tcPr>
          <w:p w14:paraId="512B6783"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&gt;18 лет</w:t>
            </w:r>
          </w:p>
        </w:tc>
        <w:tc>
          <w:tcPr>
            <w:tcW w:w="851" w:type="dxa"/>
            <w:shd w:val="clear" w:color="auto" w:fill="auto"/>
          </w:tcPr>
          <w:p w14:paraId="092EE097"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101</w:t>
            </w:r>
          </w:p>
        </w:tc>
        <w:tc>
          <w:tcPr>
            <w:tcW w:w="1984" w:type="dxa"/>
            <w:shd w:val="clear" w:color="auto" w:fill="auto"/>
          </w:tcPr>
          <w:p w14:paraId="666AA5B8" w14:textId="77777777" w:rsidR="00437528" w:rsidRPr="00437528" w:rsidRDefault="00437528" w:rsidP="003D198D">
            <w:pPr>
              <w:spacing w:after="0" w:line="240" w:lineRule="auto"/>
              <w:rPr>
                <w:rFonts w:ascii="Times New Roman" w:eastAsia="Calibri" w:hAnsi="Times New Roman" w:cs="Times New Roman"/>
              </w:rPr>
            </w:pPr>
            <w:r w:rsidRPr="00437528">
              <w:rPr>
                <w:rFonts w:ascii="Times New Roman" w:eastAsia="Calibri" w:hAnsi="Times New Roman" w:cs="Times New Roman"/>
              </w:rPr>
              <w:t>Аллергический риноконъюнктивит</w:t>
            </w:r>
          </w:p>
        </w:tc>
        <w:tc>
          <w:tcPr>
            <w:tcW w:w="1701" w:type="dxa"/>
            <w:shd w:val="clear" w:color="auto" w:fill="auto"/>
          </w:tcPr>
          <w:p w14:paraId="24646BC5"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Германия</w:t>
            </w:r>
          </w:p>
        </w:tc>
        <w:tc>
          <w:tcPr>
            <w:tcW w:w="6095" w:type="dxa"/>
            <w:shd w:val="clear" w:color="auto" w:fill="auto"/>
          </w:tcPr>
          <w:p w14:paraId="3B873BEF" w14:textId="77777777" w:rsidR="00437528" w:rsidRPr="00437528" w:rsidRDefault="00437528" w:rsidP="003D198D">
            <w:pPr>
              <w:spacing w:line="240" w:lineRule="auto"/>
              <w:jc w:val="both"/>
              <w:rPr>
                <w:rFonts w:ascii="Times New Roman" w:eastAsia="Calibri" w:hAnsi="Times New Roman" w:cs="Times New Roman"/>
              </w:rPr>
            </w:pPr>
            <w:r w:rsidRPr="00437528">
              <w:rPr>
                <w:rFonts w:ascii="Times New Roman" w:eastAsia="Calibri" w:hAnsi="Times New Roman" w:cs="Times New Roman"/>
              </w:rPr>
              <w:t xml:space="preserve">Наблюдалась значительная гетерогенность профилей молекулярной сенсибилизации. Ни один из пациентов точно не соответствовал аллергенному составу предыдущей специфической иммунотерапии, содержащей </w:t>
            </w:r>
            <w:r w:rsidRPr="00437528">
              <w:rPr>
                <w:rFonts w:ascii="Times New Roman" w:eastAsia="Calibri" w:hAnsi="Times New Roman" w:cs="Times New Roman"/>
                <w:lang w:val="en-US"/>
              </w:rPr>
              <w:t>Phl</w:t>
            </w:r>
            <w:r w:rsidRPr="00437528">
              <w:rPr>
                <w:rFonts w:ascii="Times New Roman" w:eastAsia="Calibri" w:hAnsi="Times New Roman" w:cs="Times New Roman"/>
              </w:rPr>
              <w:t xml:space="preserve"> </w:t>
            </w:r>
            <w:r w:rsidRPr="00437528">
              <w:rPr>
                <w:rFonts w:ascii="Times New Roman" w:eastAsia="Calibri" w:hAnsi="Times New Roman" w:cs="Times New Roman"/>
                <w:lang w:val="en-US"/>
              </w:rPr>
              <w:t>p</w:t>
            </w:r>
            <w:r w:rsidRPr="00437528">
              <w:rPr>
                <w:rFonts w:ascii="Times New Roman" w:eastAsia="Calibri" w:hAnsi="Times New Roman" w:cs="Times New Roman"/>
              </w:rPr>
              <w:t xml:space="preserve"> 1, </w:t>
            </w:r>
            <w:r w:rsidRPr="00437528">
              <w:rPr>
                <w:rFonts w:ascii="Times New Roman" w:eastAsia="Calibri" w:hAnsi="Times New Roman" w:cs="Times New Roman"/>
                <w:lang w:val="en-US"/>
              </w:rPr>
              <w:t>Phl</w:t>
            </w:r>
            <w:r w:rsidRPr="00437528">
              <w:rPr>
                <w:rFonts w:ascii="Times New Roman" w:eastAsia="Calibri" w:hAnsi="Times New Roman" w:cs="Times New Roman"/>
              </w:rPr>
              <w:t xml:space="preserve"> </w:t>
            </w:r>
            <w:r w:rsidRPr="00437528">
              <w:rPr>
                <w:rFonts w:ascii="Times New Roman" w:eastAsia="Calibri" w:hAnsi="Times New Roman" w:cs="Times New Roman"/>
                <w:lang w:val="en-US"/>
              </w:rPr>
              <w:t>p</w:t>
            </w:r>
            <w:r w:rsidRPr="00437528">
              <w:rPr>
                <w:rFonts w:ascii="Times New Roman" w:eastAsia="Calibri" w:hAnsi="Times New Roman" w:cs="Times New Roman"/>
              </w:rPr>
              <w:t xml:space="preserve"> 2, </w:t>
            </w:r>
            <w:r w:rsidRPr="00437528">
              <w:rPr>
                <w:rFonts w:ascii="Times New Roman" w:eastAsia="Calibri" w:hAnsi="Times New Roman" w:cs="Times New Roman"/>
                <w:lang w:val="en-US"/>
              </w:rPr>
              <w:t>Phl</w:t>
            </w:r>
            <w:r w:rsidRPr="00437528">
              <w:rPr>
                <w:rFonts w:ascii="Times New Roman" w:eastAsia="Calibri" w:hAnsi="Times New Roman" w:cs="Times New Roman"/>
              </w:rPr>
              <w:t xml:space="preserve"> </w:t>
            </w:r>
            <w:r w:rsidRPr="00437528">
              <w:rPr>
                <w:rFonts w:ascii="Times New Roman" w:eastAsia="Calibri" w:hAnsi="Times New Roman" w:cs="Times New Roman"/>
                <w:lang w:val="en-US"/>
              </w:rPr>
              <w:t>p</w:t>
            </w:r>
            <w:r w:rsidRPr="00437528">
              <w:rPr>
                <w:rFonts w:ascii="Times New Roman" w:eastAsia="Calibri" w:hAnsi="Times New Roman" w:cs="Times New Roman"/>
              </w:rPr>
              <w:t xml:space="preserve"> 5</w:t>
            </w:r>
            <w:r w:rsidRPr="00437528">
              <w:rPr>
                <w:rFonts w:ascii="Times New Roman" w:eastAsia="Calibri" w:hAnsi="Times New Roman" w:cs="Times New Roman"/>
                <w:lang w:val="en-US"/>
              </w:rPr>
              <w:t>a</w:t>
            </w:r>
            <w:r w:rsidRPr="00437528">
              <w:rPr>
                <w:rFonts w:ascii="Times New Roman" w:eastAsia="Calibri" w:hAnsi="Times New Roman" w:cs="Times New Roman"/>
              </w:rPr>
              <w:t>/</w:t>
            </w:r>
            <w:r w:rsidRPr="00437528">
              <w:rPr>
                <w:rFonts w:ascii="Times New Roman" w:eastAsia="Calibri" w:hAnsi="Times New Roman" w:cs="Times New Roman"/>
                <w:lang w:val="en-US"/>
              </w:rPr>
              <w:t>b</w:t>
            </w:r>
            <w:r w:rsidRPr="00437528">
              <w:rPr>
                <w:rFonts w:ascii="Times New Roman" w:eastAsia="Calibri" w:hAnsi="Times New Roman" w:cs="Times New Roman"/>
              </w:rPr>
              <w:t xml:space="preserve"> и </w:t>
            </w:r>
            <w:r w:rsidRPr="00437528">
              <w:rPr>
                <w:rFonts w:ascii="Times New Roman" w:eastAsia="Calibri" w:hAnsi="Times New Roman" w:cs="Times New Roman"/>
                <w:lang w:val="en-US"/>
              </w:rPr>
              <w:t>Phl</w:t>
            </w:r>
            <w:r w:rsidRPr="00437528">
              <w:rPr>
                <w:rFonts w:ascii="Times New Roman" w:eastAsia="Calibri" w:hAnsi="Times New Roman" w:cs="Times New Roman"/>
              </w:rPr>
              <w:t xml:space="preserve"> </w:t>
            </w:r>
            <w:r w:rsidRPr="00437528">
              <w:rPr>
                <w:rFonts w:ascii="Times New Roman" w:eastAsia="Calibri" w:hAnsi="Times New Roman" w:cs="Times New Roman"/>
                <w:lang w:val="en-US"/>
              </w:rPr>
              <w:t>p</w:t>
            </w:r>
            <w:r w:rsidRPr="00437528">
              <w:rPr>
                <w:rFonts w:ascii="Times New Roman" w:eastAsia="Calibri" w:hAnsi="Times New Roman" w:cs="Times New Roman"/>
              </w:rPr>
              <w:t xml:space="preserve"> 6, выбор которых был основан на конъюнктивальных и назальных провокационных тестах.</w:t>
            </w:r>
          </w:p>
        </w:tc>
        <w:tc>
          <w:tcPr>
            <w:tcW w:w="1702" w:type="dxa"/>
          </w:tcPr>
          <w:p w14:paraId="4E1311B8" w14:textId="77777777" w:rsidR="00437528" w:rsidRPr="00437528" w:rsidRDefault="00437528" w:rsidP="003D198D">
            <w:pPr>
              <w:spacing w:line="240" w:lineRule="auto"/>
              <w:jc w:val="center"/>
              <w:rPr>
                <w:rFonts w:ascii="Times New Roman" w:eastAsia="Calibri" w:hAnsi="Times New Roman" w:cs="Times New Roman"/>
              </w:rPr>
            </w:pPr>
            <w:r w:rsidRPr="00437528">
              <w:rPr>
                <w:rFonts w:ascii="Times New Roman" w:eastAsia="Calibri" w:hAnsi="Times New Roman" w:cs="Times New Roman"/>
              </w:rPr>
              <w:t>4</w:t>
            </w:r>
          </w:p>
        </w:tc>
      </w:tr>
      <w:tr w:rsidR="00437528" w:rsidRPr="00437528" w14:paraId="7F7A2249" w14:textId="77777777" w:rsidTr="009F65CA">
        <w:tc>
          <w:tcPr>
            <w:tcW w:w="1390" w:type="dxa"/>
            <w:shd w:val="clear" w:color="auto" w:fill="auto"/>
          </w:tcPr>
          <w:p w14:paraId="0B745CF2" w14:textId="15CE1CE6" w:rsidR="00437528" w:rsidRPr="002D2065" w:rsidRDefault="00F34529" w:rsidP="003D198D">
            <w:pPr>
              <w:spacing w:line="240" w:lineRule="auto"/>
              <w:rPr>
                <w:rFonts w:ascii="Times New Roman" w:eastAsia="Calibri" w:hAnsi="Times New Roman" w:cs="Times New Roman"/>
              </w:rPr>
            </w:pPr>
            <w:hyperlink r:id="rId16" w:history="1">
              <w:r w:rsidR="00437528" w:rsidRPr="002D2065">
                <w:rPr>
                  <w:rFonts w:ascii="Times New Roman" w:eastAsia="Calibri" w:hAnsi="Times New Roman" w:cs="Times New Roman"/>
                  <w:shd w:val="clear" w:color="auto" w:fill="FFFFFF"/>
                  <w:lang w:val="en-US"/>
                </w:rPr>
                <w:t>Schmid</w:t>
              </w:r>
            </w:hyperlink>
            <w:r w:rsidR="00437528" w:rsidRPr="002D2065">
              <w:rPr>
                <w:rFonts w:ascii="Times New Roman" w:eastAsia="Calibri" w:hAnsi="Times New Roman" w:cs="Times New Roman"/>
                <w:shd w:val="clear" w:color="auto" w:fill="FFFFFF"/>
              </w:rPr>
              <w:t>,</w:t>
            </w:r>
            <w:r w:rsidR="00437528" w:rsidRPr="002D2065">
              <w:rPr>
                <w:rFonts w:ascii="Times New Roman" w:eastAsia="Calibri" w:hAnsi="Times New Roman" w:cs="Times New Roman"/>
              </w:rPr>
              <w:t xml:space="preserve"> 2016 </w:t>
            </w:r>
            <w:r w:rsidR="00437528" w:rsidRPr="002D2065">
              <w:rPr>
                <w:rFonts w:ascii="Times New Roman" w:eastAsia="Calibri" w:hAnsi="Times New Roman" w:cs="Times New Roman"/>
                <w:lang w:val="en-US"/>
              </w:rPr>
              <w:fldChar w:fldCharType="begin" w:fldLock="1"/>
            </w:r>
            <w:r w:rsidR="006B2D4C">
              <w:rPr>
                <w:rFonts w:ascii="Times New Roman" w:eastAsia="Calibri" w:hAnsi="Times New Roman" w:cs="Times New Roman"/>
                <w:lang w:val="en-US"/>
              </w:rPr>
              <w:instrText>ADDIN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CSL</w:instrText>
            </w:r>
            <w:r w:rsidR="006B2D4C" w:rsidRPr="005150E3">
              <w:rPr>
                <w:rFonts w:ascii="Times New Roman" w:eastAsia="Calibri" w:hAnsi="Times New Roman" w:cs="Times New Roman"/>
              </w:rPr>
              <w:instrText>_</w:instrText>
            </w:r>
            <w:r w:rsidR="006B2D4C">
              <w:rPr>
                <w:rFonts w:ascii="Times New Roman" w:eastAsia="Calibri" w:hAnsi="Times New Roman" w:cs="Times New Roman"/>
                <w:lang w:val="en-US"/>
              </w:rPr>
              <w:instrText>CITATION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citationItems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id</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ITEM</w:instrText>
            </w:r>
            <w:r w:rsidR="006B2D4C" w:rsidRPr="005150E3">
              <w:rPr>
                <w:rFonts w:ascii="Times New Roman" w:eastAsia="Calibri" w:hAnsi="Times New Roman" w:cs="Times New Roman"/>
              </w:rPr>
              <w:instrText>-1","</w:instrText>
            </w:r>
            <w:r w:rsidR="006B2D4C">
              <w:rPr>
                <w:rFonts w:ascii="Times New Roman" w:eastAsia="Calibri" w:hAnsi="Times New Roman" w:cs="Times New Roman"/>
                <w:lang w:val="en-US"/>
              </w:rPr>
              <w:instrText>itemData</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DOI</w:instrText>
            </w:r>
            <w:r w:rsidR="006B2D4C" w:rsidRPr="005150E3">
              <w:rPr>
                <w:rFonts w:ascii="Times New Roman" w:eastAsia="Calibri" w:hAnsi="Times New Roman" w:cs="Times New Roman"/>
              </w:rPr>
              <w:instrText>":"10.1016/</w:instrText>
            </w:r>
            <w:r w:rsidR="006B2D4C">
              <w:rPr>
                <w:rFonts w:ascii="Times New Roman" w:eastAsia="Calibri" w:hAnsi="Times New Roman" w:cs="Times New Roman"/>
                <w:lang w:val="en-US"/>
              </w:rPr>
              <w:instrText>j</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jaci</w:instrText>
            </w:r>
            <w:r w:rsidR="006B2D4C" w:rsidRPr="005150E3">
              <w:rPr>
                <w:rFonts w:ascii="Times New Roman" w:eastAsia="Calibri" w:hAnsi="Times New Roman" w:cs="Times New Roman"/>
              </w:rPr>
              <w:instrText>.2015.05.023","</w:instrText>
            </w:r>
            <w:r w:rsidR="006B2D4C">
              <w:rPr>
                <w:rFonts w:ascii="Times New Roman" w:eastAsia="Calibri" w:hAnsi="Times New Roman" w:cs="Times New Roman"/>
                <w:lang w:val="en-US"/>
              </w:rPr>
              <w:instrText>ISSN</w:instrText>
            </w:r>
            <w:r w:rsidR="006B2D4C" w:rsidRPr="005150E3">
              <w:rPr>
                <w:rFonts w:ascii="Times New Roman" w:eastAsia="Calibri" w:hAnsi="Times New Roman" w:cs="Times New Roman"/>
              </w:rPr>
              <w:instrText>":"10976825","</w:instrText>
            </w:r>
            <w:r w:rsidR="006B2D4C">
              <w:rPr>
                <w:rFonts w:ascii="Times New Roman" w:eastAsia="Calibri" w:hAnsi="Times New Roman" w:cs="Times New Roman"/>
                <w:lang w:val="en-US"/>
              </w:rPr>
              <w:instrText>PMID</w:instrText>
            </w:r>
            <w:r w:rsidR="006B2D4C" w:rsidRPr="005150E3">
              <w:rPr>
                <w:rFonts w:ascii="Times New Roman" w:eastAsia="Calibri" w:hAnsi="Times New Roman" w:cs="Times New Roman"/>
              </w:rPr>
              <w:instrText>":"26141262","</w:instrText>
            </w:r>
            <w:r w:rsidR="006B2D4C">
              <w:rPr>
                <w:rFonts w:ascii="Times New Roman" w:eastAsia="Calibri" w:hAnsi="Times New Roman" w:cs="Times New Roman"/>
                <w:lang w:val="en-US"/>
              </w:rPr>
              <w:instrText>abstract</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Background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Allergen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immunotherapy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effective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treatment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allergic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rhinoconjunctivitis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Clinical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efficacy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associated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with</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improvement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basophil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sensitivity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increase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specific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immunoglobulin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concentration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Objective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sought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determine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whether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changes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allergen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component</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specific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serum</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IgE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IgG</w:instrText>
            </w:r>
            <w:r w:rsidR="006B2D4C" w:rsidRPr="005150E3">
              <w:rPr>
                <w:rFonts w:ascii="Times New Roman" w:eastAsia="Calibri" w:hAnsi="Times New Roman" w:cs="Times New Roman"/>
              </w:rPr>
              <w:instrText xml:space="preserve">4 </w:instrText>
            </w:r>
            <w:r w:rsidR="006B2D4C">
              <w:rPr>
                <w:rFonts w:ascii="Times New Roman" w:eastAsia="Calibri" w:hAnsi="Times New Roman" w:cs="Times New Roman"/>
                <w:lang w:val="en-US"/>
              </w:rPr>
              <w:instrText>levels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during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updosing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phase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subcutaneous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immunotherapy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SCIT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are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biomarkers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immunologic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changes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that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can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lead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treatment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efficacy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Methods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Twenty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four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subjects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with</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grass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pollen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induced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allergic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rhinoconjunctivitis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were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randomized</w:instrText>
            </w:r>
            <w:r w:rsidR="006B2D4C" w:rsidRPr="005150E3">
              <w:rPr>
                <w:rFonts w:ascii="Times New Roman" w:eastAsia="Calibri" w:hAnsi="Times New Roman" w:cs="Times New Roman"/>
              </w:rPr>
              <w:instrText xml:space="preserve"> 3:1 </w:instrText>
            </w:r>
            <w:r w:rsidR="006B2D4C">
              <w:rPr>
                <w:rFonts w:ascii="Times New Roman" w:eastAsia="Calibri" w:hAnsi="Times New Roman" w:cs="Times New Roman"/>
                <w:lang w:val="en-US"/>
              </w:rPr>
              <w:instrText>to</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receive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SCIT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Alutard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SQ</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open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control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group</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IgE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IgG</w:instrText>
            </w:r>
            <w:r w:rsidR="006B2D4C" w:rsidRPr="005150E3">
              <w:rPr>
                <w:rFonts w:ascii="Times New Roman" w:eastAsia="Calibri" w:hAnsi="Times New Roman" w:cs="Times New Roman"/>
              </w:rPr>
              <w:instrText xml:space="preserve">4 </w:instrText>
            </w:r>
            <w:r w:rsidR="006B2D4C">
              <w:rPr>
                <w:rFonts w:ascii="Times New Roman" w:eastAsia="Calibri" w:hAnsi="Times New Roman" w:cs="Times New Roman"/>
                <w:lang w:val="en-US"/>
              </w:rPr>
              <w:instrText>concentrations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were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determined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major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allergens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Phl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w:instrText>
            </w:r>
            <w:r w:rsidR="006B2D4C" w:rsidRPr="005150E3">
              <w:rPr>
                <w:rFonts w:ascii="Times New Roman" w:eastAsia="Calibri" w:hAnsi="Times New Roman" w:cs="Times New Roman"/>
              </w:rPr>
              <w:instrText xml:space="preserve"> 1 </w:instrText>
            </w:r>
            <w:r w:rsidR="006B2D4C">
              <w:rPr>
                <w:rFonts w:ascii="Times New Roman" w:eastAsia="Calibri" w:hAnsi="Times New Roman" w:cs="Times New Roman"/>
                <w:lang w:val="en-US"/>
              </w:rPr>
              <w:instrText>or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Phl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w:instrText>
            </w:r>
            <w:r w:rsidR="006B2D4C" w:rsidRPr="005150E3">
              <w:rPr>
                <w:rFonts w:ascii="Times New Roman" w:eastAsia="Calibri" w:hAnsi="Times New Roman" w:cs="Times New Roman"/>
              </w:rPr>
              <w:instrText xml:space="preserve"> 5 </w:instrText>
            </w:r>
            <w:r w:rsidR="006B2D4C">
              <w:rPr>
                <w:rFonts w:ascii="Times New Roman" w:eastAsia="Calibri" w:hAnsi="Times New Roman" w:cs="Times New Roman"/>
                <w:lang w:val="en-US"/>
              </w:rPr>
              <w:instrText>by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using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ImmunoCAP</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for</w:instrText>
            </w:r>
            <w:r w:rsidR="006B2D4C" w:rsidRPr="005150E3">
              <w:rPr>
                <w:rFonts w:ascii="Times New Roman" w:eastAsia="Calibri" w:hAnsi="Times New Roman" w:cs="Times New Roman"/>
              </w:rPr>
              <w:instrText xml:space="preserve"> 8 </w:instrText>
            </w:r>
            <w:r w:rsidR="006B2D4C">
              <w:rPr>
                <w:rFonts w:ascii="Times New Roman" w:eastAsia="Calibri" w:hAnsi="Times New Roman" w:cs="Times New Roman"/>
                <w:lang w:val="en-US"/>
              </w:rPr>
              <w:instrText>grass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pollen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molecules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by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using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Immuno</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Solid</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phase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Chip</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ISAC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before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treatment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after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updosing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Results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Levels of specific IgE against the dominant major allergens Phl p 1 and Phl p 5 increased from a mean of 23.0 to 48.8 kU/L (P =.01, n = 18) during the updosing phase in ImmunoCAP measurements but decreased from a median of 4.6 ISAC specific units (ISU) to 2.14 ISU (P &lt;.0001, n = 102) when measured by using ISAC against 8 grass allergen components. The updosing phase induced a specific IgG4 level increase from a median of 0 ISU before treatment to 0.83 ISU after 12 weeks (P &lt;.0001, n = 102) but only for allergen molecules to which pretreatment-specific IgE antibodies were detected (Spearman σ = 0.72, P &lt;.0001, n = 102). Conclusion Pretreatment allergen component-specific IgE appears to determine the induction of IgG4 in the updosing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phase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Induced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IgG</w:instrText>
            </w:r>
            <w:r w:rsidR="006B2D4C" w:rsidRPr="005150E3">
              <w:rPr>
                <w:rFonts w:ascii="Times New Roman" w:eastAsia="Calibri" w:hAnsi="Times New Roman" w:cs="Times New Roman"/>
              </w:rPr>
              <w:instrText xml:space="preserve">4 </w:instrText>
            </w:r>
            <w:r w:rsidR="006B2D4C">
              <w:rPr>
                <w:rFonts w:ascii="Times New Roman" w:eastAsia="Calibri" w:hAnsi="Times New Roman" w:cs="Times New Roman"/>
                <w:lang w:val="en-US"/>
              </w:rPr>
              <w:instrText>seems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suppress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IgE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levels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ISAC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resulting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marked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decrease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ISAC</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measured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specific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IgE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levels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after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updosing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SCIT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Thus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this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decrease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ISAC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IgE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levels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can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be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used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monitor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blocking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effect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specific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immunotherapy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induced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non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IgE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antibodies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author</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Schmid</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Johannes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Martin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W</w:instrText>
            </w:r>
            <w:r w:rsidR="006B2D4C" w:rsidRPr="005150E3">
              <w:rPr>
                <w:rFonts w:ascii="Times New Roman" w:eastAsia="Calibri" w:hAnsi="Times New Roman" w:cs="Times New Roman"/>
              </w:rPr>
              <w:instrText>ü</w:instrText>
            </w:r>
            <w:r w:rsidR="006B2D4C">
              <w:rPr>
                <w:rFonts w:ascii="Times New Roman" w:eastAsia="Calibri" w:hAnsi="Times New Roman" w:cs="Times New Roman"/>
                <w:lang w:val="en-US"/>
              </w:rPr>
              <w:instrText>rtzen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Peter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Adler</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Dahl</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Ronald</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Hoffmann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Hans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J</w:instrText>
            </w:r>
            <w:r w:rsidR="006B2D4C" w:rsidRPr="005150E3">
              <w:rPr>
                <w:rFonts w:ascii="Times New Roman" w:eastAsia="Calibri" w:hAnsi="Times New Roman" w:cs="Times New Roman"/>
              </w:rPr>
              <w:instrText>ü</w:instrText>
            </w:r>
            <w:r w:rsidR="006B2D4C">
              <w:rPr>
                <w:rFonts w:ascii="Times New Roman" w:eastAsia="Calibri" w:hAnsi="Times New Roman" w:cs="Times New Roman"/>
                <w:lang w:val="en-US"/>
              </w:rPr>
              <w:instrText>rgen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container</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title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Journal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Clinical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Immunology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id</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ITEM</w:instrText>
            </w:r>
            <w:r w:rsidR="006B2D4C" w:rsidRPr="005150E3">
              <w:rPr>
                <w:rFonts w:ascii="Times New Roman" w:eastAsia="Calibri" w:hAnsi="Times New Roman" w:cs="Times New Roman"/>
              </w:rPr>
              <w:instrText>-1","</w:instrText>
            </w:r>
            <w:r w:rsidR="006B2D4C">
              <w:rPr>
                <w:rFonts w:ascii="Times New Roman" w:eastAsia="Calibri" w:hAnsi="Times New Roman" w:cs="Times New Roman"/>
                <w:lang w:val="en-US"/>
              </w:rPr>
              <w:instrText>issue</w:instrText>
            </w:r>
            <w:r w:rsidR="006B2D4C" w:rsidRPr="005150E3">
              <w:rPr>
                <w:rFonts w:ascii="Times New Roman" w:eastAsia="Calibri" w:hAnsi="Times New Roman" w:cs="Times New Roman"/>
              </w:rPr>
              <w:instrText>":"2","</w:instrText>
            </w:r>
            <w:r w:rsidR="006B2D4C">
              <w:rPr>
                <w:rFonts w:ascii="Times New Roman" w:eastAsia="Calibri" w:hAnsi="Times New Roman" w:cs="Times New Roman"/>
                <w:lang w:val="en-US"/>
              </w:rPr>
              <w:instrText>issued</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date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parts</w:instrText>
            </w:r>
            <w:r w:rsidR="006B2D4C" w:rsidRPr="005150E3">
              <w:rPr>
                <w:rFonts w:ascii="Times New Roman" w:eastAsia="Calibri" w:hAnsi="Times New Roman" w:cs="Times New Roman"/>
              </w:rPr>
              <w:instrText>":[["2016"]]},"</w:instrText>
            </w:r>
            <w:r w:rsidR="006B2D4C">
              <w:rPr>
                <w:rFonts w:ascii="Times New Roman" w:eastAsia="Calibri" w:hAnsi="Times New Roman" w:cs="Times New Roman"/>
                <w:lang w:val="en-US"/>
              </w:rPr>
              <w:instrText>page</w:instrText>
            </w:r>
            <w:r w:rsidR="006B2D4C" w:rsidRPr="005150E3">
              <w:rPr>
                <w:rFonts w:ascii="Times New Roman" w:eastAsia="Calibri" w:hAnsi="Times New Roman" w:cs="Times New Roman"/>
              </w:rPr>
              <w:instrText>":"562-570","</w:instrText>
            </w:r>
            <w:r w:rsidR="006B2D4C">
              <w:rPr>
                <w:rFonts w:ascii="Times New Roman" w:eastAsia="Calibri" w:hAnsi="Times New Roman" w:cs="Times New Roman"/>
                <w:lang w:val="en-US"/>
              </w:rPr>
              <w:instrText>title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Pretreatment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IgE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sensitization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patterns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determine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molecular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profile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IgG</w:instrText>
            </w:r>
            <w:r w:rsidR="006B2D4C" w:rsidRPr="005150E3">
              <w:rPr>
                <w:rFonts w:ascii="Times New Roman" w:eastAsia="Calibri" w:hAnsi="Times New Roman" w:cs="Times New Roman"/>
              </w:rPr>
              <w:instrText xml:space="preserve">4 </w:instrText>
            </w:r>
            <w:r w:rsidR="006B2D4C">
              <w:rPr>
                <w:rFonts w:ascii="Times New Roman" w:eastAsia="Calibri" w:hAnsi="Times New Roman" w:cs="Times New Roman"/>
                <w:lang w:val="en-US"/>
              </w:rPr>
              <w:instrText>response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during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updosing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subcutaneous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immunotherapy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with</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timothy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grass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pollen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extract</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type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article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journal</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volume</w:instrText>
            </w:r>
            <w:r w:rsidR="006B2D4C" w:rsidRPr="005150E3">
              <w:rPr>
                <w:rFonts w:ascii="Times New Roman" w:eastAsia="Calibri" w:hAnsi="Times New Roman" w:cs="Times New Roman"/>
              </w:rPr>
              <w:instrText>":"137"},"</w:instrText>
            </w:r>
            <w:r w:rsidR="006B2D4C">
              <w:rPr>
                <w:rFonts w:ascii="Times New Roman" w:eastAsia="Calibri" w:hAnsi="Times New Roman" w:cs="Times New Roman"/>
                <w:lang w:val="en-US"/>
              </w:rPr>
              <w:instrText>uris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http</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www</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mendeley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com</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documents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uuid</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cf</w:instrText>
            </w:r>
            <w:r w:rsidR="006B2D4C" w:rsidRPr="005150E3">
              <w:rPr>
                <w:rFonts w:ascii="Times New Roman" w:eastAsia="Calibri" w:hAnsi="Times New Roman" w:cs="Times New Roman"/>
              </w:rPr>
              <w:instrText>97</w:instrText>
            </w:r>
            <w:r w:rsidR="006B2D4C">
              <w:rPr>
                <w:rFonts w:ascii="Times New Roman" w:eastAsia="Calibri" w:hAnsi="Times New Roman" w:cs="Times New Roman"/>
                <w:lang w:val="en-US"/>
              </w:rPr>
              <w:instrText>cfc</w:instrText>
            </w:r>
            <w:r w:rsidR="006B2D4C" w:rsidRPr="005150E3">
              <w:rPr>
                <w:rFonts w:ascii="Times New Roman" w:eastAsia="Calibri" w:hAnsi="Times New Roman" w:cs="Times New Roman"/>
              </w:rPr>
              <w:instrText>1-5377-4452-8316-</w:instrText>
            </w:r>
            <w:r w:rsidR="006B2D4C">
              <w:rPr>
                <w:rFonts w:ascii="Times New Roman" w:eastAsia="Calibri" w:hAnsi="Times New Roman" w:cs="Times New Roman"/>
                <w:lang w:val="en-US"/>
              </w:rPr>
              <w:instrText>d</w:instrText>
            </w:r>
            <w:r w:rsidR="006B2D4C" w:rsidRPr="005150E3">
              <w:rPr>
                <w:rFonts w:ascii="Times New Roman" w:eastAsia="Calibri" w:hAnsi="Times New Roman" w:cs="Times New Roman"/>
              </w:rPr>
              <w:instrText>1946725203</w:instrText>
            </w:r>
            <w:r w:rsidR="006B2D4C">
              <w:rPr>
                <w:rFonts w:ascii="Times New Roman" w:eastAsia="Calibri" w:hAnsi="Times New Roman" w:cs="Times New Roman"/>
                <w:lang w:val="en-US"/>
              </w:rPr>
              <w:instrText>f</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mendeley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formattedCitation</w:instrText>
            </w:r>
            <w:r w:rsidR="006B2D4C" w:rsidRPr="005150E3">
              <w:rPr>
                <w:rFonts w:ascii="Times New Roman" w:eastAsia="Calibri" w:hAnsi="Times New Roman" w:cs="Times New Roman"/>
              </w:rPr>
              <w:instrText>":"[162]","</w:instrText>
            </w:r>
            <w:r w:rsidR="006B2D4C">
              <w:rPr>
                <w:rFonts w:ascii="Times New Roman" w:eastAsia="Calibri" w:hAnsi="Times New Roman" w:cs="Times New Roman"/>
                <w:lang w:val="en-US"/>
              </w:rPr>
              <w:instrText>plainTextFormattedCitation</w:instrText>
            </w:r>
            <w:r w:rsidR="006B2D4C" w:rsidRPr="005150E3">
              <w:rPr>
                <w:rFonts w:ascii="Times New Roman" w:eastAsia="Calibri" w:hAnsi="Times New Roman" w:cs="Times New Roman"/>
              </w:rPr>
              <w:instrText>":"[162]","</w:instrText>
            </w:r>
            <w:r w:rsidR="006B2D4C">
              <w:rPr>
                <w:rFonts w:ascii="Times New Roman" w:eastAsia="Calibri" w:hAnsi="Times New Roman" w:cs="Times New Roman"/>
                <w:lang w:val="en-US"/>
              </w:rPr>
              <w:instrText>previouslyFormattedCitation</w:instrText>
            </w:r>
            <w:r w:rsidR="006B2D4C" w:rsidRPr="005150E3">
              <w:rPr>
                <w:rFonts w:ascii="Times New Roman" w:eastAsia="Calibri" w:hAnsi="Times New Roman" w:cs="Times New Roman"/>
              </w:rPr>
              <w:instrText>":"[162]"},"</w:instrText>
            </w:r>
            <w:r w:rsidR="006B2D4C">
              <w:rPr>
                <w:rFonts w:ascii="Times New Roman" w:eastAsia="Calibri" w:hAnsi="Times New Roman" w:cs="Times New Roman"/>
                <w:lang w:val="en-US"/>
              </w:rPr>
              <w:instrText>properties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noteIndex</w:instrText>
            </w:r>
            <w:r w:rsidR="006B2D4C" w:rsidRPr="005150E3">
              <w:rPr>
                <w:rFonts w:ascii="Times New Roman" w:eastAsia="Calibri" w:hAnsi="Times New Roman" w:cs="Times New Roman"/>
              </w:rPr>
              <w:instrText>":0},"</w:instrText>
            </w:r>
            <w:r w:rsidR="006B2D4C">
              <w:rPr>
                <w:rFonts w:ascii="Times New Roman" w:eastAsia="Calibri" w:hAnsi="Times New Roman" w:cs="Times New Roman"/>
                <w:lang w:val="en-US"/>
              </w:rPr>
              <w:instrText>schema</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https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github</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com</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citation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style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language</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schema</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raw</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master</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csl</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citation</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json</w:instrText>
            </w:r>
            <w:r w:rsidR="006B2D4C" w:rsidRPr="005150E3">
              <w:rPr>
                <w:rFonts w:ascii="Times New Roman" w:eastAsia="Calibri" w:hAnsi="Times New Roman" w:cs="Times New Roman"/>
              </w:rPr>
              <w:instrText>"}</w:instrText>
            </w:r>
            <w:r w:rsidR="00437528" w:rsidRPr="002D2065">
              <w:rPr>
                <w:rFonts w:ascii="Times New Roman" w:eastAsia="Calibri" w:hAnsi="Times New Roman" w:cs="Times New Roman"/>
                <w:lang w:val="en-US"/>
              </w:rPr>
              <w:fldChar w:fldCharType="separate"/>
            </w:r>
            <w:r w:rsidR="004028FD" w:rsidRPr="004028FD">
              <w:rPr>
                <w:rFonts w:ascii="Times New Roman" w:eastAsia="Calibri" w:hAnsi="Times New Roman" w:cs="Times New Roman"/>
                <w:noProof/>
              </w:rPr>
              <w:t>[162]</w:t>
            </w:r>
            <w:r w:rsidR="00437528" w:rsidRPr="002D2065">
              <w:rPr>
                <w:rFonts w:ascii="Times New Roman" w:eastAsia="Calibri" w:hAnsi="Times New Roman" w:cs="Times New Roman"/>
                <w:lang w:val="en-US"/>
              </w:rPr>
              <w:fldChar w:fldCharType="end"/>
            </w:r>
          </w:p>
        </w:tc>
        <w:tc>
          <w:tcPr>
            <w:tcW w:w="992" w:type="dxa"/>
            <w:shd w:val="clear" w:color="auto" w:fill="auto"/>
          </w:tcPr>
          <w:p w14:paraId="0A1E566E"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Все возрасты</w:t>
            </w:r>
          </w:p>
        </w:tc>
        <w:tc>
          <w:tcPr>
            <w:tcW w:w="851" w:type="dxa"/>
            <w:shd w:val="clear" w:color="auto" w:fill="auto"/>
          </w:tcPr>
          <w:p w14:paraId="48E67B60"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24</w:t>
            </w:r>
          </w:p>
        </w:tc>
        <w:tc>
          <w:tcPr>
            <w:tcW w:w="1984" w:type="dxa"/>
            <w:shd w:val="clear" w:color="auto" w:fill="auto"/>
          </w:tcPr>
          <w:p w14:paraId="4D17DB4E"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shd w:val="clear" w:color="auto" w:fill="FFFFFF"/>
              </w:rPr>
              <w:t>Сезонный риноконъюнктивит</w:t>
            </w:r>
          </w:p>
        </w:tc>
        <w:tc>
          <w:tcPr>
            <w:tcW w:w="1701" w:type="dxa"/>
            <w:shd w:val="clear" w:color="auto" w:fill="auto"/>
          </w:tcPr>
          <w:p w14:paraId="2745197A"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Дания</w:t>
            </w:r>
          </w:p>
        </w:tc>
        <w:tc>
          <w:tcPr>
            <w:tcW w:w="6095" w:type="dxa"/>
            <w:shd w:val="clear" w:color="auto" w:fill="auto"/>
          </w:tcPr>
          <w:p w14:paraId="20EF2481" w14:textId="77777777" w:rsidR="00437528" w:rsidRPr="00437528" w:rsidRDefault="00437528" w:rsidP="003D198D">
            <w:pPr>
              <w:spacing w:line="240" w:lineRule="auto"/>
              <w:jc w:val="both"/>
              <w:rPr>
                <w:rFonts w:ascii="Times New Roman" w:eastAsia="Calibri" w:hAnsi="Times New Roman" w:cs="Times New Roman"/>
                <w:shd w:val="clear" w:color="auto" w:fill="FFFFFF"/>
              </w:rPr>
            </w:pPr>
            <w:r w:rsidRPr="00437528">
              <w:rPr>
                <w:rFonts w:ascii="Times New Roman" w:eastAsia="Calibri" w:hAnsi="Times New Roman" w:cs="Times New Roman"/>
                <w:shd w:val="clear" w:color="auto" w:fill="FFFFFF"/>
              </w:rPr>
              <w:t xml:space="preserve">МАД предлагает индивидуальный подход к АСИТ. Изменение уровней </w:t>
            </w:r>
            <w:r w:rsidRPr="00437528">
              <w:rPr>
                <w:rFonts w:ascii="Times New Roman" w:eastAsia="Calibri" w:hAnsi="Times New Roman" w:cs="Times New Roman"/>
                <w:shd w:val="clear" w:color="auto" w:fill="FFFFFF"/>
                <w:lang w:val="en-US"/>
              </w:rPr>
              <w:t>IgE</w:t>
            </w:r>
            <w:r w:rsidRPr="00437528">
              <w:rPr>
                <w:rFonts w:ascii="Times New Roman" w:eastAsia="Calibri" w:hAnsi="Times New Roman" w:cs="Times New Roman"/>
                <w:shd w:val="clear" w:color="auto" w:fill="FFFFFF"/>
              </w:rPr>
              <w:t xml:space="preserve"> и </w:t>
            </w:r>
            <w:r w:rsidRPr="00437528">
              <w:rPr>
                <w:rFonts w:ascii="Times New Roman" w:eastAsia="Calibri" w:hAnsi="Times New Roman" w:cs="Times New Roman"/>
                <w:shd w:val="clear" w:color="auto" w:fill="FFFFFF"/>
                <w:lang w:val="en-US"/>
              </w:rPr>
              <w:t>IgG</w:t>
            </w:r>
            <w:r w:rsidRPr="00437528">
              <w:rPr>
                <w:rFonts w:ascii="Times New Roman" w:eastAsia="Calibri" w:hAnsi="Times New Roman" w:cs="Times New Roman"/>
                <w:shd w:val="clear" w:color="auto" w:fill="FFFFFF"/>
              </w:rPr>
              <w:t>4 может быть использовано в качестве раннего биомаркера эффективности АСИТ.</w:t>
            </w:r>
          </w:p>
        </w:tc>
        <w:tc>
          <w:tcPr>
            <w:tcW w:w="1702" w:type="dxa"/>
          </w:tcPr>
          <w:p w14:paraId="115831C6" w14:textId="77777777" w:rsidR="00437528" w:rsidRPr="00437528" w:rsidRDefault="00437528" w:rsidP="003D198D">
            <w:pPr>
              <w:spacing w:line="240" w:lineRule="auto"/>
              <w:jc w:val="center"/>
              <w:rPr>
                <w:rFonts w:ascii="Times New Roman" w:eastAsia="Calibri" w:hAnsi="Times New Roman" w:cs="Times New Roman"/>
                <w:shd w:val="clear" w:color="auto" w:fill="FFFFFF"/>
              </w:rPr>
            </w:pPr>
            <w:r w:rsidRPr="00437528">
              <w:rPr>
                <w:rFonts w:ascii="Times New Roman" w:eastAsia="Calibri" w:hAnsi="Times New Roman" w:cs="Times New Roman"/>
                <w:shd w:val="clear" w:color="auto" w:fill="FFFFFF"/>
              </w:rPr>
              <w:t>7</w:t>
            </w:r>
          </w:p>
        </w:tc>
      </w:tr>
      <w:tr w:rsidR="00437528" w:rsidRPr="00437528" w14:paraId="2BEB2D82" w14:textId="77777777" w:rsidTr="009F65CA">
        <w:tc>
          <w:tcPr>
            <w:tcW w:w="1390" w:type="dxa"/>
            <w:shd w:val="clear" w:color="auto" w:fill="auto"/>
          </w:tcPr>
          <w:p w14:paraId="0B8254EA" w14:textId="3535375F" w:rsidR="00437528" w:rsidRPr="002D2065" w:rsidRDefault="00437528" w:rsidP="003D198D">
            <w:pPr>
              <w:spacing w:line="240" w:lineRule="auto"/>
              <w:rPr>
                <w:rFonts w:ascii="Times New Roman" w:eastAsia="Calibri" w:hAnsi="Times New Roman" w:cs="Times New Roman"/>
              </w:rPr>
            </w:pPr>
            <w:r w:rsidRPr="002D2065">
              <w:rPr>
                <w:rFonts w:ascii="Times New Roman" w:eastAsia="Calibri" w:hAnsi="Times New Roman" w:cs="Times New Roman"/>
                <w:lang w:val="en-US"/>
              </w:rPr>
              <w:t>Luo</w:t>
            </w:r>
            <w:r w:rsidRPr="002D2065">
              <w:rPr>
                <w:rFonts w:ascii="Times New Roman" w:eastAsia="Calibri" w:hAnsi="Times New Roman" w:cs="Times New Roman"/>
              </w:rPr>
              <w:t xml:space="preserve">, 2017 </w:t>
            </w:r>
            <w:r w:rsidRPr="002D2065">
              <w:rPr>
                <w:rFonts w:ascii="Times New Roman" w:eastAsia="Calibri" w:hAnsi="Times New Roman" w:cs="Times New Roman"/>
              </w:rPr>
              <w:fldChar w:fldCharType="begin" w:fldLock="1"/>
            </w:r>
            <w:r w:rsidR="006B2D4C">
              <w:rPr>
                <w:rFonts w:ascii="Times New Roman" w:eastAsia="Calibri" w:hAnsi="Times New Roman" w:cs="Times New Roman"/>
                <w:lang w:val="en-US"/>
              </w:rPr>
              <w:instrText>ADDIN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CSL</w:instrText>
            </w:r>
            <w:r w:rsidR="006B2D4C" w:rsidRPr="005150E3">
              <w:rPr>
                <w:rFonts w:ascii="Times New Roman" w:eastAsia="Calibri" w:hAnsi="Times New Roman" w:cs="Times New Roman"/>
              </w:rPr>
              <w:instrText>_</w:instrText>
            </w:r>
            <w:r w:rsidR="006B2D4C">
              <w:rPr>
                <w:rFonts w:ascii="Times New Roman" w:eastAsia="Calibri" w:hAnsi="Times New Roman" w:cs="Times New Roman"/>
                <w:lang w:val="en-US"/>
              </w:rPr>
              <w:instrText>CITATION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citationItems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id</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ITEM</w:instrText>
            </w:r>
            <w:r w:rsidR="006B2D4C" w:rsidRPr="005150E3">
              <w:rPr>
                <w:rFonts w:ascii="Times New Roman" w:eastAsia="Calibri" w:hAnsi="Times New Roman" w:cs="Times New Roman"/>
              </w:rPr>
              <w:instrText>-1","</w:instrText>
            </w:r>
            <w:r w:rsidR="006B2D4C">
              <w:rPr>
                <w:rFonts w:ascii="Times New Roman" w:eastAsia="Calibri" w:hAnsi="Times New Roman" w:cs="Times New Roman"/>
                <w:lang w:val="en-US"/>
              </w:rPr>
              <w:instrText>itemData</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DOI</w:instrText>
            </w:r>
            <w:r w:rsidR="006B2D4C" w:rsidRPr="005150E3">
              <w:rPr>
                <w:rFonts w:ascii="Times New Roman" w:eastAsia="Calibri" w:hAnsi="Times New Roman" w:cs="Times New Roman"/>
              </w:rPr>
              <w:instrText>":"10.3791/55723","</w:instrText>
            </w:r>
            <w:r w:rsidR="006B2D4C">
              <w:rPr>
                <w:rFonts w:ascii="Times New Roman" w:eastAsia="Calibri" w:hAnsi="Times New Roman" w:cs="Times New Roman"/>
                <w:lang w:val="en-US"/>
              </w:rPr>
              <w:instrText>ISSN</w:instrText>
            </w:r>
            <w:r w:rsidR="006B2D4C" w:rsidRPr="005150E3">
              <w:rPr>
                <w:rFonts w:ascii="Times New Roman" w:eastAsia="Calibri" w:hAnsi="Times New Roman" w:cs="Times New Roman"/>
              </w:rPr>
              <w:instrText>":"1940087</w:instrText>
            </w:r>
            <w:r w:rsidR="006B2D4C">
              <w:rPr>
                <w:rFonts w:ascii="Times New Roman" w:eastAsia="Calibri" w:hAnsi="Times New Roman" w:cs="Times New Roman"/>
                <w:lang w:val="en-US"/>
              </w:rPr>
              <w:instrText>X</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PMID</w:instrText>
            </w:r>
            <w:r w:rsidR="006B2D4C" w:rsidRPr="005150E3">
              <w:rPr>
                <w:rFonts w:ascii="Times New Roman" w:eastAsia="Calibri" w:hAnsi="Times New Roman" w:cs="Times New Roman"/>
              </w:rPr>
              <w:instrText>":"28605372","</w:instrText>
            </w:r>
            <w:r w:rsidR="006B2D4C">
              <w:rPr>
                <w:rFonts w:ascii="Times New Roman" w:eastAsia="Calibri" w:hAnsi="Times New Roman" w:cs="Times New Roman"/>
                <w:lang w:val="en-US"/>
              </w:rPr>
              <w:instrText>abstract</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Sensitization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grass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pollen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imposes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global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risk</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allergic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airway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diseases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Although</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prevention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relies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local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investigation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pollen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allergens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data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this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topic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are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limited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southern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China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available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data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were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obtained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by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self</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report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questionnaires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skin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prick</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tests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total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specific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IgE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tests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using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crude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extracts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many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reasons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these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methods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are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unreliable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Serum</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sIgE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reactivity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Bermuda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grass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Timothy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grass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Humulus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scandens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allergens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cohort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patients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from</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Greater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Guangzhou</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southern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China</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largest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city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its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outskirts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with</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allergic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rhinitis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or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asthma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were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examined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using</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fully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automated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immunoassay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analyzer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component</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resolved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diagnostics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CRD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tool</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first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time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considerably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high</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prevalence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Bermuda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grass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sIgE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positivity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was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demonstrated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Chinese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southerners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with</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allergic</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rhinitis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or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asthma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these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patients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subtle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prevalence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sensitization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Timothy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grass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Humulus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scandens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was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also</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noted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which</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may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arise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from</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cross</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reactivity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latter</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two</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are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not</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common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region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This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was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also</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supported</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by</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detection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allergen</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components</w:instrText>
            </w:r>
            <w:r w:rsidR="006B2D4C" w:rsidRPr="005150E3">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Fully</w:instrText>
            </w:r>
            <w:r w:rsidR="006B2D4C" w:rsidRPr="005150E3">
              <w:rPr>
                <w:rFonts w:ascii="Times New Roman" w:eastAsia="Calibri" w:hAnsi="Times New Roman" w:cs="Times New Roman"/>
              </w:rPr>
              <w:instrText>-</w:instrText>
            </w:r>
            <w:r w:rsidR="006B2D4C">
              <w:rPr>
                <w:rFonts w:ascii="Times New Roman" w:eastAsia="Calibri" w:hAnsi="Times New Roman" w:cs="Times New Roman"/>
                <w:lang w:val="en-US"/>
              </w:rPr>
              <w:instrText>automated immunoassay analyzers may offer satisfactory consistency between regions, laboratories, and institutions and over time. The automaticity of the instrument may enable a standardized detection that would not have been readily revealed before the advent of CRD. This is a study that uses a CRD approach to investigate sensitization to grass pollen allergens in southern China. It adds to current evidence in the literature. Future studies are needed to validate these findings. However, although CRD is a useful tool, the findings made with the fullyautomated immunoassay analyzer should not substitute for other laboratory investigations, clinical evaluations, and physician expertise.","author":[{"dropping-particle":"","family":"Luo","given":"Wenting","non-dropping-particle":"","parse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Guichang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Huang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Huimin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Zheng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Peiyan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Wei</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Nili</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Zhang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Yifei</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Zeng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Guangqiao</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family</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Sun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given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Baoqing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non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dropping</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names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false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suffix</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container</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title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Journal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Visualized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Experiments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id</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ITEM</w:instrText>
            </w:r>
            <w:r w:rsidR="006B2D4C" w:rsidRPr="00C72046">
              <w:rPr>
                <w:rFonts w:ascii="Times New Roman" w:eastAsia="Calibri" w:hAnsi="Times New Roman" w:cs="Times New Roman"/>
              </w:rPr>
              <w:instrText>-1","</w:instrText>
            </w:r>
            <w:r w:rsidR="006B2D4C">
              <w:rPr>
                <w:rFonts w:ascii="Times New Roman" w:eastAsia="Calibri" w:hAnsi="Times New Roman" w:cs="Times New Roman"/>
                <w:lang w:val="en-US"/>
              </w:rPr>
              <w:instrText>issue</w:instrText>
            </w:r>
            <w:r w:rsidR="006B2D4C" w:rsidRPr="00C72046">
              <w:rPr>
                <w:rFonts w:ascii="Times New Roman" w:eastAsia="Calibri" w:hAnsi="Times New Roman" w:cs="Times New Roman"/>
              </w:rPr>
              <w:instrText>":"124","</w:instrText>
            </w:r>
            <w:r w:rsidR="006B2D4C">
              <w:rPr>
                <w:rFonts w:ascii="Times New Roman" w:eastAsia="Calibri" w:hAnsi="Times New Roman" w:cs="Times New Roman"/>
                <w:lang w:val="en-US"/>
              </w:rPr>
              <w:instrText>issued</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date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parts</w:instrText>
            </w:r>
            <w:r w:rsidR="006B2D4C" w:rsidRPr="00C72046">
              <w:rPr>
                <w:rFonts w:ascii="Times New Roman" w:eastAsia="Calibri" w:hAnsi="Times New Roman" w:cs="Times New Roman"/>
              </w:rPr>
              <w:instrText>":[["2017"]]},"</w:instrText>
            </w:r>
            <w:r w:rsidR="006B2D4C">
              <w:rPr>
                <w:rFonts w:ascii="Times New Roman" w:eastAsia="Calibri" w:hAnsi="Times New Roman" w:cs="Times New Roman"/>
                <w:lang w:val="en-US"/>
              </w:rPr>
              <w:instrText>page</w:instrText>
            </w:r>
            <w:r w:rsidR="006B2D4C" w:rsidRPr="00C72046">
              <w:rPr>
                <w:rFonts w:ascii="Times New Roman" w:eastAsia="Calibri" w:hAnsi="Times New Roman" w:cs="Times New Roman"/>
              </w:rPr>
              <w:instrText>":"1-7","</w:instrText>
            </w:r>
            <w:r w:rsidR="006B2D4C">
              <w:rPr>
                <w:rFonts w:ascii="Times New Roman" w:eastAsia="Calibri" w:hAnsi="Times New Roman" w:cs="Times New Roman"/>
                <w:lang w:val="en-US"/>
              </w:rPr>
              <w:instrText>title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A</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component</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resolved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diagnostic</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approach</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study</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grass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pollen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allergens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chinese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southerners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with</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allergic</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rhinitis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or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asthma</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type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article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journal</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volume</w:instrText>
            </w:r>
            <w:r w:rsidR="006B2D4C" w:rsidRPr="00C72046">
              <w:rPr>
                <w:rFonts w:ascii="Times New Roman" w:eastAsia="Calibri" w:hAnsi="Times New Roman" w:cs="Times New Roman"/>
              </w:rPr>
              <w:instrText>":"2017"},"</w:instrText>
            </w:r>
            <w:r w:rsidR="006B2D4C">
              <w:rPr>
                <w:rFonts w:ascii="Times New Roman" w:eastAsia="Calibri" w:hAnsi="Times New Roman" w:cs="Times New Roman"/>
                <w:lang w:val="en-US"/>
              </w:rPr>
              <w:instrText>uris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http</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www</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mendeley</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com</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documents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uuid</w:instrText>
            </w:r>
            <w:r w:rsidR="006B2D4C" w:rsidRPr="00C72046">
              <w:rPr>
                <w:rFonts w:ascii="Times New Roman" w:eastAsia="Calibri" w:hAnsi="Times New Roman" w:cs="Times New Roman"/>
              </w:rPr>
              <w:instrText>=92</w:instrText>
            </w:r>
            <w:r w:rsidR="006B2D4C">
              <w:rPr>
                <w:rFonts w:ascii="Times New Roman" w:eastAsia="Calibri" w:hAnsi="Times New Roman" w:cs="Times New Roman"/>
                <w:lang w:val="en-US"/>
              </w:rPr>
              <w:instrText>c</w:instrText>
            </w:r>
            <w:r w:rsidR="006B2D4C" w:rsidRPr="00C72046">
              <w:rPr>
                <w:rFonts w:ascii="Times New Roman" w:eastAsia="Calibri" w:hAnsi="Times New Roman" w:cs="Times New Roman"/>
              </w:rPr>
              <w:instrText>6</w:instrText>
            </w:r>
            <w:r w:rsidR="006B2D4C">
              <w:rPr>
                <w:rFonts w:ascii="Times New Roman" w:eastAsia="Calibri" w:hAnsi="Times New Roman" w:cs="Times New Roman"/>
                <w:lang w:val="en-US"/>
              </w:rPr>
              <w:instrText>e</w:instrText>
            </w:r>
            <w:r w:rsidR="006B2D4C" w:rsidRPr="00C72046">
              <w:rPr>
                <w:rFonts w:ascii="Times New Roman" w:eastAsia="Calibri" w:hAnsi="Times New Roman" w:cs="Times New Roman"/>
              </w:rPr>
              <w:instrText>1</w:instrText>
            </w:r>
            <w:r w:rsidR="006B2D4C">
              <w:rPr>
                <w:rFonts w:ascii="Times New Roman" w:eastAsia="Calibri" w:hAnsi="Times New Roman" w:cs="Times New Roman"/>
                <w:lang w:val="en-US"/>
              </w:rPr>
              <w:instrText>dd</w:instrText>
            </w:r>
            <w:r w:rsidR="006B2D4C" w:rsidRPr="00C72046">
              <w:rPr>
                <w:rFonts w:ascii="Times New Roman" w:eastAsia="Calibri" w:hAnsi="Times New Roman" w:cs="Times New Roman"/>
              </w:rPr>
              <w:instrText>-56</w:instrText>
            </w:r>
            <w:r w:rsidR="006B2D4C">
              <w:rPr>
                <w:rFonts w:ascii="Times New Roman" w:eastAsia="Calibri" w:hAnsi="Times New Roman" w:cs="Times New Roman"/>
                <w:lang w:val="en-US"/>
              </w:rPr>
              <w:instrText>d</w:instrText>
            </w:r>
            <w:r w:rsidR="006B2D4C" w:rsidRPr="00C72046">
              <w:rPr>
                <w:rFonts w:ascii="Times New Roman" w:eastAsia="Calibri" w:hAnsi="Times New Roman" w:cs="Times New Roman"/>
              </w:rPr>
              <w:instrText>4-46</w:instrText>
            </w:r>
            <w:r w:rsidR="006B2D4C">
              <w:rPr>
                <w:rFonts w:ascii="Times New Roman" w:eastAsia="Calibri" w:hAnsi="Times New Roman" w:cs="Times New Roman"/>
                <w:lang w:val="en-US"/>
              </w:rPr>
              <w:instrText>ac</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a</w:instrText>
            </w:r>
            <w:r w:rsidR="006B2D4C" w:rsidRPr="00C72046">
              <w:rPr>
                <w:rFonts w:ascii="Times New Roman" w:eastAsia="Calibri" w:hAnsi="Times New Roman" w:cs="Times New Roman"/>
              </w:rPr>
              <w:instrText>4</w:instrText>
            </w:r>
            <w:r w:rsidR="006B2D4C">
              <w:rPr>
                <w:rFonts w:ascii="Times New Roman" w:eastAsia="Calibri" w:hAnsi="Times New Roman" w:cs="Times New Roman"/>
                <w:lang w:val="en-US"/>
              </w:rPr>
              <w:instrText>ba</w:instrText>
            </w:r>
            <w:r w:rsidR="006B2D4C" w:rsidRPr="00C72046">
              <w:rPr>
                <w:rFonts w:ascii="Times New Roman" w:eastAsia="Calibri" w:hAnsi="Times New Roman" w:cs="Times New Roman"/>
              </w:rPr>
              <w:instrText>-4</w:instrText>
            </w:r>
            <w:r w:rsidR="006B2D4C">
              <w:rPr>
                <w:rFonts w:ascii="Times New Roman" w:eastAsia="Calibri" w:hAnsi="Times New Roman" w:cs="Times New Roman"/>
                <w:lang w:val="en-US"/>
              </w:rPr>
              <w:instrText>e</w:instrText>
            </w:r>
            <w:r w:rsidR="006B2D4C" w:rsidRPr="00C72046">
              <w:rPr>
                <w:rFonts w:ascii="Times New Roman" w:eastAsia="Calibri" w:hAnsi="Times New Roman" w:cs="Times New Roman"/>
              </w:rPr>
              <w:instrText>696</w:instrText>
            </w:r>
            <w:r w:rsidR="006B2D4C">
              <w:rPr>
                <w:rFonts w:ascii="Times New Roman" w:eastAsia="Calibri" w:hAnsi="Times New Roman" w:cs="Times New Roman"/>
                <w:lang w:val="en-US"/>
              </w:rPr>
              <w:instrText>b</w:instrText>
            </w:r>
            <w:r w:rsidR="006B2D4C" w:rsidRPr="00C72046">
              <w:rPr>
                <w:rFonts w:ascii="Times New Roman" w:eastAsia="Calibri" w:hAnsi="Times New Roman" w:cs="Times New Roman"/>
              </w:rPr>
              <w:instrText>852</w:instrText>
            </w:r>
            <w:r w:rsidR="006B2D4C">
              <w:rPr>
                <w:rFonts w:ascii="Times New Roman" w:eastAsia="Calibri" w:hAnsi="Times New Roman" w:cs="Times New Roman"/>
                <w:lang w:val="en-US"/>
              </w:rPr>
              <w:instrText>e</w:instrText>
            </w:r>
            <w:r w:rsidR="006B2D4C" w:rsidRPr="00C72046">
              <w:rPr>
                <w:rFonts w:ascii="Times New Roman" w:eastAsia="Calibri" w:hAnsi="Times New Roman" w:cs="Times New Roman"/>
              </w:rPr>
              <w:instrText>5</w:instrText>
            </w:r>
            <w:r w:rsidR="006B2D4C">
              <w:rPr>
                <w:rFonts w:ascii="Times New Roman" w:eastAsia="Calibri" w:hAnsi="Times New Roman" w:cs="Times New Roman"/>
                <w:lang w:val="en-US"/>
              </w:rPr>
              <w:instrText>f</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mendeley</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formattedCitation</w:instrText>
            </w:r>
            <w:r w:rsidR="006B2D4C" w:rsidRPr="00C72046">
              <w:rPr>
                <w:rFonts w:ascii="Times New Roman" w:eastAsia="Calibri" w:hAnsi="Times New Roman" w:cs="Times New Roman"/>
              </w:rPr>
              <w:instrText>":"[163]","</w:instrText>
            </w:r>
            <w:r w:rsidR="006B2D4C">
              <w:rPr>
                <w:rFonts w:ascii="Times New Roman" w:eastAsia="Calibri" w:hAnsi="Times New Roman" w:cs="Times New Roman"/>
                <w:lang w:val="en-US"/>
              </w:rPr>
              <w:instrText>plainTextFormattedCitation</w:instrText>
            </w:r>
            <w:r w:rsidR="006B2D4C" w:rsidRPr="00C72046">
              <w:rPr>
                <w:rFonts w:ascii="Times New Roman" w:eastAsia="Calibri" w:hAnsi="Times New Roman" w:cs="Times New Roman"/>
              </w:rPr>
              <w:instrText>":"[163]","</w:instrText>
            </w:r>
            <w:r w:rsidR="006B2D4C">
              <w:rPr>
                <w:rFonts w:ascii="Times New Roman" w:eastAsia="Calibri" w:hAnsi="Times New Roman" w:cs="Times New Roman"/>
                <w:lang w:val="en-US"/>
              </w:rPr>
              <w:instrText>previouslyFormattedCitation</w:instrText>
            </w:r>
            <w:r w:rsidR="006B2D4C" w:rsidRPr="00C72046">
              <w:rPr>
                <w:rFonts w:ascii="Times New Roman" w:eastAsia="Calibri" w:hAnsi="Times New Roman" w:cs="Times New Roman"/>
              </w:rPr>
              <w:instrText>":"[163]"},"</w:instrText>
            </w:r>
            <w:r w:rsidR="006B2D4C">
              <w:rPr>
                <w:rFonts w:ascii="Times New Roman" w:eastAsia="Calibri" w:hAnsi="Times New Roman" w:cs="Times New Roman"/>
                <w:lang w:val="en-US"/>
              </w:rPr>
              <w:instrText>properties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noteIndex</w:instrText>
            </w:r>
            <w:r w:rsidR="006B2D4C" w:rsidRPr="00C72046">
              <w:rPr>
                <w:rFonts w:ascii="Times New Roman" w:eastAsia="Calibri" w:hAnsi="Times New Roman" w:cs="Times New Roman"/>
              </w:rPr>
              <w:instrText>":0},"</w:instrText>
            </w:r>
            <w:r w:rsidR="006B2D4C">
              <w:rPr>
                <w:rFonts w:ascii="Times New Roman" w:eastAsia="Calibri" w:hAnsi="Times New Roman" w:cs="Times New Roman"/>
                <w:lang w:val="en-US"/>
              </w:rPr>
              <w:instrText>schema</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https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github</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com</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citation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style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language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schema</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raw</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master</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csl</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citation</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json</w:instrText>
            </w:r>
            <w:r w:rsidR="006B2D4C" w:rsidRPr="00C72046">
              <w:rPr>
                <w:rFonts w:ascii="Times New Roman" w:eastAsia="Calibri" w:hAnsi="Times New Roman" w:cs="Times New Roman"/>
              </w:rPr>
              <w:instrText>"}</w:instrText>
            </w:r>
            <w:r w:rsidRPr="002D2065">
              <w:rPr>
                <w:rFonts w:ascii="Times New Roman" w:eastAsia="Calibri" w:hAnsi="Times New Roman" w:cs="Times New Roman"/>
              </w:rPr>
              <w:fldChar w:fldCharType="separate"/>
            </w:r>
            <w:r w:rsidR="004028FD" w:rsidRPr="004028FD">
              <w:rPr>
                <w:rFonts w:ascii="Times New Roman" w:eastAsia="Calibri" w:hAnsi="Times New Roman" w:cs="Times New Roman"/>
                <w:noProof/>
              </w:rPr>
              <w:t>[163]</w:t>
            </w:r>
            <w:r w:rsidRPr="002D2065">
              <w:rPr>
                <w:rFonts w:ascii="Times New Roman" w:eastAsia="Calibri" w:hAnsi="Times New Roman" w:cs="Times New Roman"/>
              </w:rPr>
              <w:fldChar w:fldCharType="end"/>
            </w:r>
          </w:p>
          <w:p w14:paraId="22005B5E" w14:textId="77777777" w:rsidR="00437528" w:rsidRPr="002D2065" w:rsidRDefault="00437528" w:rsidP="003D198D">
            <w:pPr>
              <w:spacing w:line="240" w:lineRule="auto"/>
              <w:rPr>
                <w:rFonts w:ascii="Times New Roman" w:eastAsia="Calibri" w:hAnsi="Times New Roman" w:cs="Times New Roman"/>
              </w:rPr>
            </w:pPr>
          </w:p>
        </w:tc>
        <w:tc>
          <w:tcPr>
            <w:tcW w:w="992" w:type="dxa"/>
            <w:shd w:val="clear" w:color="auto" w:fill="auto"/>
          </w:tcPr>
          <w:p w14:paraId="02BDEE22"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Все возрасты</w:t>
            </w:r>
          </w:p>
        </w:tc>
        <w:tc>
          <w:tcPr>
            <w:tcW w:w="851" w:type="dxa"/>
            <w:shd w:val="clear" w:color="auto" w:fill="auto"/>
          </w:tcPr>
          <w:p w14:paraId="4B653EAE"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346</w:t>
            </w:r>
          </w:p>
          <w:p w14:paraId="06227920" w14:textId="77777777" w:rsidR="00437528" w:rsidRPr="00437528" w:rsidRDefault="00437528" w:rsidP="003D198D">
            <w:pPr>
              <w:spacing w:line="240" w:lineRule="auto"/>
              <w:rPr>
                <w:rFonts w:ascii="Times New Roman" w:eastAsia="Calibri" w:hAnsi="Times New Roman" w:cs="Times New Roman"/>
              </w:rPr>
            </w:pPr>
          </w:p>
          <w:p w14:paraId="738D77EB" w14:textId="77777777" w:rsidR="00437528" w:rsidRPr="00437528" w:rsidRDefault="00437528" w:rsidP="003D198D">
            <w:pPr>
              <w:spacing w:line="240" w:lineRule="auto"/>
              <w:rPr>
                <w:rFonts w:ascii="Times New Roman" w:eastAsia="Calibri" w:hAnsi="Times New Roman" w:cs="Times New Roman"/>
              </w:rPr>
            </w:pPr>
          </w:p>
        </w:tc>
        <w:tc>
          <w:tcPr>
            <w:tcW w:w="1984" w:type="dxa"/>
            <w:shd w:val="clear" w:color="auto" w:fill="auto"/>
          </w:tcPr>
          <w:p w14:paraId="153E7486"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Аллергический ринит и/или астма</w:t>
            </w:r>
          </w:p>
        </w:tc>
        <w:tc>
          <w:tcPr>
            <w:tcW w:w="1701" w:type="dxa"/>
            <w:shd w:val="clear" w:color="auto" w:fill="auto"/>
          </w:tcPr>
          <w:p w14:paraId="1808FFCA"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rPr>
              <w:t>Китай</w:t>
            </w:r>
          </w:p>
        </w:tc>
        <w:tc>
          <w:tcPr>
            <w:tcW w:w="6095" w:type="dxa"/>
            <w:shd w:val="clear" w:color="auto" w:fill="auto"/>
          </w:tcPr>
          <w:p w14:paraId="2C49AA52" w14:textId="77777777" w:rsidR="00437528" w:rsidRPr="00437528" w:rsidRDefault="00437528" w:rsidP="003D198D">
            <w:pPr>
              <w:spacing w:after="0" w:line="240" w:lineRule="auto"/>
              <w:jc w:val="both"/>
              <w:rPr>
                <w:rFonts w:ascii="Times New Roman" w:eastAsia="Calibri" w:hAnsi="Times New Roman" w:cs="Times New Roman"/>
              </w:rPr>
            </w:pPr>
            <w:r w:rsidRPr="00437528">
              <w:rPr>
                <w:rFonts w:ascii="Times New Roman" w:eastAsia="Calibri" w:hAnsi="Times New Roman" w:cs="Times New Roman"/>
              </w:rPr>
              <w:t xml:space="preserve">Только 17,1 % пациентов были сенсибилизированы к мажорным аллергенам </w:t>
            </w:r>
            <w:r w:rsidRPr="00437528">
              <w:rPr>
                <w:rFonts w:ascii="Times New Roman" w:eastAsia="Calibri" w:hAnsi="Times New Roman" w:cs="Times New Roman"/>
                <w:lang w:val="en-US"/>
              </w:rPr>
              <w:t>Phl</w:t>
            </w:r>
            <w:r w:rsidRPr="00437528">
              <w:rPr>
                <w:rFonts w:ascii="Times New Roman" w:eastAsia="Calibri" w:hAnsi="Times New Roman" w:cs="Times New Roman"/>
              </w:rPr>
              <w:t xml:space="preserve"> </w:t>
            </w:r>
            <w:r w:rsidRPr="00437528">
              <w:rPr>
                <w:rFonts w:ascii="Times New Roman" w:eastAsia="Calibri" w:hAnsi="Times New Roman" w:cs="Times New Roman"/>
                <w:lang w:val="en-US"/>
              </w:rPr>
              <w:t>p</w:t>
            </w:r>
            <w:r w:rsidRPr="00437528">
              <w:rPr>
                <w:rFonts w:ascii="Times New Roman" w:eastAsia="Calibri" w:hAnsi="Times New Roman" w:cs="Times New Roman"/>
              </w:rPr>
              <w:t xml:space="preserve">1, </w:t>
            </w:r>
            <w:r w:rsidRPr="00437528">
              <w:rPr>
                <w:rFonts w:ascii="Times New Roman" w:eastAsia="Calibri" w:hAnsi="Times New Roman" w:cs="Times New Roman"/>
                <w:lang w:val="en-US"/>
              </w:rPr>
              <w:t>Phl</w:t>
            </w:r>
            <w:r w:rsidRPr="00437528">
              <w:rPr>
                <w:rFonts w:ascii="Times New Roman" w:eastAsia="Calibri" w:hAnsi="Times New Roman" w:cs="Times New Roman"/>
              </w:rPr>
              <w:t xml:space="preserve"> </w:t>
            </w:r>
            <w:r w:rsidRPr="00437528">
              <w:rPr>
                <w:rFonts w:ascii="Times New Roman" w:eastAsia="Calibri" w:hAnsi="Times New Roman" w:cs="Times New Roman"/>
                <w:lang w:val="en-US"/>
              </w:rPr>
              <w:t>p</w:t>
            </w:r>
            <w:r w:rsidRPr="00437528">
              <w:rPr>
                <w:rFonts w:ascii="Times New Roman" w:eastAsia="Calibri" w:hAnsi="Times New Roman" w:cs="Times New Roman"/>
              </w:rPr>
              <w:t xml:space="preserve">5 и 100,0 % пациентов были сенсибилизированы к перекрестно-реактивному компоненту </w:t>
            </w:r>
            <w:r w:rsidRPr="00437528">
              <w:rPr>
                <w:rFonts w:ascii="Times New Roman" w:eastAsia="Calibri" w:hAnsi="Times New Roman" w:cs="Times New Roman"/>
                <w:lang w:val="en-US"/>
              </w:rPr>
              <w:t>Phl</w:t>
            </w:r>
            <w:r w:rsidRPr="00437528">
              <w:rPr>
                <w:rFonts w:ascii="Times New Roman" w:eastAsia="Calibri" w:hAnsi="Times New Roman" w:cs="Times New Roman"/>
              </w:rPr>
              <w:t xml:space="preserve"> </w:t>
            </w:r>
            <w:r w:rsidRPr="00437528">
              <w:rPr>
                <w:rFonts w:ascii="Times New Roman" w:eastAsia="Calibri" w:hAnsi="Times New Roman" w:cs="Times New Roman"/>
                <w:lang w:val="en-US"/>
              </w:rPr>
              <w:t>p</w:t>
            </w:r>
            <w:r w:rsidRPr="00437528">
              <w:rPr>
                <w:rFonts w:ascii="Times New Roman" w:eastAsia="Calibri" w:hAnsi="Times New Roman" w:cs="Times New Roman"/>
              </w:rPr>
              <w:t>4. Авторы приходят к выводу, что АСИТ показан не всем пациентам с сенсибилизацией к пыльце тимофеевки.</w:t>
            </w:r>
          </w:p>
        </w:tc>
        <w:tc>
          <w:tcPr>
            <w:tcW w:w="1702" w:type="dxa"/>
          </w:tcPr>
          <w:p w14:paraId="2117DFA3" w14:textId="77777777" w:rsidR="00437528" w:rsidRPr="00437528" w:rsidRDefault="00437528" w:rsidP="003D198D">
            <w:pPr>
              <w:spacing w:after="0" w:line="240" w:lineRule="auto"/>
              <w:jc w:val="center"/>
              <w:rPr>
                <w:rFonts w:ascii="Times New Roman" w:eastAsia="Calibri" w:hAnsi="Times New Roman" w:cs="Times New Roman"/>
              </w:rPr>
            </w:pPr>
            <w:r w:rsidRPr="00437528">
              <w:rPr>
                <w:rFonts w:ascii="Times New Roman" w:eastAsia="Calibri" w:hAnsi="Times New Roman" w:cs="Times New Roman"/>
              </w:rPr>
              <w:t>4</w:t>
            </w:r>
          </w:p>
        </w:tc>
      </w:tr>
      <w:tr w:rsidR="00437528" w:rsidRPr="00437528" w14:paraId="48BFDD7F" w14:textId="77777777" w:rsidTr="009F65CA">
        <w:tc>
          <w:tcPr>
            <w:tcW w:w="1390" w:type="dxa"/>
            <w:shd w:val="clear" w:color="auto" w:fill="auto"/>
          </w:tcPr>
          <w:p w14:paraId="783D9E07" w14:textId="0C2CB7BC" w:rsidR="00437528" w:rsidRPr="002D2065" w:rsidRDefault="00437528" w:rsidP="003D198D">
            <w:pPr>
              <w:spacing w:line="240" w:lineRule="auto"/>
              <w:rPr>
                <w:rFonts w:ascii="Times New Roman" w:eastAsia="Calibri" w:hAnsi="Times New Roman" w:cs="Times New Roman"/>
                <w:lang w:val="en-US"/>
              </w:rPr>
            </w:pPr>
            <w:r w:rsidRPr="002D2065">
              <w:rPr>
                <w:rFonts w:ascii="Times New Roman" w:eastAsia="Calibri" w:hAnsi="Times New Roman" w:cs="Times New Roman"/>
                <w:lang w:val="en-US"/>
              </w:rPr>
              <w:t>Mart</w:t>
            </w:r>
            <w:r w:rsidRPr="00877069">
              <w:rPr>
                <w:rFonts w:ascii="Times New Roman" w:eastAsia="Calibri" w:hAnsi="Times New Roman" w:cs="Times New Roman"/>
              </w:rPr>
              <w:t>í</w:t>
            </w:r>
            <w:r w:rsidRPr="002D2065">
              <w:rPr>
                <w:rFonts w:ascii="Times New Roman" w:eastAsia="Calibri" w:hAnsi="Times New Roman" w:cs="Times New Roman"/>
                <w:lang w:val="en-US"/>
              </w:rPr>
              <w:t>nez</w:t>
            </w:r>
            <w:r w:rsidRPr="00877069">
              <w:rPr>
                <w:rFonts w:ascii="Times New Roman" w:eastAsia="Calibri" w:hAnsi="Times New Roman" w:cs="Times New Roman"/>
              </w:rPr>
              <w:t>-</w:t>
            </w:r>
            <w:r w:rsidRPr="002D2065">
              <w:rPr>
                <w:rFonts w:ascii="Times New Roman" w:eastAsia="Calibri" w:hAnsi="Times New Roman" w:cs="Times New Roman"/>
                <w:lang w:val="en-US"/>
              </w:rPr>
              <w:t>Ca</w:t>
            </w:r>
            <w:r w:rsidRPr="00877069">
              <w:rPr>
                <w:rFonts w:ascii="Times New Roman" w:eastAsia="Calibri" w:hAnsi="Times New Roman" w:cs="Times New Roman"/>
              </w:rPr>
              <w:t>ñ</w:t>
            </w:r>
            <w:r w:rsidRPr="002D2065">
              <w:rPr>
                <w:rFonts w:ascii="Times New Roman" w:eastAsia="Calibri" w:hAnsi="Times New Roman" w:cs="Times New Roman"/>
                <w:lang w:val="en-US"/>
              </w:rPr>
              <w:t>avate</w:t>
            </w:r>
            <w:r w:rsidRPr="00877069">
              <w:rPr>
                <w:rFonts w:ascii="Times New Roman" w:eastAsia="Calibri" w:hAnsi="Times New Roman" w:cs="Times New Roman"/>
              </w:rPr>
              <w:t xml:space="preserve"> </w:t>
            </w:r>
            <w:r w:rsidRPr="002D2065">
              <w:rPr>
                <w:rFonts w:ascii="Times New Roman" w:eastAsia="Calibri" w:hAnsi="Times New Roman" w:cs="Times New Roman"/>
                <w:lang w:val="en-US"/>
              </w:rPr>
              <w:t>Burgos</w:t>
            </w:r>
            <w:r w:rsidRPr="00877069">
              <w:rPr>
                <w:rFonts w:ascii="Times New Roman" w:eastAsia="Calibri" w:hAnsi="Times New Roman" w:cs="Times New Roman"/>
              </w:rPr>
              <w:t xml:space="preserve">, 2018 </w:t>
            </w:r>
            <w:r w:rsidRPr="002D2065">
              <w:rPr>
                <w:rFonts w:ascii="Times New Roman" w:eastAsia="Calibri" w:hAnsi="Times New Roman" w:cs="Times New Roman"/>
              </w:rPr>
              <w:fldChar w:fldCharType="begin" w:fldLock="1"/>
            </w:r>
            <w:r w:rsidR="006B2D4C">
              <w:rPr>
                <w:rFonts w:ascii="Times New Roman" w:eastAsia="Calibri" w:hAnsi="Times New Roman" w:cs="Times New Roman"/>
                <w:lang w:val="en-US"/>
              </w:rPr>
              <w:instrText>ADDIN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CSL</w:instrText>
            </w:r>
            <w:r w:rsidR="006B2D4C" w:rsidRPr="00C72046">
              <w:rPr>
                <w:rFonts w:ascii="Times New Roman" w:eastAsia="Calibri" w:hAnsi="Times New Roman" w:cs="Times New Roman"/>
              </w:rPr>
              <w:instrText>_</w:instrText>
            </w:r>
            <w:r w:rsidR="006B2D4C">
              <w:rPr>
                <w:rFonts w:ascii="Times New Roman" w:eastAsia="Calibri" w:hAnsi="Times New Roman" w:cs="Times New Roman"/>
                <w:lang w:val="en-US"/>
              </w:rPr>
              <w:instrText>CITATION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citationItems</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id</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ITEM</w:instrText>
            </w:r>
            <w:r w:rsidR="006B2D4C" w:rsidRPr="00C72046">
              <w:rPr>
                <w:rFonts w:ascii="Times New Roman" w:eastAsia="Calibri" w:hAnsi="Times New Roman" w:cs="Times New Roman"/>
              </w:rPr>
              <w:instrText>-1","</w:instrText>
            </w:r>
            <w:r w:rsidR="006B2D4C">
              <w:rPr>
                <w:rFonts w:ascii="Times New Roman" w:eastAsia="Calibri" w:hAnsi="Times New Roman" w:cs="Times New Roman"/>
                <w:lang w:val="en-US"/>
              </w:rPr>
              <w:instrText>itemData</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DOI</w:instrText>
            </w:r>
            <w:r w:rsidR="006B2D4C" w:rsidRPr="00C72046">
              <w:rPr>
                <w:rFonts w:ascii="Times New Roman" w:eastAsia="Calibri" w:hAnsi="Times New Roman" w:cs="Times New Roman"/>
              </w:rPr>
              <w:instrText>":"10.1111/</w:instrText>
            </w:r>
            <w:r w:rsidR="006B2D4C">
              <w:rPr>
                <w:rFonts w:ascii="Times New Roman" w:eastAsia="Calibri" w:hAnsi="Times New Roman" w:cs="Times New Roman"/>
                <w:lang w:val="en-US"/>
              </w:rPr>
              <w:instrText>ijlh</w:instrText>
            </w:r>
            <w:r w:rsidR="006B2D4C" w:rsidRPr="00C72046">
              <w:rPr>
                <w:rFonts w:ascii="Times New Roman" w:eastAsia="Calibri" w:hAnsi="Times New Roman" w:cs="Times New Roman"/>
              </w:rPr>
              <w:instrText>.12426","</w:instrText>
            </w:r>
            <w:r w:rsidR="006B2D4C">
              <w:rPr>
                <w:rFonts w:ascii="Times New Roman" w:eastAsia="Calibri" w:hAnsi="Times New Roman" w:cs="Times New Roman"/>
                <w:lang w:val="en-US"/>
              </w:rPr>
              <w:instrText>ISSN</w:instrText>
            </w:r>
            <w:r w:rsidR="006B2D4C" w:rsidRPr="00C72046">
              <w:rPr>
                <w:rFonts w:ascii="Times New Roman" w:eastAsia="Calibri" w:hAnsi="Times New Roman" w:cs="Times New Roman"/>
              </w:rPr>
              <w:instrText>":"1751553</w:instrText>
            </w:r>
            <w:r w:rsidR="006B2D4C">
              <w:rPr>
                <w:rFonts w:ascii="Times New Roman" w:eastAsia="Calibri" w:hAnsi="Times New Roman" w:cs="Times New Roman"/>
                <w:lang w:val="en-US"/>
              </w:rPr>
              <w:instrText>X</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PMID</w:instrText>
            </w:r>
            <w:r w:rsidR="006B2D4C" w:rsidRPr="00C72046">
              <w:rPr>
                <w:rFonts w:ascii="Times New Roman" w:eastAsia="Calibri" w:hAnsi="Times New Roman" w:cs="Times New Roman"/>
              </w:rPr>
              <w:instrText>":"26362346","</w:instrText>
            </w:r>
            <w:r w:rsidR="006B2D4C">
              <w:rPr>
                <w:rFonts w:ascii="Times New Roman" w:eastAsia="Calibri" w:hAnsi="Times New Roman" w:cs="Times New Roman"/>
                <w:lang w:val="en-US"/>
              </w:rPr>
              <w:instrText>abstract</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Introduction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dimer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assay</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generally</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evaluated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according</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cutoff</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points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calibrated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VTE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exclusion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used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estimate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individual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risk</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recurrence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after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first</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idiopathic</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event</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venous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thromboembolism</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VTE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Methods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Commercial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dimer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assays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evaluated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according</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predetermined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cutoff</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levels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each</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assay</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specific</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age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lower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subjects</w:instrText>
            </w:r>
            <w:r w:rsidR="006B2D4C" w:rsidRPr="00C72046">
              <w:rPr>
                <w:rFonts w:ascii="Times New Roman" w:eastAsia="Calibri" w:hAnsi="Times New Roman" w:cs="Times New Roman"/>
              </w:rPr>
              <w:instrText xml:space="preserve"> &lt;70 </w:instrText>
            </w:r>
            <w:r w:rsidR="006B2D4C">
              <w:rPr>
                <w:rFonts w:ascii="Times New Roman" w:eastAsia="Calibri" w:hAnsi="Times New Roman" w:cs="Times New Roman"/>
                <w:lang w:val="en-US"/>
              </w:rPr>
              <w:instrText>years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gender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lower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males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were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used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recent</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DULCIS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study</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present</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analysis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compared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results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obtained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DULCIS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with</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those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that</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might</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have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been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had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using</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following</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different</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cutoff</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criteria</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traditional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cutoff</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VTE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exclusion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higher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levels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subjects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aged</w:instrText>
            </w:r>
            <w:r w:rsidR="006B2D4C" w:rsidRPr="00C72046">
              <w:rPr>
                <w:rFonts w:ascii="Times New Roman" w:eastAsia="Calibri" w:hAnsi="Times New Roman" w:cs="Times New Roman"/>
              </w:rPr>
              <w:instrText xml:space="preserve"> ≥60 </w:instrText>
            </w:r>
            <w:r w:rsidR="006B2D4C">
              <w:rPr>
                <w:rFonts w:ascii="Times New Roman" w:eastAsia="Calibri" w:hAnsi="Times New Roman" w:cs="Times New Roman"/>
                <w:lang w:val="en-US"/>
              </w:rPr>
              <w:instrText>years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age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multiplied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by</w:instrText>
            </w:r>
            <w:r w:rsidR="006B2D4C" w:rsidRPr="00C72046">
              <w:rPr>
                <w:rFonts w:ascii="Times New Roman" w:eastAsia="Calibri" w:hAnsi="Times New Roman" w:cs="Times New Roman"/>
              </w:rPr>
              <w:instrText xml:space="preserve"> 10. </w:instrText>
            </w:r>
            <w:r w:rsidR="006B2D4C">
              <w:rPr>
                <w:rFonts w:ascii="Times New Roman" w:eastAsia="Calibri" w:hAnsi="Times New Roman" w:cs="Times New Roman"/>
                <w:lang w:val="en-US"/>
              </w:rPr>
              <w:instrText>Results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young</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subjects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DULCIS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low</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cutoff</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levels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resulted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half</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recurrent</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events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that</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would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have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occurred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using</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other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criteria</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In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elderly</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patients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DULCIS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results</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were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similar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to</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those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calculated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for</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two</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age</w:instrText>
            </w:r>
            <w:r w:rsidR="006B2D4C" w:rsidRPr="00C72046">
              <w:rPr>
                <w:rFonts w:ascii="Times New Roman" w:eastAsia="Calibri" w:hAnsi="Times New Roman" w:cs="Times New Roman"/>
              </w:rPr>
              <w:instrText>-</w:instrText>
            </w:r>
            <w:r w:rsidR="006B2D4C">
              <w:rPr>
                <w:rFonts w:ascii="Times New Roman" w:eastAsia="Calibri" w:hAnsi="Times New Roman" w:cs="Times New Roman"/>
                <w:lang w:val="en-US"/>
              </w:rPr>
              <w:instrText>adjusted</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criteria</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The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adoption</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of</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traditional</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VTE</w:instrText>
            </w:r>
            <w:r w:rsidR="006B2D4C" w:rsidRPr="00C72046">
              <w:rPr>
                <w:rFonts w:ascii="Times New Roman" w:eastAsia="Calibri" w:hAnsi="Times New Roman" w:cs="Times New Roman"/>
              </w:rPr>
              <w:instrText xml:space="preserve"> </w:instrText>
            </w:r>
            <w:r w:rsidR="006B2D4C">
              <w:rPr>
                <w:rFonts w:ascii="Times New Roman" w:eastAsia="Calibri" w:hAnsi="Times New Roman" w:cs="Times New Roman"/>
                <w:lang w:val="en-US"/>
              </w:rPr>
              <w:instrText>exclusion criteria would have led to positive results in the large majority of elderly subjects, without a significant reduction in the rate of recurrent event. Conclusion: The results confirm the usefulness of the cutoff levels used in DULCIS.","author":[{"dropping-particle":"","family":"Martinez-Cañavate A, Torres Borrego J, Molina Terán AB; Corzo Higueras JL, García Figueroa BE, Rodríguez Pacheco R, Moreno Aguilar C","given":"Dávila I.","non-dropping-particle":"","parse-names":false,"suffix":""}],"container-title":"International Journal of Laboratory Hematology","id":"ITEM-1","issue":"4","issued":{"date-parts":[["2018"]]},"page":"369-374","title":"Molecular sensitization patterns and influence of molecular diagnosis in immunotherapy prescription in children sensitized to both grass and olive pollen","type":"article-journal","volume":"29"},"uris":["http://www.mendeley.com/documents/?uuid=96f922f0-30d7-4160-9d98-d87e9b0bb75e"]}],"mendeley":{"formattedCitation":"[164]","plainTextFormattedCitation":"[164]","previouslyFormattedCitation":"[164]"},"properties":{"noteIndex":0},"schema":"https://github.com/citation-style-language/schema/raw/master/csl-citation.json"}</w:instrText>
            </w:r>
            <w:r w:rsidRPr="002D2065">
              <w:rPr>
                <w:rFonts w:ascii="Times New Roman" w:eastAsia="Calibri" w:hAnsi="Times New Roman" w:cs="Times New Roman"/>
              </w:rPr>
              <w:fldChar w:fldCharType="separate"/>
            </w:r>
            <w:r w:rsidR="004028FD" w:rsidRPr="004028FD">
              <w:rPr>
                <w:rFonts w:ascii="Times New Roman" w:eastAsia="Calibri" w:hAnsi="Times New Roman" w:cs="Times New Roman"/>
                <w:noProof/>
                <w:lang w:val="en-US"/>
              </w:rPr>
              <w:t>[164]</w:t>
            </w:r>
            <w:r w:rsidRPr="002D2065">
              <w:rPr>
                <w:rFonts w:ascii="Times New Roman" w:eastAsia="Calibri" w:hAnsi="Times New Roman" w:cs="Times New Roman"/>
              </w:rPr>
              <w:fldChar w:fldCharType="end"/>
            </w:r>
          </w:p>
        </w:tc>
        <w:tc>
          <w:tcPr>
            <w:tcW w:w="992" w:type="dxa"/>
            <w:shd w:val="clear" w:color="auto" w:fill="auto"/>
          </w:tcPr>
          <w:p w14:paraId="6EE46F85"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lang w:val="en-US"/>
              </w:rPr>
              <w:t xml:space="preserve">5-18 </w:t>
            </w:r>
            <w:r w:rsidRPr="00437528">
              <w:rPr>
                <w:rFonts w:ascii="Times New Roman" w:eastAsia="Calibri" w:hAnsi="Times New Roman" w:cs="Times New Roman"/>
              </w:rPr>
              <w:t>лет</w:t>
            </w:r>
          </w:p>
        </w:tc>
        <w:tc>
          <w:tcPr>
            <w:tcW w:w="851" w:type="dxa"/>
            <w:shd w:val="clear" w:color="auto" w:fill="auto"/>
          </w:tcPr>
          <w:p w14:paraId="4C97409E" w14:textId="77777777" w:rsidR="00437528" w:rsidRPr="00437528" w:rsidRDefault="00437528" w:rsidP="003D198D">
            <w:pPr>
              <w:spacing w:line="240" w:lineRule="auto"/>
              <w:rPr>
                <w:rFonts w:ascii="Times New Roman" w:eastAsia="Calibri" w:hAnsi="Times New Roman" w:cs="Times New Roman"/>
                <w:shd w:val="clear" w:color="auto" w:fill="FFFFFF"/>
                <w:lang w:val="en-US"/>
              </w:rPr>
            </w:pPr>
            <w:r w:rsidRPr="00437528">
              <w:rPr>
                <w:rFonts w:ascii="Times New Roman" w:eastAsia="Calibri" w:hAnsi="Times New Roman" w:cs="Times New Roman"/>
                <w:shd w:val="clear" w:color="auto" w:fill="FFFFFF"/>
                <w:lang w:val="en-US"/>
              </w:rPr>
              <w:t>281</w:t>
            </w:r>
          </w:p>
        </w:tc>
        <w:tc>
          <w:tcPr>
            <w:tcW w:w="1984" w:type="dxa"/>
            <w:shd w:val="clear" w:color="auto" w:fill="auto"/>
          </w:tcPr>
          <w:p w14:paraId="6196DE9D" w14:textId="77777777" w:rsidR="00437528" w:rsidRPr="00437528" w:rsidRDefault="00437528" w:rsidP="003D198D">
            <w:pPr>
              <w:spacing w:after="0" w:line="240" w:lineRule="auto"/>
              <w:rPr>
                <w:rFonts w:ascii="Times New Roman" w:eastAsia="Calibri" w:hAnsi="Times New Roman" w:cs="Times New Roman"/>
                <w:lang w:val="en-US"/>
              </w:rPr>
            </w:pPr>
            <w:r w:rsidRPr="00437528">
              <w:rPr>
                <w:rFonts w:ascii="Times New Roman" w:eastAsia="Calibri" w:hAnsi="Times New Roman" w:cs="Times New Roman"/>
                <w:lang w:val="en-US"/>
              </w:rPr>
              <w:t>Сезонный аллергический ринит</w:t>
            </w:r>
          </w:p>
        </w:tc>
        <w:tc>
          <w:tcPr>
            <w:tcW w:w="1701" w:type="dxa"/>
            <w:shd w:val="clear" w:color="auto" w:fill="auto"/>
          </w:tcPr>
          <w:p w14:paraId="73E7187B" w14:textId="77777777" w:rsidR="00437528" w:rsidRPr="00437528" w:rsidRDefault="00437528" w:rsidP="003D198D">
            <w:pPr>
              <w:spacing w:line="240" w:lineRule="auto"/>
              <w:rPr>
                <w:rFonts w:ascii="Times New Roman" w:eastAsia="Calibri" w:hAnsi="Times New Roman" w:cs="Times New Roman"/>
                <w:shd w:val="clear" w:color="auto" w:fill="FFFFFF"/>
                <w:lang w:val="en-US"/>
              </w:rPr>
            </w:pPr>
            <w:r w:rsidRPr="00437528">
              <w:rPr>
                <w:rFonts w:ascii="Times New Roman" w:eastAsia="Calibri" w:hAnsi="Times New Roman" w:cs="Times New Roman"/>
                <w:shd w:val="clear" w:color="auto" w:fill="FFFFFF"/>
                <w:lang w:val="en-US"/>
              </w:rPr>
              <w:t>Испания</w:t>
            </w:r>
          </w:p>
        </w:tc>
        <w:tc>
          <w:tcPr>
            <w:tcW w:w="6095" w:type="dxa"/>
            <w:shd w:val="clear" w:color="auto" w:fill="auto"/>
          </w:tcPr>
          <w:p w14:paraId="03A312A9" w14:textId="77777777" w:rsidR="00437528" w:rsidRPr="00437528" w:rsidRDefault="00437528" w:rsidP="003D198D">
            <w:pPr>
              <w:spacing w:line="240" w:lineRule="auto"/>
              <w:jc w:val="both"/>
              <w:rPr>
                <w:rFonts w:ascii="Times New Roman" w:eastAsia="Calibri" w:hAnsi="Times New Roman" w:cs="Times New Roman"/>
                <w:shd w:val="clear" w:color="auto" w:fill="FFFFFF"/>
              </w:rPr>
            </w:pPr>
            <w:r w:rsidRPr="00437528">
              <w:rPr>
                <w:rFonts w:ascii="Times New Roman" w:eastAsia="Calibri" w:hAnsi="Times New Roman" w:cs="Times New Roman"/>
                <w:shd w:val="clear" w:color="auto" w:fill="FFFFFF"/>
              </w:rPr>
              <w:t xml:space="preserve">Двойная сенсибилизация к аллергенам пыльцы травы и оливы была обнаружена </w:t>
            </w:r>
            <w:r w:rsidRPr="00437528">
              <w:rPr>
                <w:rFonts w:ascii="Times New Roman" w:eastAsia="Calibri" w:hAnsi="Times New Roman" w:cs="Times New Roman"/>
                <w:shd w:val="clear" w:color="auto" w:fill="FFFFFF"/>
                <w:lang w:val="en-US"/>
              </w:rPr>
              <w:t>in</w:t>
            </w:r>
            <w:r w:rsidRPr="00437528">
              <w:rPr>
                <w:rFonts w:ascii="Times New Roman" w:eastAsia="Calibri" w:hAnsi="Times New Roman" w:cs="Times New Roman"/>
                <w:shd w:val="clear" w:color="auto" w:fill="FFFFFF"/>
              </w:rPr>
              <w:t xml:space="preserve"> </w:t>
            </w:r>
            <w:r w:rsidRPr="00437528">
              <w:rPr>
                <w:rFonts w:ascii="Times New Roman" w:eastAsia="Calibri" w:hAnsi="Times New Roman" w:cs="Times New Roman"/>
                <w:shd w:val="clear" w:color="auto" w:fill="FFFFFF"/>
                <w:lang w:val="en-US"/>
              </w:rPr>
              <w:t>vitro</w:t>
            </w:r>
            <w:r w:rsidRPr="00437528">
              <w:rPr>
                <w:rFonts w:ascii="Times New Roman" w:eastAsia="Calibri" w:hAnsi="Times New Roman" w:cs="Times New Roman"/>
                <w:shd w:val="clear" w:color="auto" w:fill="FFFFFF"/>
              </w:rPr>
              <w:t xml:space="preserve"> у 76 % детей при пороге </w:t>
            </w:r>
            <w:r w:rsidRPr="00437528">
              <w:rPr>
                <w:rFonts w:ascii="Times New Roman" w:eastAsia="Calibri" w:hAnsi="Times New Roman" w:cs="Times New Roman"/>
                <w:shd w:val="clear" w:color="auto" w:fill="FFFFFF"/>
                <w:lang w:val="en-US"/>
              </w:rPr>
              <w:t>IgE</w:t>
            </w:r>
            <w:r w:rsidRPr="00437528">
              <w:rPr>
                <w:rFonts w:ascii="Times New Roman" w:eastAsia="Calibri" w:hAnsi="Times New Roman" w:cs="Times New Roman"/>
                <w:shd w:val="clear" w:color="auto" w:fill="FFFFFF"/>
              </w:rPr>
              <w:t xml:space="preserve"> 0,35 кЕ/л. Когда стали известны результаты молекулярной диагностики, состав назначенной иммунотерапии был изменен в 52,87 % случаев.</w:t>
            </w:r>
          </w:p>
        </w:tc>
        <w:tc>
          <w:tcPr>
            <w:tcW w:w="1702" w:type="dxa"/>
          </w:tcPr>
          <w:p w14:paraId="220F8722" w14:textId="77777777" w:rsidR="00437528" w:rsidRPr="00437528" w:rsidRDefault="00437528" w:rsidP="003D198D">
            <w:pPr>
              <w:spacing w:line="240" w:lineRule="auto"/>
              <w:jc w:val="center"/>
              <w:rPr>
                <w:rFonts w:ascii="Times New Roman" w:eastAsia="Calibri" w:hAnsi="Times New Roman" w:cs="Times New Roman"/>
                <w:shd w:val="clear" w:color="auto" w:fill="FFFFFF"/>
              </w:rPr>
            </w:pPr>
            <w:r w:rsidRPr="00437528">
              <w:rPr>
                <w:rFonts w:ascii="Times New Roman" w:eastAsia="Calibri" w:hAnsi="Times New Roman" w:cs="Times New Roman"/>
                <w:shd w:val="clear" w:color="auto" w:fill="FFFFFF"/>
              </w:rPr>
              <w:t>4</w:t>
            </w:r>
          </w:p>
        </w:tc>
      </w:tr>
      <w:tr w:rsidR="00437528" w:rsidRPr="00437528" w14:paraId="5FF3A3D5" w14:textId="77777777" w:rsidTr="009F65CA">
        <w:tc>
          <w:tcPr>
            <w:tcW w:w="1390" w:type="dxa"/>
            <w:shd w:val="clear" w:color="auto" w:fill="auto"/>
          </w:tcPr>
          <w:p w14:paraId="03A1292E" w14:textId="57A6A241" w:rsidR="00437528" w:rsidRPr="00877069" w:rsidRDefault="00437528" w:rsidP="003D198D">
            <w:pPr>
              <w:spacing w:line="240" w:lineRule="auto"/>
              <w:jc w:val="both"/>
              <w:rPr>
                <w:rFonts w:ascii="Times New Roman" w:eastAsia="Calibri" w:hAnsi="Times New Roman" w:cs="Times New Roman"/>
                <w:lang w:val="en-US"/>
              </w:rPr>
            </w:pPr>
            <w:r w:rsidRPr="002D2065">
              <w:rPr>
                <w:rFonts w:ascii="Times New Roman" w:eastAsia="Calibri" w:hAnsi="Times New Roman" w:cs="Times New Roman"/>
                <w:shd w:val="clear" w:color="auto" w:fill="FFFFFF"/>
                <w:lang w:val="en-US"/>
              </w:rPr>
              <w:t xml:space="preserve">Del-Río Camacho, 2018 </w:t>
            </w:r>
            <w:r w:rsidRPr="002D2065">
              <w:rPr>
                <w:rFonts w:ascii="Times New Roman" w:eastAsia="Calibri" w:hAnsi="Times New Roman" w:cs="Times New Roman"/>
                <w:shd w:val="clear" w:color="auto" w:fill="FFFFFF"/>
                <w:lang w:val="en-US"/>
              </w:rPr>
              <w:fldChar w:fldCharType="begin" w:fldLock="1"/>
            </w:r>
            <w:r w:rsidR="006B2D4C">
              <w:rPr>
                <w:rFonts w:ascii="Times New Roman" w:eastAsia="Calibri" w:hAnsi="Times New Roman" w:cs="Times New Roman"/>
                <w:shd w:val="clear" w:color="auto" w:fill="FFFFFF"/>
                <w:lang w:val="en-US"/>
              </w:rPr>
              <w:instrText>ADDIN CSL_CITATION {"citationItems":[{"id":"ITEM-1","itemData":{"DOI":"10.1016/j.aller.2018.03.002","ISSN":"15781267","PMID":"30017214","abstract":"Introduction: Specific immunotherapy (SIT) is used to treat asthma and allergic rhinitis, and a dose–response relationship has been found for SIT efficacy, creating a need to accurately select the allergen used in therapy. This need is especially pronounced in poly-sensitized children living in areas where different pollen allergen sources coexist in the same season, as this circumstance complicates diagnostic efforts. In such cases, component-resolved diagnosis (CRD) can increase diagnostic accuracy and aid in SIT prescription. Materials and Methods: We hypothesized that CRD results would lead to modifications in classical immunotherapy prescription based on sources such as medical history, season of symptom presentation, and skin testing. We studied a sample of children indicated for immunotherapy in whom classical methods had not pointed out the most relevant allergen due to sensitization to more than two pollens. We used a small panel of recombinant allergens, analyzing the percentage of changes to prescription considering the findings of molecular studies. Results: Of the 70 children included, CRD led to modified immunotherapy prescription in 54.3%. Indications of single-allergen therapy increased from 18% to 51% when CRD was included. The decision to prescribe immunotherapy was reversed following CRD in 9.3% of cases. Discussion: CRD use alters the choice of specific immunotherapy in poly-sensitized children. A wide panel of recombinant allergens may not be necessary to improve immunotherapy indication using molecular techniques; rather, a smaller panel adapted to include those allergens prevalent in the geographical area in question appears to be sufficient for more effective immunotherapy, also leading to an improved cost–benefit ratio.","author":[{"dropping-particle":"","family":"Del-Río Camacho","given":"G.","non-dropping-particle":"","parse-names":false,"suffix":""},{"dropping-particle":"","family":"Montes Arjona","given":"A. M.","non-dropping-particle":"","parse-names":false,"suffix":""},{"dropping-particle":"","family":"Fernández-Cantalejo Padial","given":"J.","non-dropping-particle":"","parse-names":false,"suffix":""},{"dropping-particle":"","family":"Rodríguez Catalán","given":"J.","non-dropping-particle":"","parse-names":false,"suffix":""}],"container-title":"Allergologia et Immunopathologia","id":"ITEM-1","issue":"6","issued":{"date-parts":[["2018"]]},"page":"552-556","publisher":"SEICAP","title":"How molecular diagnosis may modify immunotherapy prescription in multi-sensitized pollen-allergic children","type":"article-journal","volume":"46"},"uris":["http://www.mendeley.com/documents/?uuid=2a2fa212-f07d-4744-aa47-9855b75d0df5"]}],"mendeley":{"formattedCitation":"[165]","plainTextFormattedCitation":"[165]","previouslyFormattedCitation":"[165]"},"properties":{"noteIndex":0},"schema":"https://github.com/citation-style-language/schema/raw/master/csl-citation.json"}</w:instrText>
            </w:r>
            <w:r w:rsidRPr="002D2065">
              <w:rPr>
                <w:rFonts w:ascii="Times New Roman" w:eastAsia="Calibri" w:hAnsi="Times New Roman" w:cs="Times New Roman"/>
                <w:shd w:val="clear" w:color="auto" w:fill="FFFFFF"/>
                <w:lang w:val="en-US"/>
              </w:rPr>
              <w:fldChar w:fldCharType="separate"/>
            </w:r>
            <w:r w:rsidR="004028FD" w:rsidRPr="004028FD">
              <w:rPr>
                <w:rFonts w:ascii="Times New Roman" w:eastAsia="Calibri" w:hAnsi="Times New Roman" w:cs="Times New Roman"/>
                <w:noProof/>
                <w:shd w:val="clear" w:color="auto" w:fill="FFFFFF"/>
                <w:lang w:val="en-US"/>
              </w:rPr>
              <w:t>[165]</w:t>
            </w:r>
            <w:r w:rsidRPr="002D2065">
              <w:rPr>
                <w:rFonts w:ascii="Times New Roman" w:eastAsia="Calibri" w:hAnsi="Times New Roman" w:cs="Times New Roman"/>
                <w:shd w:val="clear" w:color="auto" w:fill="FFFFFF"/>
                <w:lang w:val="en-US"/>
              </w:rPr>
              <w:fldChar w:fldCharType="end"/>
            </w:r>
          </w:p>
        </w:tc>
        <w:tc>
          <w:tcPr>
            <w:tcW w:w="992" w:type="dxa"/>
            <w:shd w:val="clear" w:color="auto" w:fill="auto"/>
          </w:tcPr>
          <w:p w14:paraId="58B58D98" w14:textId="77777777" w:rsidR="00437528" w:rsidRPr="00437528" w:rsidRDefault="00437528" w:rsidP="003D198D">
            <w:pPr>
              <w:spacing w:line="240" w:lineRule="auto"/>
              <w:rPr>
                <w:rFonts w:ascii="Times New Roman" w:eastAsia="Calibri" w:hAnsi="Times New Roman" w:cs="Times New Roman"/>
              </w:rPr>
            </w:pPr>
            <w:r w:rsidRPr="00437528">
              <w:rPr>
                <w:rFonts w:ascii="Times New Roman" w:eastAsia="Calibri" w:hAnsi="Times New Roman" w:cs="Times New Roman"/>
                <w:lang w:val="en-US"/>
              </w:rPr>
              <w:t xml:space="preserve">8-12 </w:t>
            </w:r>
            <w:r w:rsidRPr="00437528">
              <w:rPr>
                <w:rFonts w:ascii="Times New Roman" w:eastAsia="Calibri" w:hAnsi="Times New Roman" w:cs="Times New Roman"/>
              </w:rPr>
              <w:t>лет</w:t>
            </w:r>
          </w:p>
        </w:tc>
        <w:tc>
          <w:tcPr>
            <w:tcW w:w="851" w:type="dxa"/>
            <w:shd w:val="clear" w:color="auto" w:fill="auto"/>
          </w:tcPr>
          <w:p w14:paraId="4805EFC9" w14:textId="77777777" w:rsidR="00437528" w:rsidRPr="00437528" w:rsidRDefault="00437528" w:rsidP="003D198D">
            <w:pPr>
              <w:spacing w:line="240" w:lineRule="auto"/>
              <w:rPr>
                <w:rFonts w:ascii="Times New Roman" w:eastAsia="Calibri" w:hAnsi="Times New Roman" w:cs="Times New Roman"/>
                <w:shd w:val="clear" w:color="auto" w:fill="FFFFFF"/>
              </w:rPr>
            </w:pPr>
            <w:r w:rsidRPr="00437528">
              <w:rPr>
                <w:rFonts w:ascii="Times New Roman" w:eastAsia="Calibri" w:hAnsi="Times New Roman" w:cs="Times New Roman"/>
                <w:shd w:val="clear" w:color="auto" w:fill="FFFFFF"/>
              </w:rPr>
              <w:t>70</w:t>
            </w:r>
          </w:p>
        </w:tc>
        <w:tc>
          <w:tcPr>
            <w:tcW w:w="1984" w:type="dxa"/>
            <w:shd w:val="clear" w:color="auto" w:fill="auto"/>
          </w:tcPr>
          <w:p w14:paraId="26CCDD9E" w14:textId="77777777" w:rsidR="00437528" w:rsidRPr="00437528" w:rsidRDefault="00437528" w:rsidP="003D198D">
            <w:pPr>
              <w:spacing w:after="0" w:line="240" w:lineRule="auto"/>
              <w:rPr>
                <w:rFonts w:ascii="Times New Roman" w:eastAsia="Calibri" w:hAnsi="Times New Roman" w:cs="Times New Roman"/>
              </w:rPr>
            </w:pPr>
            <w:r w:rsidRPr="00437528">
              <w:rPr>
                <w:rFonts w:ascii="Times New Roman" w:eastAsia="Calibri" w:hAnsi="Times New Roman" w:cs="Times New Roman"/>
              </w:rPr>
              <w:t>Аллергический ринит и/или астма</w:t>
            </w:r>
          </w:p>
        </w:tc>
        <w:tc>
          <w:tcPr>
            <w:tcW w:w="1701" w:type="dxa"/>
            <w:shd w:val="clear" w:color="auto" w:fill="auto"/>
          </w:tcPr>
          <w:p w14:paraId="1C5EC9F2" w14:textId="77777777" w:rsidR="00437528" w:rsidRPr="00437528" w:rsidRDefault="00437528" w:rsidP="003D198D">
            <w:pPr>
              <w:spacing w:line="240" w:lineRule="auto"/>
              <w:rPr>
                <w:rFonts w:ascii="Times New Roman" w:eastAsia="Calibri" w:hAnsi="Times New Roman" w:cs="Times New Roman"/>
                <w:shd w:val="clear" w:color="auto" w:fill="FFFFFF"/>
                <w:lang w:val="en-US"/>
              </w:rPr>
            </w:pPr>
            <w:r w:rsidRPr="00437528">
              <w:rPr>
                <w:rFonts w:ascii="Times New Roman" w:eastAsia="Calibri" w:hAnsi="Times New Roman" w:cs="Times New Roman"/>
                <w:shd w:val="clear" w:color="auto" w:fill="FFFFFF"/>
                <w:lang w:val="en-US"/>
              </w:rPr>
              <w:t>Испания</w:t>
            </w:r>
          </w:p>
        </w:tc>
        <w:tc>
          <w:tcPr>
            <w:tcW w:w="6095" w:type="dxa"/>
            <w:shd w:val="clear" w:color="auto" w:fill="auto"/>
          </w:tcPr>
          <w:p w14:paraId="7B7610B1" w14:textId="77777777" w:rsidR="00437528" w:rsidRPr="00437528" w:rsidRDefault="00437528" w:rsidP="003D198D">
            <w:pPr>
              <w:spacing w:line="240" w:lineRule="auto"/>
              <w:jc w:val="both"/>
              <w:rPr>
                <w:rFonts w:ascii="Times New Roman" w:eastAsia="Calibri" w:hAnsi="Times New Roman" w:cs="Times New Roman"/>
                <w:shd w:val="clear" w:color="auto" w:fill="FFFFFF"/>
              </w:rPr>
            </w:pPr>
            <w:r w:rsidRPr="00437528">
              <w:rPr>
                <w:rFonts w:ascii="Times New Roman" w:eastAsia="Calibri" w:hAnsi="Times New Roman" w:cs="Times New Roman"/>
                <w:shd w:val="clear" w:color="auto" w:fill="FFFFFF"/>
              </w:rPr>
              <w:t>МАД привела к назначению модифицированной иммунотерапии у 54,3 % пациентов. Показания к терапии одним аллергеном увеличились с 18 % до 51 %, а решение о назначении иммунотерапии было отменено в 9,3% случаев на основании результатов МАД.</w:t>
            </w:r>
          </w:p>
        </w:tc>
        <w:tc>
          <w:tcPr>
            <w:tcW w:w="1702" w:type="dxa"/>
          </w:tcPr>
          <w:p w14:paraId="7B6B56F3" w14:textId="77777777" w:rsidR="00437528" w:rsidRPr="00437528" w:rsidRDefault="00437528" w:rsidP="003D198D">
            <w:pPr>
              <w:spacing w:line="240" w:lineRule="auto"/>
              <w:jc w:val="center"/>
              <w:rPr>
                <w:rFonts w:ascii="Times New Roman" w:eastAsia="Calibri" w:hAnsi="Times New Roman" w:cs="Times New Roman"/>
                <w:shd w:val="clear" w:color="auto" w:fill="FFFFFF"/>
              </w:rPr>
            </w:pPr>
            <w:r w:rsidRPr="00437528">
              <w:rPr>
                <w:rFonts w:ascii="Times New Roman" w:eastAsia="Calibri" w:hAnsi="Times New Roman" w:cs="Times New Roman"/>
                <w:shd w:val="clear" w:color="auto" w:fill="FFFFFF"/>
              </w:rPr>
              <w:t>4</w:t>
            </w:r>
          </w:p>
        </w:tc>
      </w:tr>
      <w:tr w:rsidR="00437528" w:rsidRPr="00437528" w14:paraId="3F635E9B" w14:textId="77777777" w:rsidTr="009F65CA">
        <w:tc>
          <w:tcPr>
            <w:tcW w:w="1390" w:type="dxa"/>
            <w:shd w:val="clear" w:color="auto" w:fill="auto"/>
          </w:tcPr>
          <w:p w14:paraId="20E11073" w14:textId="069A03CF" w:rsidR="00437528" w:rsidRPr="002D2065" w:rsidRDefault="00F34529" w:rsidP="003D198D">
            <w:pPr>
              <w:spacing w:line="240" w:lineRule="auto"/>
              <w:rPr>
                <w:rFonts w:ascii="Times New Roman" w:eastAsia="Calibri" w:hAnsi="Times New Roman" w:cs="Times New Roman"/>
                <w:lang w:val="en-US"/>
              </w:rPr>
            </w:pPr>
            <w:hyperlink r:id="rId17" w:history="1">
              <w:r w:rsidR="00437528" w:rsidRPr="002D2065">
                <w:rPr>
                  <w:rFonts w:ascii="Times New Roman" w:eastAsia="Calibri" w:hAnsi="Times New Roman" w:cs="Times New Roman"/>
                  <w:shd w:val="clear" w:color="auto" w:fill="FFFFFF"/>
                  <w:lang w:val="en-US"/>
                </w:rPr>
                <w:t>Hu</w:t>
              </w:r>
            </w:hyperlink>
            <w:r w:rsidR="00437528" w:rsidRPr="002D2065">
              <w:rPr>
                <w:rFonts w:ascii="Times New Roman" w:eastAsia="Calibri" w:hAnsi="Times New Roman" w:cs="Times New Roman"/>
                <w:lang w:val="en-US"/>
              </w:rPr>
              <w:t xml:space="preserve">, 2019 </w:t>
            </w:r>
            <w:r w:rsidR="00437528" w:rsidRPr="002D2065">
              <w:rPr>
                <w:rFonts w:ascii="Times New Roman" w:eastAsia="Calibri" w:hAnsi="Times New Roman" w:cs="Times New Roman"/>
              </w:rPr>
              <w:fldChar w:fldCharType="begin" w:fldLock="1"/>
            </w:r>
            <w:r w:rsidR="006B2D4C">
              <w:rPr>
                <w:rFonts w:ascii="Times New Roman" w:eastAsia="Calibri" w:hAnsi="Times New Roman" w:cs="Times New Roman"/>
                <w:lang w:val="en-US"/>
              </w:rPr>
              <w:instrText>ADDIN CSL_CITATION {"citationItems":[{"id":"ITEM-1","itemData":{"DOI":"10.1016/j.molimm.2018.11.004","ISSN":"0161-5890","author":[{"dropping-particle":"","family":"Hu","given":"Haisheng","non-dropping-particle":"","parse-names":false,"suffix":""},{"dropping-particle":"","family":"Luo","given":"Wenting","non-dropping-particle":"","parse-names":false,"suffix":""},{"dropping-particle":"","family":"Wu","given":"Zehong","non-dropping-particle":"","parse-names":false,"suffix":""},{"dropping-particle":"","family":"Cai","given":"Chuanxu","non-dropping-particle":"","parse-names":false,"suffix":""},{"dropping-particle":"","family":"Huang","given":"Huimin","non-dropping-particle":"","parse-names":false,"suffix":""}],"container-title":"Molecular Immunology","id":"ITEM-1","issue":"November 2018","issued":{"date-parts":[["2019"]]},"page":"38-45","publisher":"Elsevier","title":"A pilot study on the allergen-speci fi c IgE to molecular components on polysensitized mite allergic asthmatic patients in Guangzhou , China","type":"article-journal","volume":"105"},"uris":["http://www.mendeley.com/documents/?uuid=4319e03d-1aed-4e6d-b940-0b87e7d4e1bb"]}],"mendeley":{"formattedCitation":"[166]","plainTextFormattedCitation":"[166]","previouslyFormattedCitation":"[166]"},"properties":{"noteIndex":0},"schema":"https://github.com/citation-style-language/schema/raw/master/csl-citation.json"}</w:instrText>
            </w:r>
            <w:r w:rsidR="00437528" w:rsidRPr="002D2065">
              <w:rPr>
                <w:rFonts w:ascii="Times New Roman" w:eastAsia="Calibri" w:hAnsi="Times New Roman" w:cs="Times New Roman"/>
              </w:rPr>
              <w:fldChar w:fldCharType="separate"/>
            </w:r>
            <w:r w:rsidR="004028FD" w:rsidRPr="004028FD">
              <w:rPr>
                <w:rFonts w:ascii="Times New Roman" w:eastAsia="Calibri" w:hAnsi="Times New Roman" w:cs="Times New Roman"/>
                <w:noProof/>
              </w:rPr>
              <w:t>[166]</w:t>
            </w:r>
            <w:r w:rsidR="00437528" w:rsidRPr="002D2065">
              <w:rPr>
                <w:rFonts w:ascii="Times New Roman" w:eastAsia="Calibri" w:hAnsi="Times New Roman" w:cs="Times New Roman"/>
              </w:rPr>
              <w:fldChar w:fldCharType="end"/>
            </w:r>
          </w:p>
        </w:tc>
        <w:tc>
          <w:tcPr>
            <w:tcW w:w="992" w:type="dxa"/>
            <w:shd w:val="clear" w:color="auto" w:fill="auto"/>
          </w:tcPr>
          <w:p w14:paraId="7540DF18" w14:textId="77777777" w:rsidR="00437528" w:rsidRPr="00437528" w:rsidRDefault="00437528" w:rsidP="003D198D">
            <w:pPr>
              <w:spacing w:line="240" w:lineRule="auto"/>
              <w:rPr>
                <w:rFonts w:ascii="Times New Roman" w:eastAsia="Calibri" w:hAnsi="Times New Roman" w:cs="Times New Roman"/>
                <w:lang w:val="en-US"/>
              </w:rPr>
            </w:pPr>
            <w:r w:rsidRPr="00437528">
              <w:rPr>
                <w:rFonts w:ascii="Times New Roman" w:eastAsia="Calibri" w:hAnsi="Times New Roman" w:cs="Times New Roman"/>
                <w:lang w:val="en-US"/>
              </w:rPr>
              <w:t xml:space="preserve">1–85 </w:t>
            </w:r>
            <w:r w:rsidRPr="00437528">
              <w:rPr>
                <w:rFonts w:ascii="Times New Roman" w:eastAsia="Calibri" w:hAnsi="Times New Roman" w:cs="Times New Roman"/>
              </w:rPr>
              <w:t>лет</w:t>
            </w:r>
            <w:r w:rsidRPr="00437528">
              <w:rPr>
                <w:rFonts w:ascii="Times New Roman" w:eastAsia="Calibri" w:hAnsi="Times New Roman" w:cs="Times New Roman"/>
                <w:lang w:val="en-US"/>
              </w:rPr>
              <w:t xml:space="preserve"> </w:t>
            </w:r>
          </w:p>
        </w:tc>
        <w:tc>
          <w:tcPr>
            <w:tcW w:w="851" w:type="dxa"/>
            <w:shd w:val="clear" w:color="auto" w:fill="auto"/>
          </w:tcPr>
          <w:p w14:paraId="54BB9B52" w14:textId="77777777" w:rsidR="00437528" w:rsidRPr="00437528" w:rsidRDefault="00437528" w:rsidP="003D198D">
            <w:pPr>
              <w:spacing w:line="240" w:lineRule="auto"/>
              <w:rPr>
                <w:rFonts w:ascii="Times New Roman" w:eastAsia="Calibri" w:hAnsi="Times New Roman" w:cs="Times New Roman"/>
                <w:lang w:val="en-US"/>
              </w:rPr>
            </w:pPr>
            <w:r w:rsidRPr="00437528">
              <w:rPr>
                <w:rFonts w:ascii="Times New Roman" w:eastAsia="Calibri" w:hAnsi="Times New Roman" w:cs="Times New Roman"/>
                <w:shd w:val="clear" w:color="auto" w:fill="FFFFFF"/>
              </w:rPr>
              <w:t>57 </w:t>
            </w:r>
          </w:p>
        </w:tc>
        <w:tc>
          <w:tcPr>
            <w:tcW w:w="1984" w:type="dxa"/>
            <w:shd w:val="clear" w:color="auto" w:fill="auto"/>
          </w:tcPr>
          <w:p w14:paraId="3C427F84" w14:textId="77777777" w:rsidR="00437528" w:rsidRPr="00437528" w:rsidRDefault="00437528" w:rsidP="003D198D">
            <w:pPr>
              <w:spacing w:line="240" w:lineRule="auto"/>
              <w:rPr>
                <w:rFonts w:ascii="Times New Roman" w:eastAsia="Calibri" w:hAnsi="Times New Roman" w:cs="Times New Roman"/>
                <w:lang w:val="en-US"/>
              </w:rPr>
            </w:pPr>
            <w:r w:rsidRPr="00437528">
              <w:rPr>
                <w:rFonts w:ascii="Times New Roman" w:eastAsia="Calibri" w:hAnsi="Times New Roman" w:cs="Times New Roman"/>
                <w:lang w:val="en-US"/>
              </w:rPr>
              <w:t>Аллергический ринит, астма</w:t>
            </w:r>
          </w:p>
        </w:tc>
        <w:tc>
          <w:tcPr>
            <w:tcW w:w="1701" w:type="dxa"/>
            <w:shd w:val="clear" w:color="auto" w:fill="auto"/>
          </w:tcPr>
          <w:p w14:paraId="5E22C5EA" w14:textId="77777777" w:rsidR="00437528" w:rsidRPr="00437528" w:rsidRDefault="00437528" w:rsidP="003D198D">
            <w:pPr>
              <w:spacing w:line="240" w:lineRule="auto"/>
              <w:rPr>
                <w:rFonts w:ascii="Times New Roman" w:eastAsia="Calibri" w:hAnsi="Times New Roman" w:cs="Times New Roman"/>
                <w:lang w:val="en-US"/>
              </w:rPr>
            </w:pPr>
            <w:r w:rsidRPr="00437528">
              <w:rPr>
                <w:rFonts w:ascii="Times New Roman" w:eastAsia="Calibri" w:hAnsi="Times New Roman" w:cs="Times New Roman"/>
                <w:shd w:val="clear" w:color="auto" w:fill="FFFFFF"/>
              </w:rPr>
              <w:t>Китай</w:t>
            </w:r>
          </w:p>
        </w:tc>
        <w:tc>
          <w:tcPr>
            <w:tcW w:w="6095" w:type="dxa"/>
            <w:shd w:val="clear" w:color="auto" w:fill="auto"/>
          </w:tcPr>
          <w:p w14:paraId="770F8F7A" w14:textId="77777777" w:rsidR="00437528" w:rsidRPr="00437528" w:rsidRDefault="00437528" w:rsidP="003D198D">
            <w:pPr>
              <w:spacing w:line="240" w:lineRule="auto"/>
              <w:jc w:val="both"/>
              <w:rPr>
                <w:rFonts w:ascii="Times New Roman" w:eastAsia="Calibri" w:hAnsi="Times New Roman" w:cs="Times New Roman"/>
                <w:shd w:val="clear" w:color="auto" w:fill="FFFFFF"/>
              </w:rPr>
            </w:pPr>
            <w:r w:rsidRPr="00437528">
              <w:rPr>
                <w:rFonts w:ascii="Times New Roman" w:eastAsia="Calibri" w:hAnsi="Times New Roman" w:cs="Times New Roman"/>
                <w:shd w:val="clear" w:color="auto" w:fill="FFFFFF"/>
              </w:rPr>
              <w:t>МАД определила мажорные компоненты аллергена пылевого клеща, приводящие к сенсибилизации (</w:t>
            </w:r>
            <w:r w:rsidRPr="00437528">
              <w:rPr>
                <w:rFonts w:ascii="Times New Roman" w:eastAsia="Calibri" w:hAnsi="Times New Roman" w:cs="Times New Roman"/>
                <w:shd w:val="clear" w:color="auto" w:fill="FFFFFF"/>
                <w:lang w:val="en-US"/>
              </w:rPr>
              <w:t>nDer</w:t>
            </w:r>
            <w:r w:rsidRPr="00437528">
              <w:rPr>
                <w:rFonts w:ascii="Times New Roman" w:eastAsia="Calibri" w:hAnsi="Times New Roman" w:cs="Times New Roman"/>
                <w:shd w:val="clear" w:color="auto" w:fill="FFFFFF"/>
              </w:rPr>
              <w:t xml:space="preserve"> </w:t>
            </w:r>
            <w:r w:rsidRPr="00437528">
              <w:rPr>
                <w:rFonts w:ascii="Times New Roman" w:eastAsia="Calibri" w:hAnsi="Times New Roman" w:cs="Times New Roman"/>
                <w:shd w:val="clear" w:color="auto" w:fill="FFFFFF"/>
                <w:lang w:val="en-US"/>
              </w:rPr>
              <w:t>p</w:t>
            </w:r>
            <w:r w:rsidRPr="00437528">
              <w:rPr>
                <w:rFonts w:ascii="Times New Roman" w:eastAsia="Calibri" w:hAnsi="Times New Roman" w:cs="Times New Roman"/>
                <w:shd w:val="clear" w:color="auto" w:fill="FFFFFF"/>
              </w:rPr>
              <w:t xml:space="preserve"> 1, </w:t>
            </w:r>
            <w:r w:rsidRPr="00437528">
              <w:rPr>
                <w:rFonts w:ascii="Times New Roman" w:eastAsia="Calibri" w:hAnsi="Times New Roman" w:cs="Times New Roman"/>
                <w:shd w:val="clear" w:color="auto" w:fill="FFFFFF"/>
                <w:lang w:val="en-US"/>
              </w:rPr>
              <w:t>rDer</w:t>
            </w:r>
            <w:r w:rsidRPr="00437528">
              <w:rPr>
                <w:rFonts w:ascii="Times New Roman" w:eastAsia="Calibri" w:hAnsi="Times New Roman" w:cs="Times New Roman"/>
                <w:shd w:val="clear" w:color="auto" w:fill="FFFFFF"/>
              </w:rPr>
              <w:t xml:space="preserve"> </w:t>
            </w:r>
            <w:r w:rsidRPr="00437528">
              <w:rPr>
                <w:rFonts w:ascii="Times New Roman" w:eastAsia="Calibri" w:hAnsi="Times New Roman" w:cs="Times New Roman"/>
                <w:shd w:val="clear" w:color="auto" w:fill="FFFFFF"/>
                <w:lang w:val="en-US"/>
              </w:rPr>
              <w:t>p</w:t>
            </w:r>
            <w:r w:rsidRPr="00437528">
              <w:rPr>
                <w:rFonts w:ascii="Times New Roman" w:eastAsia="Calibri" w:hAnsi="Times New Roman" w:cs="Times New Roman"/>
                <w:shd w:val="clear" w:color="auto" w:fill="FFFFFF"/>
              </w:rPr>
              <w:t xml:space="preserve"> 2, </w:t>
            </w:r>
            <w:r w:rsidRPr="00437528">
              <w:rPr>
                <w:rFonts w:ascii="Times New Roman" w:eastAsia="Calibri" w:hAnsi="Times New Roman" w:cs="Times New Roman"/>
                <w:shd w:val="clear" w:color="auto" w:fill="FFFFFF"/>
                <w:lang w:val="en-US"/>
              </w:rPr>
              <w:t>nDer</w:t>
            </w:r>
            <w:r w:rsidRPr="00437528">
              <w:rPr>
                <w:rFonts w:ascii="Times New Roman" w:eastAsia="Calibri" w:hAnsi="Times New Roman" w:cs="Times New Roman"/>
                <w:shd w:val="clear" w:color="auto" w:fill="FFFFFF"/>
              </w:rPr>
              <w:t xml:space="preserve"> </w:t>
            </w:r>
            <w:r w:rsidRPr="00437528">
              <w:rPr>
                <w:rFonts w:ascii="Times New Roman" w:eastAsia="Calibri" w:hAnsi="Times New Roman" w:cs="Times New Roman"/>
                <w:shd w:val="clear" w:color="auto" w:fill="FFFFFF"/>
                <w:lang w:val="en-US"/>
              </w:rPr>
              <w:t>f</w:t>
            </w:r>
            <w:r w:rsidRPr="00437528">
              <w:rPr>
                <w:rFonts w:ascii="Times New Roman" w:eastAsia="Calibri" w:hAnsi="Times New Roman" w:cs="Times New Roman"/>
                <w:shd w:val="clear" w:color="auto" w:fill="FFFFFF"/>
              </w:rPr>
              <w:t xml:space="preserve"> 1 и </w:t>
            </w:r>
            <w:r w:rsidRPr="00437528">
              <w:rPr>
                <w:rFonts w:ascii="Times New Roman" w:eastAsia="Calibri" w:hAnsi="Times New Roman" w:cs="Times New Roman"/>
                <w:shd w:val="clear" w:color="auto" w:fill="FFFFFF"/>
                <w:lang w:val="en-US"/>
              </w:rPr>
              <w:t>rDer</w:t>
            </w:r>
            <w:r w:rsidRPr="00437528">
              <w:rPr>
                <w:rFonts w:ascii="Times New Roman" w:eastAsia="Calibri" w:hAnsi="Times New Roman" w:cs="Times New Roman"/>
                <w:shd w:val="clear" w:color="auto" w:fill="FFFFFF"/>
              </w:rPr>
              <w:t xml:space="preserve"> </w:t>
            </w:r>
            <w:r w:rsidRPr="00437528">
              <w:rPr>
                <w:rFonts w:ascii="Times New Roman" w:eastAsia="Calibri" w:hAnsi="Times New Roman" w:cs="Times New Roman"/>
                <w:shd w:val="clear" w:color="auto" w:fill="FFFFFF"/>
                <w:lang w:val="en-US"/>
              </w:rPr>
              <w:t>f</w:t>
            </w:r>
            <w:r w:rsidRPr="00437528">
              <w:rPr>
                <w:rFonts w:ascii="Times New Roman" w:eastAsia="Calibri" w:hAnsi="Times New Roman" w:cs="Times New Roman"/>
                <w:shd w:val="clear" w:color="auto" w:fill="FFFFFF"/>
              </w:rPr>
              <w:t xml:space="preserve"> 2), а также перекрестно реагирующие компоненты </w:t>
            </w:r>
            <w:r w:rsidRPr="00437528">
              <w:rPr>
                <w:rFonts w:ascii="Times New Roman" w:eastAsia="Calibri" w:hAnsi="Times New Roman" w:cs="Times New Roman"/>
                <w:shd w:val="clear" w:color="auto" w:fill="FFFFFF"/>
                <w:lang w:val="en-US"/>
              </w:rPr>
              <w:t>rDer</w:t>
            </w:r>
            <w:r w:rsidRPr="00437528">
              <w:rPr>
                <w:rFonts w:ascii="Times New Roman" w:eastAsia="Calibri" w:hAnsi="Times New Roman" w:cs="Times New Roman"/>
                <w:shd w:val="clear" w:color="auto" w:fill="FFFFFF"/>
              </w:rPr>
              <w:t xml:space="preserve"> </w:t>
            </w:r>
            <w:r w:rsidRPr="00437528">
              <w:rPr>
                <w:rFonts w:ascii="Times New Roman" w:eastAsia="Calibri" w:hAnsi="Times New Roman" w:cs="Times New Roman"/>
                <w:shd w:val="clear" w:color="auto" w:fill="FFFFFF"/>
                <w:lang w:val="en-US"/>
              </w:rPr>
              <w:t>p</w:t>
            </w:r>
            <w:r w:rsidRPr="00437528">
              <w:rPr>
                <w:rFonts w:ascii="Times New Roman" w:eastAsia="Calibri" w:hAnsi="Times New Roman" w:cs="Times New Roman"/>
                <w:shd w:val="clear" w:color="auto" w:fill="FFFFFF"/>
              </w:rPr>
              <w:t xml:space="preserve"> 10, что помогло сделать значимый выбор аллергенов для АСИТ.</w:t>
            </w:r>
          </w:p>
        </w:tc>
        <w:tc>
          <w:tcPr>
            <w:tcW w:w="1702" w:type="dxa"/>
          </w:tcPr>
          <w:p w14:paraId="2B00239F" w14:textId="77777777" w:rsidR="00437528" w:rsidRPr="00437528" w:rsidRDefault="00437528" w:rsidP="003D198D">
            <w:pPr>
              <w:spacing w:line="240" w:lineRule="auto"/>
              <w:jc w:val="center"/>
              <w:rPr>
                <w:rFonts w:ascii="Times New Roman" w:eastAsia="Calibri" w:hAnsi="Times New Roman" w:cs="Times New Roman"/>
                <w:shd w:val="clear" w:color="auto" w:fill="FFFFFF"/>
                <w:lang w:val="en-US"/>
              </w:rPr>
            </w:pPr>
            <w:r w:rsidRPr="00437528">
              <w:rPr>
                <w:rFonts w:ascii="Times New Roman" w:eastAsia="Calibri" w:hAnsi="Times New Roman" w:cs="Times New Roman"/>
              </w:rPr>
              <w:t>4</w:t>
            </w:r>
          </w:p>
        </w:tc>
      </w:tr>
      <w:tr w:rsidR="00437528" w:rsidRPr="00437528" w14:paraId="2AF12973" w14:textId="77777777" w:rsidTr="009F65CA">
        <w:tc>
          <w:tcPr>
            <w:tcW w:w="1390" w:type="dxa"/>
            <w:shd w:val="clear" w:color="auto" w:fill="auto"/>
          </w:tcPr>
          <w:p w14:paraId="623143F6" w14:textId="101F6740" w:rsidR="00437528" w:rsidRPr="002D2065" w:rsidRDefault="00F34529" w:rsidP="003D198D">
            <w:pPr>
              <w:spacing w:line="240" w:lineRule="auto"/>
              <w:rPr>
                <w:rFonts w:ascii="Times New Roman" w:eastAsia="Calibri" w:hAnsi="Times New Roman" w:cs="Times New Roman"/>
                <w:lang w:val="en-US"/>
              </w:rPr>
            </w:pPr>
            <w:hyperlink r:id="rId18" w:history="1">
              <w:r w:rsidR="00437528" w:rsidRPr="002D2065">
                <w:rPr>
                  <w:rFonts w:ascii="Times New Roman" w:eastAsia="Calibri" w:hAnsi="Times New Roman" w:cs="Times New Roman"/>
                  <w:shd w:val="clear" w:color="auto" w:fill="FFFFFF"/>
                  <w:lang w:val="en-US"/>
                </w:rPr>
                <w:t>Haidar</w:t>
              </w:r>
            </w:hyperlink>
            <w:r w:rsidR="00437528" w:rsidRPr="002D2065">
              <w:rPr>
                <w:rFonts w:ascii="Times New Roman" w:eastAsia="Calibri" w:hAnsi="Times New Roman" w:cs="Times New Roman"/>
                <w:lang w:val="en-US"/>
              </w:rPr>
              <w:t xml:space="preserve">, 2021 </w:t>
            </w:r>
            <w:r w:rsidR="00437528" w:rsidRPr="002D2065">
              <w:rPr>
                <w:rFonts w:ascii="Times New Roman" w:eastAsia="Calibri" w:hAnsi="Times New Roman" w:cs="Times New Roman"/>
                <w:lang w:val="en-US"/>
              </w:rPr>
              <w:fldChar w:fldCharType="begin" w:fldLock="1"/>
            </w:r>
            <w:r w:rsidR="006B2D4C">
              <w:rPr>
                <w:rFonts w:ascii="Times New Roman" w:eastAsia="Calibri" w:hAnsi="Times New Roman" w:cs="Times New Roman"/>
                <w:lang w:val="en-US"/>
              </w:rPr>
              <w:instrText>ADDIN CSL_CITATION {"citationItems":[{"id":"ITEM-1","itemData":{"DOI":"10.3892/etm.2021.9957","ISSN":"1792-0981","abstract":"The aim of the present study was to determine the pattern of symptoms of ragweed pollen-induced allergic disease in sensitized patients from Romania and to compare the molecular diagnosis of allergy with the skin prick test, in order to better characterize allergic patients and to guide therapy. A total of 97 subjects, including patients with ragweed pollen-induced allergic rhinoconjunctivitis with/without asthma, as well as healthy controls, were recruited prospectively in one ragweed pollen season, submitted to allergy questionnaires, skin prick tests and multiplex specific IgE (immunoglobulin E) measurement by ImmunoCAP ISAC (ImmunoCAP Immuno-Solid phase Allergy Chip) assay. A total of 83 patients were sensitized to ragweed pollen. Most patients (73%) were diagnosed with moderate-severe intermittent allergic rhinoconjunctivitis and 25% of the patients also had allergic asthma. The most common symptoms were watery rhinorrhea (91.57%), nasal obstruction (86.75%), and sneezing (85.54%). Most patients were polysensitized (62.65%), especially to other pollens, house dust mites and animal danders. Only 90% of the patients with positive skin prick test to ragweed pollen extract also had increased specific serum IgE to Amb a 1. Current options for specific molecular diagnosis of ragweed allergy are limited, as they only contain one or few of the sensitizing allergens present in ragweed pollen. An improved component-resolved diagnosis, using several ragweed pollen allergens, is required for better patient characterization and subsequent selection of an appropriate allergen immunotherapy product, thereby enabling a more personalized approach to the management of the ragweed-allergic patient.","author":[{"dropping-particle":"","family":"Haidar","given":"Laura","non-dropping-particle":"","parse-names":false,"suffix":""},{"dropping-particle":"","family":"Tamas","given":"Tudor-Paul","non-dropping-particle":"","parse-names":false,"suffix":""},{"dropping-particle":"","family":"Stolz","given":"Frank","non-dropping-particle":"","parse-names":false,"suffix":""},{"dropping-particle":"","family":"Petrisor Patrascu","given":"Raul Florian","non-dropping-particle":"","parse-names":false,"suffix":""},{"dropping-particle":"","family":"Chen","given":"Kuan-Wei","non-dropping-particle":"","parse-names":false,"suffix":""},{"dropping-particle":"","family":"Panaitescu","given":"Carmen","non-dropping-particle":"","parse-names":false,"suffix":""}],"container-title":"Experimental and Therapeutic Medicine","id":"ITEM-1","issue":"5","issued":{"date-parts":[["2021"]]},"page":"1-10","title":"Symptom patterns and comparison of diagnostic methods in ragweed pollen allergy","type":"article-journal","volume":"21"},"uris":["http://www.mendeley.com/documents/?uuid=12e7d411-4320-4619-9116-534de280aff2"]}],"mendeley":{"formattedCitation":"[167]","plainTextFormattedCitation":"[167]","previouslyFormattedCitation":"[167]"},"properties":{"noteIndex":0},"schema":"https://github.com/citation-style-language/schema/raw/master/csl-citation.json"}</w:instrText>
            </w:r>
            <w:r w:rsidR="00437528" w:rsidRPr="002D2065">
              <w:rPr>
                <w:rFonts w:ascii="Times New Roman" w:eastAsia="Calibri" w:hAnsi="Times New Roman" w:cs="Times New Roman"/>
                <w:lang w:val="en-US"/>
              </w:rPr>
              <w:fldChar w:fldCharType="separate"/>
            </w:r>
            <w:r w:rsidR="004028FD" w:rsidRPr="004028FD">
              <w:rPr>
                <w:rFonts w:ascii="Times New Roman" w:eastAsia="Calibri" w:hAnsi="Times New Roman" w:cs="Times New Roman"/>
                <w:noProof/>
                <w:lang w:val="en-US"/>
              </w:rPr>
              <w:t>[167]</w:t>
            </w:r>
            <w:r w:rsidR="00437528" w:rsidRPr="002D2065">
              <w:rPr>
                <w:rFonts w:ascii="Times New Roman" w:eastAsia="Calibri" w:hAnsi="Times New Roman" w:cs="Times New Roman"/>
                <w:lang w:val="en-US"/>
              </w:rPr>
              <w:fldChar w:fldCharType="end"/>
            </w:r>
          </w:p>
        </w:tc>
        <w:tc>
          <w:tcPr>
            <w:tcW w:w="992" w:type="dxa"/>
            <w:shd w:val="clear" w:color="auto" w:fill="auto"/>
          </w:tcPr>
          <w:p w14:paraId="1709248A" w14:textId="77777777" w:rsidR="00437528" w:rsidRPr="00437528" w:rsidRDefault="00437528" w:rsidP="003D198D">
            <w:pPr>
              <w:spacing w:line="240" w:lineRule="auto"/>
              <w:rPr>
                <w:rFonts w:ascii="Times New Roman" w:eastAsia="Calibri" w:hAnsi="Times New Roman" w:cs="Times New Roman"/>
                <w:lang w:val="en-US"/>
              </w:rPr>
            </w:pPr>
            <w:r w:rsidRPr="00437528">
              <w:rPr>
                <w:rFonts w:ascii="Times New Roman" w:eastAsia="Calibri" w:hAnsi="Times New Roman" w:cs="Times New Roman"/>
              </w:rPr>
              <w:t>Все возрасты</w:t>
            </w:r>
          </w:p>
        </w:tc>
        <w:tc>
          <w:tcPr>
            <w:tcW w:w="851" w:type="dxa"/>
            <w:shd w:val="clear" w:color="auto" w:fill="auto"/>
          </w:tcPr>
          <w:p w14:paraId="54CB7263" w14:textId="77777777" w:rsidR="00437528" w:rsidRPr="00437528" w:rsidRDefault="00437528" w:rsidP="003D198D">
            <w:pPr>
              <w:spacing w:line="240" w:lineRule="auto"/>
              <w:rPr>
                <w:rFonts w:ascii="Times New Roman" w:eastAsia="Calibri" w:hAnsi="Times New Roman" w:cs="Times New Roman"/>
                <w:lang w:val="en-US"/>
              </w:rPr>
            </w:pPr>
            <w:r w:rsidRPr="00437528">
              <w:rPr>
                <w:rFonts w:ascii="Times New Roman" w:eastAsia="Calibri" w:hAnsi="Times New Roman" w:cs="Times New Roman"/>
                <w:shd w:val="clear" w:color="auto" w:fill="FFFFFF"/>
                <w:lang w:val="en-US"/>
              </w:rPr>
              <w:t> 83</w:t>
            </w:r>
          </w:p>
        </w:tc>
        <w:tc>
          <w:tcPr>
            <w:tcW w:w="1984" w:type="dxa"/>
            <w:shd w:val="clear" w:color="auto" w:fill="auto"/>
          </w:tcPr>
          <w:p w14:paraId="1BF018E8" w14:textId="77777777" w:rsidR="00437528" w:rsidRPr="00437528" w:rsidRDefault="00437528" w:rsidP="003D198D">
            <w:pPr>
              <w:spacing w:line="240" w:lineRule="auto"/>
              <w:rPr>
                <w:rFonts w:ascii="Times New Roman" w:eastAsia="Calibri" w:hAnsi="Times New Roman" w:cs="Times New Roman"/>
                <w:shd w:val="clear" w:color="auto" w:fill="FFFFFF"/>
                <w:lang w:val="en-US"/>
              </w:rPr>
            </w:pPr>
            <w:r w:rsidRPr="00437528">
              <w:rPr>
                <w:rFonts w:ascii="Times New Roman" w:eastAsia="Calibri" w:hAnsi="Times New Roman" w:cs="Times New Roman"/>
                <w:lang w:val="en-US"/>
              </w:rPr>
              <w:t>Аллергический ринит</w:t>
            </w:r>
            <w:r w:rsidRPr="00437528">
              <w:rPr>
                <w:rFonts w:ascii="Times New Roman" w:eastAsia="Calibri" w:hAnsi="Times New Roman" w:cs="Times New Roman"/>
                <w:shd w:val="clear" w:color="auto" w:fill="FFFFFF"/>
                <w:lang w:val="en-US"/>
              </w:rPr>
              <w:t>, конъюнктивит, астма</w:t>
            </w:r>
          </w:p>
        </w:tc>
        <w:tc>
          <w:tcPr>
            <w:tcW w:w="1701" w:type="dxa"/>
            <w:shd w:val="clear" w:color="auto" w:fill="auto"/>
          </w:tcPr>
          <w:p w14:paraId="64F8470F" w14:textId="77777777" w:rsidR="00437528" w:rsidRPr="00437528" w:rsidRDefault="00437528" w:rsidP="003D198D">
            <w:pPr>
              <w:spacing w:line="240" w:lineRule="auto"/>
              <w:rPr>
                <w:rFonts w:ascii="Times New Roman" w:eastAsia="Calibri" w:hAnsi="Times New Roman" w:cs="Times New Roman"/>
                <w:lang w:val="en-US"/>
              </w:rPr>
            </w:pPr>
            <w:r w:rsidRPr="00437528">
              <w:rPr>
                <w:rFonts w:ascii="Times New Roman" w:eastAsia="Calibri" w:hAnsi="Times New Roman" w:cs="Times New Roman"/>
                <w:shd w:val="clear" w:color="auto" w:fill="FFFFFF"/>
                <w:lang w:val="en-US"/>
              </w:rPr>
              <w:t>Румыния</w:t>
            </w:r>
          </w:p>
        </w:tc>
        <w:tc>
          <w:tcPr>
            <w:tcW w:w="6095" w:type="dxa"/>
            <w:shd w:val="clear" w:color="auto" w:fill="auto"/>
          </w:tcPr>
          <w:p w14:paraId="23CAEEEE" w14:textId="77777777" w:rsidR="00437528" w:rsidRPr="00437528" w:rsidRDefault="00437528" w:rsidP="003D198D">
            <w:pPr>
              <w:spacing w:line="240" w:lineRule="auto"/>
              <w:jc w:val="both"/>
              <w:rPr>
                <w:rFonts w:ascii="Times New Roman" w:eastAsia="Calibri" w:hAnsi="Times New Roman" w:cs="Times New Roman"/>
                <w:shd w:val="clear" w:color="auto" w:fill="FFFFFF"/>
              </w:rPr>
            </w:pPr>
            <w:r w:rsidRPr="00437528">
              <w:rPr>
                <w:rFonts w:ascii="Times New Roman" w:eastAsia="Calibri" w:hAnsi="Times New Roman" w:cs="Times New Roman"/>
                <w:shd w:val="clear" w:color="auto" w:fill="FFFFFF"/>
              </w:rPr>
              <w:t xml:space="preserve">Большинство пациентов были полисенсибилизированы (62,65 %), особенно к другой пыльце, клещам домашней пыли и перхоти животных. Только 90 % пациентов с положительным результатом прик-теста на экстракт пыльцы амброзии имели повышенный уровень специфического </w:t>
            </w:r>
            <w:r w:rsidRPr="00437528">
              <w:rPr>
                <w:rFonts w:ascii="Times New Roman" w:eastAsia="Calibri" w:hAnsi="Times New Roman" w:cs="Times New Roman"/>
                <w:shd w:val="clear" w:color="auto" w:fill="FFFFFF"/>
                <w:lang w:val="en-US"/>
              </w:rPr>
              <w:t>IgE</w:t>
            </w:r>
            <w:r w:rsidRPr="00437528">
              <w:rPr>
                <w:rFonts w:ascii="Times New Roman" w:eastAsia="Calibri" w:hAnsi="Times New Roman" w:cs="Times New Roman"/>
                <w:shd w:val="clear" w:color="auto" w:fill="FFFFFF"/>
              </w:rPr>
              <w:t xml:space="preserve"> к </w:t>
            </w:r>
            <w:r w:rsidRPr="00437528">
              <w:rPr>
                <w:rFonts w:ascii="Times New Roman" w:eastAsia="Calibri" w:hAnsi="Times New Roman" w:cs="Times New Roman"/>
                <w:shd w:val="clear" w:color="auto" w:fill="FFFFFF"/>
                <w:lang w:val="en-US"/>
              </w:rPr>
              <w:t>Amb</w:t>
            </w:r>
            <w:r w:rsidRPr="00437528">
              <w:rPr>
                <w:rFonts w:ascii="Times New Roman" w:eastAsia="Calibri" w:hAnsi="Times New Roman" w:cs="Times New Roman"/>
                <w:shd w:val="clear" w:color="auto" w:fill="FFFFFF"/>
              </w:rPr>
              <w:t xml:space="preserve"> </w:t>
            </w:r>
            <w:r w:rsidRPr="00437528">
              <w:rPr>
                <w:rFonts w:ascii="Times New Roman" w:eastAsia="Calibri" w:hAnsi="Times New Roman" w:cs="Times New Roman"/>
                <w:shd w:val="clear" w:color="auto" w:fill="FFFFFF"/>
                <w:lang w:val="en-US"/>
              </w:rPr>
              <w:t>a</w:t>
            </w:r>
            <w:r w:rsidRPr="00437528">
              <w:rPr>
                <w:rFonts w:ascii="Times New Roman" w:eastAsia="Calibri" w:hAnsi="Times New Roman" w:cs="Times New Roman"/>
                <w:shd w:val="clear" w:color="auto" w:fill="FFFFFF"/>
              </w:rPr>
              <w:t xml:space="preserve"> 1.</w:t>
            </w:r>
          </w:p>
        </w:tc>
        <w:tc>
          <w:tcPr>
            <w:tcW w:w="1702" w:type="dxa"/>
          </w:tcPr>
          <w:p w14:paraId="3B3CEA31" w14:textId="77777777" w:rsidR="00437528" w:rsidRPr="00437528" w:rsidRDefault="00437528" w:rsidP="003D198D">
            <w:pPr>
              <w:spacing w:line="240" w:lineRule="auto"/>
              <w:jc w:val="center"/>
              <w:rPr>
                <w:rFonts w:ascii="Times New Roman" w:eastAsia="Calibri" w:hAnsi="Times New Roman" w:cs="Times New Roman"/>
                <w:shd w:val="clear" w:color="auto" w:fill="FFFFFF"/>
                <w:lang w:val="en-US"/>
              </w:rPr>
            </w:pPr>
            <w:r w:rsidRPr="00437528">
              <w:rPr>
                <w:rFonts w:ascii="Times New Roman" w:eastAsia="Calibri" w:hAnsi="Times New Roman" w:cs="Times New Roman"/>
                <w:shd w:val="clear" w:color="auto" w:fill="FFFFFF"/>
              </w:rPr>
              <w:t>4</w:t>
            </w:r>
          </w:p>
        </w:tc>
      </w:tr>
      <w:tr w:rsidR="00437528" w:rsidRPr="00437528" w14:paraId="1CDCC23B" w14:textId="77777777" w:rsidTr="009F65CA">
        <w:tc>
          <w:tcPr>
            <w:tcW w:w="14715" w:type="dxa"/>
            <w:gridSpan w:val="7"/>
            <w:shd w:val="clear" w:color="auto" w:fill="auto"/>
          </w:tcPr>
          <w:p w14:paraId="44451F4D" w14:textId="77777777" w:rsidR="00FF555E" w:rsidRPr="001C3B45" w:rsidRDefault="00FF555E" w:rsidP="00FF555E">
            <w:pPr>
              <w:spacing w:after="0" w:line="240" w:lineRule="auto"/>
              <w:ind w:firstLine="594"/>
              <w:jc w:val="both"/>
              <w:rPr>
                <w:rFonts w:ascii="Times New Roman" w:eastAsia="Times New Roman" w:hAnsi="Times New Roman" w:cs="Times New Roman"/>
                <w:color w:val="000000"/>
                <w:kern w:val="24"/>
                <w:lang w:eastAsia="ru-RU"/>
              </w:rPr>
            </w:pPr>
            <w:r w:rsidRPr="001C3B45">
              <w:rPr>
                <w:rFonts w:ascii="Times New Roman" w:eastAsia="Times New Roman" w:hAnsi="Times New Roman" w:cs="Times New Roman"/>
                <w:color w:val="000000"/>
                <w:kern w:val="24"/>
                <w:lang w:eastAsia="ru-RU"/>
              </w:rPr>
              <w:t>Примечания:</w:t>
            </w:r>
          </w:p>
          <w:p w14:paraId="00CFFDD8" w14:textId="14A47B6D" w:rsidR="00437528" w:rsidRPr="00FF555E" w:rsidRDefault="00FF555E" w:rsidP="00FF555E">
            <w:pPr>
              <w:spacing w:after="0" w:line="240" w:lineRule="auto"/>
              <w:jc w:val="both"/>
              <w:rPr>
                <w:rFonts w:ascii="Times New Roman" w:eastAsia="Times New Roman" w:hAnsi="Times New Roman" w:cs="Times New Roman"/>
                <w:color w:val="000000"/>
                <w:kern w:val="24"/>
                <w:sz w:val="24"/>
                <w:szCs w:val="24"/>
                <w:lang w:eastAsia="ru-RU"/>
              </w:rPr>
            </w:pPr>
            <w:r w:rsidRPr="001C3B45">
              <w:rPr>
                <w:rFonts w:ascii="Times New Roman" w:eastAsia="Calibri" w:hAnsi="Times New Roman" w:cs="Times New Roman"/>
                <w:shd w:val="clear" w:color="auto" w:fill="FFFFFF"/>
              </w:rPr>
              <w:t xml:space="preserve">1 </w:t>
            </w:r>
            <w:r w:rsidR="00437528" w:rsidRPr="001C3B45">
              <w:rPr>
                <w:rFonts w:ascii="Times New Roman" w:eastAsia="Calibri" w:hAnsi="Times New Roman" w:cs="Times New Roman"/>
                <w:shd w:val="clear" w:color="auto" w:fill="FFFFFF"/>
              </w:rPr>
              <w:t>АСИТ* - аллерген-специфическая</w:t>
            </w:r>
            <w:r w:rsidR="00437528" w:rsidRPr="00437528">
              <w:rPr>
                <w:rFonts w:ascii="Times New Roman" w:eastAsia="Calibri" w:hAnsi="Times New Roman" w:cs="Times New Roman"/>
                <w:shd w:val="clear" w:color="auto" w:fill="FFFFFF"/>
              </w:rPr>
              <w:t xml:space="preserve"> иммунотерапия</w:t>
            </w:r>
          </w:p>
          <w:p w14:paraId="4649EB82" w14:textId="1780654D" w:rsidR="00437528" w:rsidRPr="00437528" w:rsidRDefault="00FF555E" w:rsidP="00FF555E">
            <w:pPr>
              <w:spacing w:after="0" w:line="240" w:lineRule="auto"/>
              <w:rPr>
                <w:rFonts w:ascii="Times New Roman" w:eastAsia="Calibri" w:hAnsi="Times New Roman" w:cs="Times New Roman"/>
                <w:shd w:val="clear" w:color="auto" w:fill="FFFFFF"/>
              </w:rPr>
            </w:pPr>
            <w:r>
              <w:rPr>
                <w:rFonts w:ascii="Times New Roman" w:eastAsia="Calibri" w:hAnsi="Times New Roman" w:cs="Times New Roman"/>
                <w:shd w:val="clear" w:color="auto" w:fill="FFFFFF"/>
              </w:rPr>
              <w:t xml:space="preserve">2 </w:t>
            </w:r>
            <w:r w:rsidR="00437528" w:rsidRPr="00437528">
              <w:rPr>
                <w:rFonts w:ascii="Times New Roman" w:eastAsia="Calibri" w:hAnsi="Times New Roman" w:cs="Times New Roman"/>
                <w:shd w:val="clear" w:color="auto" w:fill="FFFFFF"/>
              </w:rPr>
              <w:t>МАД</w:t>
            </w:r>
            <w:r w:rsidR="00437528" w:rsidRPr="00437528">
              <w:rPr>
                <w:rFonts w:ascii="Times New Roman" w:eastAsia="Calibri" w:hAnsi="Times New Roman" w:cs="Times New Roman"/>
                <w:shd w:val="clear" w:color="auto" w:fill="FFFFFF"/>
                <w:vertAlign w:val="superscript"/>
              </w:rPr>
              <w:t>#</w:t>
            </w:r>
            <w:r w:rsidR="00437528" w:rsidRPr="00437528">
              <w:rPr>
                <w:rFonts w:ascii="Times New Roman" w:eastAsia="Calibri" w:hAnsi="Times New Roman" w:cs="Times New Roman"/>
                <w:shd w:val="clear" w:color="auto" w:fill="FFFFFF"/>
              </w:rPr>
              <w:t xml:space="preserve"> – молекулярная аллергодиагностика</w:t>
            </w:r>
          </w:p>
        </w:tc>
      </w:tr>
    </w:tbl>
    <w:p w14:paraId="1FF5A0A2" w14:textId="77777777" w:rsidR="002D1741" w:rsidRDefault="002D1741" w:rsidP="00311DF0">
      <w:pPr>
        <w:spacing w:after="0" w:line="240" w:lineRule="auto"/>
        <w:ind w:firstLine="567"/>
        <w:jc w:val="both"/>
        <w:rPr>
          <w:rFonts w:ascii="Times New Roman" w:eastAsia="Calibri" w:hAnsi="Times New Roman" w:cs="Times New Roman"/>
          <w:sz w:val="28"/>
          <w:szCs w:val="28"/>
        </w:rPr>
        <w:sectPr w:rsidR="002D1741" w:rsidSect="002D1741">
          <w:pgSz w:w="16838" w:h="11906" w:orient="landscape" w:code="9"/>
          <w:pgMar w:top="1701" w:right="1134" w:bottom="567" w:left="1134" w:header="709" w:footer="709" w:gutter="0"/>
          <w:cols w:space="708"/>
          <w:docGrid w:linePitch="360"/>
        </w:sectPr>
      </w:pPr>
    </w:p>
    <w:p w14:paraId="40DDF8F2" w14:textId="02CA24E2" w:rsidR="00311DF0" w:rsidRDefault="00311DF0" w:rsidP="00311DF0">
      <w:pPr>
        <w:spacing w:after="0" w:line="240" w:lineRule="auto"/>
        <w:ind w:firstLine="567"/>
        <w:jc w:val="both"/>
        <w:rPr>
          <w:rFonts w:ascii="Times New Roman" w:eastAsia="Calibri" w:hAnsi="Times New Roman" w:cs="Times New Roman"/>
          <w:sz w:val="28"/>
          <w:szCs w:val="28"/>
        </w:rPr>
      </w:pPr>
    </w:p>
    <w:p w14:paraId="097174C6" w14:textId="506B0D4B" w:rsidR="00437528" w:rsidRPr="00311DF0" w:rsidRDefault="00437528" w:rsidP="002D1741">
      <w:pPr>
        <w:ind w:firstLine="567"/>
        <w:rPr>
          <w:rFonts w:ascii="Times New Roman" w:eastAsia="Calibri" w:hAnsi="Times New Roman" w:cs="Times New Roman"/>
          <w:i/>
          <w:sz w:val="28"/>
          <w:szCs w:val="28"/>
        </w:rPr>
      </w:pPr>
      <w:r w:rsidRPr="00311DF0">
        <w:rPr>
          <w:rFonts w:ascii="Times New Roman" w:eastAsia="Calibri" w:hAnsi="Times New Roman" w:cs="Times New Roman"/>
          <w:i/>
          <w:sz w:val="28"/>
          <w:szCs w:val="28"/>
        </w:rPr>
        <w:t>Характеристики пациента</w:t>
      </w:r>
    </w:p>
    <w:p w14:paraId="60998786" w14:textId="77777777" w:rsidR="00437528" w:rsidRPr="00437528" w:rsidRDefault="00437528" w:rsidP="00311DF0">
      <w:pPr>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В целом, количество пациентов составило 3302 человека. В одном исследовании участвовали только взрослые участники; три исследования были проведены на педиатрической популяции, в то время как в остальных 8 исследованиях в качестве испытуемых использовались как дети, так и взрослые. Большинство публикаций были сосредоточены на возможностях и применении молекулярной аллергодиагностики в точном подборе аллергенов для последующего назначения АСИТ. Исследования включали определение специфического IgE к рекомбинантны аллергенам трав, деревьев и клещей домашней пыли. Изменения протоколов АСИТ были проанализированы после применения МАД. Согласно полученным данным, диагностика аллергии часто приводит к смене соответствующих аллергенов для АСИТ.</w:t>
      </w:r>
    </w:p>
    <w:p w14:paraId="7CF11756" w14:textId="77777777" w:rsidR="00437528" w:rsidRPr="00437528" w:rsidRDefault="00437528" w:rsidP="00311DF0">
      <w:pPr>
        <w:spacing w:after="0" w:line="240" w:lineRule="auto"/>
        <w:ind w:firstLine="567"/>
        <w:jc w:val="both"/>
        <w:rPr>
          <w:rFonts w:ascii="Times New Roman" w:eastAsia="Calibri" w:hAnsi="Times New Roman" w:cs="Times New Roman"/>
          <w:sz w:val="28"/>
          <w:szCs w:val="28"/>
        </w:rPr>
      </w:pPr>
    </w:p>
    <w:p w14:paraId="48194184" w14:textId="77777777" w:rsidR="00437528" w:rsidRPr="00311DF0" w:rsidRDefault="00437528" w:rsidP="00311DF0">
      <w:pPr>
        <w:spacing w:after="0" w:line="240" w:lineRule="auto"/>
        <w:ind w:firstLine="567"/>
        <w:jc w:val="both"/>
        <w:rPr>
          <w:rFonts w:ascii="Times New Roman" w:eastAsia="Calibri" w:hAnsi="Times New Roman" w:cs="Times New Roman"/>
          <w:i/>
          <w:sz w:val="28"/>
          <w:szCs w:val="28"/>
        </w:rPr>
      </w:pPr>
      <w:r w:rsidRPr="00311DF0">
        <w:rPr>
          <w:rFonts w:ascii="Times New Roman" w:eastAsia="Calibri" w:hAnsi="Times New Roman" w:cs="Times New Roman"/>
          <w:i/>
          <w:sz w:val="28"/>
          <w:szCs w:val="28"/>
        </w:rPr>
        <w:t xml:space="preserve">Оценка молекулярной аллергодиагностики </w:t>
      </w:r>
    </w:p>
    <w:p w14:paraId="0BF347C9" w14:textId="352034B5" w:rsidR="00437528" w:rsidRPr="00437528" w:rsidRDefault="00437528" w:rsidP="00311DF0">
      <w:pPr>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 xml:space="preserve">МАД - это инструмент для выявления IgE-сенсибилизации к группе аллергенов. МАД позволяет определить истинную сенсибилизацию к пыльце деревьев и трав, что является единственным показанием к назначению АСИТ </w:t>
      </w:r>
      <w:r w:rsidRPr="00437528">
        <w:rPr>
          <w:rFonts w:ascii="Times New Roman" w:eastAsia="Calibri" w:hAnsi="Times New Roman" w:cs="Times New Roman"/>
          <w:sz w:val="28"/>
          <w:szCs w:val="28"/>
        </w:rPr>
        <w:fldChar w:fldCharType="begin" w:fldLock="1"/>
      </w:r>
      <w:r w:rsidR="006B2D4C">
        <w:rPr>
          <w:rFonts w:ascii="Times New Roman" w:eastAsia="Calibri" w:hAnsi="Times New Roman" w:cs="Times New Roman"/>
          <w:sz w:val="28"/>
          <w:szCs w:val="28"/>
        </w:rPr>
        <w:instrText>ADDIN CSL_CITATION {"citationItems":[{"id":"ITEM-1","itemData":{"DOI":"10.1159/000320231","ISSN":"10182438","PMID":"20733325","abstract":"Background: Sensitization to weed pollen allergens at the molecular level is not fully understood. We studied IgE reactivity to the major mugwort allergen Art v 1 in relation to allergens from other weed pollen and cross-reactive components in mugwort-sensitized subjects. Methods: Art v 1 and Amb a 1 were affinity purified and coupled to experimental ImmunoCAP® tests. Samples from North Europe (n = 50), South Europe (n = 19) and North America (n = 41) were analyzed for IgE against mugwort pollen, weed allergen components, pan-allergens and cross-reactive carbohydrate determinants (CCDs). Results: The prevalence of IgE reactivity (&gt;0.35 kUA/l) to Art v 1 was significantly higher in samples from North Europe than in those from North America. IgE to Amb a 1 was more common in North America than in North and South Europe, while IgE to Par j 2 was common in South Europe, less common in North America, and absent in North Europe. IgE to Art v 3 in mugwort-allergic patients was more common in North Europe than in South Europe and North America, while IgE to Sal k 1 was similar between the areas. Subjects with an Art v 1/mugwort-specific IgE ratio &lt;0.5 had more often IgE to Amb a 1, profilin, polcalcin and CCDs than subjects with a ratio &gt;0.5. Conclusions: Mugwort-sensitized subjects have different IgE reactivity profiles to weed allergens, reflecting their exposure to various pollens. Subjects with a low ratio between the IgE levels to Art v 1 and mugwort have a diverse IgE reactivity profile, indicating a role for cross-reactive allergens in their mugwort sensitization. Copyright © 2010 S. Karger AG, Basel.","author":[{"dropping-particle":"","family":"Movérare","given":"Robert","non-dropping-particle":"","parse-names":false,"suffix":""},{"dropping-particle":"","family":"Larsson","given":"Håkan","non-dropping-particle":"","parse-names":false,"suffix":""},{"dropping-particle":"","family":"Carlsson","given":"Raimo","non-dropping-particle":"","parse-names":false,"suffix":""},{"dropping-particle":"","family":"Holmquist","given":"Ingrid","non-dropping-particle":"","parse-names":false,"suffix":""}],"container-title":"International Archives of Allergy and Immunology","id":"ITEM-1","issue":"2","issued":{"date-parts":[["2011"]]},"page":"164-172","title":"Mugwort-sensitized individuals from North Europe, South Europe and North America show different IgE reactivity patterns","type":"article-journal","volume":"154"},"uris":["http://www.mendeley.com/documents/?uuid=febd07bf-7965-4844-9f2f-a689f2d3c160"]}],"mendeley":{"formattedCitation":"[156]","plainTextFormattedCitation":"[156]","previouslyFormattedCitation":"[156]"},"properties":{"noteIndex":0},"schema":"https://github.com/citation-style-language/schema/raw/master/csl-citation.json"}</w:instrText>
      </w:r>
      <w:r w:rsidRPr="00437528">
        <w:rPr>
          <w:rFonts w:ascii="Times New Roman" w:eastAsia="Calibri" w:hAnsi="Times New Roman" w:cs="Times New Roman"/>
          <w:sz w:val="28"/>
          <w:szCs w:val="28"/>
        </w:rPr>
        <w:fldChar w:fldCharType="separate"/>
      </w:r>
      <w:r w:rsidR="004028FD" w:rsidRPr="004028FD">
        <w:rPr>
          <w:rFonts w:ascii="Times New Roman" w:eastAsia="Calibri" w:hAnsi="Times New Roman" w:cs="Times New Roman"/>
          <w:noProof/>
          <w:sz w:val="28"/>
          <w:szCs w:val="28"/>
        </w:rPr>
        <w:t>[156]</w:t>
      </w:r>
      <w:r w:rsidRPr="00437528">
        <w:rPr>
          <w:rFonts w:ascii="Times New Roman" w:eastAsia="Calibri" w:hAnsi="Times New Roman" w:cs="Times New Roman"/>
          <w:sz w:val="28"/>
          <w:szCs w:val="28"/>
        </w:rPr>
        <w:fldChar w:fldCharType="end"/>
      </w:r>
      <w:r w:rsidRPr="00437528">
        <w:rPr>
          <w:rFonts w:ascii="Times New Roman" w:eastAsia="Calibri" w:hAnsi="Times New Roman" w:cs="Times New Roman"/>
          <w:sz w:val="28"/>
          <w:szCs w:val="28"/>
        </w:rPr>
        <w:t xml:space="preserve">. МАД также позволяет обнаружить перекрестно-реактивные молекулы аллергенов, которые вносят огромный вклад в развитие сенсибилизации </w:t>
      </w:r>
      <w:r w:rsidRPr="00437528">
        <w:rPr>
          <w:rFonts w:ascii="Times New Roman" w:eastAsia="Calibri" w:hAnsi="Times New Roman" w:cs="Times New Roman"/>
          <w:sz w:val="28"/>
          <w:szCs w:val="28"/>
        </w:rPr>
        <w:fldChar w:fldCharType="begin" w:fldLock="1"/>
      </w:r>
      <w:r w:rsidR="006B2D4C">
        <w:rPr>
          <w:rFonts w:ascii="Times New Roman" w:eastAsia="Calibri" w:hAnsi="Times New Roman" w:cs="Times New Roman"/>
          <w:sz w:val="28"/>
          <w:szCs w:val="28"/>
        </w:rPr>
        <w:instrText>ADDIN CSL_CITATION {"citationItems":[{"id":"ITEM-1","itemData":{"DOI":"10.1159/000320231","ISSN":"10182438","PMID":"20733325","abstract":"Background: Sensitization to weed pollen allergens at the molecular level is not fully understood. We studied IgE reactivity to the major mugwort allergen Art v 1 in relation to allergens from other weed pollen and cross-reactive components in mugwort-sensitized subjects. Methods: Art v 1 and Amb a 1 were affinity purified and coupled to experimental ImmunoCAP® tests. Samples from North Europe (n = 50), South Europe (n = 19) and North America (n = 41) were analyzed for IgE against mugwort pollen, weed allergen components, pan-allergens and cross-reactive carbohydrate determinants (CCDs). Results: The prevalence of IgE reactivity (&gt;0.35 kUA/l) to Art v 1 was significantly higher in samples from North Europe than in those from North America. IgE to Amb a 1 was more common in North America than in North and South Europe, while IgE to Par j 2 was common in South Europe, less common in North America, and absent in North Europe. IgE to Art v 3 in mugwort-allergic patients was more common in North Europe than in South Europe and North America, while IgE to Sal k 1 was similar between the areas. Subjects with an Art v 1/mugwort-specific IgE ratio &lt;0.5 had more often IgE to Amb a 1, profilin, polcalcin and CCDs than subjects with a ratio &gt;0.5. Conclusions: Mugwort-sensitized subjects have different IgE reactivity profiles to weed allergens, reflecting their exposure to various pollens. Subjects with a low ratio between the IgE levels to Art v 1 and mugwort have a diverse IgE reactivity profile, indicating a role for cross-reactive allergens in their mugwort sensitization. Copyright © 2010 S. Karger AG, Basel.","author":[{"dropping-particle":"","family":"Movérare","given":"Robert","non-dropping-particle":"","parse-names":false,"suffix":""},{"dropping-particle":"","family":"Larsson","given":"Håkan","non-dropping-particle":"","parse-names":false,"suffix":""},{"dropping-particle":"","family":"Carlsson","given":"Raimo","non-dropping-particle":"","parse-names":false,"suffix":""},{"dropping-particle":"","family":"Holmquist","given":"Ingrid","non-dropping-particle":"","parse-names":false,"suffix":""}],"container-title":"International Archives of Allergy and Immunology","id":"ITEM-1","issue":"2","issued":{"date-parts":[["2011"]]},"page":"164-172","title":"Mugwort-sensitized individuals from North Europe, South Europe and North America show different IgE reactivity patterns","type":"article-journal","volume":"154"},"uris":["http://www.mendeley.com/documents/?uuid=febd07bf-7965-4844-9f2f-a689f2d3c160"]},{"id":"ITEM-2","itemData":{"DOI":"10.3791/55723","ISSN":"1940087X","PMID":"28605372","abstract":"Sensitization to grass pollen imposes a global risk for allergic airway diseases. Although prevention relies on local investigation of the pollen allergens, data on this topic are limited in southern China. Any available data were obtained by self-report questionnaires, skin prick tests, and total or specific IgE tests using crude extracts. For many reasons, these methods are unreliable. Serum sIgE reactivity to Bermuda grass, Timothy grass, and Humulus scandens allergens in a cohort of patients from Greater Guangzhou (southern China's largest city and its outskirts) with allergic rhinitis and/or asthma were examined using a fully-automated immunoassay analyzer as a component-resolved diagnostics (CRD) tool. For the first time, a considerably high prevalence of Bermuda grass sIgE positivity was demonstrated in Chinese southerners with allergic rhinitis and/or asthma. In these patients, a subtle prevalence of sensitization to Timothy grass and Humulus scandens was also noted, which may arise from cross-reactivity, as the latter two are not common in the region. This was also supported by the detection of allergen components. Fully-automated immunoassay analyzers may offer satisfactory consistency between regions, laboratories, and institutions and over time. The automaticity of the instrument may enable a standardized detection that would not have been readily revealed before the advent of CRD. This is a study that uses a CRD approach to investigate sensitization to grass pollen allergens in southern China. It adds to current evidence in the literature. Future studies are needed to validate these findings. However, although CRD is a useful tool, the findings made with the fullyautomated immunoassay analyzer should not substitute for other laboratory investigations, clinical evaluations, and physician expertise.","author":[{"dropping-particle":"","family":"Luo","given":"Wenting","non-dropping-particle":"","parse-names":false,"suffix":""},{"dropping-particle":"","family":"Pan","given":"Guichang","non-dropping-particle":"","parse-names":false,"suffix":""},{"dropping-particle":"","family":"Huang","given":"Huimin","non-dropping-particle":"","parse-names":false,"suffix":""},{"dropping-particle":"","family":"Zheng","given":"Peiyan","non-dropping-particle":"","parse-names":false,"suffix":""},{"dropping-particle":"","family":"Wei","given":"Nili","non-dropping-particle":"","parse-names":false,"suffix":""},{"dropping-particle":"","family":"Zhang","given":"Yifei","non-dropping-particle":"","parse-names":false,"suffix":""},{"dropping-particle":"","family":"Zeng","given":"Guangqiao","non-dropping-particle":"","parse-names":false,"suffix":""},{"dropping-particle":"","family":"Sun","given":"Baoqing","non-dropping-particle":"","parse-names":false,"suffix":""}],"container-title":"Journal of Visualized Experiments","id":"ITEM-2","issue":"124","issued":{"date-parts":[["2017"]]},"page":"1-7","title":"A component-resolved diagnostic approach for a study on grass pollen allergens in chinese southerners with allergic rhinitis and/or asthma","type":"article-journal","volume":"2017"},"uris":["http://www.mendeley.com/documents/?uuid=92c6e1dd-56d4-46ac-a4ba-4e696b852e5f"]}],"mendeley":{"formattedCitation":"[156,163]","plainTextFormattedCitation":"[156,163]","previouslyFormattedCitation":"[156,163]"},"properties":{"noteIndex":0},"schema":"https://github.com/citation-style-language/schema/raw/master/csl-citation.json"}</w:instrText>
      </w:r>
      <w:r w:rsidRPr="00437528">
        <w:rPr>
          <w:rFonts w:ascii="Times New Roman" w:eastAsia="Calibri" w:hAnsi="Times New Roman" w:cs="Times New Roman"/>
          <w:sz w:val="28"/>
          <w:szCs w:val="28"/>
        </w:rPr>
        <w:fldChar w:fldCharType="separate"/>
      </w:r>
      <w:r w:rsidR="004028FD" w:rsidRPr="004028FD">
        <w:rPr>
          <w:rFonts w:ascii="Times New Roman" w:eastAsia="Calibri" w:hAnsi="Times New Roman" w:cs="Times New Roman"/>
          <w:noProof/>
          <w:sz w:val="28"/>
          <w:szCs w:val="28"/>
        </w:rPr>
        <w:t>[156,163]</w:t>
      </w:r>
      <w:r w:rsidRPr="00437528">
        <w:rPr>
          <w:rFonts w:ascii="Times New Roman" w:eastAsia="Calibri" w:hAnsi="Times New Roman" w:cs="Times New Roman"/>
          <w:sz w:val="28"/>
          <w:szCs w:val="28"/>
        </w:rPr>
        <w:fldChar w:fldCharType="end"/>
      </w:r>
      <w:r w:rsidRPr="00437528">
        <w:rPr>
          <w:rFonts w:ascii="Times New Roman" w:eastAsia="Calibri" w:hAnsi="Times New Roman" w:cs="Times New Roman"/>
          <w:sz w:val="28"/>
          <w:szCs w:val="28"/>
        </w:rPr>
        <w:t>. Это делает идентификацию истинной сенсибилизации более точн</w:t>
      </w:r>
      <w:r w:rsidR="00FE110E">
        <w:rPr>
          <w:rFonts w:ascii="Times New Roman" w:eastAsia="Calibri" w:hAnsi="Times New Roman" w:cs="Times New Roman"/>
          <w:sz w:val="28"/>
          <w:szCs w:val="28"/>
        </w:rPr>
        <w:t>ой, что</w:t>
      </w:r>
      <w:r w:rsidR="00FC1DE7">
        <w:rPr>
          <w:rFonts w:ascii="Times New Roman" w:eastAsia="Calibri" w:hAnsi="Times New Roman" w:cs="Times New Roman"/>
          <w:sz w:val="28"/>
          <w:szCs w:val="28"/>
        </w:rPr>
        <w:t xml:space="preserve"> очень важно для выбора АСИТ</w:t>
      </w:r>
      <w:r w:rsidRPr="00437528">
        <w:rPr>
          <w:rFonts w:ascii="Times New Roman" w:eastAsia="Calibri" w:hAnsi="Times New Roman" w:cs="Times New Roman"/>
          <w:sz w:val="28"/>
          <w:szCs w:val="28"/>
        </w:rPr>
        <w:t xml:space="preserve"> и оценки его эффективности </w:t>
      </w:r>
      <w:r w:rsidRPr="00437528">
        <w:rPr>
          <w:rFonts w:ascii="Times New Roman" w:eastAsia="Calibri" w:hAnsi="Times New Roman" w:cs="Times New Roman"/>
          <w:sz w:val="28"/>
          <w:szCs w:val="28"/>
        </w:rPr>
        <w:fldChar w:fldCharType="begin" w:fldLock="1"/>
      </w:r>
      <w:r w:rsidR="006B2D4C">
        <w:rPr>
          <w:rFonts w:ascii="Times New Roman" w:eastAsia="Calibri" w:hAnsi="Times New Roman" w:cs="Times New Roman"/>
          <w:sz w:val="28"/>
          <w:szCs w:val="28"/>
        </w:rPr>
        <w:instrText>ADDIN CSL_CITATION {"citationItems":[{"id":"ITEM-1","itemData":{"DOI":"10.1111/j.1398-9995.2012.02808.x","ISBN":"3491549949","ISSN":"01054538","PMID":"22379958","abstract":"Background: The identification of disease-eliciting allergens is a prerequisite for accurate prescription of allergen-specific immunotherapy (SIT). The aim of this study was to determine whether molecular diagnosis (MD) may change indication and allergen prescription of SIT. Methods: A total of 141 patients with allergic rhinoconjunctivitis and/or asthma sensitized to pollen with or without concomitant food allergy were included. Skin prick testing with a panel of aeroallergens and a microarray-based panel of allergens (ISAC®; Phadia, Sweden) was performed in all patients. Prior to learning the results of molecular diagnosis, three of the authors reached a consensus on the indication of SIT and use of allergens following EAACI recommendations, basing their judgment on clinical history and skin prick test results before and after obtaining the ISAC results. The agreement coefficient (kappa index) was used to analyze the results. Results: Fifty-nine percent of the patients were women with a mean age of 31 ± 13.63. Agreement in SIT indication before and after ISAC® results was found in only 62 (46%) patients (kappa = 0.1057 ± 0.0413). Concerning allergens used in the most common prescriptions before and after MD results, we obtained the following results: κ = 0.117 ± 0.0825 for grass; κ = 0.1624 ± 0.0639 for olive; κ = 0.0505 ± 0.0548 for olive and grass; κ = 0.1711 ± 0.0471 for grass and cypress; κ = 0.1897 ± 0.0493 for grass and London plane; κ = 1 ± 0.0842 for olive and cypress, and κ = 0.3586 ± 0.0798 for other combinations. Conclusions: There was very low agreement concerning indication and use of allergens for SIT before and after performing MD. This discrepancy emphasizes the usefulness of MD, at least in areas of complex sensitization to pollen, in determining correct indication of SIT. © 2012 John Wiley &amp; Sons A/S.","author":[{"dropping-particle":"","family":"Sastre","given":"Joaquín","non-dropping-particle":"","parse-names":false,"suffix":""},{"dropping-particle":"","family":"Landivar","given":"M. E.","non-dropping-particle":"","parse-names":false,"suffix":""},{"dropping-particle":"","family":"Ruiz-García","given":"M.","non-dropping-particle":"","parse-names":false,"suffix":""},{"dropping-particle":"V.","family":"Andregnette-Rosigno","given":"M.","non-dropping-particle":"","parse-names":false,"suffix":""},{"dropping-particle":"","family":"Mahillo","given":"I.","non-dropping-particle":"","parse-names":false,"suffix":""}],"container-title":"Allergy","id":"ITEM-1","issue":"5","issued":{"date-parts":[["2012","5"]]},"page":"709-711","title":"How molecular diagnosis can change allergen-specific immunotherapy prescription in a complex pollen area","type":"article-journal","volume":"67"},"uris":["http://www.mendeley.com/documents/?uuid=69ab2770-e46c-446d-8099-1317f4fd7426"]},{"id":"ITEM-2","itemData":{"DOI":"10.1016/j.anai.2013.07.005","ISSN":"10811206","PMID":"24054367","abstract":"Background Pollen allergy still represents an important cause of allergic morbidity worldwide. Accurate diagnostic methods are important to determine the disease-causing allergen. Objective To describe the sensitization patterns of patients with spring pollinosis and to make a real-life evaluation of the usefulness of a predetermined IgE molecular profile compared with other sensitization methods for choosing the composition of immunotherapy. Methods One hundred seventy-five patients with a diagnosis of spring pollinosis completed a skin prick test study with Olea europaea, Phleum pratense, palm profilin, and peach peel and an in vitro study of the application of a specific recombinant IgE protocol (nOle e1, rPhl p1-5b, rPhl p12, rPhl p7, and rPru p3). Immunotherapy using the 2 methods was compared. Results A high sensitization to nOle e1 and rPhl p1-5b was found. Profilin, polcalcin, and lipid transfer proteins seemed irrelevant for the differential diagnosis of olea and grass pollen sensitization in the most southern area of the Iberian Peninsula. Application of the component resolved the diagnosis, and the choice of immunotherapy was changed in more than 50% of patients. Conclusion These results support the necessity of the habitual use of this kind of protocol in routine allergologic practice. © 2013 American College of Allergy, Asthma &amp; Immunology. Published by Elsevier Inc. All rights reserved.","author":[{"dropping-particle":"","family":"Letrán","given":"Antonio","non-dropping-particle":"","parse-names":false,"suffix":""},{"dropping-particle":"","family":"Espinazo","given":"Marisa","non-dropping-particle":"","parse-names":false,"suffix":""},{"dropping-particle":"","family":"Moreno","given":"Francisco","non-dropping-particle":"","parse-names":false,"suffix":""}],"container-title":"Annals of Allergy, Asthma and Immunology","id":"ITEM-2","issue":"4","issued":{"date-parts":[["2013"]]},"page":"295-297","publisher":"American College of Allergy, Asthma &amp; Immunology","title":"Measurement of IgE to pollen allergen components is helpful in selecting patients for immunotherapy","type":"article-journal","volume":"111"},"uris":["http://www.mendeley.com/documents/?uuid=7d87f3b3-9ecb-423e-b216-c23fc923a1fb"]},{"id":"ITEM-3","itemData":{"DOI":"10.1016/j.jaci.2015.05.023","ISSN":"10976825","PMID":"26141262","abstract":"Background Allergen immunotherapy is an effective treatment of allergic rhinoconjunctivitis. Clinical efficacy is associated with improvement of basophil sensitivity and an increase in allergen-specific immunoglobulin concentration. Objective We sought to determine whether changes in allergen component-specific serum IgE and IgG4 levels during the updosing phase of subcutaneous immunotherapy (SCIT) are biomarkers of the immunologic changes that can lead to treatment efficacy. Methods Twenty-four subjects with grass pollen-induced allergic rhinoconjunctivitis were randomized 3:1 to receive SCIT (Alutard SQ) or to an open control group. IgE and IgG4 concentrations were determined for the major allergens Phl p 1 or Phl p 5 by using ImmunoCAP and for 8 grass pollen molecules by using Immuno Solid-phase Allergy Chip (ISAC) before treatment and after updosing. Results Levels of specific IgE against the dominant major allergens Phl p 1 and Phl p 5 increased from a mean of 23.0 to 48.8 kU/L (P =.01, n = 18) during the updosing phase in ImmunoCAP measurements but decreased from a median of 4.6 ISAC specific units (ISU) to 2.14 ISU (P &lt;.0001, n = 102) when measured by using ISAC against 8 grass allergen components. The updosing phase induced a specific IgG4 level increase from a median of 0 ISU before treatment to 0.83 ISU after 12 weeks (P &lt;.0001, n = 102) but only for allergen molecules to which pretreatment-specific IgE antibodies were detected (Spearman σ = 0.72, P &lt;.0001, n = 102). Conclusion Pretreatment allergen component-specific IgE appears to determine the induction of IgG4 in the updosing phase. Induced IgG4 seems to suppress IgE levels on ISAC, resulting in a marked decrease in ISAC-measured specific IgE levels after updosing of SCIT. Thus this decrease in ISAC IgE levels can be used to monitor the blocking effect of allergen-specific immunotherapy-induced non-IgE antibodies.","author":[{"dropping-particle":"","family":"Schmid","given":"Johannes Martin","non-dropping-particle":"","parse-names":false,"suffix":""},{"dropping-particle":"","family":"Würtzen","given":"Peter Adler","non-dropping-particle":"","parse-names":false,"suffix":""},{"dropping-particle":"","family":"Dahl","given":"Ronald","non-dropping-particle":"","parse-names":false,"suffix":""},{"dropping-particle":"","family":"Hoffmann","given":"Hans Jürgen","non-dropping-particle":"","parse-names":false,"suffix":""}],"container-title":"Journal of Allergy and Clinical Immunology","id":"ITEM-3","issue":"2","issued":{"date-parts":[["2016"]]},"page":"562-570","title":"Pretreatment IgE sensitization patterns determine the molecular profile of the IgG4 response during updosing of subcutaneous immunotherapy with timothy grass pollen extract","type":"article-journal","volume":"137"},"uris":["http://www.mendeley.com/documents/?uuid=cf97cfc1-5377-4452-8316-d1946725203f"]}],"mendeley":{"formattedCitation":"[157,158,162]","plainTextFormattedCitation":"[157,158,162]","previouslyFormattedCitation":"[157,158,162]"},"properties":{"noteIndex":0},"schema":"https://github.com/citation-style-language/schema/raw/master/csl-citation.json"}</w:instrText>
      </w:r>
      <w:r w:rsidRPr="00437528">
        <w:rPr>
          <w:rFonts w:ascii="Times New Roman" w:eastAsia="Calibri" w:hAnsi="Times New Roman" w:cs="Times New Roman"/>
          <w:sz w:val="28"/>
          <w:szCs w:val="28"/>
        </w:rPr>
        <w:fldChar w:fldCharType="separate"/>
      </w:r>
      <w:r w:rsidR="004028FD" w:rsidRPr="004028FD">
        <w:rPr>
          <w:rFonts w:ascii="Times New Roman" w:eastAsia="Calibri" w:hAnsi="Times New Roman" w:cs="Times New Roman"/>
          <w:noProof/>
          <w:sz w:val="28"/>
          <w:szCs w:val="28"/>
        </w:rPr>
        <w:t>[157,158,162]</w:t>
      </w:r>
      <w:r w:rsidRPr="00437528">
        <w:rPr>
          <w:rFonts w:ascii="Times New Roman" w:eastAsia="Calibri" w:hAnsi="Times New Roman" w:cs="Times New Roman"/>
          <w:sz w:val="28"/>
          <w:szCs w:val="28"/>
        </w:rPr>
        <w:fldChar w:fldCharType="end"/>
      </w:r>
      <w:r w:rsidRPr="00437528">
        <w:rPr>
          <w:rFonts w:ascii="Times New Roman" w:eastAsia="Calibri" w:hAnsi="Times New Roman" w:cs="Times New Roman"/>
          <w:sz w:val="28"/>
          <w:szCs w:val="28"/>
        </w:rPr>
        <w:t xml:space="preserve">. Также мы можем обнаружить полисенсибилизацию у пациентов, что чаще является отягчающим фактором тяжести и неэффективности лечения аллергического заболевания </w:t>
      </w:r>
      <w:r w:rsidRPr="00437528">
        <w:rPr>
          <w:rFonts w:ascii="Times New Roman" w:eastAsia="Calibri" w:hAnsi="Times New Roman" w:cs="Times New Roman"/>
          <w:sz w:val="28"/>
          <w:szCs w:val="28"/>
        </w:rPr>
        <w:fldChar w:fldCharType="begin" w:fldLock="1"/>
      </w:r>
      <w:r w:rsidR="006B2D4C">
        <w:rPr>
          <w:rFonts w:ascii="Times New Roman" w:eastAsia="Calibri" w:hAnsi="Times New Roman" w:cs="Times New Roman"/>
          <w:sz w:val="28"/>
          <w:szCs w:val="28"/>
        </w:rPr>
        <w:instrText>ADDIN CSL_CITATION {"citationItems":[{"id":"ITEM-1","itemData":{"DOI":"10.1111/all.12474","ISSN":"01054538","PMID":"24988991","abstract":"Background: Grass and olive are the most frequently pollens that induce seasonal allergic rhinitis in Spain. Cross-reactivity due to panallergens shared by them and overlapping pollination complicates the recognition of allergy-causing agents, making it difficult to identify the most appropriate allergen immunotherapy (AIT) to use. The aim of this study was to determine the sensitization pattern to major grass and olive pollen allergens using component-resolved diagnostics in patients with seasonal allergic rhinitis (SAR) and positive skin prick test to grass and olive pollens and evaluate how knowledge of the sensitization patterns might influence AIT prescription. Methods: After informed written consent, a total of 1263 patients were recruited. A serum determination of specific IgE levels to Ole e 1 and Phl p 1 + 5 was performed to all patients. A comparison was made before and after obtaining the specific IgE results, and differences in diagnosis were stated. Results: At the 0.35 kU/l cut-off point, 71.2% of patients were positive to Ole e 1 and Phl p 1 + 5, 14% were positive only to Phl p 1 + 5 and 12% were positive only to Ole e 1. Based on available clinical data and skin prick test results, 922 (73%) patients would have been indicated for a mixture of grass and olive pollens for AIT. In 56.8% of patients, there was non-coincidence in the composition of AIT that would be selected before and after investigators received the in vitro data. Conclusion: The diagnostic accuracy of the recombinant allergen-specific IgE test could help to improve the selection of specific-allergen immunotherapy in polysensitized patients.","author":[{"dropping-particle":"","family":"Moreno","given":"C.","non-dropping-particle":"","parse-names":false,"suffix":""},{"dropping-particle":"","family":"Justicia","given":"J. L.","non-dropping-particle":"","parse-names":false,"suffix":""},{"dropping-particle":"","family":"Quiralte","given":"J.","non-dropping-particle":"","parse-names":false,"suffix":""},{"dropping-particle":"","family":"Moreno-Ancillo","given":"Á.","non-dropping-particle":"","parse-names":false,"suffix":""},{"dropping-particle":"","family":"Iglesias-Cadarso","given":"A.","non-dropping-particle":"","parse-names":false,"suffix":""},{"dropping-particle":"","family":"Torrecillas","given":"M.","non-dropping-particle":"","parse-names":false,"suffix":""},{"dropping-particle":"","family":"Labarta","given":"N.","non-dropping-particle":"","parse-names":false,"suffix":""},{"dropping-particle":"","family":"García","given":"M. A.","non-dropping-particle":"","parse-names":false,"suffix":""},{"dropping-particle":"","family":"Dávila","given":"I.","non-dropping-particle":"","parse-names":false,"suffix":""}],"container-title":"Allergy","id":"ITEM-1","issue":"10","issued":{"date-parts":[["2014","10"]]},"page":"1357-1363","title":"Olive, grass or both? Molecular diagnosis for the allergen immunotherapy selection in polysensitized pollinic patients","type":"article-journal","volume":"69"},"uris":["http://www.mendeley.com/documents/?uuid=9942324f-7d55-4f67-8c42-468a24beb2ce"]},{"id":"ITEM-2","itemData":{"DOI":"10.3892/etm.2021.9957","ISSN":"1792-0981","abstract":"The aim of the present study was to determine the pattern of symptoms of ragweed pollen-induced allergic disease in sensitized patients from Romania and to compare the molecular diagnosis of allergy with the skin prick test, in order to better characterize allergic patients and to guide therapy. A total of 97 subjects, including patients with ragweed pollen-induced allergic rhinoconjunctivitis with/without asthma, as well as healthy controls, were recruited prospectively in one ragweed pollen season, submitted to allergy questionnaires, skin prick tests and multiplex specific IgE (immunoglobulin E) measurement by ImmunoCAP ISAC (ImmunoCAP Immuno-Solid phase Allergy Chip) assay. A total of 83 patients were sensitized to ragweed pollen. Most patients (73%) were diagnosed with moderate-severe intermittent allergic rhinoconjunctivitis and 25% of the patients also had allergic asthma. The most common symptoms were watery rhinorrhea (91.57%), nasal obstruction (86.75%), and sneezing (85.54%). Most patients were polysensitized (62.65%), especially to other pollens, house dust mites and animal danders. Only 90% of the patients with positive skin prick test to ragweed pollen extract also had increased specific serum IgE to Amb a 1. Current options for specific molecular diagnosis of ragweed allergy are limited, as they only contain one or few of the sensitizing allergens present in ragweed pollen. An improved component-resolved diagnosis, using several ragweed pollen allergens, is required for better patient characterization and subsequent selection of an appropriate allergen immunotherapy product, thereby enabling a more personalized approach to the management of the ragweed-allergic patient.","author":[{"dropping-particle":"","family":"Haidar","given":"Laura","non-dropping-particle":"","parse-names":false,"suffix":""},{"dropping-particle":"","family":"Tamas","given":"Tudor-Paul","non-dropping-particle":"","parse-names":false,"suffix":""},{"dropping-particle":"","family":"Stolz","given":"Frank","non-dropping-particle":"","parse-names":false,"suffix":""},{"dropping-particle":"","family":"Petrisor Patrascu","given":"Raul Florian","non-dropping-particle":"","parse-names":false,"suffix":""},{"dropping-particle":"","family":"Chen","given":"Kuan-Wei","non-dropping-particle":"","parse-names":false,"suffix":""},{"dropping-particle":"","family":"Panaitescu","given":"Carmen","non-dropping-particle":"","parse-names":false,"suffix":""}],"container-title":"Experimental and Therapeutic Medicine","id":"ITEM-2","issue":"5","issued":{"date-parts":[["2021"]]},"page":"1-10","title":"Symptom patterns and comparison of diagnostic methods in ragweed pollen allergy","type":"article-journal","volume":"21"},"uris":["http://www.mendeley.com/documents/?uuid=12e7d411-4320-4619-9116-534de280aff2"]}],"mendeley":{"formattedCitation":"[159,167]","plainTextFormattedCitation":"[159,167]","previouslyFormattedCitation":"[159,167]"},"properties":{"noteIndex":0},"schema":"https://github.com/citation-style-language/schema/raw/master/csl-citation.json"}</w:instrText>
      </w:r>
      <w:r w:rsidRPr="00437528">
        <w:rPr>
          <w:rFonts w:ascii="Times New Roman" w:eastAsia="Calibri" w:hAnsi="Times New Roman" w:cs="Times New Roman"/>
          <w:sz w:val="28"/>
          <w:szCs w:val="28"/>
        </w:rPr>
        <w:fldChar w:fldCharType="separate"/>
      </w:r>
      <w:r w:rsidR="004028FD" w:rsidRPr="004028FD">
        <w:rPr>
          <w:rFonts w:ascii="Times New Roman" w:eastAsia="Calibri" w:hAnsi="Times New Roman" w:cs="Times New Roman"/>
          <w:noProof/>
          <w:sz w:val="28"/>
          <w:szCs w:val="28"/>
        </w:rPr>
        <w:t>[159,167]</w:t>
      </w:r>
      <w:r w:rsidRPr="00437528">
        <w:rPr>
          <w:rFonts w:ascii="Times New Roman" w:eastAsia="Calibri" w:hAnsi="Times New Roman" w:cs="Times New Roman"/>
          <w:sz w:val="28"/>
          <w:szCs w:val="28"/>
        </w:rPr>
        <w:fldChar w:fldCharType="end"/>
      </w:r>
      <w:r w:rsidRPr="00437528">
        <w:rPr>
          <w:rFonts w:ascii="Times New Roman" w:eastAsia="Calibri" w:hAnsi="Times New Roman" w:cs="Times New Roman"/>
          <w:sz w:val="28"/>
          <w:szCs w:val="28"/>
        </w:rPr>
        <w:t xml:space="preserve">. </w:t>
      </w:r>
    </w:p>
    <w:p w14:paraId="0F15B3E7" w14:textId="77777777" w:rsidR="00437528" w:rsidRPr="00437528" w:rsidRDefault="00437528" w:rsidP="00437528">
      <w:pPr>
        <w:spacing w:after="0" w:line="276" w:lineRule="auto"/>
        <w:ind w:firstLine="567"/>
        <w:jc w:val="both"/>
        <w:rPr>
          <w:rFonts w:ascii="Times New Roman" w:eastAsia="Calibri" w:hAnsi="Times New Roman" w:cs="Times New Roman"/>
          <w:sz w:val="28"/>
          <w:szCs w:val="28"/>
        </w:rPr>
      </w:pPr>
    </w:p>
    <w:p w14:paraId="4EA35C24" w14:textId="77777777" w:rsidR="00437528" w:rsidRPr="00311DF0" w:rsidRDefault="00437528" w:rsidP="00311DF0">
      <w:pPr>
        <w:spacing w:after="0" w:line="240" w:lineRule="auto"/>
        <w:ind w:firstLine="567"/>
        <w:jc w:val="both"/>
        <w:rPr>
          <w:rFonts w:ascii="Times New Roman" w:eastAsia="Calibri" w:hAnsi="Times New Roman" w:cs="Times New Roman"/>
          <w:i/>
          <w:sz w:val="28"/>
          <w:szCs w:val="28"/>
        </w:rPr>
      </w:pPr>
      <w:r w:rsidRPr="00311DF0">
        <w:rPr>
          <w:rFonts w:ascii="Times New Roman" w:eastAsia="Calibri" w:hAnsi="Times New Roman" w:cs="Times New Roman"/>
          <w:i/>
          <w:sz w:val="28"/>
          <w:szCs w:val="28"/>
        </w:rPr>
        <w:t>Эффективность молекулярной диагностики аллергенов для использования в АСИТ</w:t>
      </w:r>
    </w:p>
    <w:p w14:paraId="6C12A5E5" w14:textId="49991F25" w:rsidR="00437528" w:rsidRPr="00437528" w:rsidRDefault="00437528" w:rsidP="00311DF0">
      <w:pPr>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 xml:space="preserve">Использование МАД влияет на выбор аллергенов для АСИТ по крайней мере в 50 % случаев </w:t>
      </w:r>
      <w:r w:rsidRPr="00437528">
        <w:rPr>
          <w:rFonts w:ascii="Times New Roman" w:eastAsia="Calibri" w:hAnsi="Times New Roman" w:cs="Times New Roman"/>
          <w:sz w:val="28"/>
          <w:szCs w:val="28"/>
        </w:rPr>
        <w:fldChar w:fldCharType="begin" w:fldLock="1"/>
      </w:r>
      <w:r w:rsidR="006B2D4C">
        <w:rPr>
          <w:rFonts w:ascii="Times New Roman" w:eastAsia="Calibri" w:hAnsi="Times New Roman" w:cs="Times New Roman"/>
          <w:sz w:val="28"/>
          <w:szCs w:val="28"/>
        </w:rPr>
        <w:instrText>ADDIN CSL_CITATION {"citationItems":[{"id":"ITEM-1","itemData":{"DOI":"10.1111/j.1398-9995.2012.02808.x","ISBN":"3491549949","ISSN":"01054538","PMID":"22379958","abstract":"Background: The identification of disease-eliciting allergens is a prerequisite for accurate prescription of allergen-specific immunotherapy (SIT). The aim of this study was to determine whether molecular diagnosis (MD) may change indication and allergen prescription of SIT. Methods: A total of 141 patients with allergic rhinoconjunctivitis and/or asthma sensitized to pollen with or without concomitant food allergy were included. Skin prick testing with a panel of aeroallergens and a microarray-based panel of allergens (ISAC®; Phadia, Sweden) was performed in all patients. Prior to learning the results of molecular diagnosis, three of the authors reached a consensus on the indication of SIT and use of allergens following EAACI recommendations, basing their judgment on clinical history and skin prick test results before and after obtaining the ISAC results. The agreement coefficient (kappa index) was used to analyze the results. Results: Fifty-nine percent of the patients were women with a mean age of 31 ± 13.63. Agreement in SIT indication before and after ISAC® results was found in only 62 (46%) patients (kappa = 0.1057 ± 0.0413). Concerning allergens used in the most common prescriptions before and after MD results, we obtained the following results: κ = 0.117 ± 0.0825 for grass; κ = 0.1624 ± 0.0639 for olive; κ = 0.0505 ± 0.0548 for olive and grass; κ = 0.1711 ± 0.0471 for grass and cypress; κ = 0.1897 ± 0.0493 for grass and London plane; κ = 1 ± 0.0842 for olive and cypress, and κ = 0.3586 ± 0.0798 for other combinations. Conclusions: There was very low agreement concerning indication and use of allergens for SIT before and after performing MD. This discrepancy emphasizes the usefulness of MD, at least in areas of complex sensitization to pollen, in determining correct indication of SIT. © 2012 John Wiley &amp; Sons A/S.","author":[{"dropping-particle":"","family":"Sastre","given":"Joaquín","non-dropping-particle":"","parse-names":false,"suffix":""},{"dropping-particle":"","family":"Landivar","given":"M. E.","non-dropping-particle":"","parse-names":false,"suffix":""},{"dropping-particle":"","family":"Ruiz-García","given":"M.","non-dropping-particle":"","parse-names":false,"suffix":""},{"dropping-particle":"V.","family":"Andregnette-Rosigno","given":"M.","non-dropping-particle":"","parse-names":false,"suffix":""},{"dropping-particle":"","family":"Mahillo","given":"I.","non-dropping-particle":"","parse-names":false,"suffix":""}],"container-title":"Allergy","id":"ITEM-1","issue":"5","issued":{"date-parts":[["2012","5"]]},"page":"709-711","title":"How molecular diagnosis can change allergen-specific immunotherapy prescription in a complex pollen area","type":"article-journal","volume":"67"},"uris":["http://www.mendeley.com/documents/?uuid=69ab2770-e46c-446d-8099-1317f4fd7426"]},{"id":"ITEM-2","itemData":{"DOI":"10.1016/j.anai.2013.07.005","ISSN":"10811206","PMID":"24054367","abstract":"Background Pollen allergy still represents an important cause of allergic morbidity worldwide. Accurate diagnostic methods are important to determine the disease-causing allergen. Objective To describe the sensitization patterns of patients with spring pollinosis and to make a real-life evaluation of the usefulness of a predetermined IgE molecular profile compared with other sensitization methods for choosing the composition of immunotherapy. Methods One hundred seventy-five patients with a diagnosis of spring pollinosis completed a skin prick test study with Olea europaea, Phleum pratense, palm profilin, and peach peel and an in vitro study of the application of a specific recombinant IgE protocol (nOle e1, rPhl p1-5b, rPhl p12, rPhl p7, and rPru p3). Immunotherapy using the 2 methods was compared. Results A high sensitization to nOle e1 and rPhl p1-5b was found. Profilin, polcalcin, and lipid transfer proteins seemed irrelevant for the differential diagnosis of olea and grass pollen sensitization in the most southern area of the Iberian Peninsula. Application of the component resolved the diagnosis, and the choice of immunotherapy was changed in more than 50% of patients. Conclusion These results support the necessity of the habitual use of this kind of protocol in routine allergologic practice. © 2013 American College of Allergy, Asthma &amp; Immunology. Published by Elsevier Inc. All rights reserved.","author":[{"dropping-particle":"","family":"Letrán","given":"Antonio","non-dropping-particle":"","parse-names":false,"suffix":""},{"dropping-particle":"","family":"Espinazo","given":"Marisa","non-dropping-particle":"","parse-names":false,"suffix":""},{"dropping-particle":"","family":"Moreno","given":"Francisco","non-dropping-particle":"","parse-names":false,"suffix":""}],"container-title":"Annals of Allergy, Asthma and Immunology","id":"ITEM-2","issue":"4","issued":{"date-parts":[["2013"]]},"page":"295-297","publisher":"American College of Allergy, Asthma &amp; Immunology","title":"Measurement of IgE to pollen allergen components is helpful in selecting patients for immunotherapy","type":"article-journal","volume":"111"},"uris":["http://www.mendeley.com/documents/?uuid=7d87f3b3-9ecb-423e-b216-c23fc923a1fb"]},{"id":"ITEM-3","itemData":{"DOI":"10.1111/all.12474","ISSN":"01054538","PMID":"24988991","abstract":"Background: Grass and olive are the most frequently pollens that induce seasonal allergic rhinitis in Spain. Cross-reactivity due to panallergens shared by them and overlapping pollination complicates the recognition of allergy-causing agents, making it difficult to identify the most appropriate allergen immunotherapy (AIT) to use. The aim of this study was to determine the sensitization pattern to major grass and olive pollen allergens using component-resolved diagnostics in patients with seasonal allergic rhinitis (SAR) and positive skin prick test to grass and olive pollens and evaluate how knowledge of the sensitization patterns might influence AIT prescription. Methods: After informed written consent, a total of 1263 patients were recruited. A serum determination of specific IgE levels to Ole e 1 and Phl p 1 + 5 was performed to all patients. A comparison was made before and after obtaining the specific IgE results, and differences in diagnosis were stated. Results: At the 0.35 kU/l cut-off point, 71.2% of patients were positive to Ole e 1 and Phl p 1 + 5, 14% were positive only to Phl p 1 + 5 and 12% were positive only to Ole e 1. Based on available clinical data and skin prick test results, 922 (73%) patients would have been indicated for a mixture of grass and olive pollens for AIT. In 56.8% of patients, there was non-coincidence in the composition of AIT that would be selected before and after investigators received the in vitro data. Conclusion: The diagnostic accuracy of the recombinant allergen-specific IgE test could help to improve the selection of specific-allergen immunotherapy in polysensitized patients.","author":[{"dropping-particle":"","family":"Moreno","given":"C.","non-dropping-particle":"","parse-names":false,"suffix":""},{"dropping-particle":"","family":"Justicia","given":"J. L.","non-dropping-particle":"","parse-names":false,"suffix":""},{"dropping-particle":"","family":"Quiralte","given":"J.","non-dropping-particle":"","parse-names":false,"suffix":""},{"dropping-particle":"","family":"Moreno-Ancillo","given":"Á.","non-dropping-particle":"","parse-names":false,"suffix":""},{"dropping-particle":"","family":"Iglesias-Cadarso","given":"A.","non-dropping-particle":"","parse-names":false,"suffix":""},{"dropping-particle":"","family":"Torrecillas","given":"M.","non-dropping-particle":"","parse-names":false,"suffix":""},{"dropping-particle":"","family":"Labarta","given":"N.","non-dropping-particle":"","parse-names":false,"suffix":""},{"dropping-particle":"","family":"García","given":"M. A.","non-dropping-particle":"","parse-names":false,"suffix":""},{"dropping-particle":"","family":"Dávila","given":"I.","non-dropping-particle":"","parse-names":false,"suffix":""}],"container-title":"Allergy","id":"ITEM-3","issue":"10","issued":{"date-parts":[["2014","10"]]},"page":"1357-1363","title":"Olive, grass or both? Molecular diagnosis for the allergen immunotherapy selection in polysensitized pollinic patients","type":"article-journal","volume":"69"},"uris":["http://www.mendeley.com/documents/?uuid=9942324f-7d55-4f67-8c42-468a24beb2ce"]},{"id":"ITEM-4","itemData":{"DOI":"10.1111/cea.12303","ISSN":"13652222","PMID":"24598010","abstract":"Background: Data on molecular allergy diagnostics in adults with grass pollen allergy with regard to conjunctival and nasal provocation test outcome and specific immunotherapy are lacking to date. Objective: To assess whether molecular allergy diagnostics for grass pollen allergens could help with predicting provocation test outcomes and serve as a basis for future component-resolved specific immunotherapy. Methods: Sera of 101 adults with grass pollen allergy was analysed for IgE against timothy grass pollen (Phleum pratense), rPhl p 1, rPhl p 2, nPhl p 4, rPhl p 5b, rPhl p 6, rPhl p 7, rPhl p 11 and rPhl p12 and correlated with the individuals' outcome in the nasal and conjunctival provocation tests and investigated in regard to a potential component-resolved specific immunotherapy. Results: An increasing number of sensitizations to timothy grass allergens was correlated to a positive reaction in the conjunctival (4.9 vs. 3.6, P = 0.003) and nasal provocation tests (4.5 vs. 2.2, P = 0.0175). In molecular sensitization profiles, a substantial heterogeneity was detected, with none of the patients exactly matching the allergen composition of a previously published component-resolved specific immunotherapy containing Phl p 1, Phl p 2, Phl p 5a/b and Phl p 6. The results indicate that in 95% of the patients, a proportion of 50% of timothy-IgE would be targeted with such a specific immunotherapy, while in 50% and 10% of patients, 80% and 90% of timothy-IgE would be targeted, respectively. Conclusion and Clinical Relevance: Molecular allergy diagnostics is a prerequisite for future component-resolved specific immunotherapy due to the high heterogeneity of sensitization profiles. However, of current clinical relevance is the observed correlation between the number of sensitizations and provocation test outcome. © 2014 John Wiley &amp; Sons Ltd.","author":[{"dropping-particle":"","family":"Darsow","given":"U.","non-dropping-particle":"","parse-names":false,"suffix":""},{"dropping-particle":"","family":"Brockow","given":"K.","non-dropping-particle":"","parse-names":false,"suffix":""},{"dropping-particle":"","family":"Pfab","given":"F.","non-dropping-particle":"","parse-names":false,"suffix":""},{"dropping-particle":"","family":"Jakob","given":"T.","non-dropping-particle":"","parse-names":false,"suffix":""},{"dropping-particle":"","family":"Petersson","given":"C. J.","non-dropping-particle":"","parse-names":false,"suffix":""},{"dropping-particle":"","family":"Borres","given":"M. P.","non-dropping-particle":"","parse-names":false,"suffix":""},{"dropping-particle":"","family":"Ring","given":"J.","non-dropping-particle":"","parse-names":false,"suffix":""},{"dropping-particle":"","family":"Behrendt","given":"H.","non-dropping-particle":"","parse-names":false,"suffix":""},{"dropping-particle":"","family":"Huss-Marp","given":"J.","non-dropping-particle":"","parse-names":false,"suffix":""}],"container-title":"Clinical and Experimental Allergy","id":"ITEM-4","issue":"5","issued":{"date-parts":[["2014"]]},"page":"778-786","title":"Heterogeneity of molecular sensitization profiles in grass pollen allergy - implications for immunotherapy?","type":"article-journal","volume":"44"},"uris":["http://www.mendeley.com/documents/?uuid=a111f5d1-d419-42d7-9e90-94382be65170"]},{"id":"ITEM-5","itemData":{"DOI":"10.1111/ijlh.12426","ISSN":"1751553X","PMID":"26362346","abstract":"Introduction: D-dimer assay, generally evaluated according to cutoff points calibrated for VTE exclusion, is used to estimate the individual risk of recurrence after a first idiopathic event of venous thromboembolism (VTE). Methods: Commercial D-dimer assays, evaluated according to predetermined cutoff levels for each assay, specific for age (lower in subjects &lt;70 years) and gender (lower in males), were used in the recent DULCIS study. The present analysis compared the results obtained in the DULCIS with those that might have been had using the following different cutoff criteria: traditional cutoff for VTE exclusion, higher levels in subjects aged ≥60 years, or age multiplied by 10. Results: In young subjects, the DULCIS low cutoff levels resulted in half the recurrent events that would have occurred using the other criteria. In elderly patients, the DULCIS results were similar to those calculated for the two age-adjusted criteria. The adoption of traditional VTE exclusion criteria would have led to positive results in the large majority of elderly subjects, without a significant reduction in the rate of recurrent event. Conclusion: The results confirm the usefulness of the cutoff levels used in DULCIS.","author":[{"dropping-particle":"","family":"Martinez-Cañavate A, Torres Borrego J, Molina Terán AB; Corzo Higueras JL, García Figueroa BE, Rodríguez Pacheco R, Moreno Aguilar C","given":"Dávila I.","non-dropping-particle":"","parse-names":false,"suffix":""}],"container-title":"International Journal of Laboratory Hematology","id":"ITEM-5","issue":"4","issued":{"date-parts":[["2018"]]},"page":"369-374","title":"Molecular sensitization patterns and influence of molecular diagnosis in immunotherapy prescription in children sensitized to both grass and olive pollen","type":"article-journal","volume":"29"},"uris":["http://www.mendeley.com/documents/?uuid=96f922f0-30d7-4160-9d98-d87e9b0bb75e"]},{"id":"ITEM-6","itemData":{"DOI":"10.1016/j.aller.2018.03.002","ISSN":"15781267","PMID":"30017214","abstract":"Introduction: Specific immunotherapy (SIT) is used to treat asthma and allergic rhinitis, and a dose–response relationship has been found for SIT efficacy, creating a need to accurately select the allergen used in therapy. This need is especially pronounced in poly-sensitized children living in areas where different pollen allergen sources coexist in the same season, as this circumstance complicates diagnostic efforts. In such cases, component-resolved diagnosis (CRD) can increase diagnostic accuracy and aid in SIT prescription. Materials and Methods: We hypothesized that CRD results would lead to modifications in classical immunotherapy prescription based on sources such as medical history, season of symptom presentation, and skin testing. We studied a sample of children indicated for immunotherapy in whom classical methods had not pointed out the most relevant allergen due to sensitization to more than two pollens. We used a small panel of recombinant allergens, analyzing the percentage of changes to prescription considering the findings of molecular studies. Results: Of the 70 children included, CRD led to modified immunotherapy prescription in 54.3%. Indications of single-allergen therapy increased from 18% to 51% when CRD was included. The decision to prescribe immunotherapy was reversed following CRD in 9.3% of cases. Discussion: CRD use alters the choice of specific immunotherapy in poly-sensitized children. A wide panel of recombinant allergens may not be necessary to improve immunotherapy indication using molecular techniques; rather, a smaller panel adapted to include those allergens prevalent in the geographical area in question appears to be sufficient for more effective immunotherapy, also leading to an improved cost–benefit ratio.","author":[{"dropping-particle":"","family":"Del-Río Camacho","given":"G.","non-dropping-particle":"","parse-names":false,"suffix":""},{"dropping-particle":"","family":"Montes Arjona","given":"A. M.","non-dropping-particle":"","parse-names":false,"suffix":""},{"dropping-particle":"","family":"Fernández-Cantalejo Padial","given":"J.","non-dropping-particle":"","parse-names":false,"suffix":""},{"dropping-particle":"","family":"Rodríguez Catalán","given":"J.","non-dropping-particle":"","parse-names":false,"suffix":""}],"container-title":"Allergologia et Immunopathologia","id":"ITEM-6","issue":"6","issued":{"date-parts":[["2018"]]},"page":"552-556","publisher":"SEICAP","title":"How molecular diagnosis may modify immunotherapy prescription in multi-sensitized pollen-allergic children","type":"article-journal","volume":"46"},"uris":["http://www.mendeley.com/documents/?uuid=2a2fa212-f07d-4744-aa47-9855b75d0df5"]},{"id":"ITEM-7","itemData":{"DOI":"10.3892/etm.2021.9957","ISSN":"1792-0981","abstract":"The aim of the present study was to determine the pattern of symptoms of ragweed pollen-induced allergic disease in sensitized patients from Romania and to compare the molecular diagnosis of allergy with the skin prick test, in order to better characterize allergic patients and to guide therapy. A total of 97 subjects, including patients with ragweed pollen-induced allergic rhinoconjunctivitis with/without asthma, as well as healthy controls, were recruited prospectively in one ragweed pollen season, submitted to allergy questionnaires, skin prick tests and multiplex specific IgE (immunoglobulin E) measurement by ImmunoCAP ISAC (ImmunoCAP Immuno-Solid phase Allergy Chip) assay. A total of 83 patients were sensitized to ragweed pollen. Most patients (73%) were diagnosed with moderate-severe intermittent allergic rhinoconjunctivitis and 25% of the patients also had allergic asthma. The most common symptoms were watery rhinorrhea (91.57%), nasal obstruction (86.75%), and sneezing (85.54%). Most patients were polysensitized (62.65%), especially to other pollens, house dust mites and animal danders. Only 90% of the patients with positive skin prick test to ragweed pollen extract also had increased specific serum IgE to Amb a 1. Current options for specific molecular diagnosis of ragweed allergy are limited, as they only contain one or few of the sensitizing allergens present in ragweed pollen. An improved component-resolved diagnosis, using several ragweed pollen allergens, is required for better patient characterization and subsequent selection of an appropriate allergen immunotherapy product, thereby enabling a more personalized approach to the management of the ragweed-allergic patient.","author":[{"dropping-particle":"","family":"Haidar","given":"Laura","non-dropping-particle":"","parse-names":false,"suffix":""},{"dropping-particle":"","family":"Tamas","given":"Tudor-Paul","non-dropping-particle":"","parse-names":false,"suffix":""},{"dropping-particle":"","family":"Stolz","given":"Frank","non-dropping-particle":"","parse-names":false,"suffix":""},{"dropping-particle":"","family":"Petrisor Patrascu","given":"Raul Florian","non-dropping-particle":"","parse-names":false,"suffix":""},{"dropping-particle":"","family":"Chen","given":"Kuan-Wei","non-dropping-particle":"","parse-names":false,"suffix":""},{"dropping-particle":"","family":"Panaitescu","given":"Carmen","non-dropping-particle":"","parse-names":false,"suffix":""}],"container-title":"Experimental and Therapeutic Medicine","id":"ITEM-7","issue":"5","issued":{"date-parts":[["2021"]]},"page":"1-10","title":"Symptom patterns and comparison of diagnostic methods in ragweed pollen allergy","type":"article-journal","volume":"21"},"uris":["http://www.mendeley.com/documents/?uuid=12e7d411-4320-4619-9116-534de280aff2"]},{"id":"ITEM-8","itemData":{"DOI":"10.1016/j.jaci.2014.01.042","author":[{"dropping-particle":"","family":"Stringari","given":"Giovanna","non-dropping-particle":"","parse-names":false,"suffix":""},{"dropping-particle":"","family":"Tripodi","given":"Salvatore","non-dropping-particle":"","parse-names":false,"suffix":""},{"dropping-particle":"","family":"Caffarelli","given":"Carlo","non-dropping-particle":"","parse-names":false,"suffix":""},{"dropping-particle":"","family":"Dondi","given":"Arianna","non-dropping-particle":"","parse-names":false,"suffix":""},{"dropping-particle":"","family":"Asero","given":"Riccardo","non-dropping-particle":"","parse-names":false,"suffix":""},{"dropping-particle":"","family":"Bellini","given":"Federica","non-dropping-particle":"","parse-names":false,"suffix":""},{"dropping-particle":"","family":"Maiello","given":"Nunzia","non-dropping-particle":"","parse-names":false,"suffix":""},{"dropping-particle":"","family":"Frediani","given":"Tullio","non-dropping-particle":"","parse-names":false,"suffix":""},{"dropping-particle":"","family":"Peparini","given":"Ilaria","non-dropping-particle":"","parse-names":false,"suffix":""},{"dropping-particle":"","family":"Dascola","given":"Povesi","non-dropping-particle":"","parse-names":false,"suffix":""},{"dropping-particle":"","family":"Patria","given":"Maria Francesca","non-dropping-particle":"","parse-names":false,"suffix":""},{"dropping-particle":"","family":"Varin","given":"Elena","non-dropping-particle":"","parse-names":false,"suffix":""},{"dropping-particle":"","family":"Peroni","given":"Diego","non-dropping-particle":"","parse-names":false,"suffix":""},{"dropping-particle":"","family":"Comberiati","given":"Pasquale","non-dropping-particle":"","parse-names":false,"suffix":""},{"dropping-particle":"","family":"Chini","given":"Loredana","non-dropping-particle":"","parse-names":false,"suffix":""},{"dropping-particle":"","family":"Moschese","given":"Viviana","non-dropping-particle":"","parse-names":false,"suffix":""},{"dropping-particle":"","family":"Lucarelli","given":"Sandra","non-dropping-particle":"","parse-names":false,"suffix":""},{"dropping-particle":"","family":"Bernardini","given":"Roberto","non-dropping-particle":"","parse-names":false,"suffix":""},{"dropping-particle":"","family":"Pingitore","given":"Giuseppe","non-dropping-particle":"","parse-names":false,"suffix":""},{"dropping-particle":"","family":"Pelosi","given":"Umberto","non-dropping-particle":"","parse-names":false,"suffix":""},{"dropping-particle":"","family":"Tosca","given":"Mariangela","non-dropping-particle":"","parse-names":false,"suffix":""},{"dropping-particle":"","family":"Cirisano","given":"Anastasia","non-dropping-particle":"","parse-names":false,"suffix":""},{"dropping-particle":"","family":"Faggian","given":"Diego","non-dropping-particle":"","parse-names":false,"suffix":""},{"dropping-particle":"","family":"Sci","given":"Biol","non-dropping-particle":"","parse-names":false,"suffix":""}],"id":"ITEM-8","issued":{"date-parts":[["0"]]},"page":"1-9","title":"The effect of component-resolved diagnosis on specific immunotherapy prescription in children with hay fever","type":"article-journal"},"uris":["http://www.mendeley.com/documents/?uuid=baba58ac-7080-4479-8a04-371f9ad2b5db"]}],"mendeley":{"formattedCitation":"[157–161,164,165,167]","plainTextFormattedCitation":"[157–161,164,165,167]","previouslyFormattedCitation":"[157–161,164,165,167]"},"properties":{"noteIndex":0},"schema":"https://github.com/citation-style-language/schema/raw/master/csl-citation.json"}</w:instrText>
      </w:r>
      <w:r w:rsidRPr="00437528">
        <w:rPr>
          <w:rFonts w:ascii="Times New Roman" w:eastAsia="Calibri" w:hAnsi="Times New Roman" w:cs="Times New Roman"/>
          <w:sz w:val="28"/>
          <w:szCs w:val="28"/>
        </w:rPr>
        <w:fldChar w:fldCharType="separate"/>
      </w:r>
      <w:r w:rsidR="004028FD" w:rsidRPr="004028FD">
        <w:rPr>
          <w:rFonts w:ascii="Times New Roman" w:eastAsia="Calibri" w:hAnsi="Times New Roman" w:cs="Times New Roman"/>
          <w:noProof/>
          <w:sz w:val="28"/>
          <w:szCs w:val="28"/>
        </w:rPr>
        <w:t>[157–161,164,165,167]</w:t>
      </w:r>
      <w:r w:rsidRPr="00437528">
        <w:rPr>
          <w:rFonts w:ascii="Times New Roman" w:eastAsia="Calibri" w:hAnsi="Times New Roman" w:cs="Times New Roman"/>
          <w:sz w:val="28"/>
          <w:szCs w:val="28"/>
        </w:rPr>
        <w:fldChar w:fldCharType="end"/>
      </w:r>
      <w:r w:rsidRPr="00437528">
        <w:rPr>
          <w:rFonts w:ascii="Times New Roman" w:eastAsia="Calibri" w:hAnsi="Times New Roman" w:cs="Times New Roman"/>
          <w:sz w:val="28"/>
          <w:szCs w:val="28"/>
        </w:rPr>
        <w:t xml:space="preserve">. Это имеет большое значение для пациентов с полисенсибилизацией, поскольку точный выбор панели аллергенов обеспечивает не только клинические преимущества, но и экономические </w:t>
      </w:r>
      <w:r w:rsidRPr="00437528">
        <w:rPr>
          <w:rFonts w:ascii="Times New Roman" w:eastAsia="Calibri" w:hAnsi="Times New Roman" w:cs="Times New Roman"/>
          <w:sz w:val="28"/>
          <w:szCs w:val="28"/>
        </w:rPr>
        <w:fldChar w:fldCharType="begin" w:fldLock="1"/>
      </w:r>
      <w:r w:rsidR="006B2D4C">
        <w:rPr>
          <w:rFonts w:ascii="Times New Roman" w:eastAsia="Calibri" w:hAnsi="Times New Roman" w:cs="Times New Roman"/>
          <w:sz w:val="28"/>
          <w:szCs w:val="28"/>
        </w:rPr>
        <w:instrText>ADDIN CSL_CITATION {"citationItems":[{"id":"ITEM-1","itemData":{"DOI":"10.1111/j.1398-9995.2012.02808.x","ISBN":"3491549949","ISSN":"01054538","PMID":"22379958","abstract":"Background: The identification of disease-eliciting allergens is a prerequisite for accurate prescription of allergen-specific immunotherapy (SIT). The aim of this study was to determine whether molecular diagnosis (MD) may change indication and allergen prescription of SIT. Methods: A total of 141 patients with allergic rhinoconjunctivitis and/or asthma sensitized to pollen with or without concomitant food allergy were included. Skin prick testing with a panel of aeroallergens and a microarray-based panel of allergens (ISAC®; Phadia, Sweden) was performed in all patients. Prior to learning the results of molecular diagnosis, three of the authors reached a consensus on the indication of SIT and use of allergens following EAACI recommendations, basing their judgment on clinical history and skin prick test results before and after obtaining the ISAC results. The agreement coefficient (kappa index) was used to analyze the results. Results: Fifty-nine percent of the patients were women with a mean age of 31 ± 13.63. Agreement in SIT indication before and after ISAC® results was found in only 62 (46%) patients (kappa = 0.1057 ± 0.0413). Concerning allergens used in the most common prescriptions before and after MD results, we obtained the following results: κ = 0.117 ± 0.0825 for grass; κ = 0.1624 ± 0.0639 for olive; κ = 0.0505 ± 0.0548 for olive and grass; κ = 0.1711 ± 0.0471 for grass and cypress; κ = 0.1897 ± 0.0493 for grass and London plane; κ = 1 ± 0.0842 for olive and cypress, and κ = 0.3586 ± 0.0798 for other combinations. Conclusions: There was very low agreement concerning indication and use of allergens for SIT before and after performing MD. This discrepancy emphasizes the usefulness of MD, at least in areas of complex sensitization to pollen, in determining correct indication of SIT. © 2012 John Wiley &amp; Sons A/S.","author":[{"dropping-particle":"","family":"Sastre","given":"Joaquín","non-dropping-particle":"","parse-names":false,"suffix":""},{"dropping-particle":"","family":"Landivar","given":"M. E.","non-dropping-particle":"","parse-names":false,"suffix":""},{"dropping-particle":"","family":"Ruiz-García","given":"M.","non-dropping-particle":"","parse-names":false,"suffix":""},{"dropping-particle":"V.","family":"Andregnette-Rosigno","given":"M.","non-dropping-particle":"","parse-names":false,"suffix":""},{"dropping-particle":"","family":"Mahillo","given":"I.","non-dropping-particle":"","parse-names":false,"suffix":""}],"container-title":"Allergy","id":"ITEM-1","issue":"5","issued":{"date-parts":[["2012","5"]]},"page":"709-711","title":"How molecular diagnosis can change allergen-specific immunotherapy prescription in a complex pollen area","type":"article-journal","volume":"67"},"uris":["http://www.mendeley.com/documents/?uuid=69ab2770-e46c-446d-8099-1317f4fd7426"]},{"id":"ITEM-2","itemData":{"DOI":"10.1111/all.12474","ISSN":"01054538","PMID":"24988991","abstract":"Background: Grass and olive are the most frequently pollens that induce seasonal allergic rhinitis in Spain. Cross-reactivity due to panallergens shared by them and overlapping pollination complicates the recognition of allergy-causing agents, making it difficult to identify the most appropriate allergen immunotherapy (AIT) to use. The aim of this study was to determine the sensitization pattern to major grass and olive pollen allergens using component-resolved diagnostics in patients with seasonal allergic rhinitis (SAR) and positive skin prick test to grass and olive pollens and evaluate how knowledge of the sensitization patterns might influence AIT prescription. Methods: After informed written consent, a total of 1263 patients were recruited. A serum determination of specific IgE levels to Ole e 1 and Phl p 1 + 5 was performed to all patients. A comparison was made before and after obtaining the specific IgE results, and differences in diagnosis were stated. Results: At the 0.35 kU/l cut-off point, 71.2% of patients were positive to Ole e 1 and Phl p 1 + 5, 14% were positive only to Phl p 1 + 5 and 12% were positive only to Ole e 1. Based on available clinical data and skin prick test results, 922 (73%) patients would have been indicated for a mixture of grass and olive pollens for AIT. In 56.8% of patients, there was non-coincidence in the composition of AIT that would be selected before and after investigators received the in vitro data. Conclusion: The diagnostic accuracy of the recombinant allergen-specific IgE test could help to improve the selection of specific-allergen immunotherapy in polysensitized patients.","author":[{"dropping-particle":"","family":"Moreno","given":"C.","non-dropping-particle":"","parse-names":false,"suffix":""},{"dropping-particle":"","family":"Justicia","given":"J. L.","non-dropping-particle":"","parse-names":false,"suffix":""},{"dropping-particle":"","family":"Quiralte","given":"J.","non-dropping-particle":"","parse-names":false,"suffix":""},{"dropping-particle":"","family":"Moreno-Ancillo","given":"Á.","non-dropping-particle":"","parse-names":false,"suffix":""},{"dropping-particle":"","family":"Iglesias-Cadarso","given":"A.","non-dropping-particle":"","parse-names":false,"suffix":""},{"dropping-particle":"","family":"Torrecillas","given":"M.","non-dropping-particle":"","parse-names":false,"suffix":""},{"dropping-particle":"","family":"Labarta","given":"N.","non-dropping-particle":"","parse-names":false,"suffix":""},{"dropping-particle":"","family":"García","given":"M. A.","non-dropping-particle":"","parse-names":false,"suffix":""},{"dropping-particle":"","family":"Dávila","given":"I.","non-dropping-particle":"","parse-names":false,"suffix":""}],"container-title":"Allergy","id":"ITEM-2","issue":"10","issued":{"date-parts":[["2014","10"]]},"page":"1357-1363","title":"Olive, grass or both? Molecular diagnosis for the allergen immunotherapy selection in polysensitized pollinic patients","type":"article-journal","volume":"69"},"uris":["http://www.mendeley.com/documents/?uuid=9942324f-7d55-4f67-8c42-468a24beb2ce"]},{"id":"ITEM-3","itemData":{"DOI":"10.1111/ijlh.12426","ISSN":"1751553X","PMID":"26362346","abstract":"Introduction: D-dimer assay, generally evaluated according to cutoff points calibrated for VTE exclusion, is used to estimate the individual risk of recurrence after a first idiopathic event of venous thromboembolism (VTE). Methods: Commercial D-dimer assays, evaluated according to predetermined cutoff levels for each assay, specific for age (lower in subjects &lt;70 years) and gender (lower in males), were used in the recent DULCIS study. The present analysis compared the results obtained in the DULCIS with those that might have been had using the following different cutoff criteria: traditional cutoff for VTE exclusion, higher levels in subjects aged ≥60 years, or age multiplied by 10. Results: In young subjects, the DULCIS low cutoff levels resulted in half the recurrent events that would have occurred using the other criteria. In elderly patients, the DULCIS results were similar to those calculated for the two age-adjusted criteria. The adoption of traditional VTE exclusion criteria would have led to positive results in the large majority of elderly subjects, without a significant reduction in the rate of recurrent event. Conclusion: The results confirm the usefulness of the cutoff levels used in DULCIS.","author":[{"dropping-particle":"","family":"Martinez-Cañavate A, Torres Borrego J, Molina Terán AB; Corzo Higueras JL, García Figueroa BE, Rodríguez Pacheco R, Moreno Aguilar C","given":"Dávila I.","non-dropping-particle":"","parse-names":false,"suffix":""}],"container-title":"International Journal of Laboratory Hematology","id":"ITEM-3","issue":"4","issued":{"date-parts":[["2018"]]},"page":"369-374","title":"Molecular sensitization patterns and influence of molecular diagnosis in immunotherapy prescription in children sensitized to both grass and olive pollen","type":"article-journal","volume":"29"},"uris":["http://www.mendeley.com/documents/?uuid=96f922f0-30d7-4160-9d98-d87e9b0bb75e"]},{"id":"ITEM-4","itemData":{"DOI":"10.1016/j.aller.2018.03.002","ISSN":"15781267","PMID":"30017214","abstract":"Introduction: Specific immunotherapy (SIT) is used to treat asthma and allergic rhinitis, and a dose–response relationship has been found for SIT efficacy, creating a need to accurately select the allergen used in therapy. This need is especially pronounced in poly-sensitized children living in areas where different pollen allergen sources coexist in the same season, as this circumstance complicates diagnostic efforts. In such cases, component-resolved diagnosis (CRD) can increase diagnostic accuracy and aid in SIT prescription. Materials and Methods: We hypothesized that CRD results would lead to modifications in classical immunotherapy prescription based on sources such as medical history, season of symptom presentation, and skin testing. We studied a sample of children indicated for immunotherapy in whom classical methods had not pointed out the most relevant allergen due to sensitization to more than two pollens. We used a small panel of recombinant allergens, analyzing the percentage of changes to prescription considering the findings of molecular studies. Results: Of the 70 children included, CRD led to modified immunotherapy prescription in 54.3%. Indications of single-allergen therapy increased from 18% to 51% when CRD was included. The decision to prescribe immunotherapy was reversed following CRD in 9.3% of cases. Discussion: CRD use alters the choice of specific immunotherapy in poly-sensitized children. A wide panel of recombinant allergens may not be necessary to improve immunotherapy indication using molecular techniques; rather, a smaller panel adapted to include those allergens prevalent in the geographical area in question appears to be sufficient for more effective immunotherapy, also leading to an improved cost–benefit ratio.","author":[{"dropping-particle":"","family":"Del-Río Camacho","given":"G.","non-dropping-particle":"","parse-names":false,"suffix":""},{"dropping-particle":"","family":"Montes Arjona","given":"A. M.","non-dropping-particle":"","parse-names":false,"suffix":""},{"dropping-particle":"","family":"Fernández-Cantalejo Padial","given":"J.","non-dropping-particle":"","parse-names":false,"suffix":""},{"dropping-particle":"","family":"Rodríguez Catalán","given":"J.","non-dropping-particle":"","parse-names":false,"suffix":""}],"container-title":"Allergologia et Immunopathologia","id":"ITEM-4","issue":"6","issued":{"date-parts":[["2018"]]},"page":"552-556","publisher":"SEICAP","title":"How molecular diagnosis may modify immunotherapy prescription in multi-sensitized pollen-allergic children","type":"article-journal","volume":"46"},"uris":["http://www.mendeley.com/documents/?uuid=2a2fa212-f07d-4744-aa47-9855b75d0df5"]},{"id":"ITEM-5","itemData":{"DOI":"10.3892/etm.2021.9957","ISSN":"1792-0981","abstract":"The aim of the present study was to determine the pattern of symptoms of ragweed pollen-induced allergic disease in sensitized patients from Romania and to compare the molecular diagnosis of allergy with the skin prick test, in order to better characterize allergic patients and to guide therapy. A total of 97 subjects, including patients with ragweed pollen-induced allergic rhinoconjunctivitis with/without asthma, as well as healthy controls, were recruited prospectively in one ragweed pollen season, submitted to allergy questionnaires, skin prick tests and multiplex specific IgE (immunoglobulin E) measurement by ImmunoCAP ISAC (ImmunoCAP Immuno-Solid phase Allergy Chip) assay. A total of 83 patients were sensitized to ragweed pollen. Most patients (73%) were diagnosed with moderate-severe intermittent allergic rhinoconjunctivitis and 25% of the patients also had allergic asthma. The most common symptoms were watery rhinorrhea (91.57%), nasal obstruction (86.75%), and sneezing (85.54%). Most patients were polysensitized (62.65%), especially to other pollens, house dust mites and animal danders. Only 90% of the patients with positive skin prick test to ragweed pollen extract also had increased specific serum IgE to Amb a 1. Current options for specific molecular diagnosis of ragweed allergy are limited, as they only contain one or few of the sensitizing allergens present in ragweed pollen. An improved component-resolved diagnosis, using several ragweed pollen allergens, is required for better patient characterization and subsequent selection of an appropriate allergen immunotherapy product, thereby enabling a more personalized approach to the management of the ragweed-allergic patient.","author":[{"dropping-particle":"","family":"Haidar","given":"Laura","non-dropping-particle":"","parse-names":false,"suffix":""},{"dropping-particle":"","family":"Tamas","given":"Tudor-Paul","non-dropping-particle":"","parse-names":false,"suffix":""},{"dropping-particle":"","family":"Stolz","given":"Frank","non-dropping-particle":"","parse-names":false,"suffix":""},{"dropping-particle":"","family":"Petrisor Patrascu","given":"Raul Florian","non-dropping-particle":"","parse-names":false,"suffix":""},{"dropping-particle":"","family":"Chen","given":"Kuan-Wei","non-dropping-particle":"","parse-names":false,"suffix":""},{"dropping-particle":"","family":"Panaitescu","given":"Carmen","non-dropping-particle":"","parse-names":false,"suffix":""}],"container-title":"Experimental and Therapeutic Medicine","id":"ITEM-5","issue":"5","issued":{"date-parts":[["2021"]]},"page":"1-10","title":"Symptom patterns and comparison of diagnostic methods in ragweed pollen allergy","type":"article-journal","volume":"21"},"uris":["http://www.mendeley.com/documents/?uuid=12e7d411-4320-4619-9116-534de280aff2"]}],"mendeley":{"formattedCitation":"[157,159,164,165,167]","plainTextFormattedCitation":"[157,159,164,165,167]","previouslyFormattedCitation":"[157,159,164,165,167]"},"properties":{"noteIndex":0},"schema":"https://github.com/citation-style-language/schema/raw/master/csl-citation.json"}</w:instrText>
      </w:r>
      <w:r w:rsidRPr="00437528">
        <w:rPr>
          <w:rFonts w:ascii="Times New Roman" w:eastAsia="Calibri" w:hAnsi="Times New Roman" w:cs="Times New Roman"/>
          <w:sz w:val="28"/>
          <w:szCs w:val="28"/>
        </w:rPr>
        <w:fldChar w:fldCharType="separate"/>
      </w:r>
      <w:r w:rsidR="004028FD" w:rsidRPr="004028FD">
        <w:rPr>
          <w:rFonts w:ascii="Times New Roman" w:eastAsia="Calibri" w:hAnsi="Times New Roman" w:cs="Times New Roman"/>
          <w:noProof/>
          <w:sz w:val="28"/>
          <w:szCs w:val="28"/>
        </w:rPr>
        <w:t>[157,159,164,165,167]</w:t>
      </w:r>
      <w:r w:rsidRPr="00437528">
        <w:rPr>
          <w:rFonts w:ascii="Times New Roman" w:eastAsia="Calibri" w:hAnsi="Times New Roman" w:cs="Times New Roman"/>
          <w:sz w:val="28"/>
          <w:szCs w:val="28"/>
        </w:rPr>
        <w:fldChar w:fldCharType="end"/>
      </w:r>
      <w:r w:rsidRPr="00437528">
        <w:rPr>
          <w:rFonts w:ascii="Times New Roman" w:eastAsia="Calibri" w:hAnsi="Times New Roman" w:cs="Times New Roman"/>
          <w:sz w:val="28"/>
          <w:szCs w:val="28"/>
        </w:rPr>
        <w:t xml:space="preserve">. Важным моментом в исследовании МАД явилось то, что аллергическая реакция может быть вызвана изолированной сенсибилизацией к перекрестно-реактивным компонентам аллергена без реактивности к мажорному аллергену </w:t>
      </w:r>
      <w:r w:rsidRPr="00437528">
        <w:rPr>
          <w:rFonts w:ascii="Times New Roman" w:eastAsia="Calibri" w:hAnsi="Times New Roman" w:cs="Times New Roman"/>
          <w:sz w:val="28"/>
          <w:szCs w:val="28"/>
        </w:rPr>
        <w:fldChar w:fldCharType="begin" w:fldLock="1"/>
      </w:r>
      <w:r w:rsidR="006B2D4C">
        <w:rPr>
          <w:rFonts w:ascii="Times New Roman" w:eastAsia="Calibri" w:hAnsi="Times New Roman" w:cs="Times New Roman"/>
          <w:sz w:val="28"/>
          <w:szCs w:val="28"/>
        </w:rPr>
        <w:instrText>ADDIN CSL_CITATION {"citationItems":[{"id":"ITEM-1","itemData":{"DOI":"10.1159/000320231","ISSN":"10182438","PMID":"20733325","abstract":"Background: Sensitization to weed pollen allergens at the molecular level is not fully understood. We studied IgE reactivity to the major mugwort allergen Art v 1 in relation to allergens from other weed pollen and cross-reactive components in mugwort-sensitized subjects. Methods: Art v 1 and Amb a 1 were affinity purified and coupled to experimental ImmunoCAP® tests. Samples from North Europe (n = 50), South Europe (n = 19) and North America (n = 41) were analyzed for IgE against mugwort pollen, weed allergen components, pan-allergens and cross-reactive carbohydrate determinants (CCDs). Results: The prevalence of IgE reactivity (&gt;0.35 kUA/l) to Art v 1 was significantly higher in samples from North Europe than in those from North America. IgE to Amb a 1 was more common in North America than in North and South Europe, while IgE to Par j 2 was common in South Europe, less common in North America, and absent in North Europe. IgE to Art v 3 in mugwort-allergic patients was more common in North Europe than in South Europe and North America, while IgE to Sal k 1 was similar between the areas. Subjects with an Art v 1/mugwort-specific IgE ratio &lt;0.5 had more often IgE to Amb a 1, profilin, polcalcin and CCDs than subjects with a ratio &gt;0.5. Conclusions: Mugwort-sensitized subjects have different IgE reactivity profiles to weed allergens, reflecting their exposure to various pollens. Subjects with a low ratio between the IgE levels to Art v 1 and mugwort have a diverse IgE reactivity profile, indicating a role for cross-reactive allergens in their mugwort sensitization. Copyright © 2010 S. Karger AG, Basel.","author":[{"dropping-particle":"","family":"Movérare","given":"Robert","non-dropping-particle":"","parse-names":false,"suffix":""},{"dropping-particle":"","family":"Larsson","given":"Håkan","non-dropping-particle":"","parse-names":false,"suffix":""},{"dropping-particle":"","family":"Carlsson","given":"Raimo","non-dropping-particle":"","parse-names":false,"suffix":""},{"dropping-particle":"","family":"Holmquist","given":"Ingrid","non-dropping-particle":"","parse-names":false,"suffix":""}],"container-title":"International Archives of Allergy and Immunology","id":"ITEM-1","issue":"2","issued":{"date-parts":[["2011"]]},"page":"164-172","title":"Mugwort-sensitized individuals from North Europe, South Europe and North America show different IgE reactivity patterns","type":"article-journal","volume":"154"},"uris":["http://www.mendeley.com/documents/?uuid=febd07bf-7965-4844-9f2f-a689f2d3c160"]}],"mendeley":{"formattedCitation":"[156]","plainTextFormattedCitation":"[156]","previouslyFormattedCitation":"[156]"},"properties":{"noteIndex":0},"schema":"https://github.com/citation-style-language/schema/raw/master/csl-citation.json"}</w:instrText>
      </w:r>
      <w:r w:rsidRPr="00437528">
        <w:rPr>
          <w:rFonts w:ascii="Times New Roman" w:eastAsia="Calibri" w:hAnsi="Times New Roman" w:cs="Times New Roman"/>
          <w:sz w:val="28"/>
          <w:szCs w:val="28"/>
        </w:rPr>
        <w:fldChar w:fldCharType="separate"/>
      </w:r>
      <w:r w:rsidR="004028FD" w:rsidRPr="004028FD">
        <w:rPr>
          <w:rFonts w:ascii="Times New Roman" w:eastAsia="Calibri" w:hAnsi="Times New Roman" w:cs="Times New Roman"/>
          <w:noProof/>
          <w:sz w:val="28"/>
          <w:szCs w:val="28"/>
        </w:rPr>
        <w:t>[156]</w:t>
      </w:r>
      <w:r w:rsidRPr="00437528">
        <w:rPr>
          <w:rFonts w:ascii="Times New Roman" w:eastAsia="Calibri" w:hAnsi="Times New Roman" w:cs="Times New Roman"/>
          <w:sz w:val="28"/>
          <w:szCs w:val="28"/>
        </w:rPr>
        <w:fldChar w:fldCharType="end"/>
      </w:r>
      <w:r w:rsidRPr="00437528">
        <w:rPr>
          <w:rFonts w:ascii="Times New Roman" w:eastAsia="Calibri" w:hAnsi="Times New Roman" w:cs="Times New Roman"/>
          <w:sz w:val="28"/>
          <w:szCs w:val="28"/>
        </w:rPr>
        <w:t xml:space="preserve">. Положительный результат на перекрестно-реактивные компоненты аллергена является достоверным факторами низкой эффективности АСИТ </w:t>
      </w:r>
      <w:r w:rsidRPr="00437528">
        <w:rPr>
          <w:rFonts w:ascii="Times New Roman" w:eastAsia="Calibri" w:hAnsi="Times New Roman" w:cs="Times New Roman"/>
          <w:sz w:val="28"/>
          <w:szCs w:val="28"/>
        </w:rPr>
        <w:fldChar w:fldCharType="begin" w:fldLock="1"/>
      </w:r>
      <w:r w:rsidR="006B2D4C">
        <w:rPr>
          <w:rFonts w:ascii="Times New Roman" w:eastAsia="Calibri" w:hAnsi="Times New Roman" w:cs="Times New Roman"/>
          <w:sz w:val="28"/>
          <w:szCs w:val="28"/>
        </w:rPr>
        <w:instrText>ADDIN CSL_CITATION {"citationItems":[{"id":"ITEM-1","itemData":{"DOI":"10.1016/j.molimm.2018.11.004","ISSN":"0161-5890","author":[{"dropping-particle":"","family":"Hu","given":"Haisheng","non-dropping-particle":"","parse-names":false,"suffix":""},{"dropping-particle":"","family":"Luo","given":"Wenting","non-dropping-particle":"","parse-names":false,"suffix":""},{"dropping-particle":"","family":"Wu","given":"Zehong","non-dropping-particle":"","parse-names":false,"suffix":""},{"dropping-particle":"","family":"Cai","given":"Chuanxu","non-dropping-particle":"","parse-names":false,"suffix":""},{"dropping-particle":"","family":"Huang","given":"Huimin","non-dropping-particle":"","parse-names":false,"suffix":""}],"container-title":"Molecular Immunology","id":"ITEM-1","issue":"November 2018","issued":{"date-parts":[["2019"]]},"page":"38-45","publisher":"Elsevier","title":"A pilot study on the allergen-speci fi c IgE to molecular components on polysensitized mite allergic asthmatic patients in Guangzhou , China","type":"article-journal","volume":"105"},"uris":["http://www.mendeley.com/documents/?uuid=4319e03d-1aed-4e6d-b940-0b87e7d4e1bb"]}],"mendeley":{"formattedCitation":"[166]","plainTextFormattedCitation":"[166]","previouslyFormattedCitation":"[166]"},"properties":{"noteIndex":0},"schema":"https://github.com/citation-style-language/schema/raw/master/csl-citation.json"}</w:instrText>
      </w:r>
      <w:r w:rsidRPr="00437528">
        <w:rPr>
          <w:rFonts w:ascii="Times New Roman" w:eastAsia="Calibri" w:hAnsi="Times New Roman" w:cs="Times New Roman"/>
          <w:sz w:val="28"/>
          <w:szCs w:val="28"/>
        </w:rPr>
        <w:fldChar w:fldCharType="separate"/>
      </w:r>
      <w:r w:rsidR="004028FD" w:rsidRPr="004028FD">
        <w:rPr>
          <w:rFonts w:ascii="Times New Roman" w:eastAsia="Calibri" w:hAnsi="Times New Roman" w:cs="Times New Roman"/>
          <w:noProof/>
          <w:sz w:val="28"/>
          <w:szCs w:val="28"/>
        </w:rPr>
        <w:t>[166]</w:t>
      </w:r>
      <w:r w:rsidRPr="00437528">
        <w:rPr>
          <w:rFonts w:ascii="Times New Roman" w:eastAsia="Calibri" w:hAnsi="Times New Roman" w:cs="Times New Roman"/>
          <w:sz w:val="28"/>
          <w:szCs w:val="28"/>
        </w:rPr>
        <w:fldChar w:fldCharType="end"/>
      </w:r>
      <w:r w:rsidRPr="00437528">
        <w:rPr>
          <w:rFonts w:ascii="Times New Roman" w:eastAsia="Calibri" w:hAnsi="Times New Roman" w:cs="Times New Roman"/>
          <w:sz w:val="28"/>
          <w:szCs w:val="28"/>
        </w:rPr>
        <w:t>.</w:t>
      </w:r>
      <w:r w:rsidR="0007459B">
        <w:rPr>
          <w:rFonts w:ascii="Times New Roman" w:eastAsia="Calibri" w:hAnsi="Times New Roman" w:cs="Times New Roman"/>
          <w:sz w:val="28"/>
          <w:szCs w:val="28"/>
        </w:rPr>
        <w:t xml:space="preserve"> </w:t>
      </w:r>
      <w:r w:rsidRPr="00437528">
        <w:rPr>
          <w:rFonts w:ascii="Times New Roman" w:eastAsia="Calibri" w:hAnsi="Times New Roman" w:cs="Times New Roman"/>
          <w:sz w:val="28"/>
          <w:szCs w:val="28"/>
        </w:rPr>
        <w:t xml:space="preserve">Было продемонстрировано, что изменение уровней специфических IgE и IgG4 может быть использовано в качестве биомаркера эффективности АСИТ </w:t>
      </w:r>
      <w:r w:rsidRPr="00437528">
        <w:rPr>
          <w:rFonts w:ascii="Times New Roman" w:eastAsia="Calibri" w:hAnsi="Times New Roman" w:cs="Times New Roman"/>
          <w:sz w:val="28"/>
          <w:szCs w:val="28"/>
        </w:rPr>
        <w:fldChar w:fldCharType="begin" w:fldLock="1"/>
      </w:r>
      <w:r w:rsidR="006B2D4C">
        <w:rPr>
          <w:rFonts w:ascii="Times New Roman" w:eastAsia="Calibri" w:hAnsi="Times New Roman" w:cs="Times New Roman"/>
          <w:sz w:val="28"/>
          <w:szCs w:val="28"/>
        </w:rPr>
        <w:instrText>ADDIN CSL_CITATION {"citationItems":[{"id":"ITEM-1","itemData":{"DOI":"10.1016/j.jaci.2015.05.023","ISSN":"10976825","PMID":"26141262","abstract":"Background Allergen immunotherapy is an effective treatment of allergic rhinoconjunctivitis. Clinical efficacy is associated with improvement of basophil sensitivity and an increase in allergen-specific immunoglobulin concentration. Objective We sought to determine whether changes in allergen component-specific serum IgE and IgG4 levels during the updosing phase of subcutaneous immunotherapy (SCIT) are biomarkers of the immunologic changes that can lead to treatment efficacy. Methods Twenty-four subjects with grass pollen-induced allergic rhinoconjunctivitis were randomized 3:1 to receive SCIT (Alutard SQ) or to an open control group. IgE and IgG4 concentrations were determined for the major allergens Phl p 1 or Phl p 5 by using ImmunoCAP and for 8 grass pollen molecules by using Immuno Solid-phase Allergy Chip (ISAC) before treatment and after updosing. Results Levels of specific IgE against the dominant major allergens Phl p 1 and Phl p 5 increased from a mean of 23.0 to 48.8 kU/L (P =.01, n = 18) during the updosing phase in ImmunoCAP measurements but decreased from a median of 4.6 ISAC specific units (ISU) to 2.14 ISU (P &lt;.0001, n = 102) when measured by using ISAC against 8 grass allergen components. The updosing phase induced a specific IgG4 level increase from a median of 0 ISU before treatment to 0.83 ISU after 12 weeks (P &lt;.0001, n = 102) but only for allergen molecules to which pretreatment-specific IgE antibodies were detected (Spearman σ = 0.72, P &lt;.0001, n = 102). Conclusion Pretreatment allergen component-specific IgE appears to determine the induction of IgG4 in the updosing phase. Induced IgG4 seems to suppress IgE levels on ISAC, resulting in a marked decrease in ISAC-measured specific IgE levels after updosing of SCIT. Thus this decrease in ISAC IgE levels can be used to monitor the blocking effect of allergen-specific immunotherapy-induced non-IgE antibodies.","author":[{"dropping-particle":"","family":"Schmid","given":"Johannes Martin","non-dropping-particle":"","parse-names":false,"suffix":""},{"dropping-particle":"","family":"Würtzen","given":"Peter Adler","non-dropping-particle":"","parse-names":false,"suffix":""},{"dropping-particle":"","family":"Dahl","given":"Ronald","non-dropping-particle":"","parse-names":false,"suffix":""},{"dropping-particle":"","family":"Hoffmann","given":"Hans Jürgen","non-dropping-particle":"","parse-names":false,"suffix":""}],"container-title":"Journal of Allergy and Clinical Immunology","id":"ITEM-1","issue":"2","issued":{"date-parts":[["2016"]]},"page":"562-570","title":"Pretreatment IgE sensitization patterns determine the molecular profile of the IgG4 response during updosing of subcutaneous immunotherapy with timothy grass pollen extract","type":"article-journal","volume":"137"},"uris":["http://www.mendeley.com/documents/?uuid=cf97cfc1-5377-4452-8316-d1946725203f"]}],"mendeley":{"formattedCitation":"[162]","plainTextFormattedCitation":"[162]","previouslyFormattedCitation":"[162]"},"properties":{"noteIndex":0},"schema":"https://github.com/citation-style-language/schema/raw/master/csl-citation.json"}</w:instrText>
      </w:r>
      <w:r w:rsidRPr="00437528">
        <w:rPr>
          <w:rFonts w:ascii="Times New Roman" w:eastAsia="Calibri" w:hAnsi="Times New Roman" w:cs="Times New Roman"/>
          <w:sz w:val="28"/>
          <w:szCs w:val="28"/>
        </w:rPr>
        <w:fldChar w:fldCharType="separate"/>
      </w:r>
      <w:r w:rsidR="004028FD" w:rsidRPr="004028FD">
        <w:rPr>
          <w:rFonts w:ascii="Times New Roman" w:eastAsia="Calibri" w:hAnsi="Times New Roman" w:cs="Times New Roman"/>
          <w:noProof/>
          <w:sz w:val="28"/>
          <w:szCs w:val="28"/>
        </w:rPr>
        <w:t>[162]</w:t>
      </w:r>
      <w:r w:rsidRPr="00437528">
        <w:rPr>
          <w:rFonts w:ascii="Times New Roman" w:eastAsia="Calibri" w:hAnsi="Times New Roman" w:cs="Times New Roman"/>
          <w:sz w:val="28"/>
          <w:szCs w:val="28"/>
        </w:rPr>
        <w:fldChar w:fldCharType="end"/>
      </w:r>
      <w:r w:rsidRPr="00437528">
        <w:rPr>
          <w:rFonts w:ascii="Times New Roman" w:eastAsia="Calibri" w:hAnsi="Times New Roman" w:cs="Times New Roman"/>
          <w:sz w:val="28"/>
          <w:szCs w:val="28"/>
        </w:rPr>
        <w:t>.</w:t>
      </w:r>
    </w:p>
    <w:p w14:paraId="227333B6" w14:textId="77777777" w:rsidR="00437528" w:rsidRPr="00437528" w:rsidRDefault="00437528" w:rsidP="00311DF0">
      <w:pPr>
        <w:spacing w:after="0" w:line="240" w:lineRule="auto"/>
        <w:ind w:firstLine="567"/>
        <w:jc w:val="both"/>
        <w:rPr>
          <w:rFonts w:ascii="Times New Roman" w:eastAsia="Calibri" w:hAnsi="Times New Roman" w:cs="Times New Roman"/>
          <w:sz w:val="28"/>
          <w:szCs w:val="28"/>
        </w:rPr>
      </w:pPr>
    </w:p>
    <w:p w14:paraId="389387C9" w14:textId="77777777" w:rsidR="00437528" w:rsidRPr="00311DF0" w:rsidRDefault="00437528" w:rsidP="00311DF0">
      <w:pPr>
        <w:spacing w:after="0" w:line="240" w:lineRule="auto"/>
        <w:ind w:firstLine="567"/>
        <w:jc w:val="both"/>
        <w:rPr>
          <w:rFonts w:ascii="Times New Roman" w:eastAsia="Calibri" w:hAnsi="Times New Roman" w:cs="Times New Roman"/>
          <w:i/>
          <w:sz w:val="28"/>
          <w:szCs w:val="28"/>
        </w:rPr>
      </w:pPr>
      <w:r w:rsidRPr="00311DF0">
        <w:rPr>
          <w:rFonts w:ascii="Times New Roman" w:eastAsia="Calibri" w:hAnsi="Times New Roman" w:cs="Times New Roman"/>
          <w:i/>
          <w:sz w:val="28"/>
          <w:szCs w:val="28"/>
        </w:rPr>
        <w:t>Исходы</w:t>
      </w:r>
    </w:p>
    <w:p w14:paraId="0ECD0C7B" w14:textId="77777777" w:rsidR="00437528" w:rsidRPr="00437528" w:rsidRDefault="00437528" w:rsidP="00311DF0">
      <w:pPr>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Результаты исследований, включенных в этот обзор, были оценены на основе эффективности АСИТ. Тип сенсибилизации (моносенсибилизация против полисенсибилизации) и наличие перекрестной реактивности служили влияющими переменными. Согласно имеющимся данным, эти факторы существенно повлияли на изменение аллергенного состава АСИТ. Использование МАД в клинической практике приводит к более подробной информации о реактивности IgE на молекулярном уровне, что может быть полезно при диагностике аллергии на пыльцу и помочь врачу выбрать подходящие экстракты пыльцы для АСИТ.</w:t>
      </w:r>
    </w:p>
    <w:p w14:paraId="6B6471B8" w14:textId="77777777" w:rsidR="00437528" w:rsidRPr="00437528" w:rsidRDefault="00437528" w:rsidP="00311DF0">
      <w:pPr>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 xml:space="preserve">Резюмируя данный раздел, можно сделать вывод, что снижение заболеваемости сезонным аллергическим ринитом является приоритетом для современных аллергослужб. В связи с этим МАД имеет большое значение для выявления полисенсибилизации у пациентов с сезонным аллергическим ринитом и необходим для последующего проведения аллерген-специфической иммунотерапии. Несмотря на то, что аллерген-специфическая иммунотерапия применяется в течение много лет, решение о ее назначении требует комплексного подхода. С этой целью необходимо оценить биомаркеры истинной и перекрестной сенсибилизации перед проведением терапии. Кроме того, необходимо продолжить поиск прогностических критериев, позволяющих прогнозировать эффективность АСИТ. </w:t>
      </w:r>
    </w:p>
    <w:p w14:paraId="076B920A" w14:textId="77777777" w:rsidR="00437528" w:rsidRPr="00437528" w:rsidRDefault="00437528" w:rsidP="00311DF0">
      <w:pPr>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Таким образом, выявление надежных маркеров, позволяющих оценивать реакцию на лечение и прогнозировать исходы у пациентов с различными профилями сенсибилизации, было бы весьма желательно. Наконец, представляется необходимым идти в ногу с развитием новых подходов к диагностике аллергии для выбора наиболее важных параметров, влияющих на стратегию лечения.</w:t>
      </w:r>
    </w:p>
    <w:p w14:paraId="4C997A7E" w14:textId="77777777" w:rsidR="00437528" w:rsidRPr="00437528" w:rsidRDefault="00437528" w:rsidP="00437528">
      <w:pPr>
        <w:rPr>
          <w:rFonts w:ascii="Times New Roman" w:eastAsiaTheme="majorEastAsia" w:hAnsi="Times New Roman" w:cs="Times New Roman"/>
          <w:b/>
          <w:sz w:val="28"/>
          <w:szCs w:val="28"/>
        </w:rPr>
      </w:pPr>
      <w:r w:rsidRPr="00437528">
        <w:rPr>
          <w:rFonts w:ascii="Times New Roman" w:eastAsia="Calibri" w:hAnsi="Times New Roman" w:cs="Times New Roman"/>
          <w:b/>
          <w:sz w:val="28"/>
          <w:szCs w:val="28"/>
        </w:rPr>
        <w:br w:type="page"/>
      </w:r>
    </w:p>
    <w:p w14:paraId="36FD109C" w14:textId="21BA5F35" w:rsidR="00437528" w:rsidRDefault="00437528" w:rsidP="00311DF0">
      <w:pPr>
        <w:keepNext/>
        <w:keepLines/>
        <w:spacing w:after="0" w:line="240" w:lineRule="auto"/>
        <w:ind w:firstLine="567"/>
        <w:jc w:val="both"/>
        <w:outlineLvl w:val="0"/>
        <w:rPr>
          <w:rFonts w:ascii="Times New Roman" w:eastAsiaTheme="majorEastAsia" w:hAnsi="Times New Roman" w:cs="Times New Roman"/>
          <w:b/>
          <w:sz w:val="28"/>
          <w:szCs w:val="28"/>
        </w:rPr>
      </w:pPr>
      <w:bookmarkStart w:id="37" w:name="_Toc121590250"/>
      <w:bookmarkStart w:id="38" w:name="_Toc137904357"/>
      <w:r w:rsidRPr="00437528">
        <w:rPr>
          <w:rFonts w:ascii="Times New Roman" w:eastAsiaTheme="majorEastAsia" w:hAnsi="Times New Roman" w:cs="Times New Roman"/>
          <w:b/>
          <w:sz w:val="28"/>
          <w:szCs w:val="28"/>
        </w:rPr>
        <w:t xml:space="preserve">3.2 </w:t>
      </w:r>
      <w:r w:rsidRPr="00437528">
        <w:rPr>
          <w:rFonts w:ascii="Times New Roman" w:hAnsi="Times New Roman" w:cs="Times New Roman"/>
          <w:b/>
          <w:sz w:val="28"/>
          <w:szCs w:val="28"/>
        </w:rPr>
        <w:t xml:space="preserve">Сравнительная клинико-лабораторная </w:t>
      </w:r>
      <w:r w:rsidRPr="00437528">
        <w:rPr>
          <w:rFonts w:ascii="Times New Roman" w:eastAsiaTheme="majorEastAsia" w:hAnsi="Times New Roman" w:cs="Times New Roman"/>
          <w:b/>
          <w:sz w:val="28"/>
          <w:szCs w:val="28"/>
        </w:rPr>
        <w:t>характеристика группы вмешательства и группы контроля на фоне проведения аллерген-специфической иммунотерапии</w:t>
      </w:r>
      <w:bookmarkEnd w:id="37"/>
      <w:bookmarkEnd w:id="38"/>
    </w:p>
    <w:p w14:paraId="05E34B1A" w14:textId="77777777" w:rsidR="004F3B83" w:rsidRPr="00437528" w:rsidRDefault="004F3B83" w:rsidP="00311DF0">
      <w:pPr>
        <w:keepNext/>
        <w:keepLines/>
        <w:spacing w:after="0" w:line="240" w:lineRule="auto"/>
        <w:ind w:firstLine="567"/>
        <w:jc w:val="both"/>
        <w:outlineLvl w:val="0"/>
        <w:rPr>
          <w:rFonts w:ascii="Times New Roman" w:eastAsiaTheme="majorEastAsia" w:hAnsi="Times New Roman" w:cs="Times New Roman"/>
          <w:b/>
          <w:sz w:val="28"/>
          <w:szCs w:val="28"/>
        </w:rPr>
      </w:pPr>
    </w:p>
    <w:p w14:paraId="49B4B1C5" w14:textId="77777777" w:rsidR="00437528" w:rsidRPr="00437528" w:rsidRDefault="00437528" w:rsidP="00311DF0">
      <w:pPr>
        <w:tabs>
          <w:tab w:val="left" w:pos="1454"/>
        </w:tabs>
        <w:spacing w:after="0" w:line="240" w:lineRule="auto"/>
        <w:ind w:firstLine="567"/>
        <w:jc w:val="both"/>
        <w:rPr>
          <w:rFonts w:ascii="Times New Roman" w:hAnsi="Times New Roman" w:cs="Times New Roman"/>
          <w:sz w:val="28"/>
          <w:szCs w:val="28"/>
        </w:rPr>
      </w:pPr>
      <w:r w:rsidRPr="00437528">
        <w:rPr>
          <w:rFonts w:ascii="Times New Roman" w:hAnsi="Times New Roman" w:cs="Times New Roman"/>
          <w:sz w:val="28"/>
          <w:szCs w:val="28"/>
        </w:rPr>
        <w:t xml:space="preserve">Базовая оценка </w:t>
      </w:r>
      <w:r w:rsidRPr="00437528">
        <w:rPr>
          <w:rFonts w:ascii="Times New Roman" w:eastAsia="Calibri" w:hAnsi="Times New Roman" w:cs="Times New Roman"/>
          <w:sz w:val="28"/>
          <w:szCs w:val="28"/>
        </w:rPr>
        <w:t xml:space="preserve">клинико-лабораторных показателей между группой вмешательства (АСИТ + вит Д) и группой контроля (АСИТ) </w:t>
      </w:r>
      <w:r w:rsidRPr="00437528">
        <w:rPr>
          <w:rFonts w:ascii="Times New Roman" w:hAnsi="Times New Roman" w:cs="Times New Roman"/>
          <w:sz w:val="28"/>
          <w:szCs w:val="28"/>
        </w:rPr>
        <w:t xml:space="preserve">проведена на 1 визите до начала проведения АСИТ по среднему значению и медиане показателя с использованием критерия </w:t>
      </w:r>
      <w:r w:rsidRPr="00437528">
        <w:rPr>
          <w:rFonts w:ascii="Times New Roman" w:eastAsia="Calibri" w:hAnsi="Times New Roman" w:cs="Times New Roman"/>
          <w:sz w:val="28"/>
          <w:szCs w:val="28"/>
        </w:rPr>
        <w:t>Манна-Уитни.</w:t>
      </w:r>
    </w:p>
    <w:p w14:paraId="3414AFC7" w14:textId="086A8634" w:rsidR="00437528" w:rsidRPr="00437528" w:rsidRDefault="00437528" w:rsidP="00311DF0">
      <w:pPr>
        <w:tabs>
          <w:tab w:val="left" w:pos="1454"/>
        </w:tabs>
        <w:spacing w:after="0" w:line="240" w:lineRule="auto"/>
        <w:ind w:firstLine="567"/>
        <w:jc w:val="both"/>
        <w:rPr>
          <w:rFonts w:ascii="Times New Roman" w:eastAsia="Calibri" w:hAnsi="Times New Roman" w:cs="Times New Roman"/>
          <w:sz w:val="28"/>
          <w:szCs w:val="28"/>
        </w:rPr>
      </w:pPr>
      <w:r w:rsidRPr="00437528">
        <w:rPr>
          <w:rFonts w:ascii="Times New Roman" w:hAnsi="Times New Roman" w:cs="Times New Roman"/>
          <w:sz w:val="28"/>
          <w:szCs w:val="28"/>
        </w:rPr>
        <w:t xml:space="preserve">Сравнительная оценка </w:t>
      </w:r>
      <w:r w:rsidRPr="00437528">
        <w:rPr>
          <w:rFonts w:ascii="Times New Roman" w:eastAsia="Calibri" w:hAnsi="Times New Roman" w:cs="Times New Roman"/>
          <w:sz w:val="28"/>
          <w:szCs w:val="28"/>
        </w:rPr>
        <w:t xml:space="preserve">лабораторных показателей между группой вмешательства (АСИТ + вит Д) и группой контроля (АСИТ) </w:t>
      </w:r>
      <w:r w:rsidRPr="00437528">
        <w:rPr>
          <w:rFonts w:ascii="Times New Roman" w:hAnsi="Times New Roman" w:cs="Times New Roman"/>
          <w:sz w:val="28"/>
          <w:szCs w:val="28"/>
        </w:rPr>
        <w:t>проведена</w:t>
      </w:r>
      <w:r w:rsidRPr="00437528">
        <w:rPr>
          <w:rFonts w:ascii="Times New Roman" w:eastAsia="Calibri" w:hAnsi="Times New Roman" w:cs="Times New Roman"/>
          <w:sz w:val="28"/>
          <w:szCs w:val="28"/>
        </w:rPr>
        <w:t xml:space="preserve"> сразу после окончания курса АСИТ на 2 визите, а </w:t>
      </w:r>
      <w:r w:rsidR="00817C0C">
        <w:rPr>
          <w:rFonts w:ascii="Times New Roman" w:eastAsia="Calibri" w:hAnsi="Times New Roman" w:cs="Times New Roman"/>
          <w:sz w:val="28"/>
          <w:szCs w:val="28"/>
        </w:rPr>
        <w:t xml:space="preserve">клинических </w:t>
      </w:r>
      <w:r w:rsidR="00817C0C" w:rsidRPr="00437528">
        <w:rPr>
          <w:rFonts w:ascii="Times New Roman" w:eastAsia="Calibri" w:hAnsi="Times New Roman" w:cs="Times New Roman"/>
          <w:sz w:val="28"/>
          <w:szCs w:val="28"/>
        </w:rPr>
        <w:t>показателей</w:t>
      </w:r>
      <w:r w:rsidRPr="00437528">
        <w:rPr>
          <w:rFonts w:ascii="Times New Roman" w:eastAsia="Calibri" w:hAnsi="Times New Roman" w:cs="Times New Roman"/>
          <w:sz w:val="28"/>
          <w:szCs w:val="28"/>
        </w:rPr>
        <w:t xml:space="preserve"> после периода обострения заболевания на 3 визите через </w:t>
      </w:r>
      <w:r w:rsidRPr="00437528">
        <w:rPr>
          <w:rFonts w:ascii="Times New Roman" w:hAnsi="Times New Roman" w:cs="Times New Roman"/>
          <w:sz w:val="28"/>
          <w:szCs w:val="28"/>
        </w:rPr>
        <w:t>5,5 месяцев</w:t>
      </w:r>
      <w:r w:rsidRPr="00437528">
        <w:rPr>
          <w:rFonts w:ascii="Times New Roman" w:eastAsia="Calibri" w:hAnsi="Times New Roman" w:cs="Times New Roman"/>
          <w:sz w:val="28"/>
          <w:szCs w:val="28"/>
        </w:rPr>
        <w:t xml:space="preserve"> после завершения полного курса АСИТ </w:t>
      </w:r>
      <w:r w:rsidRPr="00437528">
        <w:rPr>
          <w:rFonts w:ascii="Times New Roman" w:hAnsi="Times New Roman" w:cs="Times New Roman"/>
          <w:sz w:val="28"/>
          <w:szCs w:val="28"/>
        </w:rPr>
        <w:t xml:space="preserve">по среднему значению и медиане показателя с использованием критерия </w:t>
      </w:r>
      <w:r w:rsidRPr="00437528">
        <w:rPr>
          <w:rFonts w:ascii="Times New Roman" w:eastAsia="Calibri" w:hAnsi="Times New Roman" w:cs="Times New Roman"/>
          <w:sz w:val="28"/>
          <w:szCs w:val="28"/>
        </w:rPr>
        <w:t xml:space="preserve">Манна-Уитни. </w:t>
      </w:r>
    </w:p>
    <w:p w14:paraId="18A83DA3" w14:textId="29AC5518" w:rsidR="00437528" w:rsidRPr="00437528" w:rsidRDefault="00437528" w:rsidP="00311DF0">
      <w:pPr>
        <w:spacing w:after="0" w:line="240" w:lineRule="auto"/>
        <w:ind w:firstLine="567"/>
        <w:jc w:val="both"/>
        <w:rPr>
          <w:rFonts w:ascii="Times New Roman" w:hAnsi="Times New Roman" w:cs="Times New Roman"/>
          <w:sz w:val="28"/>
          <w:szCs w:val="28"/>
        </w:rPr>
      </w:pPr>
      <w:r w:rsidRPr="00437528">
        <w:rPr>
          <w:rFonts w:ascii="Times New Roman" w:hAnsi="Times New Roman" w:cs="Times New Roman"/>
          <w:sz w:val="28"/>
          <w:szCs w:val="28"/>
        </w:rPr>
        <w:t xml:space="preserve">Динамическая оценка </w:t>
      </w:r>
      <w:r w:rsidRPr="00437528">
        <w:rPr>
          <w:rFonts w:ascii="Times New Roman" w:eastAsia="Calibri" w:hAnsi="Times New Roman" w:cs="Times New Roman"/>
          <w:sz w:val="28"/>
          <w:szCs w:val="28"/>
        </w:rPr>
        <w:t>лабораторных показателей в группе вмешательства (АСИТ + витамин Д) и в группе контроля (АСИТ)</w:t>
      </w:r>
      <w:r w:rsidRPr="00437528">
        <w:rPr>
          <w:rFonts w:ascii="Times New Roman" w:hAnsi="Times New Roman" w:cs="Times New Roman"/>
          <w:sz w:val="28"/>
          <w:szCs w:val="28"/>
        </w:rPr>
        <w:t xml:space="preserve"> была проведена между 1 и 2 </w:t>
      </w:r>
      <w:r w:rsidRPr="00437528">
        <w:rPr>
          <w:rFonts w:ascii="Times New Roman" w:eastAsia="Calibri" w:hAnsi="Times New Roman" w:cs="Times New Roman"/>
          <w:sz w:val="28"/>
          <w:szCs w:val="28"/>
        </w:rPr>
        <w:t xml:space="preserve">сразу после окончания курса АСИТ на 2 визите, а </w:t>
      </w:r>
      <w:r w:rsidR="00D04455">
        <w:rPr>
          <w:rFonts w:ascii="Times New Roman" w:eastAsia="Calibri" w:hAnsi="Times New Roman" w:cs="Times New Roman"/>
          <w:sz w:val="28"/>
          <w:szCs w:val="28"/>
        </w:rPr>
        <w:t xml:space="preserve">клинических </w:t>
      </w:r>
      <w:r w:rsidR="00D04455" w:rsidRPr="00437528">
        <w:rPr>
          <w:rFonts w:ascii="Times New Roman" w:eastAsia="Calibri" w:hAnsi="Times New Roman" w:cs="Times New Roman"/>
          <w:sz w:val="28"/>
          <w:szCs w:val="28"/>
        </w:rPr>
        <w:t>показателей</w:t>
      </w:r>
      <w:r w:rsidRPr="00437528">
        <w:rPr>
          <w:rFonts w:ascii="Times New Roman" w:hAnsi="Times New Roman" w:cs="Times New Roman"/>
          <w:sz w:val="28"/>
          <w:szCs w:val="28"/>
        </w:rPr>
        <w:t xml:space="preserve"> между 1 и 3 визитами спустя 5,5 месяцев после завершения полного курса АСИТ. Оценка эффективности была проведена в зависимых группах по среднему значению и медиане показателя с использованием критериев Вилкоксона и </w:t>
      </w:r>
      <w:r w:rsidRPr="00437528">
        <w:rPr>
          <w:rFonts w:ascii="Times New Roman" w:eastAsia="Calibri" w:hAnsi="Times New Roman" w:cs="Times New Roman"/>
          <w:sz w:val="28"/>
          <w:szCs w:val="28"/>
        </w:rPr>
        <w:t>Мак-Нимара</w:t>
      </w:r>
      <w:r w:rsidRPr="00437528">
        <w:rPr>
          <w:rFonts w:ascii="Times New Roman" w:hAnsi="Times New Roman" w:cs="Times New Roman"/>
          <w:sz w:val="28"/>
          <w:szCs w:val="28"/>
        </w:rPr>
        <w:t>.</w:t>
      </w:r>
    </w:p>
    <w:p w14:paraId="09514F9D" w14:textId="77777777" w:rsidR="00437528" w:rsidRPr="00437528" w:rsidRDefault="00437528" w:rsidP="00311DF0">
      <w:pPr>
        <w:tabs>
          <w:tab w:val="left" w:pos="1454"/>
        </w:tabs>
        <w:spacing w:after="0" w:line="240" w:lineRule="auto"/>
        <w:ind w:firstLine="567"/>
        <w:jc w:val="both"/>
        <w:rPr>
          <w:rFonts w:ascii="Times New Roman" w:eastAsia="Calibri" w:hAnsi="Times New Roman" w:cs="Times New Roman"/>
          <w:sz w:val="28"/>
          <w:szCs w:val="28"/>
        </w:rPr>
      </w:pPr>
    </w:p>
    <w:p w14:paraId="0F67F2C2" w14:textId="77777777" w:rsidR="00437528" w:rsidRPr="008B3FDA" w:rsidRDefault="00437528" w:rsidP="00311DF0">
      <w:pPr>
        <w:keepNext/>
        <w:keepLines/>
        <w:spacing w:after="0" w:line="240" w:lineRule="auto"/>
        <w:ind w:firstLine="567"/>
        <w:jc w:val="both"/>
        <w:outlineLvl w:val="1"/>
        <w:rPr>
          <w:rFonts w:ascii="Times New Roman" w:eastAsiaTheme="majorEastAsia" w:hAnsi="Times New Roman" w:cs="Times New Roman"/>
          <w:i/>
          <w:sz w:val="28"/>
          <w:szCs w:val="28"/>
        </w:rPr>
      </w:pPr>
      <w:bookmarkStart w:id="39" w:name="_Toc121590251"/>
      <w:bookmarkStart w:id="40" w:name="_Toc137904358"/>
      <w:r w:rsidRPr="008B3FDA">
        <w:rPr>
          <w:rFonts w:ascii="Times New Roman" w:hAnsi="Times New Roman" w:cs="Times New Roman"/>
          <w:i/>
          <w:sz w:val="28"/>
          <w:szCs w:val="28"/>
        </w:rPr>
        <w:t xml:space="preserve">3.2.1 Сравнительная </w:t>
      </w:r>
      <w:r w:rsidRPr="008B3FDA">
        <w:rPr>
          <w:rFonts w:ascii="Times New Roman" w:eastAsiaTheme="majorEastAsia" w:hAnsi="Times New Roman" w:cs="Times New Roman"/>
          <w:i/>
          <w:sz w:val="28"/>
          <w:szCs w:val="28"/>
        </w:rPr>
        <w:t>характеристика группы вмешательства и группы контроля по клиническим показателям на фоне проведения аллерген-специфической иммунотерапии</w:t>
      </w:r>
      <w:bookmarkEnd w:id="39"/>
      <w:bookmarkEnd w:id="40"/>
    </w:p>
    <w:p w14:paraId="13C5B414" w14:textId="248F87F3" w:rsidR="00437528" w:rsidRDefault="00437528" w:rsidP="00BA70AB">
      <w:pPr>
        <w:spacing w:after="0" w:line="240" w:lineRule="auto"/>
        <w:ind w:firstLine="567"/>
        <w:jc w:val="both"/>
        <w:rPr>
          <w:rFonts w:ascii="Times New Roman" w:hAnsi="Times New Roman" w:cs="Times New Roman"/>
          <w:sz w:val="28"/>
          <w:szCs w:val="28"/>
        </w:rPr>
      </w:pPr>
      <w:r w:rsidRPr="00437528">
        <w:rPr>
          <w:rFonts w:ascii="Times New Roman" w:eastAsia="Calibri" w:hAnsi="Times New Roman" w:cs="Times New Roman"/>
          <w:sz w:val="28"/>
          <w:szCs w:val="28"/>
        </w:rPr>
        <w:t>Базовая оценка выраженности симптомов аллергического ринита до проведения АСИТ не показала статистически значимых различий между группой вмешательства (АСИТ + витамин Д) и группой контроля (АСИТ) (</w:t>
      </w:r>
      <w:r w:rsidRPr="00437528">
        <w:rPr>
          <w:rFonts w:ascii="Times New Roman" w:eastAsia="Calibri" w:hAnsi="Times New Roman" w:cs="Times New Roman"/>
          <w:sz w:val="28"/>
          <w:szCs w:val="28"/>
          <w:lang w:val="en-US"/>
        </w:rPr>
        <w:t>p</w:t>
      </w:r>
      <w:r w:rsidRPr="00437528">
        <w:rPr>
          <w:rFonts w:ascii="Times New Roman" w:eastAsia="Calibri" w:hAnsi="Times New Roman" w:cs="Times New Roman"/>
          <w:sz w:val="28"/>
          <w:szCs w:val="28"/>
        </w:rPr>
        <w:t>&gt;0,05). Был</w:t>
      </w:r>
      <w:r w:rsidR="00562D7E">
        <w:rPr>
          <w:rFonts w:ascii="Times New Roman" w:eastAsia="Calibri" w:hAnsi="Times New Roman" w:cs="Times New Roman"/>
          <w:sz w:val="28"/>
          <w:szCs w:val="28"/>
        </w:rPr>
        <w:t>и</w:t>
      </w:r>
      <w:r w:rsidRPr="00437528">
        <w:rPr>
          <w:rFonts w:ascii="Times New Roman" w:eastAsia="Calibri" w:hAnsi="Times New Roman" w:cs="Times New Roman"/>
          <w:sz w:val="28"/>
          <w:szCs w:val="28"/>
        </w:rPr>
        <w:t xml:space="preserve"> </w:t>
      </w:r>
      <w:r w:rsidR="00562D7E">
        <w:rPr>
          <w:rFonts w:ascii="Times New Roman" w:eastAsia="Calibri" w:hAnsi="Times New Roman" w:cs="Times New Roman"/>
          <w:sz w:val="28"/>
          <w:szCs w:val="28"/>
        </w:rPr>
        <w:t xml:space="preserve">обнаружены </w:t>
      </w:r>
      <w:r w:rsidR="00562D7E" w:rsidRPr="00437528">
        <w:rPr>
          <w:rFonts w:ascii="Times New Roman" w:eastAsia="Calibri" w:hAnsi="Times New Roman" w:cs="Times New Roman"/>
          <w:sz w:val="28"/>
          <w:szCs w:val="28"/>
        </w:rPr>
        <w:t>выделени</w:t>
      </w:r>
      <w:r w:rsidR="00562D7E">
        <w:rPr>
          <w:rFonts w:ascii="Times New Roman" w:eastAsia="Calibri" w:hAnsi="Times New Roman" w:cs="Times New Roman"/>
          <w:sz w:val="28"/>
          <w:szCs w:val="28"/>
        </w:rPr>
        <w:t>я</w:t>
      </w:r>
      <w:r w:rsidR="00562D7E" w:rsidRPr="00437528">
        <w:rPr>
          <w:rFonts w:ascii="Times New Roman" w:eastAsia="Calibri" w:hAnsi="Times New Roman" w:cs="Times New Roman"/>
          <w:sz w:val="28"/>
          <w:szCs w:val="28"/>
        </w:rPr>
        <w:t xml:space="preserve"> из носа </w:t>
      </w:r>
      <w:r w:rsidRPr="00437528">
        <w:rPr>
          <w:rFonts w:ascii="Times New Roman" w:eastAsia="Calibri" w:hAnsi="Times New Roman" w:cs="Times New Roman"/>
          <w:sz w:val="28"/>
          <w:szCs w:val="28"/>
        </w:rPr>
        <w:t>тяжел</w:t>
      </w:r>
      <w:r w:rsidR="00562D7E">
        <w:rPr>
          <w:rFonts w:ascii="Times New Roman" w:eastAsia="Calibri" w:hAnsi="Times New Roman" w:cs="Times New Roman"/>
          <w:sz w:val="28"/>
          <w:szCs w:val="28"/>
        </w:rPr>
        <w:t>ой</w:t>
      </w:r>
      <w:r w:rsidRPr="00437528">
        <w:rPr>
          <w:rFonts w:ascii="Times New Roman" w:eastAsia="Calibri" w:hAnsi="Times New Roman" w:cs="Times New Roman"/>
          <w:sz w:val="28"/>
          <w:szCs w:val="28"/>
        </w:rPr>
        <w:t xml:space="preserve"> степен</w:t>
      </w:r>
      <w:r w:rsidR="00562D7E">
        <w:rPr>
          <w:rFonts w:ascii="Times New Roman" w:eastAsia="Calibri" w:hAnsi="Times New Roman" w:cs="Times New Roman"/>
          <w:sz w:val="28"/>
          <w:szCs w:val="28"/>
        </w:rPr>
        <w:t>и</w:t>
      </w:r>
      <w:r w:rsidRPr="00437528">
        <w:rPr>
          <w:rFonts w:ascii="Times New Roman" w:eastAsia="Calibri" w:hAnsi="Times New Roman" w:cs="Times New Roman"/>
          <w:sz w:val="28"/>
          <w:szCs w:val="28"/>
        </w:rPr>
        <w:t xml:space="preserve"> в обеих группах (2,2 балла). </w:t>
      </w:r>
      <w:r w:rsidRPr="00437528">
        <w:rPr>
          <w:rFonts w:ascii="Times New Roman" w:hAnsi="Times New Roman" w:cs="Times New Roman"/>
          <w:sz w:val="28"/>
          <w:szCs w:val="28"/>
        </w:rPr>
        <w:t>Общий балл оценки тяжести симптомов в группе</w:t>
      </w:r>
      <w:r w:rsidRPr="00437528">
        <w:rPr>
          <w:rFonts w:ascii="Times New Roman" w:hAnsi="Times New Roman" w:cs="Times New Roman"/>
          <w:sz w:val="28"/>
          <w:szCs w:val="28"/>
          <w:lang w:val="kk-KZ"/>
        </w:rPr>
        <w:t xml:space="preserve"> </w:t>
      </w:r>
      <w:r w:rsidRPr="0061235E">
        <w:rPr>
          <w:rFonts w:ascii="Times New Roman" w:hAnsi="Times New Roman" w:cs="Times New Roman"/>
          <w:sz w:val="28"/>
          <w:szCs w:val="28"/>
          <w:lang w:val="kk-KZ"/>
        </w:rPr>
        <w:t>вмешательства</w:t>
      </w:r>
      <w:r w:rsidRPr="0061235E">
        <w:rPr>
          <w:rFonts w:ascii="Times New Roman" w:hAnsi="Times New Roman" w:cs="Times New Roman"/>
          <w:sz w:val="28"/>
          <w:szCs w:val="28"/>
        </w:rPr>
        <w:t xml:space="preserve"> составил 11 (9-13) баллов и 11,5 (10-13) баллов в группе </w:t>
      </w:r>
      <w:r w:rsidRPr="0061235E">
        <w:rPr>
          <w:rFonts w:ascii="Times New Roman" w:hAnsi="Times New Roman" w:cs="Times New Roman"/>
          <w:sz w:val="28"/>
          <w:szCs w:val="28"/>
          <w:lang w:val="kk-KZ"/>
        </w:rPr>
        <w:t>контроля</w:t>
      </w:r>
      <w:r w:rsidRPr="0061235E">
        <w:rPr>
          <w:rFonts w:ascii="Times New Roman" w:hAnsi="Times New Roman" w:cs="Times New Roman"/>
          <w:sz w:val="28"/>
          <w:szCs w:val="28"/>
        </w:rPr>
        <w:t xml:space="preserve"> (р=0,7) </w:t>
      </w:r>
      <w:r w:rsidRPr="0061235E">
        <w:rPr>
          <w:rFonts w:ascii="Times New Roman" w:eastAsia="Calibri" w:hAnsi="Times New Roman" w:cs="Times New Roman"/>
          <w:sz w:val="28"/>
          <w:szCs w:val="28"/>
        </w:rPr>
        <w:t>(</w:t>
      </w:r>
      <w:r w:rsidR="000C1AF9">
        <w:rPr>
          <w:rFonts w:ascii="Times New Roman" w:eastAsia="Calibri" w:hAnsi="Times New Roman" w:cs="Times New Roman"/>
          <w:sz w:val="28"/>
          <w:szCs w:val="28"/>
        </w:rPr>
        <w:t>таблица 9</w:t>
      </w:r>
      <w:r w:rsidRPr="0061235E">
        <w:rPr>
          <w:rFonts w:ascii="Times New Roman" w:eastAsia="Calibri" w:hAnsi="Times New Roman" w:cs="Times New Roman"/>
          <w:sz w:val="28"/>
          <w:szCs w:val="28"/>
        </w:rPr>
        <w:t>)</w:t>
      </w:r>
      <w:r w:rsidRPr="0061235E">
        <w:rPr>
          <w:rFonts w:ascii="Times New Roman" w:hAnsi="Times New Roman" w:cs="Times New Roman"/>
          <w:sz w:val="28"/>
          <w:szCs w:val="28"/>
        </w:rPr>
        <w:t>.</w:t>
      </w:r>
    </w:p>
    <w:p w14:paraId="0A76A3AA" w14:textId="77777777" w:rsidR="008F5B12" w:rsidRDefault="008F5B12" w:rsidP="008F5B12">
      <w:pPr>
        <w:spacing w:after="0" w:line="240" w:lineRule="auto"/>
        <w:ind w:firstLine="567"/>
        <w:jc w:val="both"/>
        <w:rPr>
          <w:rFonts w:ascii="Times New Roman" w:hAnsi="Times New Roman" w:cs="Times New Roman"/>
          <w:sz w:val="28"/>
          <w:szCs w:val="28"/>
        </w:rPr>
      </w:pPr>
    </w:p>
    <w:p w14:paraId="637B36FF" w14:textId="082A94FE" w:rsidR="008F5B12" w:rsidRPr="00437528" w:rsidRDefault="000C1AF9" w:rsidP="003E7AF4">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Таблица 9</w:t>
      </w:r>
      <w:r w:rsidR="008F5B12" w:rsidRPr="00437528">
        <w:rPr>
          <w:rFonts w:ascii="Times New Roman" w:eastAsia="Calibri" w:hAnsi="Times New Roman" w:cs="Times New Roman"/>
          <w:sz w:val="28"/>
          <w:szCs w:val="28"/>
        </w:rPr>
        <w:t xml:space="preserve"> - Сравнительная характеристика группы вмешательства и группы контроля по клиническим показателям на фоне проведения аллерген-специфической иммунотерапии </w:t>
      </w:r>
    </w:p>
    <w:p w14:paraId="08F9CCD3" w14:textId="77777777" w:rsidR="008F5B12" w:rsidRPr="00437528" w:rsidRDefault="008F5B12" w:rsidP="008F5B12">
      <w:pPr>
        <w:spacing w:after="0" w:line="240" w:lineRule="auto"/>
        <w:jc w:val="both"/>
        <w:rPr>
          <w:rFonts w:ascii="Times New Roman" w:eastAsia="Calibri" w:hAnsi="Times New Roman" w:cs="Times New Roman"/>
          <w:sz w:val="28"/>
          <w:szCs w:val="28"/>
        </w:rPr>
      </w:pPr>
    </w:p>
    <w:tbl>
      <w:tblPr>
        <w:tblStyle w:val="41"/>
        <w:tblW w:w="5041" w:type="pct"/>
        <w:tblInd w:w="-5" w:type="dxa"/>
        <w:tblLook w:val="04A0" w:firstRow="1" w:lastRow="0" w:firstColumn="1" w:lastColumn="0" w:noHBand="0" w:noVBand="1"/>
      </w:tblPr>
      <w:tblGrid>
        <w:gridCol w:w="3471"/>
        <w:gridCol w:w="992"/>
        <w:gridCol w:w="2192"/>
        <w:gridCol w:w="1860"/>
        <w:gridCol w:w="1192"/>
      </w:tblGrid>
      <w:tr w:rsidR="008F5B12" w:rsidRPr="00437528" w14:paraId="05C6D120" w14:textId="77777777" w:rsidTr="008215CA">
        <w:tc>
          <w:tcPr>
            <w:tcW w:w="1788" w:type="pct"/>
          </w:tcPr>
          <w:p w14:paraId="72337B9D"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Показатель</w:t>
            </w:r>
          </w:p>
        </w:tc>
        <w:tc>
          <w:tcPr>
            <w:tcW w:w="511" w:type="pct"/>
          </w:tcPr>
          <w:p w14:paraId="3C1A2262"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Визит</w:t>
            </w:r>
          </w:p>
        </w:tc>
        <w:tc>
          <w:tcPr>
            <w:tcW w:w="1129" w:type="pct"/>
            <w:vAlign w:val="center"/>
          </w:tcPr>
          <w:p w14:paraId="51A5D641"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Группа вмешательства (АСИТ+витаминД)</w:t>
            </w:r>
          </w:p>
        </w:tc>
        <w:tc>
          <w:tcPr>
            <w:tcW w:w="958" w:type="pct"/>
            <w:vAlign w:val="center"/>
          </w:tcPr>
          <w:p w14:paraId="62194E7B" w14:textId="77777777" w:rsidR="008F5B12" w:rsidRPr="00437528" w:rsidRDefault="008F5B12" w:rsidP="00441716">
            <w:pPr>
              <w:jc w:val="both"/>
              <w:rPr>
                <w:rFonts w:ascii="Times New Roman" w:hAnsi="Times New Roman"/>
                <w:sz w:val="24"/>
                <w:szCs w:val="24"/>
              </w:rPr>
            </w:pPr>
            <w:r w:rsidRPr="00437528">
              <w:rPr>
                <w:rFonts w:ascii="Times New Roman" w:hAnsi="Times New Roman"/>
                <w:bCs/>
                <w:sz w:val="24"/>
                <w:szCs w:val="24"/>
              </w:rPr>
              <w:t>Группа контроля (АСИТ)</w:t>
            </w:r>
          </w:p>
        </w:tc>
        <w:tc>
          <w:tcPr>
            <w:tcW w:w="614" w:type="pct"/>
          </w:tcPr>
          <w:p w14:paraId="7FE4C0D6"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lang w:val="en-US"/>
              </w:rPr>
              <w:t>p-value</w:t>
            </w:r>
            <w:r w:rsidRPr="00437528">
              <w:rPr>
                <w:rFonts w:ascii="Times New Roman" w:hAnsi="Times New Roman"/>
                <w:sz w:val="24"/>
                <w:szCs w:val="24"/>
              </w:rPr>
              <w:t xml:space="preserve"> </w:t>
            </w:r>
            <w:r w:rsidRPr="00437528">
              <w:rPr>
                <w:rFonts w:ascii="Times New Roman" w:hAnsi="Times New Roman"/>
                <w:sz w:val="24"/>
                <w:szCs w:val="24"/>
              </w:rPr>
              <w:sym w:font="Symbol" w:char="F0A2"/>
            </w:r>
          </w:p>
        </w:tc>
      </w:tr>
      <w:tr w:rsidR="008F5B12" w:rsidRPr="00437528" w14:paraId="67A7E741" w14:textId="77777777" w:rsidTr="008215CA">
        <w:tc>
          <w:tcPr>
            <w:tcW w:w="1788" w:type="pct"/>
            <w:vMerge w:val="restart"/>
          </w:tcPr>
          <w:p w14:paraId="37516402" w14:textId="77777777" w:rsidR="008F5B12" w:rsidRPr="00437528" w:rsidRDefault="008F5B12" w:rsidP="00441716">
            <w:pPr>
              <w:jc w:val="both"/>
              <w:rPr>
                <w:rFonts w:ascii="Times New Roman" w:hAnsi="Times New Roman"/>
                <w:sz w:val="24"/>
                <w:szCs w:val="24"/>
                <w:lang w:val="en-US"/>
              </w:rPr>
            </w:pPr>
            <w:r w:rsidRPr="00437528">
              <w:rPr>
                <w:rFonts w:ascii="Times New Roman" w:hAnsi="Times New Roman"/>
                <w:sz w:val="24"/>
                <w:szCs w:val="24"/>
              </w:rPr>
              <w:t>Заложенность носа</w:t>
            </w:r>
            <w:r w:rsidRPr="00437528">
              <w:rPr>
                <w:rFonts w:ascii="Times New Roman" w:hAnsi="Times New Roman"/>
                <w:sz w:val="24"/>
                <w:szCs w:val="24"/>
                <w:lang w:val="en-US"/>
              </w:rPr>
              <w:t>*</w:t>
            </w:r>
          </w:p>
        </w:tc>
        <w:tc>
          <w:tcPr>
            <w:tcW w:w="511" w:type="pct"/>
          </w:tcPr>
          <w:p w14:paraId="48768116"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 визит</w:t>
            </w:r>
          </w:p>
        </w:tc>
        <w:tc>
          <w:tcPr>
            <w:tcW w:w="1129" w:type="pct"/>
          </w:tcPr>
          <w:p w14:paraId="0542F31A"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2,1 (±</w:t>
            </w:r>
            <w:r w:rsidRPr="00437528">
              <w:rPr>
                <w:rFonts w:ascii="Times New Roman" w:hAnsi="Times New Roman"/>
                <w:sz w:val="24"/>
                <w:szCs w:val="24"/>
                <w:lang w:val="en-US"/>
              </w:rPr>
              <w:t>0,6</w:t>
            </w:r>
            <w:r w:rsidRPr="00437528">
              <w:rPr>
                <w:rFonts w:ascii="Times New Roman" w:hAnsi="Times New Roman"/>
                <w:sz w:val="24"/>
                <w:szCs w:val="24"/>
              </w:rPr>
              <w:t>)</w:t>
            </w:r>
          </w:p>
        </w:tc>
        <w:tc>
          <w:tcPr>
            <w:tcW w:w="958" w:type="pct"/>
          </w:tcPr>
          <w:p w14:paraId="7474D235"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2,1 (±</w:t>
            </w:r>
            <w:r w:rsidRPr="00437528">
              <w:rPr>
                <w:rFonts w:ascii="Times New Roman" w:hAnsi="Times New Roman"/>
                <w:sz w:val="24"/>
                <w:szCs w:val="24"/>
                <w:lang w:val="en-US"/>
              </w:rPr>
              <w:t>0,4</w:t>
            </w:r>
            <w:r w:rsidRPr="00437528">
              <w:rPr>
                <w:rFonts w:ascii="Times New Roman" w:hAnsi="Times New Roman"/>
                <w:sz w:val="24"/>
                <w:szCs w:val="24"/>
              </w:rPr>
              <w:t>)</w:t>
            </w:r>
          </w:p>
        </w:tc>
        <w:tc>
          <w:tcPr>
            <w:tcW w:w="614" w:type="pct"/>
          </w:tcPr>
          <w:p w14:paraId="40B12A13"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0,9</w:t>
            </w:r>
          </w:p>
        </w:tc>
      </w:tr>
      <w:tr w:rsidR="008F5B12" w:rsidRPr="00437528" w14:paraId="46333326" w14:textId="77777777" w:rsidTr="008215CA">
        <w:tc>
          <w:tcPr>
            <w:tcW w:w="1788" w:type="pct"/>
            <w:vMerge/>
          </w:tcPr>
          <w:p w14:paraId="2F5F85FA" w14:textId="77777777" w:rsidR="008F5B12" w:rsidRPr="00437528" w:rsidRDefault="008F5B12" w:rsidP="00441716">
            <w:pPr>
              <w:jc w:val="both"/>
              <w:rPr>
                <w:rFonts w:ascii="Times New Roman" w:hAnsi="Times New Roman"/>
                <w:sz w:val="24"/>
                <w:szCs w:val="24"/>
              </w:rPr>
            </w:pPr>
          </w:p>
        </w:tc>
        <w:tc>
          <w:tcPr>
            <w:tcW w:w="511" w:type="pct"/>
          </w:tcPr>
          <w:p w14:paraId="7EA387BB"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3 визит</w:t>
            </w:r>
          </w:p>
        </w:tc>
        <w:tc>
          <w:tcPr>
            <w:tcW w:w="1129" w:type="pct"/>
          </w:tcPr>
          <w:p w14:paraId="629B0ED0"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1,3 (±</w:t>
            </w:r>
            <w:r w:rsidRPr="00437528">
              <w:rPr>
                <w:rFonts w:ascii="Times New Roman" w:hAnsi="Times New Roman"/>
                <w:sz w:val="24"/>
                <w:szCs w:val="24"/>
                <w:lang w:val="en-US"/>
              </w:rPr>
              <w:t>0,6</w:t>
            </w:r>
            <w:r w:rsidRPr="00437528">
              <w:rPr>
                <w:rFonts w:ascii="Times New Roman" w:hAnsi="Times New Roman"/>
                <w:sz w:val="24"/>
                <w:szCs w:val="24"/>
              </w:rPr>
              <w:t>)</w:t>
            </w:r>
          </w:p>
        </w:tc>
        <w:tc>
          <w:tcPr>
            <w:tcW w:w="958" w:type="pct"/>
          </w:tcPr>
          <w:p w14:paraId="71942165"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1,4 (±</w:t>
            </w:r>
            <w:r w:rsidRPr="00437528">
              <w:rPr>
                <w:rFonts w:ascii="Times New Roman" w:hAnsi="Times New Roman"/>
                <w:sz w:val="24"/>
                <w:szCs w:val="24"/>
                <w:lang w:val="en-US"/>
              </w:rPr>
              <w:t>0,5</w:t>
            </w:r>
            <w:r w:rsidRPr="00437528">
              <w:rPr>
                <w:rFonts w:ascii="Times New Roman" w:hAnsi="Times New Roman"/>
                <w:sz w:val="24"/>
                <w:szCs w:val="24"/>
              </w:rPr>
              <w:t>)</w:t>
            </w:r>
          </w:p>
        </w:tc>
        <w:tc>
          <w:tcPr>
            <w:tcW w:w="614" w:type="pct"/>
          </w:tcPr>
          <w:p w14:paraId="5AD205BE"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0,4</w:t>
            </w:r>
          </w:p>
        </w:tc>
      </w:tr>
      <w:tr w:rsidR="008F5B12" w:rsidRPr="00437528" w14:paraId="3BDFBCF4" w14:textId="77777777" w:rsidTr="008215CA">
        <w:tc>
          <w:tcPr>
            <w:tcW w:w="2299" w:type="pct"/>
            <w:gridSpan w:val="2"/>
          </w:tcPr>
          <w:p w14:paraId="353E0C93"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28754017"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lang w:val="en-US"/>
              </w:rPr>
              <w:t>p</w:t>
            </w:r>
            <w:r w:rsidRPr="00437528">
              <w:rPr>
                <w:rFonts w:ascii="Times New Roman" w:hAnsi="Times New Roman"/>
                <w:sz w:val="24"/>
                <w:szCs w:val="24"/>
              </w:rPr>
              <w:t>-</w:t>
            </w:r>
            <w:r w:rsidRPr="00437528">
              <w:rPr>
                <w:rFonts w:ascii="Times New Roman" w:hAnsi="Times New Roman"/>
                <w:sz w:val="24"/>
                <w:szCs w:val="24"/>
                <w:lang w:val="en-US"/>
              </w:rPr>
              <w:t>value</w:t>
            </w:r>
            <w:r w:rsidRPr="00437528">
              <w:rPr>
                <w:rFonts w:ascii="Times New Roman" w:hAnsi="Times New Roman"/>
                <w:sz w:val="24"/>
                <w:szCs w:val="24"/>
              </w:rPr>
              <w:sym w:font="Symbol" w:char="F0B0"/>
            </w:r>
          </w:p>
        </w:tc>
        <w:tc>
          <w:tcPr>
            <w:tcW w:w="1129" w:type="pct"/>
          </w:tcPr>
          <w:p w14:paraId="35288048"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lang w:val="en-US"/>
              </w:rPr>
              <w:t>-0</w:t>
            </w:r>
            <w:r w:rsidRPr="00437528">
              <w:rPr>
                <w:rFonts w:ascii="Times New Roman" w:hAnsi="Times New Roman"/>
                <w:sz w:val="24"/>
                <w:szCs w:val="24"/>
              </w:rPr>
              <w:t>,8 (±</w:t>
            </w:r>
            <w:r w:rsidRPr="00437528">
              <w:rPr>
                <w:rFonts w:ascii="Times New Roman" w:hAnsi="Times New Roman"/>
                <w:sz w:val="24"/>
                <w:szCs w:val="24"/>
                <w:lang w:val="en-US"/>
              </w:rPr>
              <w:t>0,4</w:t>
            </w:r>
            <w:r w:rsidRPr="00437528">
              <w:rPr>
                <w:rFonts w:ascii="Times New Roman" w:hAnsi="Times New Roman"/>
                <w:sz w:val="24"/>
                <w:szCs w:val="24"/>
              </w:rPr>
              <w:t>)</w:t>
            </w:r>
          </w:p>
          <w:p w14:paraId="6DCE2065"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958" w:type="pct"/>
          </w:tcPr>
          <w:p w14:paraId="17BDC585"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-0,7 (±</w:t>
            </w:r>
            <w:r w:rsidRPr="00437528">
              <w:rPr>
                <w:rFonts w:ascii="Times New Roman" w:hAnsi="Times New Roman"/>
                <w:sz w:val="24"/>
                <w:szCs w:val="24"/>
                <w:lang w:val="en-US"/>
              </w:rPr>
              <w:t>0,5</w:t>
            </w:r>
            <w:r w:rsidRPr="00437528">
              <w:rPr>
                <w:rFonts w:ascii="Times New Roman" w:hAnsi="Times New Roman"/>
                <w:sz w:val="24"/>
                <w:szCs w:val="24"/>
              </w:rPr>
              <w:t>)</w:t>
            </w:r>
          </w:p>
          <w:p w14:paraId="664F387C"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614" w:type="pct"/>
          </w:tcPr>
          <w:p w14:paraId="0836DD98"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0,2</w:t>
            </w:r>
          </w:p>
        </w:tc>
      </w:tr>
      <w:tr w:rsidR="008F5B12" w:rsidRPr="00437528" w14:paraId="11DC36BB" w14:textId="77777777" w:rsidTr="008215CA">
        <w:tc>
          <w:tcPr>
            <w:tcW w:w="1788" w:type="pct"/>
            <w:vMerge w:val="restart"/>
          </w:tcPr>
          <w:p w14:paraId="1160A0FA" w14:textId="77777777" w:rsidR="008F5B12" w:rsidRPr="00437528" w:rsidRDefault="008F5B12" w:rsidP="00441716">
            <w:pPr>
              <w:jc w:val="both"/>
              <w:rPr>
                <w:rFonts w:ascii="Times New Roman" w:hAnsi="Times New Roman"/>
                <w:sz w:val="24"/>
                <w:szCs w:val="24"/>
                <w:lang w:val="en-US"/>
              </w:rPr>
            </w:pPr>
            <w:r w:rsidRPr="00437528">
              <w:rPr>
                <w:rFonts w:ascii="Times New Roman" w:hAnsi="Times New Roman"/>
                <w:sz w:val="24"/>
                <w:szCs w:val="24"/>
              </w:rPr>
              <w:t>Выделения из носа</w:t>
            </w:r>
            <w:r w:rsidRPr="00437528">
              <w:rPr>
                <w:rFonts w:ascii="Times New Roman" w:hAnsi="Times New Roman"/>
                <w:sz w:val="24"/>
                <w:szCs w:val="24"/>
                <w:lang w:val="en-US"/>
              </w:rPr>
              <w:t>*</w:t>
            </w:r>
          </w:p>
        </w:tc>
        <w:tc>
          <w:tcPr>
            <w:tcW w:w="511" w:type="pct"/>
          </w:tcPr>
          <w:p w14:paraId="430C6379"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 визит</w:t>
            </w:r>
          </w:p>
        </w:tc>
        <w:tc>
          <w:tcPr>
            <w:tcW w:w="1129" w:type="pct"/>
          </w:tcPr>
          <w:p w14:paraId="4D50EBD4"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2,2 (±</w:t>
            </w:r>
            <w:r w:rsidRPr="00437528">
              <w:rPr>
                <w:rFonts w:ascii="Times New Roman" w:hAnsi="Times New Roman"/>
                <w:sz w:val="24"/>
                <w:szCs w:val="24"/>
                <w:lang w:val="en-US"/>
              </w:rPr>
              <w:t>0,6</w:t>
            </w:r>
            <w:r w:rsidRPr="00437528">
              <w:rPr>
                <w:rFonts w:ascii="Times New Roman" w:hAnsi="Times New Roman"/>
                <w:sz w:val="24"/>
                <w:szCs w:val="24"/>
              </w:rPr>
              <w:t>)</w:t>
            </w:r>
          </w:p>
        </w:tc>
        <w:tc>
          <w:tcPr>
            <w:tcW w:w="958" w:type="pct"/>
          </w:tcPr>
          <w:p w14:paraId="3473F9CF"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2,2 (±</w:t>
            </w:r>
            <w:r w:rsidRPr="00437528">
              <w:rPr>
                <w:rFonts w:ascii="Times New Roman" w:hAnsi="Times New Roman"/>
                <w:sz w:val="24"/>
                <w:szCs w:val="24"/>
                <w:lang w:val="en-US"/>
              </w:rPr>
              <w:t>0,6</w:t>
            </w:r>
            <w:r w:rsidRPr="00437528">
              <w:rPr>
                <w:rFonts w:ascii="Times New Roman" w:hAnsi="Times New Roman"/>
                <w:sz w:val="24"/>
                <w:szCs w:val="24"/>
              </w:rPr>
              <w:t>)</w:t>
            </w:r>
          </w:p>
        </w:tc>
        <w:tc>
          <w:tcPr>
            <w:tcW w:w="614" w:type="pct"/>
          </w:tcPr>
          <w:p w14:paraId="60435336"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0,9</w:t>
            </w:r>
          </w:p>
        </w:tc>
      </w:tr>
      <w:tr w:rsidR="008F5B12" w:rsidRPr="00437528" w14:paraId="6BBB9A04" w14:textId="77777777" w:rsidTr="008215CA">
        <w:tc>
          <w:tcPr>
            <w:tcW w:w="1788" w:type="pct"/>
            <w:vMerge/>
          </w:tcPr>
          <w:p w14:paraId="482C5DEE" w14:textId="77777777" w:rsidR="008F5B12" w:rsidRPr="00437528" w:rsidRDefault="008F5B12" w:rsidP="00441716">
            <w:pPr>
              <w:jc w:val="both"/>
              <w:rPr>
                <w:rFonts w:ascii="Times New Roman" w:hAnsi="Times New Roman"/>
                <w:sz w:val="24"/>
                <w:szCs w:val="24"/>
              </w:rPr>
            </w:pPr>
          </w:p>
        </w:tc>
        <w:tc>
          <w:tcPr>
            <w:tcW w:w="511" w:type="pct"/>
          </w:tcPr>
          <w:p w14:paraId="691C3D90"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3 визит</w:t>
            </w:r>
          </w:p>
        </w:tc>
        <w:tc>
          <w:tcPr>
            <w:tcW w:w="1129" w:type="pct"/>
          </w:tcPr>
          <w:p w14:paraId="7B72AFCD"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1,4 (±</w:t>
            </w:r>
            <w:r w:rsidRPr="00437528">
              <w:rPr>
                <w:rFonts w:ascii="Times New Roman" w:hAnsi="Times New Roman"/>
                <w:sz w:val="24"/>
                <w:szCs w:val="24"/>
                <w:lang w:val="en-US"/>
              </w:rPr>
              <w:t>0,5</w:t>
            </w:r>
            <w:r w:rsidRPr="00437528">
              <w:rPr>
                <w:rFonts w:ascii="Times New Roman" w:hAnsi="Times New Roman"/>
                <w:sz w:val="24"/>
                <w:szCs w:val="24"/>
              </w:rPr>
              <w:t>)</w:t>
            </w:r>
          </w:p>
        </w:tc>
        <w:tc>
          <w:tcPr>
            <w:tcW w:w="958" w:type="pct"/>
          </w:tcPr>
          <w:p w14:paraId="79CF3A4A"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1,6 (±</w:t>
            </w:r>
            <w:r w:rsidRPr="00437528">
              <w:rPr>
                <w:rFonts w:ascii="Times New Roman" w:hAnsi="Times New Roman"/>
                <w:sz w:val="24"/>
                <w:szCs w:val="24"/>
                <w:lang w:val="en-US"/>
              </w:rPr>
              <w:t>0,6</w:t>
            </w:r>
            <w:r w:rsidRPr="00437528">
              <w:rPr>
                <w:rFonts w:ascii="Times New Roman" w:hAnsi="Times New Roman"/>
                <w:sz w:val="24"/>
                <w:szCs w:val="24"/>
              </w:rPr>
              <w:t>)</w:t>
            </w:r>
          </w:p>
        </w:tc>
        <w:tc>
          <w:tcPr>
            <w:tcW w:w="614" w:type="pct"/>
          </w:tcPr>
          <w:p w14:paraId="1DFC1B9A"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0,3</w:t>
            </w:r>
          </w:p>
        </w:tc>
      </w:tr>
      <w:tr w:rsidR="008F5B12" w:rsidRPr="00437528" w14:paraId="6A51C3B0" w14:textId="77777777" w:rsidTr="008215CA">
        <w:tc>
          <w:tcPr>
            <w:tcW w:w="2299" w:type="pct"/>
            <w:gridSpan w:val="2"/>
          </w:tcPr>
          <w:p w14:paraId="171078B4"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6DF33E92"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lang w:val="en-US"/>
              </w:rPr>
              <w:t>p</w:t>
            </w:r>
            <w:r w:rsidRPr="00437528">
              <w:rPr>
                <w:rFonts w:ascii="Times New Roman" w:hAnsi="Times New Roman"/>
                <w:sz w:val="24"/>
                <w:szCs w:val="24"/>
              </w:rPr>
              <w:t>-</w:t>
            </w:r>
            <w:r w:rsidRPr="00437528">
              <w:rPr>
                <w:rFonts w:ascii="Times New Roman" w:hAnsi="Times New Roman"/>
                <w:sz w:val="24"/>
                <w:szCs w:val="24"/>
                <w:lang w:val="en-US"/>
              </w:rPr>
              <w:t>value</w:t>
            </w:r>
            <w:r w:rsidRPr="00437528">
              <w:rPr>
                <w:rFonts w:ascii="Times New Roman" w:hAnsi="Times New Roman"/>
                <w:sz w:val="24"/>
                <w:szCs w:val="24"/>
              </w:rPr>
              <w:sym w:font="Symbol" w:char="F0B0"/>
            </w:r>
          </w:p>
        </w:tc>
        <w:tc>
          <w:tcPr>
            <w:tcW w:w="1129" w:type="pct"/>
          </w:tcPr>
          <w:p w14:paraId="27B4552F"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-0,8 (±</w:t>
            </w:r>
            <w:r w:rsidRPr="00437528">
              <w:rPr>
                <w:rFonts w:ascii="Times New Roman" w:hAnsi="Times New Roman"/>
                <w:sz w:val="24"/>
                <w:szCs w:val="24"/>
                <w:lang w:val="en-US"/>
              </w:rPr>
              <w:t>0,5</w:t>
            </w:r>
            <w:r w:rsidRPr="00437528">
              <w:rPr>
                <w:rFonts w:ascii="Times New Roman" w:hAnsi="Times New Roman"/>
                <w:sz w:val="24"/>
                <w:szCs w:val="24"/>
              </w:rPr>
              <w:t>)</w:t>
            </w:r>
          </w:p>
          <w:p w14:paraId="4C34C683"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958" w:type="pct"/>
          </w:tcPr>
          <w:p w14:paraId="1FB072A6"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-0,6 (±</w:t>
            </w:r>
            <w:r w:rsidRPr="00437528">
              <w:rPr>
                <w:rFonts w:ascii="Times New Roman" w:hAnsi="Times New Roman"/>
                <w:sz w:val="24"/>
                <w:szCs w:val="24"/>
                <w:lang w:val="en-US"/>
              </w:rPr>
              <w:t>0,5</w:t>
            </w:r>
            <w:r w:rsidRPr="00437528">
              <w:rPr>
                <w:rFonts w:ascii="Times New Roman" w:hAnsi="Times New Roman"/>
                <w:sz w:val="24"/>
                <w:szCs w:val="24"/>
              </w:rPr>
              <w:t>)</w:t>
            </w:r>
          </w:p>
          <w:p w14:paraId="4F2B02BA"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614" w:type="pct"/>
          </w:tcPr>
          <w:p w14:paraId="40146ACB"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0,3</w:t>
            </w:r>
          </w:p>
        </w:tc>
      </w:tr>
      <w:tr w:rsidR="008F5B12" w:rsidRPr="00437528" w14:paraId="38B05DDD" w14:textId="77777777" w:rsidTr="008215CA">
        <w:tc>
          <w:tcPr>
            <w:tcW w:w="1788" w:type="pct"/>
            <w:vMerge w:val="restart"/>
          </w:tcPr>
          <w:p w14:paraId="5DCD1DE3" w14:textId="77777777" w:rsidR="008F5B12" w:rsidRPr="00437528" w:rsidRDefault="008F5B12" w:rsidP="00441716">
            <w:pPr>
              <w:jc w:val="both"/>
              <w:rPr>
                <w:rFonts w:ascii="Times New Roman" w:hAnsi="Times New Roman"/>
                <w:sz w:val="24"/>
                <w:szCs w:val="24"/>
                <w:lang w:val="en-US"/>
              </w:rPr>
            </w:pPr>
            <w:r w:rsidRPr="00437528">
              <w:rPr>
                <w:rFonts w:ascii="Times New Roman" w:hAnsi="Times New Roman"/>
                <w:sz w:val="24"/>
                <w:szCs w:val="24"/>
              </w:rPr>
              <w:t>Зуд в носу</w:t>
            </w:r>
            <w:r w:rsidRPr="00437528">
              <w:rPr>
                <w:rFonts w:ascii="Times New Roman" w:hAnsi="Times New Roman"/>
                <w:sz w:val="24"/>
                <w:szCs w:val="24"/>
                <w:lang w:val="en-US"/>
              </w:rPr>
              <w:t>*</w:t>
            </w:r>
          </w:p>
        </w:tc>
        <w:tc>
          <w:tcPr>
            <w:tcW w:w="511" w:type="pct"/>
          </w:tcPr>
          <w:p w14:paraId="21007D56"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 визит</w:t>
            </w:r>
          </w:p>
        </w:tc>
        <w:tc>
          <w:tcPr>
            <w:tcW w:w="1129" w:type="pct"/>
          </w:tcPr>
          <w:p w14:paraId="2AD506FD"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2,1 (±</w:t>
            </w:r>
            <w:r w:rsidRPr="00437528">
              <w:rPr>
                <w:rFonts w:ascii="Times New Roman" w:hAnsi="Times New Roman"/>
                <w:sz w:val="24"/>
                <w:szCs w:val="24"/>
                <w:lang w:val="en-US"/>
              </w:rPr>
              <w:t>0,7</w:t>
            </w:r>
            <w:r w:rsidRPr="00437528">
              <w:rPr>
                <w:rFonts w:ascii="Times New Roman" w:hAnsi="Times New Roman"/>
                <w:sz w:val="24"/>
                <w:szCs w:val="24"/>
              </w:rPr>
              <w:t>)</w:t>
            </w:r>
          </w:p>
        </w:tc>
        <w:tc>
          <w:tcPr>
            <w:tcW w:w="958" w:type="pct"/>
          </w:tcPr>
          <w:p w14:paraId="4979DAF9"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2,1 (±</w:t>
            </w:r>
            <w:r w:rsidRPr="00437528">
              <w:rPr>
                <w:rFonts w:ascii="Times New Roman" w:hAnsi="Times New Roman"/>
                <w:sz w:val="24"/>
                <w:szCs w:val="24"/>
                <w:lang w:val="en-US"/>
              </w:rPr>
              <w:t>0,5</w:t>
            </w:r>
            <w:r w:rsidRPr="00437528">
              <w:rPr>
                <w:rFonts w:ascii="Times New Roman" w:hAnsi="Times New Roman"/>
                <w:sz w:val="24"/>
                <w:szCs w:val="24"/>
              </w:rPr>
              <w:t>)</w:t>
            </w:r>
          </w:p>
        </w:tc>
        <w:tc>
          <w:tcPr>
            <w:tcW w:w="614" w:type="pct"/>
          </w:tcPr>
          <w:p w14:paraId="62D24BBC"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0,9</w:t>
            </w:r>
          </w:p>
        </w:tc>
      </w:tr>
      <w:tr w:rsidR="008F5B12" w:rsidRPr="00437528" w14:paraId="6524EBA2" w14:textId="77777777" w:rsidTr="008215CA">
        <w:tc>
          <w:tcPr>
            <w:tcW w:w="1788" w:type="pct"/>
            <w:vMerge/>
          </w:tcPr>
          <w:p w14:paraId="610DB6B5" w14:textId="77777777" w:rsidR="008F5B12" w:rsidRPr="00437528" w:rsidRDefault="008F5B12" w:rsidP="00441716">
            <w:pPr>
              <w:jc w:val="both"/>
              <w:rPr>
                <w:rFonts w:ascii="Times New Roman" w:hAnsi="Times New Roman"/>
                <w:sz w:val="24"/>
                <w:szCs w:val="24"/>
              </w:rPr>
            </w:pPr>
          </w:p>
        </w:tc>
        <w:tc>
          <w:tcPr>
            <w:tcW w:w="511" w:type="pct"/>
          </w:tcPr>
          <w:p w14:paraId="66272C45"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3 визит</w:t>
            </w:r>
          </w:p>
        </w:tc>
        <w:tc>
          <w:tcPr>
            <w:tcW w:w="1129" w:type="pct"/>
          </w:tcPr>
          <w:p w14:paraId="07DA5033"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1,4 (±</w:t>
            </w:r>
            <w:r w:rsidRPr="00437528">
              <w:rPr>
                <w:rFonts w:ascii="Times New Roman" w:hAnsi="Times New Roman"/>
                <w:sz w:val="24"/>
                <w:szCs w:val="24"/>
                <w:lang w:val="en-US"/>
              </w:rPr>
              <w:t>0,5</w:t>
            </w:r>
            <w:r w:rsidRPr="00437528">
              <w:rPr>
                <w:rFonts w:ascii="Times New Roman" w:hAnsi="Times New Roman"/>
                <w:sz w:val="24"/>
                <w:szCs w:val="24"/>
              </w:rPr>
              <w:t>)</w:t>
            </w:r>
          </w:p>
        </w:tc>
        <w:tc>
          <w:tcPr>
            <w:tcW w:w="958" w:type="pct"/>
          </w:tcPr>
          <w:p w14:paraId="5D43750A"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1,7 (±</w:t>
            </w:r>
            <w:r w:rsidRPr="00437528">
              <w:rPr>
                <w:rFonts w:ascii="Times New Roman" w:hAnsi="Times New Roman"/>
                <w:sz w:val="24"/>
                <w:szCs w:val="24"/>
                <w:lang w:val="en-US"/>
              </w:rPr>
              <w:t>0,6</w:t>
            </w:r>
            <w:r w:rsidRPr="00437528">
              <w:rPr>
                <w:rFonts w:ascii="Times New Roman" w:hAnsi="Times New Roman"/>
                <w:sz w:val="24"/>
                <w:szCs w:val="24"/>
              </w:rPr>
              <w:t>)</w:t>
            </w:r>
          </w:p>
        </w:tc>
        <w:tc>
          <w:tcPr>
            <w:tcW w:w="614" w:type="pct"/>
          </w:tcPr>
          <w:p w14:paraId="7FEDE987"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0,2</w:t>
            </w:r>
          </w:p>
        </w:tc>
      </w:tr>
      <w:tr w:rsidR="008F5B12" w:rsidRPr="00437528" w14:paraId="0731009C" w14:textId="77777777" w:rsidTr="008215CA">
        <w:tc>
          <w:tcPr>
            <w:tcW w:w="2299" w:type="pct"/>
            <w:gridSpan w:val="2"/>
          </w:tcPr>
          <w:p w14:paraId="54708EFA"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7D29E096"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lang w:val="en-US"/>
              </w:rPr>
              <w:t>p</w:t>
            </w:r>
            <w:r w:rsidRPr="00437528">
              <w:rPr>
                <w:rFonts w:ascii="Times New Roman" w:hAnsi="Times New Roman"/>
                <w:sz w:val="24"/>
                <w:szCs w:val="24"/>
              </w:rPr>
              <w:t>-</w:t>
            </w:r>
            <w:r w:rsidRPr="00437528">
              <w:rPr>
                <w:rFonts w:ascii="Times New Roman" w:hAnsi="Times New Roman"/>
                <w:sz w:val="24"/>
                <w:szCs w:val="24"/>
                <w:lang w:val="en-US"/>
              </w:rPr>
              <w:t>value</w:t>
            </w:r>
            <w:r w:rsidRPr="00437528">
              <w:rPr>
                <w:rFonts w:ascii="Times New Roman" w:hAnsi="Times New Roman"/>
                <w:sz w:val="24"/>
                <w:szCs w:val="24"/>
              </w:rPr>
              <w:sym w:font="Symbol" w:char="F0B0"/>
            </w:r>
          </w:p>
        </w:tc>
        <w:tc>
          <w:tcPr>
            <w:tcW w:w="1129" w:type="pct"/>
          </w:tcPr>
          <w:p w14:paraId="4A99DD8B"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-0,7 (±</w:t>
            </w:r>
            <w:r w:rsidRPr="00437528">
              <w:rPr>
                <w:rFonts w:ascii="Times New Roman" w:hAnsi="Times New Roman"/>
                <w:sz w:val="24"/>
                <w:szCs w:val="24"/>
                <w:lang w:val="en-US"/>
              </w:rPr>
              <w:t>0,5</w:t>
            </w:r>
            <w:r w:rsidRPr="00437528">
              <w:rPr>
                <w:rFonts w:ascii="Times New Roman" w:hAnsi="Times New Roman"/>
                <w:sz w:val="24"/>
                <w:szCs w:val="24"/>
              </w:rPr>
              <w:t>)</w:t>
            </w:r>
          </w:p>
          <w:p w14:paraId="0BD4EB80"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958" w:type="pct"/>
          </w:tcPr>
          <w:p w14:paraId="025B445A"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-0,4 (±</w:t>
            </w:r>
            <w:r w:rsidRPr="00437528">
              <w:rPr>
                <w:rFonts w:ascii="Times New Roman" w:hAnsi="Times New Roman"/>
                <w:sz w:val="24"/>
                <w:szCs w:val="24"/>
                <w:lang w:val="en-US"/>
              </w:rPr>
              <w:t>0,5</w:t>
            </w:r>
            <w:r w:rsidRPr="00437528">
              <w:rPr>
                <w:rFonts w:ascii="Times New Roman" w:hAnsi="Times New Roman"/>
                <w:sz w:val="24"/>
                <w:szCs w:val="24"/>
              </w:rPr>
              <w:t>)</w:t>
            </w:r>
          </w:p>
          <w:p w14:paraId="0259E2AD"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0,002</w:t>
            </w:r>
          </w:p>
        </w:tc>
        <w:tc>
          <w:tcPr>
            <w:tcW w:w="614" w:type="pct"/>
          </w:tcPr>
          <w:p w14:paraId="4D59C03F"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0,1</w:t>
            </w:r>
          </w:p>
        </w:tc>
      </w:tr>
      <w:tr w:rsidR="008F5B12" w:rsidRPr="00437528" w14:paraId="75C06713" w14:textId="77777777" w:rsidTr="008215CA">
        <w:tc>
          <w:tcPr>
            <w:tcW w:w="1788" w:type="pct"/>
            <w:vMerge w:val="restart"/>
          </w:tcPr>
          <w:p w14:paraId="7DF116B1" w14:textId="77777777" w:rsidR="008F5B12" w:rsidRPr="00437528" w:rsidRDefault="008F5B12" w:rsidP="00441716">
            <w:pPr>
              <w:jc w:val="both"/>
              <w:rPr>
                <w:rFonts w:ascii="Times New Roman" w:hAnsi="Times New Roman"/>
                <w:sz w:val="24"/>
                <w:szCs w:val="24"/>
                <w:lang w:val="en-US"/>
              </w:rPr>
            </w:pPr>
            <w:r w:rsidRPr="00437528">
              <w:rPr>
                <w:rFonts w:ascii="Times New Roman" w:hAnsi="Times New Roman"/>
                <w:sz w:val="24"/>
                <w:szCs w:val="24"/>
              </w:rPr>
              <w:t>Чихание</w:t>
            </w:r>
            <w:r w:rsidRPr="00437528">
              <w:rPr>
                <w:rFonts w:ascii="Times New Roman" w:hAnsi="Times New Roman"/>
                <w:sz w:val="24"/>
                <w:szCs w:val="24"/>
                <w:lang w:val="en-US"/>
              </w:rPr>
              <w:t>*</w:t>
            </w:r>
          </w:p>
        </w:tc>
        <w:tc>
          <w:tcPr>
            <w:tcW w:w="511" w:type="pct"/>
          </w:tcPr>
          <w:p w14:paraId="25008315"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 визит</w:t>
            </w:r>
          </w:p>
        </w:tc>
        <w:tc>
          <w:tcPr>
            <w:tcW w:w="1129" w:type="pct"/>
          </w:tcPr>
          <w:p w14:paraId="1FB17CFF"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1,9 (±</w:t>
            </w:r>
            <w:r w:rsidRPr="00437528">
              <w:rPr>
                <w:rFonts w:ascii="Times New Roman" w:hAnsi="Times New Roman"/>
                <w:sz w:val="24"/>
                <w:szCs w:val="24"/>
                <w:lang w:val="en-US"/>
              </w:rPr>
              <w:t>0,7</w:t>
            </w:r>
            <w:r w:rsidRPr="00437528">
              <w:rPr>
                <w:rFonts w:ascii="Times New Roman" w:hAnsi="Times New Roman"/>
                <w:sz w:val="24"/>
                <w:szCs w:val="24"/>
              </w:rPr>
              <w:t>)</w:t>
            </w:r>
          </w:p>
        </w:tc>
        <w:tc>
          <w:tcPr>
            <w:tcW w:w="958" w:type="pct"/>
          </w:tcPr>
          <w:p w14:paraId="7714F73C"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1,9 (±</w:t>
            </w:r>
            <w:r w:rsidRPr="00437528">
              <w:rPr>
                <w:rFonts w:ascii="Times New Roman" w:hAnsi="Times New Roman"/>
                <w:sz w:val="24"/>
                <w:szCs w:val="24"/>
                <w:lang w:val="en-US"/>
              </w:rPr>
              <w:t>0,6</w:t>
            </w:r>
            <w:r w:rsidRPr="00437528">
              <w:rPr>
                <w:rFonts w:ascii="Times New Roman" w:hAnsi="Times New Roman"/>
                <w:sz w:val="24"/>
                <w:szCs w:val="24"/>
              </w:rPr>
              <w:t>)</w:t>
            </w:r>
          </w:p>
        </w:tc>
        <w:tc>
          <w:tcPr>
            <w:tcW w:w="614" w:type="pct"/>
          </w:tcPr>
          <w:p w14:paraId="7A5DA644"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0,8</w:t>
            </w:r>
          </w:p>
        </w:tc>
      </w:tr>
      <w:tr w:rsidR="008F5B12" w:rsidRPr="00437528" w14:paraId="4FD0A656" w14:textId="77777777" w:rsidTr="008215CA">
        <w:tc>
          <w:tcPr>
            <w:tcW w:w="1788" w:type="pct"/>
            <w:vMerge/>
          </w:tcPr>
          <w:p w14:paraId="713F4527" w14:textId="77777777" w:rsidR="008F5B12" w:rsidRPr="00437528" w:rsidRDefault="008F5B12" w:rsidP="00441716">
            <w:pPr>
              <w:jc w:val="both"/>
              <w:rPr>
                <w:rFonts w:ascii="Times New Roman" w:hAnsi="Times New Roman"/>
                <w:sz w:val="24"/>
                <w:szCs w:val="24"/>
              </w:rPr>
            </w:pPr>
          </w:p>
        </w:tc>
        <w:tc>
          <w:tcPr>
            <w:tcW w:w="511" w:type="pct"/>
          </w:tcPr>
          <w:p w14:paraId="234CCFBF"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3 визит</w:t>
            </w:r>
          </w:p>
        </w:tc>
        <w:tc>
          <w:tcPr>
            <w:tcW w:w="1129" w:type="pct"/>
          </w:tcPr>
          <w:p w14:paraId="54CA9F7D"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1,4 (±</w:t>
            </w:r>
            <w:r w:rsidRPr="00437528">
              <w:rPr>
                <w:rFonts w:ascii="Times New Roman" w:hAnsi="Times New Roman"/>
                <w:sz w:val="24"/>
                <w:szCs w:val="24"/>
                <w:lang w:val="en-US"/>
              </w:rPr>
              <w:t>0,5</w:t>
            </w:r>
            <w:r w:rsidRPr="00437528">
              <w:rPr>
                <w:rFonts w:ascii="Times New Roman" w:hAnsi="Times New Roman"/>
                <w:sz w:val="24"/>
                <w:szCs w:val="24"/>
              </w:rPr>
              <w:t>)</w:t>
            </w:r>
          </w:p>
        </w:tc>
        <w:tc>
          <w:tcPr>
            <w:tcW w:w="958" w:type="pct"/>
          </w:tcPr>
          <w:p w14:paraId="7C5554B9"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1,7 (±</w:t>
            </w:r>
            <w:r w:rsidRPr="00437528">
              <w:rPr>
                <w:rFonts w:ascii="Times New Roman" w:hAnsi="Times New Roman"/>
                <w:sz w:val="24"/>
                <w:szCs w:val="24"/>
                <w:lang w:val="en-US"/>
              </w:rPr>
              <w:t>0,5</w:t>
            </w:r>
            <w:r w:rsidRPr="00437528">
              <w:rPr>
                <w:rFonts w:ascii="Times New Roman" w:hAnsi="Times New Roman"/>
                <w:sz w:val="24"/>
                <w:szCs w:val="24"/>
              </w:rPr>
              <w:t>)</w:t>
            </w:r>
          </w:p>
        </w:tc>
        <w:tc>
          <w:tcPr>
            <w:tcW w:w="614" w:type="pct"/>
          </w:tcPr>
          <w:p w14:paraId="70A046FF"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0,1</w:t>
            </w:r>
          </w:p>
        </w:tc>
      </w:tr>
      <w:tr w:rsidR="008F5B12" w:rsidRPr="00437528" w14:paraId="23AEE269" w14:textId="77777777" w:rsidTr="008215CA">
        <w:tc>
          <w:tcPr>
            <w:tcW w:w="2299" w:type="pct"/>
            <w:gridSpan w:val="2"/>
          </w:tcPr>
          <w:p w14:paraId="128A1B45"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5744DA5E"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lang w:val="en-US"/>
              </w:rPr>
              <w:t>p</w:t>
            </w:r>
            <w:r w:rsidRPr="00437528">
              <w:rPr>
                <w:rFonts w:ascii="Times New Roman" w:hAnsi="Times New Roman"/>
                <w:sz w:val="24"/>
                <w:szCs w:val="24"/>
              </w:rPr>
              <w:t>-</w:t>
            </w:r>
            <w:r w:rsidRPr="00437528">
              <w:rPr>
                <w:rFonts w:ascii="Times New Roman" w:hAnsi="Times New Roman"/>
                <w:sz w:val="24"/>
                <w:szCs w:val="24"/>
                <w:lang w:val="en-US"/>
              </w:rPr>
              <w:t>value</w:t>
            </w:r>
            <w:r w:rsidRPr="00437528">
              <w:rPr>
                <w:rFonts w:ascii="Times New Roman" w:hAnsi="Times New Roman"/>
                <w:sz w:val="24"/>
                <w:szCs w:val="24"/>
              </w:rPr>
              <w:sym w:font="Symbol" w:char="F0B0"/>
            </w:r>
          </w:p>
        </w:tc>
        <w:tc>
          <w:tcPr>
            <w:tcW w:w="1129" w:type="pct"/>
          </w:tcPr>
          <w:p w14:paraId="077A19C0"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-0,5 (±</w:t>
            </w:r>
            <w:r w:rsidRPr="00437528">
              <w:rPr>
                <w:rFonts w:ascii="Times New Roman" w:hAnsi="Times New Roman"/>
                <w:sz w:val="24"/>
                <w:szCs w:val="24"/>
                <w:lang w:val="en-US"/>
              </w:rPr>
              <w:t>0,5</w:t>
            </w:r>
            <w:r w:rsidRPr="00437528">
              <w:rPr>
                <w:rFonts w:ascii="Times New Roman" w:hAnsi="Times New Roman"/>
                <w:sz w:val="24"/>
                <w:szCs w:val="24"/>
              </w:rPr>
              <w:t>)</w:t>
            </w:r>
          </w:p>
          <w:p w14:paraId="723A86CE"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0,001</w:t>
            </w:r>
          </w:p>
        </w:tc>
        <w:tc>
          <w:tcPr>
            <w:tcW w:w="958" w:type="pct"/>
          </w:tcPr>
          <w:p w14:paraId="4A52858C"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-0,2 (±</w:t>
            </w:r>
            <w:r w:rsidRPr="00437528">
              <w:rPr>
                <w:rFonts w:ascii="Times New Roman" w:hAnsi="Times New Roman"/>
                <w:sz w:val="24"/>
                <w:szCs w:val="24"/>
                <w:lang w:val="en-US"/>
              </w:rPr>
              <w:t>0,4</w:t>
            </w:r>
            <w:r w:rsidRPr="00437528">
              <w:rPr>
                <w:rFonts w:ascii="Times New Roman" w:hAnsi="Times New Roman"/>
                <w:sz w:val="24"/>
                <w:szCs w:val="24"/>
              </w:rPr>
              <w:t>)</w:t>
            </w:r>
          </w:p>
          <w:p w14:paraId="5ADA1750"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0,02</w:t>
            </w:r>
          </w:p>
        </w:tc>
        <w:tc>
          <w:tcPr>
            <w:tcW w:w="614" w:type="pct"/>
          </w:tcPr>
          <w:p w14:paraId="7BBD2E87"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0,2</w:t>
            </w:r>
          </w:p>
        </w:tc>
      </w:tr>
      <w:tr w:rsidR="008F5B12" w:rsidRPr="00437528" w14:paraId="5A46D59C" w14:textId="77777777" w:rsidTr="008215CA">
        <w:tc>
          <w:tcPr>
            <w:tcW w:w="1788" w:type="pct"/>
            <w:vMerge w:val="restart"/>
          </w:tcPr>
          <w:p w14:paraId="0730A93E" w14:textId="77777777" w:rsidR="008F5B12" w:rsidRPr="00437528" w:rsidRDefault="008F5B12" w:rsidP="00441716">
            <w:pPr>
              <w:jc w:val="both"/>
              <w:rPr>
                <w:rFonts w:ascii="Times New Roman" w:hAnsi="Times New Roman"/>
                <w:sz w:val="24"/>
                <w:szCs w:val="24"/>
                <w:lang w:val="en-US"/>
              </w:rPr>
            </w:pPr>
            <w:r w:rsidRPr="00437528">
              <w:rPr>
                <w:rFonts w:ascii="Times New Roman" w:hAnsi="Times New Roman"/>
                <w:sz w:val="24"/>
                <w:szCs w:val="24"/>
              </w:rPr>
              <w:t>Зуд глаз/покраснение</w:t>
            </w:r>
            <w:r w:rsidRPr="00437528">
              <w:rPr>
                <w:rFonts w:ascii="Times New Roman" w:hAnsi="Times New Roman"/>
                <w:sz w:val="24"/>
                <w:szCs w:val="24"/>
                <w:lang w:val="en-US"/>
              </w:rPr>
              <w:t>*</w:t>
            </w:r>
          </w:p>
        </w:tc>
        <w:tc>
          <w:tcPr>
            <w:tcW w:w="511" w:type="pct"/>
          </w:tcPr>
          <w:p w14:paraId="70D973DB"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 визит</w:t>
            </w:r>
          </w:p>
        </w:tc>
        <w:tc>
          <w:tcPr>
            <w:tcW w:w="1129" w:type="pct"/>
          </w:tcPr>
          <w:p w14:paraId="613E8B92"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1,6 (±</w:t>
            </w:r>
            <w:r w:rsidRPr="00437528">
              <w:rPr>
                <w:rFonts w:ascii="Times New Roman" w:hAnsi="Times New Roman"/>
                <w:sz w:val="24"/>
                <w:szCs w:val="24"/>
                <w:lang w:val="en-US"/>
              </w:rPr>
              <w:t>0,5</w:t>
            </w:r>
            <w:r w:rsidRPr="00437528">
              <w:rPr>
                <w:rFonts w:ascii="Times New Roman" w:hAnsi="Times New Roman"/>
                <w:sz w:val="24"/>
                <w:szCs w:val="24"/>
              </w:rPr>
              <w:t>)</w:t>
            </w:r>
          </w:p>
        </w:tc>
        <w:tc>
          <w:tcPr>
            <w:tcW w:w="958" w:type="pct"/>
          </w:tcPr>
          <w:p w14:paraId="377D5959" w14:textId="37F145C3"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1,6</w:t>
            </w:r>
            <w:r w:rsidR="0007459B">
              <w:rPr>
                <w:rFonts w:ascii="Times New Roman" w:hAnsi="Times New Roman"/>
                <w:sz w:val="24"/>
                <w:szCs w:val="24"/>
              </w:rPr>
              <w:t xml:space="preserve"> </w:t>
            </w:r>
            <w:r w:rsidRPr="00437528">
              <w:rPr>
                <w:rFonts w:ascii="Times New Roman" w:hAnsi="Times New Roman"/>
                <w:sz w:val="24"/>
                <w:szCs w:val="24"/>
              </w:rPr>
              <w:t>(±</w:t>
            </w:r>
            <w:r w:rsidRPr="00437528">
              <w:rPr>
                <w:rFonts w:ascii="Times New Roman" w:hAnsi="Times New Roman"/>
                <w:sz w:val="24"/>
                <w:szCs w:val="24"/>
                <w:lang w:val="en-US"/>
              </w:rPr>
              <w:t>0,5</w:t>
            </w:r>
            <w:r w:rsidRPr="00437528">
              <w:rPr>
                <w:rFonts w:ascii="Times New Roman" w:hAnsi="Times New Roman"/>
                <w:sz w:val="24"/>
                <w:szCs w:val="24"/>
              </w:rPr>
              <w:t>)</w:t>
            </w:r>
          </w:p>
        </w:tc>
        <w:tc>
          <w:tcPr>
            <w:tcW w:w="614" w:type="pct"/>
          </w:tcPr>
          <w:p w14:paraId="5ED98817"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0,8</w:t>
            </w:r>
          </w:p>
        </w:tc>
      </w:tr>
      <w:tr w:rsidR="008F5B12" w:rsidRPr="00437528" w14:paraId="2FD3B9AB" w14:textId="77777777" w:rsidTr="008215CA">
        <w:tc>
          <w:tcPr>
            <w:tcW w:w="1788" w:type="pct"/>
            <w:vMerge/>
          </w:tcPr>
          <w:p w14:paraId="6A7DBA28" w14:textId="77777777" w:rsidR="008F5B12" w:rsidRPr="00437528" w:rsidRDefault="008F5B12" w:rsidP="00441716">
            <w:pPr>
              <w:jc w:val="both"/>
              <w:rPr>
                <w:rFonts w:ascii="Times New Roman" w:hAnsi="Times New Roman"/>
                <w:sz w:val="24"/>
                <w:szCs w:val="24"/>
              </w:rPr>
            </w:pPr>
          </w:p>
        </w:tc>
        <w:tc>
          <w:tcPr>
            <w:tcW w:w="511" w:type="pct"/>
          </w:tcPr>
          <w:p w14:paraId="745B6D5D"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3 визит</w:t>
            </w:r>
          </w:p>
        </w:tc>
        <w:tc>
          <w:tcPr>
            <w:tcW w:w="1129" w:type="pct"/>
          </w:tcPr>
          <w:p w14:paraId="727F8B02"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1,4 (±</w:t>
            </w:r>
            <w:r w:rsidRPr="00437528">
              <w:rPr>
                <w:rFonts w:ascii="Times New Roman" w:hAnsi="Times New Roman"/>
                <w:sz w:val="24"/>
                <w:szCs w:val="24"/>
                <w:lang w:val="en-US"/>
              </w:rPr>
              <w:t>0,5</w:t>
            </w:r>
            <w:r w:rsidRPr="00437528">
              <w:rPr>
                <w:rFonts w:ascii="Times New Roman" w:hAnsi="Times New Roman"/>
                <w:sz w:val="24"/>
                <w:szCs w:val="24"/>
              </w:rPr>
              <w:t>)</w:t>
            </w:r>
          </w:p>
        </w:tc>
        <w:tc>
          <w:tcPr>
            <w:tcW w:w="958" w:type="pct"/>
          </w:tcPr>
          <w:p w14:paraId="2204C03E"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1,3 (±</w:t>
            </w:r>
            <w:r w:rsidRPr="00437528">
              <w:rPr>
                <w:rFonts w:ascii="Times New Roman" w:hAnsi="Times New Roman"/>
                <w:sz w:val="24"/>
                <w:szCs w:val="24"/>
                <w:lang w:val="en-US"/>
              </w:rPr>
              <w:t>0,5</w:t>
            </w:r>
            <w:r w:rsidRPr="00437528">
              <w:rPr>
                <w:rFonts w:ascii="Times New Roman" w:hAnsi="Times New Roman"/>
                <w:sz w:val="24"/>
                <w:szCs w:val="24"/>
              </w:rPr>
              <w:t>)</w:t>
            </w:r>
          </w:p>
        </w:tc>
        <w:tc>
          <w:tcPr>
            <w:tcW w:w="614" w:type="pct"/>
          </w:tcPr>
          <w:p w14:paraId="2B4FCF62"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0,7</w:t>
            </w:r>
          </w:p>
        </w:tc>
      </w:tr>
      <w:tr w:rsidR="008F5B12" w:rsidRPr="00437528" w14:paraId="560F68F8" w14:textId="77777777" w:rsidTr="008215CA">
        <w:tc>
          <w:tcPr>
            <w:tcW w:w="2299" w:type="pct"/>
            <w:gridSpan w:val="2"/>
          </w:tcPr>
          <w:p w14:paraId="6886B181"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1254A0A5"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lang w:val="en-US"/>
              </w:rPr>
              <w:t>p</w:t>
            </w:r>
            <w:r w:rsidRPr="00437528">
              <w:rPr>
                <w:rFonts w:ascii="Times New Roman" w:hAnsi="Times New Roman"/>
                <w:sz w:val="24"/>
                <w:szCs w:val="24"/>
              </w:rPr>
              <w:t>-</w:t>
            </w:r>
            <w:r w:rsidRPr="00437528">
              <w:rPr>
                <w:rFonts w:ascii="Times New Roman" w:hAnsi="Times New Roman"/>
                <w:sz w:val="24"/>
                <w:szCs w:val="24"/>
                <w:lang w:val="en-US"/>
              </w:rPr>
              <w:t>value</w:t>
            </w:r>
            <w:r w:rsidRPr="00437528">
              <w:rPr>
                <w:rFonts w:ascii="Times New Roman" w:hAnsi="Times New Roman"/>
                <w:sz w:val="24"/>
                <w:szCs w:val="24"/>
              </w:rPr>
              <w:sym w:font="Symbol" w:char="F0B0"/>
            </w:r>
          </w:p>
        </w:tc>
        <w:tc>
          <w:tcPr>
            <w:tcW w:w="1129" w:type="pct"/>
          </w:tcPr>
          <w:p w14:paraId="53A39A4E"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-0,2 (±</w:t>
            </w:r>
            <w:r w:rsidRPr="00437528">
              <w:rPr>
                <w:rFonts w:ascii="Times New Roman" w:hAnsi="Times New Roman"/>
                <w:sz w:val="24"/>
                <w:szCs w:val="24"/>
                <w:lang w:val="en-US"/>
              </w:rPr>
              <w:t>0,</w:t>
            </w:r>
            <w:r w:rsidRPr="00437528">
              <w:rPr>
                <w:rFonts w:ascii="Times New Roman" w:hAnsi="Times New Roman"/>
                <w:sz w:val="24"/>
                <w:szCs w:val="24"/>
              </w:rPr>
              <w:t>4)</w:t>
            </w:r>
          </w:p>
          <w:p w14:paraId="46637D4C"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0,07</w:t>
            </w:r>
          </w:p>
        </w:tc>
        <w:tc>
          <w:tcPr>
            <w:tcW w:w="958" w:type="pct"/>
          </w:tcPr>
          <w:p w14:paraId="71CABA14"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-0,3 (±</w:t>
            </w:r>
            <w:r w:rsidRPr="00437528">
              <w:rPr>
                <w:rFonts w:ascii="Times New Roman" w:hAnsi="Times New Roman"/>
                <w:sz w:val="24"/>
                <w:szCs w:val="24"/>
                <w:lang w:val="en-US"/>
              </w:rPr>
              <w:t>0,4</w:t>
            </w:r>
            <w:r w:rsidRPr="00437528">
              <w:rPr>
                <w:rFonts w:ascii="Times New Roman" w:hAnsi="Times New Roman"/>
                <w:sz w:val="24"/>
                <w:szCs w:val="24"/>
              </w:rPr>
              <w:t>)</w:t>
            </w:r>
          </w:p>
          <w:p w14:paraId="09517992"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0,02</w:t>
            </w:r>
          </w:p>
        </w:tc>
        <w:tc>
          <w:tcPr>
            <w:tcW w:w="614" w:type="pct"/>
          </w:tcPr>
          <w:p w14:paraId="15B18386"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0,6</w:t>
            </w:r>
          </w:p>
        </w:tc>
      </w:tr>
      <w:tr w:rsidR="008F5B12" w:rsidRPr="00437528" w14:paraId="4A509147" w14:textId="77777777" w:rsidTr="008215CA">
        <w:tc>
          <w:tcPr>
            <w:tcW w:w="1788" w:type="pct"/>
            <w:vMerge w:val="restart"/>
          </w:tcPr>
          <w:p w14:paraId="283AE243" w14:textId="77777777" w:rsidR="008F5B12" w:rsidRPr="00437528" w:rsidRDefault="008F5B12" w:rsidP="00441716">
            <w:pPr>
              <w:jc w:val="both"/>
              <w:rPr>
                <w:rFonts w:ascii="Times New Roman" w:hAnsi="Times New Roman"/>
                <w:sz w:val="24"/>
                <w:szCs w:val="24"/>
                <w:lang w:val="en-US"/>
              </w:rPr>
            </w:pPr>
            <w:r w:rsidRPr="00437528">
              <w:rPr>
                <w:rFonts w:ascii="Times New Roman" w:hAnsi="Times New Roman"/>
                <w:sz w:val="24"/>
                <w:szCs w:val="24"/>
              </w:rPr>
              <w:t>Слезоточивость</w:t>
            </w:r>
            <w:r w:rsidRPr="00437528">
              <w:rPr>
                <w:rFonts w:ascii="Times New Roman" w:hAnsi="Times New Roman"/>
                <w:sz w:val="24"/>
                <w:szCs w:val="24"/>
                <w:lang w:val="en-US"/>
              </w:rPr>
              <w:t>*</w:t>
            </w:r>
          </w:p>
        </w:tc>
        <w:tc>
          <w:tcPr>
            <w:tcW w:w="511" w:type="pct"/>
          </w:tcPr>
          <w:p w14:paraId="7606FAF4"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 визит</w:t>
            </w:r>
          </w:p>
        </w:tc>
        <w:tc>
          <w:tcPr>
            <w:tcW w:w="1129" w:type="pct"/>
          </w:tcPr>
          <w:p w14:paraId="04D661F3"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1,3 (±</w:t>
            </w:r>
            <w:r w:rsidRPr="00437528">
              <w:rPr>
                <w:rFonts w:ascii="Times New Roman" w:hAnsi="Times New Roman"/>
                <w:sz w:val="24"/>
                <w:szCs w:val="24"/>
                <w:lang w:val="en-US"/>
              </w:rPr>
              <w:t>0,6</w:t>
            </w:r>
            <w:r w:rsidRPr="00437528">
              <w:rPr>
                <w:rFonts w:ascii="Times New Roman" w:hAnsi="Times New Roman"/>
                <w:sz w:val="24"/>
                <w:szCs w:val="24"/>
              </w:rPr>
              <w:t>)</w:t>
            </w:r>
          </w:p>
        </w:tc>
        <w:tc>
          <w:tcPr>
            <w:tcW w:w="958" w:type="pct"/>
          </w:tcPr>
          <w:p w14:paraId="2F784BC5"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1,4 (±</w:t>
            </w:r>
            <w:r w:rsidRPr="00437528">
              <w:rPr>
                <w:rFonts w:ascii="Times New Roman" w:hAnsi="Times New Roman"/>
                <w:sz w:val="24"/>
                <w:szCs w:val="24"/>
                <w:lang w:val="en-US"/>
              </w:rPr>
              <w:t>0,5</w:t>
            </w:r>
            <w:r w:rsidRPr="00437528">
              <w:rPr>
                <w:rFonts w:ascii="Times New Roman" w:hAnsi="Times New Roman"/>
                <w:sz w:val="24"/>
                <w:szCs w:val="24"/>
              </w:rPr>
              <w:t>)</w:t>
            </w:r>
          </w:p>
        </w:tc>
        <w:tc>
          <w:tcPr>
            <w:tcW w:w="614" w:type="pct"/>
          </w:tcPr>
          <w:p w14:paraId="34FF89A7"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0,5</w:t>
            </w:r>
          </w:p>
        </w:tc>
      </w:tr>
      <w:tr w:rsidR="008F5B12" w:rsidRPr="00437528" w14:paraId="1560FC06" w14:textId="77777777" w:rsidTr="008215CA">
        <w:tc>
          <w:tcPr>
            <w:tcW w:w="1788" w:type="pct"/>
            <w:vMerge/>
          </w:tcPr>
          <w:p w14:paraId="0FE220D2" w14:textId="77777777" w:rsidR="008F5B12" w:rsidRPr="00437528" w:rsidRDefault="008F5B12" w:rsidP="00441716">
            <w:pPr>
              <w:jc w:val="both"/>
              <w:rPr>
                <w:rFonts w:ascii="Times New Roman" w:hAnsi="Times New Roman"/>
                <w:sz w:val="24"/>
                <w:szCs w:val="24"/>
              </w:rPr>
            </w:pPr>
          </w:p>
        </w:tc>
        <w:tc>
          <w:tcPr>
            <w:tcW w:w="511" w:type="pct"/>
          </w:tcPr>
          <w:p w14:paraId="7111CB76"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3 визит</w:t>
            </w:r>
          </w:p>
        </w:tc>
        <w:tc>
          <w:tcPr>
            <w:tcW w:w="1129" w:type="pct"/>
          </w:tcPr>
          <w:p w14:paraId="52B77064"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1,0 (±</w:t>
            </w:r>
            <w:r w:rsidRPr="00437528">
              <w:rPr>
                <w:rFonts w:ascii="Times New Roman" w:hAnsi="Times New Roman"/>
                <w:sz w:val="24"/>
                <w:szCs w:val="24"/>
                <w:lang w:val="en-US"/>
              </w:rPr>
              <w:t>0,4</w:t>
            </w:r>
            <w:r w:rsidRPr="00437528">
              <w:rPr>
                <w:rFonts w:ascii="Times New Roman" w:hAnsi="Times New Roman"/>
                <w:sz w:val="24"/>
                <w:szCs w:val="24"/>
              </w:rPr>
              <w:t>)</w:t>
            </w:r>
          </w:p>
        </w:tc>
        <w:tc>
          <w:tcPr>
            <w:tcW w:w="958" w:type="pct"/>
          </w:tcPr>
          <w:p w14:paraId="625F965A"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1,1 (±</w:t>
            </w:r>
            <w:r w:rsidRPr="00437528">
              <w:rPr>
                <w:rFonts w:ascii="Times New Roman" w:hAnsi="Times New Roman"/>
                <w:sz w:val="24"/>
                <w:szCs w:val="24"/>
                <w:lang w:val="en-US"/>
              </w:rPr>
              <w:t>0,5</w:t>
            </w:r>
            <w:r w:rsidRPr="00437528">
              <w:rPr>
                <w:rFonts w:ascii="Times New Roman" w:hAnsi="Times New Roman"/>
                <w:sz w:val="24"/>
                <w:szCs w:val="24"/>
              </w:rPr>
              <w:t>)</w:t>
            </w:r>
          </w:p>
        </w:tc>
        <w:tc>
          <w:tcPr>
            <w:tcW w:w="614" w:type="pct"/>
          </w:tcPr>
          <w:p w14:paraId="0817D55D"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0,4</w:t>
            </w:r>
          </w:p>
        </w:tc>
      </w:tr>
      <w:tr w:rsidR="008F5B12" w:rsidRPr="00437528" w14:paraId="5C073CCC" w14:textId="77777777" w:rsidTr="008215CA">
        <w:tc>
          <w:tcPr>
            <w:tcW w:w="2299" w:type="pct"/>
            <w:gridSpan w:val="2"/>
          </w:tcPr>
          <w:p w14:paraId="44B11E3D"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59E1DC81"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lang w:val="en-US"/>
              </w:rPr>
              <w:t>p</w:t>
            </w:r>
            <w:r w:rsidRPr="00437528">
              <w:rPr>
                <w:rFonts w:ascii="Times New Roman" w:hAnsi="Times New Roman"/>
                <w:sz w:val="24"/>
                <w:szCs w:val="24"/>
              </w:rPr>
              <w:t>-</w:t>
            </w:r>
            <w:r w:rsidRPr="00437528">
              <w:rPr>
                <w:rFonts w:ascii="Times New Roman" w:hAnsi="Times New Roman"/>
                <w:sz w:val="24"/>
                <w:szCs w:val="24"/>
                <w:lang w:val="en-US"/>
              </w:rPr>
              <w:t>value</w:t>
            </w:r>
            <w:r w:rsidRPr="00437528">
              <w:rPr>
                <w:rFonts w:ascii="Times New Roman" w:hAnsi="Times New Roman"/>
                <w:sz w:val="24"/>
                <w:szCs w:val="24"/>
              </w:rPr>
              <w:sym w:font="Symbol" w:char="F0B0"/>
            </w:r>
          </w:p>
        </w:tc>
        <w:tc>
          <w:tcPr>
            <w:tcW w:w="1129" w:type="pct"/>
          </w:tcPr>
          <w:p w14:paraId="48D5329B"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-0,3 (±</w:t>
            </w:r>
            <w:r w:rsidRPr="00437528">
              <w:rPr>
                <w:rFonts w:ascii="Times New Roman" w:hAnsi="Times New Roman"/>
                <w:sz w:val="24"/>
                <w:szCs w:val="24"/>
                <w:lang w:val="en-US"/>
              </w:rPr>
              <w:t>0,4</w:t>
            </w:r>
            <w:r w:rsidRPr="00437528">
              <w:rPr>
                <w:rFonts w:ascii="Times New Roman" w:hAnsi="Times New Roman"/>
                <w:sz w:val="24"/>
                <w:szCs w:val="24"/>
              </w:rPr>
              <w:t>)</w:t>
            </w:r>
          </w:p>
          <w:p w14:paraId="360333CF"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0,02</w:t>
            </w:r>
          </w:p>
        </w:tc>
        <w:tc>
          <w:tcPr>
            <w:tcW w:w="958" w:type="pct"/>
          </w:tcPr>
          <w:p w14:paraId="33E75B53"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-0,3 (±</w:t>
            </w:r>
            <w:r w:rsidRPr="00437528">
              <w:rPr>
                <w:rFonts w:ascii="Times New Roman" w:hAnsi="Times New Roman"/>
                <w:sz w:val="24"/>
                <w:szCs w:val="24"/>
                <w:lang w:val="en-US"/>
              </w:rPr>
              <w:t>0,4</w:t>
            </w:r>
            <w:r w:rsidRPr="00437528">
              <w:rPr>
                <w:rFonts w:ascii="Times New Roman" w:hAnsi="Times New Roman"/>
                <w:sz w:val="24"/>
                <w:szCs w:val="24"/>
              </w:rPr>
              <w:t>)</w:t>
            </w:r>
          </w:p>
          <w:p w14:paraId="4DA751CC"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0,04</w:t>
            </w:r>
          </w:p>
        </w:tc>
        <w:tc>
          <w:tcPr>
            <w:tcW w:w="614" w:type="pct"/>
          </w:tcPr>
          <w:p w14:paraId="26F9E65D"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0,7</w:t>
            </w:r>
          </w:p>
        </w:tc>
      </w:tr>
      <w:tr w:rsidR="006A01A3" w:rsidRPr="00437528" w14:paraId="06DABF73" w14:textId="77777777" w:rsidTr="008215CA">
        <w:tc>
          <w:tcPr>
            <w:tcW w:w="1788" w:type="pct"/>
            <w:vAlign w:val="center"/>
          </w:tcPr>
          <w:p w14:paraId="1CB45519" w14:textId="77777777" w:rsidR="006A01A3" w:rsidRPr="00437528" w:rsidRDefault="006A01A3" w:rsidP="006A01A3">
            <w:pPr>
              <w:jc w:val="both"/>
              <w:rPr>
                <w:rFonts w:ascii="Times New Roman" w:hAnsi="Times New Roman"/>
                <w:sz w:val="24"/>
                <w:szCs w:val="24"/>
                <w:lang w:val="en-US"/>
              </w:rPr>
            </w:pPr>
            <w:r w:rsidRPr="00437528">
              <w:rPr>
                <w:rFonts w:ascii="Times New Roman" w:hAnsi="Times New Roman"/>
                <w:sz w:val="24"/>
                <w:szCs w:val="24"/>
              </w:rPr>
              <w:t xml:space="preserve">Общий балл тяжести симптомов </w:t>
            </w:r>
            <w:r w:rsidRPr="00437528">
              <w:rPr>
                <w:rFonts w:ascii="Times New Roman" w:hAnsi="Times New Roman"/>
                <w:sz w:val="24"/>
                <w:szCs w:val="24"/>
                <w:lang w:val="en-US"/>
              </w:rPr>
              <w:t>**</w:t>
            </w:r>
          </w:p>
        </w:tc>
        <w:tc>
          <w:tcPr>
            <w:tcW w:w="511" w:type="pct"/>
          </w:tcPr>
          <w:p w14:paraId="4D3164A4"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1 визит</w:t>
            </w:r>
          </w:p>
        </w:tc>
        <w:tc>
          <w:tcPr>
            <w:tcW w:w="1129" w:type="pct"/>
            <w:vAlign w:val="center"/>
          </w:tcPr>
          <w:p w14:paraId="7AEEC922" w14:textId="5D318944" w:rsidR="006A01A3" w:rsidRPr="00437528" w:rsidRDefault="006A01A3" w:rsidP="006A01A3">
            <w:pPr>
              <w:jc w:val="both"/>
              <w:rPr>
                <w:rFonts w:ascii="Times New Roman" w:hAnsi="Times New Roman"/>
                <w:sz w:val="24"/>
                <w:szCs w:val="24"/>
              </w:rPr>
            </w:pPr>
            <w:r>
              <w:rPr>
                <w:rFonts w:ascii="Times New Roman" w:hAnsi="Times New Roman"/>
                <w:sz w:val="24"/>
                <w:szCs w:val="24"/>
              </w:rPr>
              <w:t>11 (10</w:t>
            </w:r>
            <w:r w:rsidRPr="00437528">
              <w:rPr>
                <w:rFonts w:ascii="Times New Roman" w:hAnsi="Times New Roman"/>
                <w:sz w:val="24"/>
                <w:szCs w:val="24"/>
              </w:rPr>
              <w:t>-13)</w:t>
            </w:r>
          </w:p>
        </w:tc>
        <w:tc>
          <w:tcPr>
            <w:tcW w:w="958" w:type="pct"/>
            <w:vAlign w:val="center"/>
          </w:tcPr>
          <w:p w14:paraId="35A70A39"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11,5 (10-13)</w:t>
            </w:r>
          </w:p>
        </w:tc>
        <w:tc>
          <w:tcPr>
            <w:tcW w:w="614" w:type="pct"/>
            <w:vAlign w:val="center"/>
          </w:tcPr>
          <w:p w14:paraId="644003B2" w14:textId="3F3D8A95" w:rsidR="006A01A3" w:rsidRPr="00437528" w:rsidRDefault="00F877C6" w:rsidP="00F877C6">
            <w:pPr>
              <w:jc w:val="both"/>
              <w:rPr>
                <w:rFonts w:ascii="Times New Roman" w:hAnsi="Times New Roman"/>
                <w:sz w:val="24"/>
                <w:szCs w:val="24"/>
              </w:rPr>
            </w:pPr>
            <w:r>
              <w:rPr>
                <w:rFonts w:ascii="Times New Roman" w:eastAsiaTheme="minorHAnsi" w:hAnsi="Times New Roman"/>
                <w:color w:val="000000"/>
                <w:sz w:val="24"/>
                <w:szCs w:val="24"/>
              </w:rPr>
              <w:t>0,7977</w:t>
            </w:r>
          </w:p>
        </w:tc>
      </w:tr>
      <w:tr w:rsidR="006A01A3" w:rsidRPr="00437528" w14:paraId="62E23FE3" w14:textId="77777777" w:rsidTr="008215CA">
        <w:tc>
          <w:tcPr>
            <w:tcW w:w="1788" w:type="pct"/>
            <w:vAlign w:val="center"/>
          </w:tcPr>
          <w:p w14:paraId="10EF54F4" w14:textId="3ED20383" w:rsidR="006A01A3" w:rsidRPr="00437528" w:rsidRDefault="006A01A3" w:rsidP="006A01A3">
            <w:pPr>
              <w:jc w:val="both"/>
              <w:rPr>
                <w:rFonts w:ascii="Times New Roman" w:hAnsi="Times New Roman"/>
                <w:sz w:val="24"/>
                <w:szCs w:val="24"/>
                <w:lang w:val="en-US"/>
              </w:rPr>
            </w:pPr>
            <w:r w:rsidRPr="00437528">
              <w:rPr>
                <w:rFonts w:ascii="Times New Roman" w:hAnsi="Times New Roman"/>
                <w:sz w:val="24"/>
                <w:szCs w:val="24"/>
              </w:rPr>
              <w:t>Общий балл тяжести симптомов</w:t>
            </w:r>
            <w:r w:rsidR="0007459B">
              <w:rPr>
                <w:rFonts w:ascii="Times New Roman" w:hAnsi="Times New Roman"/>
                <w:sz w:val="24"/>
                <w:szCs w:val="24"/>
              </w:rPr>
              <w:t xml:space="preserve"> </w:t>
            </w:r>
            <w:r w:rsidRPr="00437528">
              <w:rPr>
                <w:rFonts w:ascii="Times New Roman" w:hAnsi="Times New Roman"/>
                <w:sz w:val="24"/>
                <w:szCs w:val="24"/>
                <w:lang w:val="en-US"/>
              </w:rPr>
              <w:t>**</w:t>
            </w:r>
          </w:p>
        </w:tc>
        <w:tc>
          <w:tcPr>
            <w:tcW w:w="511" w:type="pct"/>
          </w:tcPr>
          <w:p w14:paraId="489AD4A1"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3 визит</w:t>
            </w:r>
          </w:p>
        </w:tc>
        <w:tc>
          <w:tcPr>
            <w:tcW w:w="1129" w:type="pct"/>
            <w:vAlign w:val="center"/>
          </w:tcPr>
          <w:p w14:paraId="76DC02F8"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6 (6-10)</w:t>
            </w:r>
          </w:p>
        </w:tc>
        <w:tc>
          <w:tcPr>
            <w:tcW w:w="958" w:type="pct"/>
            <w:vAlign w:val="center"/>
          </w:tcPr>
          <w:p w14:paraId="716AE62B" w14:textId="77777777" w:rsidR="006A01A3" w:rsidRPr="0061235E" w:rsidRDefault="006A01A3" w:rsidP="006A01A3">
            <w:pPr>
              <w:jc w:val="both"/>
              <w:rPr>
                <w:rFonts w:ascii="Times New Roman" w:hAnsi="Times New Roman"/>
                <w:sz w:val="24"/>
                <w:szCs w:val="24"/>
              </w:rPr>
            </w:pPr>
            <w:r w:rsidRPr="0061235E">
              <w:rPr>
                <w:rFonts w:ascii="Times New Roman" w:hAnsi="Times New Roman"/>
                <w:sz w:val="24"/>
                <w:szCs w:val="24"/>
              </w:rPr>
              <w:t>9 (7-11)</w:t>
            </w:r>
          </w:p>
        </w:tc>
        <w:tc>
          <w:tcPr>
            <w:tcW w:w="614" w:type="pct"/>
            <w:vAlign w:val="center"/>
          </w:tcPr>
          <w:p w14:paraId="2D0CE60D" w14:textId="6AF2F0C6" w:rsidR="006A01A3" w:rsidRPr="0061235E" w:rsidRDefault="006A01A3" w:rsidP="00F877C6">
            <w:pPr>
              <w:jc w:val="both"/>
              <w:rPr>
                <w:rFonts w:ascii="Times New Roman" w:hAnsi="Times New Roman"/>
                <w:sz w:val="24"/>
                <w:szCs w:val="24"/>
              </w:rPr>
            </w:pPr>
            <w:r w:rsidRPr="0061235E">
              <w:rPr>
                <w:rFonts w:ascii="Times New Roman" w:eastAsiaTheme="minorHAnsi" w:hAnsi="Times New Roman"/>
                <w:sz w:val="24"/>
                <w:szCs w:val="24"/>
              </w:rPr>
              <w:t>0,0</w:t>
            </w:r>
            <w:r w:rsidR="00F877C6" w:rsidRPr="0061235E">
              <w:rPr>
                <w:rFonts w:ascii="Times New Roman" w:eastAsiaTheme="minorHAnsi" w:hAnsi="Times New Roman"/>
                <w:sz w:val="24"/>
                <w:szCs w:val="24"/>
              </w:rPr>
              <w:t>356</w:t>
            </w:r>
          </w:p>
        </w:tc>
      </w:tr>
      <w:tr w:rsidR="008F5B12" w:rsidRPr="00437528" w14:paraId="25AFA8F6" w14:textId="77777777" w:rsidTr="008215CA">
        <w:tc>
          <w:tcPr>
            <w:tcW w:w="2299" w:type="pct"/>
            <w:gridSpan w:val="2"/>
            <w:vAlign w:val="center"/>
          </w:tcPr>
          <w:p w14:paraId="1CB9C607"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1DEEB6DD"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p-value</w:t>
            </w:r>
            <w:r w:rsidRPr="00437528">
              <w:rPr>
                <w:rFonts w:ascii="Times New Roman" w:hAnsi="Times New Roman"/>
                <w:sz w:val="24"/>
                <w:szCs w:val="24"/>
              </w:rPr>
              <w:sym w:font="Symbol" w:char="F0B0"/>
            </w:r>
          </w:p>
        </w:tc>
        <w:tc>
          <w:tcPr>
            <w:tcW w:w="1129" w:type="pct"/>
            <w:vAlign w:val="center"/>
          </w:tcPr>
          <w:p w14:paraId="69E9F83A"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-5</w:t>
            </w:r>
          </w:p>
          <w:p w14:paraId="4FE4AEE6"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958" w:type="pct"/>
            <w:vAlign w:val="center"/>
          </w:tcPr>
          <w:p w14:paraId="131681A1"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-2,5</w:t>
            </w:r>
          </w:p>
          <w:p w14:paraId="6177A952"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614" w:type="pct"/>
            <w:vAlign w:val="center"/>
          </w:tcPr>
          <w:p w14:paraId="46A79298" w14:textId="77777777" w:rsidR="008F5B12" w:rsidRPr="00437528" w:rsidRDefault="008F5B12" w:rsidP="00441716">
            <w:pPr>
              <w:jc w:val="both"/>
              <w:rPr>
                <w:rFonts w:ascii="Times New Roman" w:hAnsi="Times New Roman"/>
                <w:sz w:val="24"/>
                <w:szCs w:val="24"/>
              </w:rPr>
            </w:pPr>
            <w:r w:rsidRPr="00437528">
              <w:rPr>
                <w:rFonts w:ascii="Times New Roman" w:hAnsi="Times New Roman"/>
                <w:sz w:val="24"/>
                <w:szCs w:val="24"/>
              </w:rPr>
              <w:t>0,08</w:t>
            </w:r>
          </w:p>
        </w:tc>
      </w:tr>
      <w:tr w:rsidR="008215CA" w:rsidRPr="00437528" w14:paraId="6772AF7C" w14:textId="77777777" w:rsidTr="008215CA">
        <w:tc>
          <w:tcPr>
            <w:tcW w:w="5000" w:type="pct"/>
            <w:gridSpan w:val="5"/>
            <w:vAlign w:val="center"/>
          </w:tcPr>
          <w:p w14:paraId="2EF7DA56" w14:textId="77777777" w:rsidR="008215CA" w:rsidRPr="008215CA" w:rsidRDefault="008215CA" w:rsidP="008215CA">
            <w:pPr>
              <w:spacing w:line="256" w:lineRule="auto"/>
              <w:ind w:firstLine="594"/>
              <w:jc w:val="both"/>
              <w:rPr>
                <w:rFonts w:ascii="Times New Roman" w:eastAsia="Times New Roman" w:hAnsi="Times New Roman"/>
                <w:color w:val="000000"/>
                <w:kern w:val="24"/>
                <w:sz w:val="24"/>
                <w:szCs w:val="24"/>
                <w:lang w:eastAsia="ru-RU"/>
              </w:rPr>
            </w:pPr>
            <w:r w:rsidRPr="008215CA">
              <w:rPr>
                <w:rFonts w:ascii="Times New Roman" w:eastAsia="Times New Roman" w:hAnsi="Times New Roman"/>
                <w:color w:val="000000"/>
                <w:kern w:val="24"/>
                <w:sz w:val="24"/>
                <w:szCs w:val="24"/>
                <w:lang w:eastAsia="ru-RU"/>
              </w:rPr>
              <w:t>Примечания:</w:t>
            </w:r>
          </w:p>
          <w:p w14:paraId="712D7261" w14:textId="77777777" w:rsidR="008215CA" w:rsidRPr="008215CA" w:rsidRDefault="008215CA" w:rsidP="008215CA">
            <w:pPr>
              <w:jc w:val="both"/>
              <w:rPr>
                <w:rFonts w:ascii="Times New Roman" w:hAnsi="Times New Roman"/>
                <w:sz w:val="24"/>
                <w:szCs w:val="24"/>
              </w:rPr>
            </w:pPr>
            <w:r w:rsidRPr="008215CA">
              <w:rPr>
                <w:rFonts w:ascii="Times New Roman" w:hAnsi="Times New Roman"/>
                <w:sz w:val="24"/>
                <w:szCs w:val="24"/>
              </w:rPr>
              <w:t>1 *среднее±</w:t>
            </w:r>
            <w:r w:rsidRPr="008215CA">
              <w:rPr>
                <w:rFonts w:ascii="Times New Roman" w:hAnsi="Times New Roman"/>
                <w:sz w:val="24"/>
                <w:szCs w:val="24"/>
                <w:lang w:val="en-US"/>
              </w:rPr>
              <w:t>SD</w:t>
            </w:r>
            <w:r w:rsidRPr="008215CA">
              <w:rPr>
                <w:rFonts w:ascii="Times New Roman" w:hAnsi="Times New Roman"/>
                <w:sz w:val="24"/>
                <w:szCs w:val="24"/>
              </w:rPr>
              <w:t xml:space="preserve"> – среднее значение признака со стандартным отклонением</w:t>
            </w:r>
          </w:p>
          <w:p w14:paraId="7789E012" w14:textId="41305569" w:rsidR="008215CA" w:rsidRPr="008215CA" w:rsidRDefault="008215CA" w:rsidP="008215CA">
            <w:pPr>
              <w:tabs>
                <w:tab w:val="left" w:pos="1454"/>
              </w:tabs>
              <w:jc w:val="both"/>
              <w:rPr>
                <w:rFonts w:ascii="Times New Roman" w:hAnsi="Times New Roman"/>
                <w:sz w:val="24"/>
                <w:szCs w:val="24"/>
              </w:rPr>
            </w:pPr>
            <w:r w:rsidRPr="008215CA">
              <w:rPr>
                <w:rFonts w:ascii="Times New Roman" w:hAnsi="Times New Roman"/>
                <w:sz w:val="24"/>
                <w:szCs w:val="24"/>
              </w:rPr>
              <w:t>2 **</w:t>
            </w:r>
            <w:r w:rsidRPr="008215CA">
              <w:rPr>
                <w:rFonts w:ascii="Times New Roman" w:hAnsi="Times New Roman"/>
                <w:sz w:val="24"/>
                <w:szCs w:val="24"/>
                <w:lang w:val="en-US"/>
              </w:rPr>
              <w:t>Me</w:t>
            </w:r>
            <w:r w:rsidRPr="008215CA">
              <w:rPr>
                <w:rFonts w:ascii="Times New Roman" w:hAnsi="Times New Roman"/>
                <w:sz w:val="24"/>
                <w:szCs w:val="24"/>
              </w:rPr>
              <w:t>+</w:t>
            </w:r>
            <w:r w:rsidRPr="008215CA">
              <w:rPr>
                <w:rFonts w:ascii="Times New Roman" w:hAnsi="Times New Roman"/>
                <w:sz w:val="24"/>
                <w:szCs w:val="24"/>
                <w:lang w:val="en-US"/>
              </w:rPr>
              <w:t>Q</w:t>
            </w:r>
            <w:r w:rsidRPr="008215CA">
              <w:rPr>
                <w:rFonts w:ascii="Times New Roman" w:hAnsi="Times New Roman"/>
                <w:sz w:val="24"/>
                <w:szCs w:val="24"/>
                <w:vertAlign w:val="subscript"/>
              </w:rPr>
              <w:t>25-75</w:t>
            </w:r>
            <w:r w:rsidRPr="008215CA">
              <w:rPr>
                <w:rFonts w:ascii="Times New Roman" w:hAnsi="Times New Roman"/>
                <w:sz w:val="24"/>
                <w:szCs w:val="24"/>
              </w:rPr>
              <w:t>) – медиана (нижний и верхний квартиль)</w:t>
            </w:r>
          </w:p>
          <w:p w14:paraId="7F65F943" w14:textId="21CE9A21" w:rsidR="008215CA" w:rsidRPr="008215CA" w:rsidRDefault="008215CA" w:rsidP="008215CA">
            <w:pPr>
              <w:tabs>
                <w:tab w:val="left" w:pos="1454"/>
              </w:tabs>
              <w:jc w:val="both"/>
              <w:rPr>
                <w:rFonts w:ascii="Times New Roman" w:hAnsi="Times New Roman"/>
                <w:sz w:val="24"/>
                <w:szCs w:val="24"/>
              </w:rPr>
            </w:pPr>
            <w:r w:rsidRPr="008215CA">
              <w:rPr>
                <w:rFonts w:ascii="Times New Roman" w:hAnsi="Times New Roman"/>
                <w:sz w:val="24"/>
                <w:szCs w:val="24"/>
              </w:rPr>
              <w:t xml:space="preserve">3 </w:t>
            </w:r>
            <w:r w:rsidRPr="008215CA">
              <w:rPr>
                <w:rFonts w:ascii="Times New Roman" w:hAnsi="Times New Roman"/>
                <w:sz w:val="24"/>
                <w:szCs w:val="24"/>
              </w:rPr>
              <w:sym w:font="Symbol" w:char="F0B0"/>
            </w:r>
            <w:r w:rsidRPr="008215CA">
              <w:rPr>
                <w:rFonts w:ascii="Times New Roman" w:hAnsi="Times New Roman"/>
                <w:sz w:val="24"/>
                <w:szCs w:val="24"/>
              </w:rPr>
              <w:t xml:space="preserve"> сравнение внутри групп статистический критерий Мак-Нимара</w:t>
            </w:r>
          </w:p>
          <w:p w14:paraId="2E2BF56A" w14:textId="5D32621E" w:rsidR="008215CA" w:rsidRPr="008215CA" w:rsidRDefault="008215CA" w:rsidP="008215CA">
            <w:pPr>
              <w:tabs>
                <w:tab w:val="left" w:pos="1454"/>
              </w:tabs>
              <w:jc w:val="both"/>
              <w:rPr>
                <w:rFonts w:ascii="Times New Roman" w:hAnsi="Times New Roman"/>
              </w:rPr>
            </w:pPr>
            <w:r w:rsidRPr="008215CA">
              <w:rPr>
                <w:rFonts w:ascii="Times New Roman" w:hAnsi="Times New Roman"/>
                <w:sz w:val="24"/>
                <w:szCs w:val="24"/>
              </w:rPr>
              <w:t xml:space="preserve">4 </w:t>
            </w:r>
            <w:r w:rsidRPr="008215CA">
              <w:rPr>
                <w:rFonts w:ascii="Times New Roman" w:hAnsi="Times New Roman"/>
                <w:sz w:val="24"/>
                <w:szCs w:val="24"/>
              </w:rPr>
              <w:sym w:font="Symbol" w:char="F0A2"/>
            </w:r>
            <w:r w:rsidRPr="008215CA">
              <w:rPr>
                <w:rFonts w:ascii="Times New Roman" w:hAnsi="Times New Roman"/>
                <w:sz w:val="24"/>
                <w:szCs w:val="24"/>
              </w:rPr>
              <w:t xml:space="preserve"> сравнение между группами статистический критерий Манна-Уитни</w:t>
            </w:r>
          </w:p>
        </w:tc>
      </w:tr>
    </w:tbl>
    <w:p w14:paraId="01D5DD63" w14:textId="77777777" w:rsidR="008F5B12" w:rsidRPr="00437528" w:rsidRDefault="008F5B12" w:rsidP="00BA70AB">
      <w:pPr>
        <w:spacing w:after="0" w:line="240" w:lineRule="auto"/>
        <w:ind w:firstLine="567"/>
        <w:jc w:val="both"/>
        <w:rPr>
          <w:rFonts w:ascii="Times New Roman" w:hAnsi="Times New Roman" w:cs="Times New Roman"/>
          <w:sz w:val="28"/>
          <w:szCs w:val="28"/>
        </w:rPr>
      </w:pPr>
    </w:p>
    <w:p w14:paraId="0E97CF7B" w14:textId="0A538F15" w:rsidR="00437528" w:rsidRPr="00CC2107" w:rsidRDefault="00437528" w:rsidP="00B7252B">
      <w:pPr>
        <w:spacing w:after="0" w:line="240" w:lineRule="auto"/>
        <w:ind w:firstLine="567"/>
        <w:jc w:val="both"/>
        <w:rPr>
          <w:rFonts w:ascii="Times New Roman" w:eastAsia="Calibri" w:hAnsi="Times New Roman" w:cs="Times New Roman"/>
          <w:sz w:val="28"/>
          <w:szCs w:val="28"/>
        </w:rPr>
      </w:pPr>
      <w:r w:rsidRPr="00437528">
        <w:rPr>
          <w:rFonts w:ascii="Times New Roman" w:hAnsi="Times New Roman" w:cs="Times New Roman"/>
          <w:sz w:val="28"/>
          <w:szCs w:val="28"/>
        </w:rPr>
        <w:t>Сравнительная оценка</w:t>
      </w:r>
      <w:r w:rsidR="00366013">
        <w:rPr>
          <w:rFonts w:ascii="Times New Roman" w:hAnsi="Times New Roman" w:cs="Times New Roman"/>
          <w:sz w:val="28"/>
          <w:szCs w:val="28"/>
        </w:rPr>
        <w:t xml:space="preserve"> показала, что</w:t>
      </w:r>
      <w:r w:rsidRPr="00437528">
        <w:rPr>
          <w:rFonts w:ascii="Times New Roman" w:hAnsi="Times New Roman" w:cs="Times New Roman"/>
          <w:sz w:val="28"/>
          <w:szCs w:val="28"/>
        </w:rPr>
        <w:t xml:space="preserve"> </w:t>
      </w:r>
      <w:r w:rsidR="00366013">
        <w:rPr>
          <w:rFonts w:ascii="Times New Roman" w:eastAsia="Calibri" w:hAnsi="Times New Roman" w:cs="Times New Roman"/>
          <w:sz w:val="28"/>
          <w:szCs w:val="28"/>
        </w:rPr>
        <w:t>тяжесть</w:t>
      </w:r>
      <w:r w:rsidRPr="00437528">
        <w:rPr>
          <w:rFonts w:ascii="Times New Roman" w:eastAsia="Calibri" w:hAnsi="Times New Roman" w:cs="Times New Roman"/>
          <w:sz w:val="28"/>
          <w:szCs w:val="28"/>
        </w:rPr>
        <w:t xml:space="preserve"> клинических показателей </w:t>
      </w:r>
      <w:r w:rsidR="00057306">
        <w:rPr>
          <w:rFonts w:ascii="Times New Roman" w:eastAsia="Calibri" w:hAnsi="Times New Roman" w:cs="Times New Roman"/>
          <w:sz w:val="28"/>
          <w:szCs w:val="28"/>
        </w:rPr>
        <w:t>(з</w:t>
      </w:r>
      <w:r w:rsidR="00057306" w:rsidRPr="00437528">
        <w:rPr>
          <w:rFonts w:ascii="Times New Roman" w:eastAsia="Calibri" w:hAnsi="Times New Roman" w:cs="Times New Roman"/>
          <w:sz w:val="28"/>
          <w:szCs w:val="28"/>
        </w:rPr>
        <w:t>аложенность носа, выделения из носа</w:t>
      </w:r>
      <w:r w:rsidR="00057306" w:rsidRPr="0061235E">
        <w:rPr>
          <w:rFonts w:ascii="Times New Roman" w:eastAsia="Calibri" w:hAnsi="Times New Roman" w:cs="Times New Roman"/>
          <w:sz w:val="28"/>
          <w:szCs w:val="28"/>
        </w:rPr>
        <w:t>, зуд носа и глаз, чихание и слезоточивость</w:t>
      </w:r>
      <w:r w:rsidR="00057306">
        <w:rPr>
          <w:rFonts w:ascii="Times New Roman" w:eastAsia="Calibri" w:hAnsi="Times New Roman" w:cs="Times New Roman"/>
          <w:sz w:val="28"/>
          <w:szCs w:val="28"/>
        </w:rPr>
        <w:t>)</w:t>
      </w:r>
      <w:r w:rsidR="00057306" w:rsidRPr="0061235E">
        <w:rPr>
          <w:rFonts w:ascii="Times New Roman" w:eastAsia="Calibri" w:hAnsi="Times New Roman" w:cs="Times New Roman"/>
          <w:sz w:val="28"/>
          <w:szCs w:val="28"/>
        </w:rPr>
        <w:t xml:space="preserve"> </w:t>
      </w:r>
      <w:r w:rsidR="00366013" w:rsidRPr="00366013">
        <w:rPr>
          <w:rFonts w:ascii="Times New Roman" w:eastAsia="Calibri" w:hAnsi="Times New Roman" w:cs="Times New Roman"/>
          <w:sz w:val="28"/>
          <w:szCs w:val="28"/>
        </w:rPr>
        <w:t xml:space="preserve">была </w:t>
      </w:r>
      <w:r w:rsidR="00366013">
        <w:rPr>
          <w:rFonts w:ascii="Times New Roman" w:eastAsia="Calibri" w:hAnsi="Times New Roman" w:cs="Times New Roman"/>
          <w:sz w:val="28"/>
          <w:szCs w:val="28"/>
        </w:rPr>
        <w:t>меньше</w:t>
      </w:r>
      <w:r w:rsidR="00366013" w:rsidRPr="00366013">
        <w:rPr>
          <w:rFonts w:ascii="Times New Roman" w:eastAsia="Calibri" w:hAnsi="Times New Roman" w:cs="Times New Roman"/>
          <w:sz w:val="28"/>
          <w:szCs w:val="28"/>
        </w:rPr>
        <w:t xml:space="preserve"> в группе</w:t>
      </w:r>
      <w:r w:rsidR="00366013">
        <w:rPr>
          <w:rFonts w:ascii="Times New Roman" w:eastAsia="Calibri" w:hAnsi="Times New Roman" w:cs="Times New Roman"/>
          <w:sz w:val="28"/>
          <w:szCs w:val="28"/>
        </w:rPr>
        <w:t xml:space="preserve"> </w:t>
      </w:r>
      <w:r w:rsidR="00366013" w:rsidRPr="00437528">
        <w:rPr>
          <w:rFonts w:ascii="Times New Roman" w:hAnsi="Times New Roman" w:cs="Times New Roman"/>
          <w:sz w:val="28"/>
          <w:szCs w:val="28"/>
        </w:rPr>
        <w:t>вмешательства</w:t>
      </w:r>
      <w:r w:rsidR="00366013" w:rsidRPr="00366013">
        <w:rPr>
          <w:rFonts w:ascii="Times New Roman" w:eastAsia="Calibri" w:hAnsi="Times New Roman" w:cs="Times New Roman"/>
          <w:sz w:val="28"/>
          <w:szCs w:val="28"/>
        </w:rPr>
        <w:t xml:space="preserve"> </w:t>
      </w:r>
      <w:r w:rsidR="00366013">
        <w:rPr>
          <w:rFonts w:ascii="Times New Roman" w:eastAsia="Calibri" w:hAnsi="Times New Roman" w:cs="Times New Roman"/>
          <w:sz w:val="28"/>
          <w:szCs w:val="28"/>
        </w:rPr>
        <w:t xml:space="preserve">по сравнению с группой контроля, но статистически значимых различий не было обнаружено </w:t>
      </w:r>
      <w:r w:rsidRPr="0061235E">
        <w:rPr>
          <w:rFonts w:ascii="Times New Roman" w:eastAsia="Calibri" w:hAnsi="Times New Roman" w:cs="Times New Roman"/>
          <w:sz w:val="28"/>
          <w:szCs w:val="28"/>
        </w:rPr>
        <w:t>(</w:t>
      </w:r>
      <w:r w:rsidRPr="0061235E">
        <w:rPr>
          <w:rFonts w:ascii="Times New Roman" w:hAnsi="Times New Roman" w:cs="Times New Roman"/>
          <w:sz w:val="28"/>
          <w:szCs w:val="28"/>
          <w:lang w:val="en-US"/>
        </w:rPr>
        <w:t>p</w:t>
      </w:r>
      <w:r w:rsidRPr="0061235E">
        <w:rPr>
          <w:rFonts w:ascii="Times New Roman" w:hAnsi="Times New Roman" w:cs="Times New Roman"/>
          <w:sz w:val="28"/>
          <w:szCs w:val="28"/>
        </w:rPr>
        <w:t xml:space="preserve">&gt;0,05) </w:t>
      </w:r>
      <w:r w:rsidRPr="0061235E">
        <w:rPr>
          <w:rFonts w:ascii="Times New Roman" w:eastAsia="Calibri" w:hAnsi="Times New Roman" w:cs="Times New Roman"/>
          <w:sz w:val="28"/>
          <w:szCs w:val="28"/>
        </w:rPr>
        <w:t>(</w:t>
      </w:r>
      <w:r w:rsidR="000C1AF9">
        <w:rPr>
          <w:rFonts w:ascii="Times New Roman" w:eastAsia="Calibri" w:hAnsi="Times New Roman" w:cs="Times New Roman"/>
          <w:sz w:val="28"/>
          <w:szCs w:val="28"/>
        </w:rPr>
        <w:t>таблица 9</w:t>
      </w:r>
      <w:r w:rsidRPr="0061235E">
        <w:rPr>
          <w:rFonts w:ascii="Times New Roman" w:eastAsia="Calibri" w:hAnsi="Times New Roman" w:cs="Times New Roman"/>
          <w:sz w:val="28"/>
          <w:szCs w:val="28"/>
        </w:rPr>
        <w:t>)</w:t>
      </w:r>
      <w:r w:rsidRPr="0061235E">
        <w:rPr>
          <w:rFonts w:ascii="Times New Roman" w:hAnsi="Times New Roman" w:cs="Times New Roman"/>
          <w:sz w:val="28"/>
          <w:szCs w:val="28"/>
        </w:rPr>
        <w:t>.</w:t>
      </w:r>
      <w:r w:rsidRPr="00437528">
        <w:rPr>
          <w:rFonts w:ascii="Times New Roman" w:hAnsi="Times New Roman" w:cs="Times New Roman"/>
          <w:sz w:val="28"/>
          <w:szCs w:val="28"/>
        </w:rPr>
        <w:t xml:space="preserve"> Комплексная оценка клинических проявлений была выражена общим баллом симптомов тяжести. </w:t>
      </w:r>
      <w:r w:rsidR="004666F2">
        <w:rPr>
          <w:rFonts w:ascii="Times New Roman" w:hAnsi="Times New Roman" w:cs="Times New Roman"/>
          <w:sz w:val="28"/>
          <w:szCs w:val="28"/>
        </w:rPr>
        <w:t>Медиана общего балла симптомов тяжести заболевания была меньше в</w:t>
      </w:r>
      <w:r w:rsidRPr="00437528">
        <w:rPr>
          <w:rFonts w:ascii="Times New Roman" w:hAnsi="Times New Roman" w:cs="Times New Roman"/>
          <w:sz w:val="28"/>
          <w:szCs w:val="28"/>
        </w:rPr>
        <w:t xml:space="preserve"> группе вмешательства </w:t>
      </w:r>
      <w:r w:rsidR="00B7252B" w:rsidRPr="00437528">
        <w:rPr>
          <w:rFonts w:ascii="Times New Roman" w:hAnsi="Times New Roman" w:cs="Times New Roman"/>
          <w:sz w:val="28"/>
          <w:szCs w:val="28"/>
        </w:rPr>
        <w:t xml:space="preserve">после лечения </w:t>
      </w:r>
      <w:r w:rsidR="00B7252B">
        <w:rPr>
          <w:rFonts w:ascii="Times New Roman" w:hAnsi="Times New Roman" w:cs="Times New Roman"/>
          <w:sz w:val="28"/>
          <w:szCs w:val="28"/>
        </w:rPr>
        <w:t xml:space="preserve">была меньше и </w:t>
      </w:r>
      <w:r w:rsidRPr="00437528">
        <w:rPr>
          <w:rFonts w:ascii="Times New Roman" w:hAnsi="Times New Roman" w:cs="Times New Roman"/>
          <w:sz w:val="28"/>
          <w:szCs w:val="28"/>
        </w:rPr>
        <w:t xml:space="preserve">составила в 6 баллов, а в группе контроля - 9 баллов </w:t>
      </w:r>
      <w:r w:rsidRPr="00437528">
        <w:rPr>
          <w:rFonts w:ascii="Times New Roman" w:eastAsia="Calibri" w:hAnsi="Times New Roman" w:cs="Times New Roman"/>
          <w:sz w:val="28"/>
          <w:szCs w:val="28"/>
        </w:rPr>
        <w:t>(</w:t>
      </w:r>
      <w:r w:rsidRPr="00437528">
        <w:rPr>
          <w:rFonts w:ascii="Times New Roman" w:hAnsi="Times New Roman" w:cs="Times New Roman"/>
          <w:sz w:val="28"/>
          <w:szCs w:val="28"/>
          <w:lang w:val="en-US"/>
        </w:rPr>
        <w:t>p</w:t>
      </w:r>
      <w:r w:rsidR="00AA54FE">
        <w:rPr>
          <w:rFonts w:ascii="Times New Roman" w:hAnsi="Times New Roman" w:cs="Times New Roman"/>
          <w:sz w:val="28"/>
          <w:szCs w:val="28"/>
        </w:rPr>
        <w:t>=0,03</w:t>
      </w:r>
      <w:r w:rsidRPr="00437528">
        <w:rPr>
          <w:rFonts w:ascii="Times New Roman" w:hAnsi="Times New Roman" w:cs="Times New Roman"/>
          <w:sz w:val="28"/>
          <w:szCs w:val="28"/>
        </w:rPr>
        <w:t xml:space="preserve">). Это показывает, что группа, получающая адаптированную схему АСИТ с витамином Д, в </w:t>
      </w:r>
      <w:r w:rsidRPr="00CC2107">
        <w:rPr>
          <w:rFonts w:ascii="Times New Roman" w:hAnsi="Times New Roman" w:cs="Times New Roman"/>
          <w:sz w:val="28"/>
          <w:szCs w:val="28"/>
        </w:rPr>
        <w:t xml:space="preserve">результате лечения характеризовалась более легким течением сезонного аллергического ринита в сравнении с группой, получающей </w:t>
      </w:r>
      <w:r w:rsidR="00C90A90">
        <w:rPr>
          <w:rFonts w:ascii="Times New Roman" w:hAnsi="Times New Roman" w:cs="Times New Roman"/>
          <w:sz w:val="28"/>
          <w:szCs w:val="28"/>
        </w:rPr>
        <w:t>классическую</w:t>
      </w:r>
      <w:r w:rsidRPr="00CC2107">
        <w:rPr>
          <w:rFonts w:ascii="Times New Roman" w:hAnsi="Times New Roman" w:cs="Times New Roman"/>
          <w:sz w:val="28"/>
          <w:szCs w:val="28"/>
        </w:rPr>
        <w:t xml:space="preserve"> схему АСИТ </w:t>
      </w:r>
      <w:r w:rsidRPr="00CC2107">
        <w:rPr>
          <w:rFonts w:ascii="Times New Roman" w:eastAsia="Calibri" w:hAnsi="Times New Roman" w:cs="Times New Roman"/>
          <w:sz w:val="28"/>
          <w:szCs w:val="28"/>
        </w:rPr>
        <w:t>(</w:t>
      </w:r>
      <w:r w:rsidR="000C1AF9">
        <w:rPr>
          <w:rFonts w:ascii="Times New Roman" w:eastAsia="Calibri" w:hAnsi="Times New Roman" w:cs="Times New Roman"/>
          <w:sz w:val="28"/>
          <w:szCs w:val="28"/>
        </w:rPr>
        <w:t>таблица 9</w:t>
      </w:r>
      <w:r w:rsidRPr="00CC2107">
        <w:rPr>
          <w:rFonts w:ascii="Times New Roman" w:eastAsia="Calibri" w:hAnsi="Times New Roman" w:cs="Times New Roman"/>
          <w:sz w:val="28"/>
          <w:szCs w:val="28"/>
        </w:rPr>
        <w:t>)</w:t>
      </w:r>
      <w:r w:rsidRPr="00CC2107">
        <w:rPr>
          <w:rFonts w:ascii="Times New Roman" w:hAnsi="Times New Roman" w:cs="Times New Roman"/>
          <w:sz w:val="28"/>
          <w:szCs w:val="28"/>
        </w:rPr>
        <w:t xml:space="preserve">. </w:t>
      </w:r>
    </w:p>
    <w:p w14:paraId="728B5ED7" w14:textId="315EF71D" w:rsidR="00437528" w:rsidRPr="006146D2" w:rsidRDefault="00437528" w:rsidP="00E361BF">
      <w:pPr>
        <w:spacing w:after="0" w:line="240" w:lineRule="auto"/>
        <w:ind w:firstLine="567"/>
        <w:jc w:val="both"/>
        <w:rPr>
          <w:rFonts w:ascii="Times New Roman" w:hAnsi="Times New Roman" w:cs="Times New Roman"/>
          <w:sz w:val="28"/>
          <w:szCs w:val="28"/>
        </w:rPr>
      </w:pPr>
      <w:r w:rsidRPr="00CC2107">
        <w:rPr>
          <w:rFonts w:ascii="Times New Roman" w:eastAsia="Calibri" w:hAnsi="Times New Roman" w:cs="Times New Roman"/>
          <w:sz w:val="28"/>
          <w:szCs w:val="28"/>
        </w:rPr>
        <w:t xml:space="preserve">Динамическая оценка </w:t>
      </w:r>
      <w:r w:rsidR="002E13EC">
        <w:rPr>
          <w:rFonts w:ascii="Times New Roman" w:eastAsia="Calibri" w:hAnsi="Times New Roman" w:cs="Times New Roman"/>
          <w:sz w:val="28"/>
          <w:szCs w:val="28"/>
        </w:rPr>
        <w:t>показала лучшую динамику снижения</w:t>
      </w:r>
      <w:r w:rsidR="002E13EC" w:rsidRPr="00CC2107">
        <w:rPr>
          <w:rFonts w:ascii="Times New Roman" w:eastAsia="Calibri" w:hAnsi="Times New Roman" w:cs="Times New Roman"/>
          <w:sz w:val="28"/>
          <w:szCs w:val="28"/>
        </w:rPr>
        <w:t xml:space="preserve"> </w:t>
      </w:r>
      <w:r w:rsidRPr="00CC2107">
        <w:rPr>
          <w:rFonts w:ascii="Times New Roman" w:eastAsia="Calibri" w:hAnsi="Times New Roman" w:cs="Times New Roman"/>
          <w:sz w:val="28"/>
          <w:szCs w:val="28"/>
        </w:rPr>
        <w:t>выраженности клинических показателей</w:t>
      </w:r>
      <w:r w:rsidR="009301EA">
        <w:rPr>
          <w:rFonts w:ascii="Times New Roman" w:eastAsia="Calibri" w:hAnsi="Times New Roman" w:cs="Times New Roman"/>
          <w:sz w:val="28"/>
          <w:szCs w:val="28"/>
        </w:rPr>
        <w:t xml:space="preserve"> (з</w:t>
      </w:r>
      <w:r w:rsidR="009301EA" w:rsidRPr="00437528">
        <w:rPr>
          <w:rFonts w:ascii="Times New Roman" w:eastAsia="Calibri" w:hAnsi="Times New Roman" w:cs="Times New Roman"/>
          <w:sz w:val="28"/>
          <w:szCs w:val="28"/>
        </w:rPr>
        <w:t>аложенность носа, выделения из носа</w:t>
      </w:r>
      <w:r w:rsidR="009301EA" w:rsidRPr="0061235E">
        <w:rPr>
          <w:rFonts w:ascii="Times New Roman" w:eastAsia="Calibri" w:hAnsi="Times New Roman" w:cs="Times New Roman"/>
          <w:sz w:val="28"/>
          <w:szCs w:val="28"/>
        </w:rPr>
        <w:t>, зуд носа и глаз, чихание и слезоточивость</w:t>
      </w:r>
      <w:r w:rsidR="009301EA">
        <w:rPr>
          <w:rFonts w:ascii="Times New Roman" w:eastAsia="Calibri" w:hAnsi="Times New Roman" w:cs="Times New Roman"/>
          <w:sz w:val="28"/>
          <w:szCs w:val="28"/>
        </w:rPr>
        <w:t>)</w:t>
      </w:r>
      <w:r w:rsidR="009301EA" w:rsidRPr="0061235E">
        <w:rPr>
          <w:rFonts w:ascii="Times New Roman" w:eastAsia="Calibri" w:hAnsi="Times New Roman" w:cs="Times New Roman"/>
          <w:sz w:val="28"/>
          <w:szCs w:val="28"/>
        </w:rPr>
        <w:t xml:space="preserve"> </w:t>
      </w:r>
      <w:r w:rsidR="009301EA">
        <w:rPr>
          <w:rFonts w:ascii="Times New Roman" w:eastAsia="Calibri" w:hAnsi="Times New Roman" w:cs="Times New Roman"/>
          <w:sz w:val="28"/>
          <w:szCs w:val="28"/>
        </w:rPr>
        <w:t>в</w:t>
      </w:r>
      <w:r w:rsidRPr="00CC2107">
        <w:rPr>
          <w:rFonts w:ascii="Times New Roman" w:eastAsia="Calibri" w:hAnsi="Times New Roman" w:cs="Times New Roman"/>
          <w:sz w:val="28"/>
          <w:szCs w:val="28"/>
        </w:rPr>
        <w:t xml:space="preserve"> группе вмешательства (АСИТ + витамин Д) </w:t>
      </w:r>
      <w:r w:rsidR="002E13EC">
        <w:rPr>
          <w:rFonts w:ascii="Times New Roman" w:eastAsia="Calibri" w:hAnsi="Times New Roman" w:cs="Times New Roman"/>
          <w:sz w:val="28"/>
          <w:szCs w:val="28"/>
        </w:rPr>
        <w:t>относительно группы контроля</w:t>
      </w:r>
      <w:r w:rsidRPr="00CC2107">
        <w:rPr>
          <w:rFonts w:ascii="Times New Roman" w:eastAsia="Calibri" w:hAnsi="Times New Roman" w:cs="Times New Roman"/>
          <w:sz w:val="28"/>
          <w:szCs w:val="28"/>
        </w:rPr>
        <w:t xml:space="preserve">. </w:t>
      </w:r>
      <w:r w:rsidRPr="00CC2107">
        <w:rPr>
          <w:rFonts w:ascii="Times New Roman" w:hAnsi="Times New Roman" w:cs="Times New Roman"/>
          <w:sz w:val="28"/>
          <w:szCs w:val="28"/>
        </w:rPr>
        <w:t xml:space="preserve">Комплексная оценка тяжести симптомов была выражена медианой общего балла симптомов тяжести. В </w:t>
      </w:r>
      <w:r w:rsidRPr="00CC2107">
        <w:rPr>
          <w:rFonts w:ascii="Times New Roman" w:eastAsia="Calibri" w:hAnsi="Times New Roman" w:cs="Times New Roman"/>
          <w:sz w:val="28"/>
          <w:szCs w:val="28"/>
        </w:rPr>
        <w:t>группе вмешательства</w:t>
      </w:r>
      <w:r w:rsidRPr="00CC2107">
        <w:rPr>
          <w:rFonts w:ascii="Times New Roman" w:hAnsi="Times New Roman" w:cs="Times New Roman"/>
          <w:sz w:val="28"/>
          <w:szCs w:val="28"/>
        </w:rPr>
        <w:t xml:space="preserve"> (АСИТ + витамин Д) </w:t>
      </w:r>
      <w:r w:rsidRPr="00CC2107">
        <w:rPr>
          <w:rFonts w:ascii="Times New Roman" w:eastAsia="Calibri" w:hAnsi="Times New Roman" w:cs="Times New Roman"/>
          <w:sz w:val="28"/>
          <w:szCs w:val="28"/>
        </w:rPr>
        <w:t xml:space="preserve">наблюдалась наилучшая динамика снижения общего балла </w:t>
      </w:r>
      <w:r w:rsidR="00FB45EA">
        <w:rPr>
          <w:rFonts w:ascii="Times New Roman" w:eastAsia="Calibri" w:hAnsi="Times New Roman" w:cs="Times New Roman"/>
          <w:sz w:val="28"/>
          <w:szCs w:val="28"/>
        </w:rPr>
        <w:t>тяжести</w:t>
      </w:r>
      <w:r w:rsidRPr="00CC2107">
        <w:rPr>
          <w:rFonts w:ascii="Times New Roman" w:eastAsia="Calibri" w:hAnsi="Times New Roman" w:cs="Times New Roman"/>
          <w:sz w:val="28"/>
          <w:szCs w:val="28"/>
        </w:rPr>
        <w:t xml:space="preserve"> симптомов с 11 баллов до 6 баллов (</w:t>
      </w:r>
      <w:r w:rsidRPr="00CC2107">
        <w:rPr>
          <w:rFonts w:ascii="Times New Roman" w:eastAsia="Calibri" w:hAnsi="Times New Roman" w:cs="Times New Roman"/>
          <w:sz w:val="28"/>
          <w:szCs w:val="28"/>
          <w:lang w:val="en-US"/>
        </w:rPr>
        <w:t>p</w:t>
      </w:r>
      <w:r w:rsidR="00E361BF">
        <w:rPr>
          <w:rFonts w:ascii="Times New Roman" w:eastAsia="Calibri" w:hAnsi="Times New Roman" w:cs="Times New Roman"/>
          <w:sz w:val="28"/>
          <w:szCs w:val="28"/>
        </w:rPr>
        <w:t>&lt;0,001</w:t>
      </w:r>
      <w:r w:rsidR="00583DC1">
        <w:rPr>
          <w:rFonts w:ascii="Times New Roman" w:eastAsia="Calibri" w:hAnsi="Times New Roman" w:cs="Times New Roman"/>
          <w:sz w:val="28"/>
          <w:szCs w:val="28"/>
        </w:rPr>
        <w:t>),</w:t>
      </w:r>
      <w:r w:rsidR="00E361BF">
        <w:rPr>
          <w:rFonts w:ascii="Times New Roman" w:eastAsia="Calibri" w:hAnsi="Times New Roman" w:cs="Times New Roman"/>
          <w:sz w:val="28"/>
          <w:szCs w:val="28"/>
        </w:rPr>
        <w:t xml:space="preserve"> относительно группы контроля, где общий балл</w:t>
      </w:r>
      <w:r w:rsidRPr="006146D2">
        <w:rPr>
          <w:rFonts w:ascii="Times New Roman" w:eastAsia="Calibri" w:hAnsi="Times New Roman" w:cs="Times New Roman"/>
          <w:sz w:val="28"/>
          <w:szCs w:val="28"/>
        </w:rPr>
        <w:t xml:space="preserve"> </w:t>
      </w:r>
      <w:r w:rsidRPr="006146D2">
        <w:rPr>
          <w:rFonts w:ascii="Times New Roman" w:hAnsi="Times New Roman" w:cs="Times New Roman"/>
          <w:sz w:val="28"/>
          <w:szCs w:val="28"/>
        </w:rPr>
        <w:t xml:space="preserve">симптомов тяжести </w:t>
      </w:r>
      <w:r w:rsidR="00E361BF">
        <w:rPr>
          <w:rFonts w:ascii="Times New Roman" w:hAnsi="Times New Roman" w:cs="Times New Roman"/>
          <w:sz w:val="28"/>
          <w:szCs w:val="28"/>
        </w:rPr>
        <w:t xml:space="preserve">снизился </w:t>
      </w:r>
      <w:r w:rsidRPr="006146D2">
        <w:rPr>
          <w:rFonts w:ascii="Times New Roman" w:hAnsi="Times New Roman" w:cs="Times New Roman"/>
          <w:sz w:val="28"/>
          <w:szCs w:val="28"/>
        </w:rPr>
        <w:t>с 11,5 баллов до 9 баллов (</w:t>
      </w:r>
      <w:r w:rsidRPr="006146D2">
        <w:rPr>
          <w:rFonts w:ascii="Times New Roman" w:hAnsi="Times New Roman" w:cs="Times New Roman"/>
          <w:sz w:val="28"/>
          <w:szCs w:val="28"/>
          <w:lang w:val="en-US"/>
        </w:rPr>
        <w:t>p</w:t>
      </w:r>
      <w:r w:rsidRPr="006146D2">
        <w:rPr>
          <w:rFonts w:ascii="Times New Roman" w:hAnsi="Times New Roman" w:cs="Times New Roman"/>
          <w:sz w:val="28"/>
          <w:szCs w:val="28"/>
        </w:rPr>
        <w:t>&lt;0,001) (</w:t>
      </w:r>
      <w:r w:rsidR="008F5B12" w:rsidRPr="006146D2">
        <w:rPr>
          <w:rFonts w:ascii="Times New Roman" w:hAnsi="Times New Roman" w:cs="Times New Roman"/>
          <w:sz w:val="28"/>
          <w:szCs w:val="28"/>
        </w:rPr>
        <w:t xml:space="preserve">Таблица </w:t>
      </w:r>
      <w:r w:rsidR="000C1AF9">
        <w:rPr>
          <w:rFonts w:ascii="Times New Roman" w:hAnsi="Times New Roman" w:cs="Times New Roman"/>
          <w:sz w:val="28"/>
          <w:szCs w:val="28"/>
        </w:rPr>
        <w:t>9</w:t>
      </w:r>
      <w:r w:rsidRPr="006146D2">
        <w:rPr>
          <w:rFonts w:ascii="Times New Roman" w:hAnsi="Times New Roman" w:cs="Times New Roman"/>
          <w:sz w:val="28"/>
          <w:szCs w:val="28"/>
        </w:rPr>
        <w:t>).</w:t>
      </w:r>
    </w:p>
    <w:p w14:paraId="4A937071" w14:textId="256B8522" w:rsidR="00437528" w:rsidRDefault="006B770E" w:rsidP="00602BC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Клиническую о</w:t>
      </w:r>
      <w:r w:rsidR="00437528" w:rsidRPr="006146D2">
        <w:rPr>
          <w:rFonts w:ascii="Times New Roman" w:hAnsi="Times New Roman" w:cs="Times New Roman"/>
          <w:sz w:val="28"/>
          <w:szCs w:val="28"/>
        </w:rPr>
        <w:t xml:space="preserve">ценку тяжести заболевания </w:t>
      </w:r>
      <w:r w:rsidR="00784C53">
        <w:rPr>
          <w:rFonts w:ascii="Times New Roman" w:eastAsia="Calibri" w:hAnsi="Times New Roman" w:cs="Times New Roman"/>
          <w:sz w:val="28"/>
          <w:szCs w:val="28"/>
        </w:rPr>
        <w:t xml:space="preserve">в группах исследовния </w:t>
      </w:r>
      <w:r w:rsidR="00437528" w:rsidRPr="006146D2">
        <w:rPr>
          <w:rFonts w:ascii="Times New Roman" w:hAnsi="Times New Roman" w:cs="Times New Roman"/>
          <w:sz w:val="28"/>
          <w:szCs w:val="28"/>
        </w:rPr>
        <w:t xml:space="preserve">также проводили по кратности применения назальных и системных ГКС, а также антигистаминных препаратов, облегчающих симптомы сезонного аллергического ринита. Базовая оценка проведена до начала АСИТ: </w:t>
      </w:r>
      <w:r w:rsidR="00802BCC">
        <w:rPr>
          <w:rFonts w:ascii="Times New Roman" w:hAnsi="Times New Roman" w:cs="Times New Roman"/>
          <w:sz w:val="28"/>
          <w:szCs w:val="28"/>
        </w:rPr>
        <w:t>пациенты применяли топические</w:t>
      </w:r>
      <w:r w:rsidR="00437528" w:rsidRPr="006146D2">
        <w:rPr>
          <w:rFonts w:ascii="Times New Roman" w:hAnsi="Times New Roman" w:cs="Times New Roman"/>
          <w:sz w:val="28"/>
          <w:szCs w:val="28"/>
        </w:rPr>
        <w:t xml:space="preserve"> ГКС </w:t>
      </w:r>
      <w:r w:rsidR="00802BCC">
        <w:rPr>
          <w:rFonts w:ascii="Times New Roman" w:hAnsi="Times New Roman" w:cs="Times New Roman"/>
          <w:sz w:val="28"/>
          <w:szCs w:val="28"/>
        </w:rPr>
        <w:t xml:space="preserve">среднем </w:t>
      </w:r>
      <w:r w:rsidR="00802BCC" w:rsidRPr="006146D2">
        <w:rPr>
          <w:rFonts w:ascii="Times New Roman" w:hAnsi="Times New Roman" w:cs="Times New Roman"/>
          <w:sz w:val="28"/>
          <w:szCs w:val="28"/>
        </w:rPr>
        <w:t>10</w:t>
      </w:r>
      <w:r w:rsidR="00802BCC">
        <w:rPr>
          <w:rFonts w:ascii="Times New Roman" w:hAnsi="Times New Roman" w:cs="Times New Roman"/>
          <w:sz w:val="28"/>
          <w:szCs w:val="28"/>
        </w:rPr>
        <w:t xml:space="preserve"> раз </w:t>
      </w:r>
      <w:r w:rsidR="00437528" w:rsidRPr="006146D2">
        <w:rPr>
          <w:rFonts w:ascii="Times New Roman" w:hAnsi="Times New Roman" w:cs="Times New Roman"/>
          <w:sz w:val="28"/>
          <w:szCs w:val="28"/>
        </w:rPr>
        <w:t>в неделю в группе</w:t>
      </w:r>
      <w:r w:rsidR="00437528" w:rsidRPr="006146D2">
        <w:rPr>
          <w:rFonts w:ascii="Times New Roman" w:hAnsi="Times New Roman" w:cs="Times New Roman"/>
          <w:sz w:val="28"/>
          <w:szCs w:val="28"/>
          <w:lang w:val="kk-KZ"/>
        </w:rPr>
        <w:t xml:space="preserve"> </w:t>
      </w:r>
      <w:r w:rsidR="00437528" w:rsidRPr="006146D2">
        <w:rPr>
          <w:rFonts w:ascii="Times New Roman" w:eastAsia="Calibri" w:hAnsi="Times New Roman" w:cs="Times New Roman"/>
          <w:sz w:val="28"/>
          <w:szCs w:val="28"/>
        </w:rPr>
        <w:t>вмешательства</w:t>
      </w:r>
      <w:r w:rsidR="00437528" w:rsidRPr="006146D2">
        <w:rPr>
          <w:rFonts w:ascii="Times New Roman" w:hAnsi="Times New Roman" w:cs="Times New Roman"/>
          <w:sz w:val="28"/>
          <w:szCs w:val="28"/>
        </w:rPr>
        <w:t xml:space="preserve"> и 12 </w:t>
      </w:r>
      <w:r w:rsidR="00AE5D19">
        <w:rPr>
          <w:rFonts w:ascii="Times New Roman" w:hAnsi="Times New Roman" w:cs="Times New Roman"/>
          <w:sz w:val="28"/>
          <w:szCs w:val="28"/>
        </w:rPr>
        <w:t>раз в неделю</w:t>
      </w:r>
      <w:r w:rsidR="00437528" w:rsidRPr="006146D2">
        <w:rPr>
          <w:rFonts w:ascii="Times New Roman" w:hAnsi="Times New Roman" w:cs="Times New Roman"/>
          <w:sz w:val="28"/>
          <w:szCs w:val="28"/>
        </w:rPr>
        <w:t xml:space="preserve"> в группе </w:t>
      </w:r>
      <w:r w:rsidR="00437528" w:rsidRPr="006146D2">
        <w:rPr>
          <w:rFonts w:ascii="Times New Roman" w:eastAsia="Calibri" w:hAnsi="Times New Roman" w:cs="Times New Roman"/>
          <w:bCs/>
          <w:sz w:val="28"/>
          <w:szCs w:val="28"/>
        </w:rPr>
        <w:t xml:space="preserve">контроля </w:t>
      </w:r>
      <w:r w:rsidR="004155D5">
        <w:rPr>
          <w:rFonts w:ascii="Times New Roman" w:hAnsi="Times New Roman" w:cs="Times New Roman"/>
          <w:sz w:val="28"/>
          <w:szCs w:val="28"/>
        </w:rPr>
        <w:t>(р=0,1); антигистаминные</w:t>
      </w:r>
      <w:r w:rsidR="00043FCB">
        <w:rPr>
          <w:rFonts w:ascii="Times New Roman" w:hAnsi="Times New Roman" w:cs="Times New Roman"/>
          <w:sz w:val="28"/>
          <w:szCs w:val="28"/>
        </w:rPr>
        <w:t xml:space="preserve"> препараты применяли в среднем</w:t>
      </w:r>
      <w:r w:rsidR="004155D5">
        <w:rPr>
          <w:rFonts w:ascii="Times New Roman" w:hAnsi="Times New Roman" w:cs="Times New Roman"/>
          <w:sz w:val="28"/>
          <w:szCs w:val="28"/>
        </w:rPr>
        <w:t xml:space="preserve"> 5 раз в </w:t>
      </w:r>
      <w:r w:rsidR="00437528" w:rsidRPr="006146D2">
        <w:rPr>
          <w:rFonts w:ascii="Times New Roman" w:hAnsi="Times New Roman" w:cs="Times New Roman"/>
          <w:sz w:val="28"/>
          <w:szCs w:val="28"/>
        </w:rPr>
        <w:t xml:space="preserve">неделю </w:t>
      </w:r>
      <w:r w:rsidR="004155D5">
        <w:rPr>
          <w:rFonts w:ascii="Times New Roman" w:hAnsi="Times New Roman" w:cs="Times New Roman"/>
          <w:sz w:val="28"/>
          <w:szCs w:val="28"/>
        </w:rPr>
        <w:t>в обеих группах</w:t>
      </w:r>
      <w:r w:rsidR="00437528" w:rsidRPr="006146D2">
        <w:rPr>
          <w:rFonts w:ascii="Times New Roman" w:eastAsia="Calibri" w:hAnsi="Times New Roman" w:cs="Times New Roman"/>
          <w:bCs/>
          <w:sz w:val="28"/>
          <w:szCs w:val="28"/>
        </w:rPr>
        <w:t xml:space="preserve"> </w:t>
      </w:r>
      <w:r w:rsidR="00437528" w:rsidRPr="006146D2">
        <w:rPr>
          <w:rFonts w:ascii="Times New Roman" w:hAnsi="Times New Roman" w:cs="Times New Roman"/>
          <w:sz w:val="28"/>
          <w:szCs w:val="28"/>
        </w:rPr>
        <w:t xml:space="preserve">(р=0,9). Применение системных ГКС было исключено из базовой, сравнительной и динамической оценки, поскольку не отвечало статистическим требованиям и фактически не было использовано пациентами для лечения </w:t>
      </w:r>
      <w:r w:rsidR="008130AF" w:rsidRPr="006146D2">
        <w:rPr>
          <w:rFonts w:ascii="Times New Roman" w:hAnsi="Times New Roman" w:cs="Times New Roman"/>
          <w:sz w:val="28"/>
          <w:szCs w:val="28"/>
        </w:rPr>
        <w:t xml:space="preserve">(таблица </w:t>
      </w:r>
      <w:r w:rsidR="000C1AF9">
        <w:rPr>
          <w:rFonts w:ascii="Times New Roman" w:hAnsi="Times New Roman" w:cs="Times New Roman"/>
          <w:sz w:val="28"/>
          <w:szCs w:val="28"/>
        </w:rPr>
        <w:t>10</w:t>
      </w:r>
      <w:r w:rsidR="00437528" w:rsidRPr="006146D2">
        <w:rPr>
          <w:rFonts w:ascii="Times New Roman" w:hAnsi="Times New Roman" w:cs="Times New Roman"/>
          <w:sz w:val="28"/>
          <w:szCs w:val="28"/>
        </w:rPr>
        <w:t>).</w:t>
      </w:r>
    </w:p>
    <w:p w14:paraId="0BF39CD6" w14:textId="35346DED" w:rsidR="008130AF" w:rsidRDefault="008130AF" w:rsidP="00602BC9">
      <w:pPr>
        <w:spacing w:after="0" w:line="240" w:lineRule="auto"/>
        <w:ind w:firstLine="567"/>
        <w:jc w:val="both"/>
        <w:rPr>
          <w:rFonts w:ascii="Times New Roman" w:hAnsi="Times New Roman" w:cs="Times New Roman"/>
          <w:sz w:val="28"/>
          <w:szCs w:val="28"/>
        </w:rPr>
      </w:pPr>
    </w:p>
    <w:p w14:paraId="73824797" w14:textId="5D6D42F3" w:rsidR="008130AF" w:rsidRPr="00437528" w:rsidRDefault="008130AF" w:rsidP="003E7AF4">
      <w:pPr>
        <w:spacing w:after="0" w:line="240" w:lineRule="auto"/>
        <w:jc w:val="both"/>
        <w:rPr>
          <w:rFonts w:ascii="Times New Roman" w:hAnsi="Times New Roman" w:cs="Times New Roman"/>
          <w:sz w:val="28"/>
          <w:szCs w:val="28"/>
        </w:rPr>
      </w:pPr>
      <w:r w:rsidRPr="00437528">
        <w:rPr>
          <w:rFonts w:ascii="Times New Roman" w:hAnsi="Times New Roman" w:cs="Times New Roman"/>
          <w:sz w:val="28"/>
          <w:szCs w:val="28"/>
        </w:rPr>
        <w:t xml:space="preserve">Таблица </w:t>
      </w:r>
      <w:r w:rsidR="000C1AF9">
        <w:rPr>
          <w:rFonts w:ascii="Times New Roman" w:hAnsi="Times New Roman" w:cs="Times New Roman"/>
          <w:sz w:val="28"/>
          <w:szCs w:val="28"/>
        </w:rPr>
        <w:t>10</w:t>
      </w:r>
      <w:r w:rsidRPr="00437528">
        <w:rPr>
          <w:rFonts w:ascii="Times New Roman" w:hAnsi="Times New Roman" w:cs="Times New Roman"/>
          <w:sz w:val="28"/>
          <w:szCs w:val="28"/>
        </w:rPr>
        <w:t xml:space="preserve"> - </w:t>
      </w:r>
      <w:r w:rsidRPr="00437528">
        <w:rPr>
          <w:rFonts w:ascii="Times New Roman" w:eastAsia="Calibri" w:hAnsi="Times New Roman" w:cs="Times New Roman"/>
          <w:sz w:val="28"/>
          <w:szCs w:val="28"/>
        </w:rPr>
        <w:t xml:space="preserve">Сравнительная характеристика группы вмешательства и группы контроля по </w:t>
      </w:r>
      <w:r w:rsidRPr="00437528">
        <w:rPr>
          <w:rFonts w:ascii="Times New Roman" w:hAnsi="Times New Roman" w:cs="Times New Roman"/>
          <w:sz w:val="28"/>
          <w:szCs w:val="28"/>
        </w:rPr>
        <w:t>кратности использования лекарственных препаратов</w:t>
      </w:r>
      <w:r w:rsidRPr="00437528">
        <w:rPr>
          <w:rFonts w:ascii="Times New Roman" w:eastAsia="Calibri" w:hAnsi="Times New Roman" w:cs="Times New Roman"/>
          <w:sz w:val="28"/>
          <w:szCs w:val="28"/>
        </w:rPr>
        <w:t xml:space="preserve"> на фоне проведения аллерген-специфической иммунотерапии </w:t>
      </w:r>
    </w:p>
    <w:p w14:paraId="68016A2F" w14:textId="77777777" w:rsidR="008130AF" w:rsidRPr="00437528" w:rsidRDefault="008130AF" w:rsidP="008130AF">
      <w:pPr>
        <w:spacing w:after="0" w:line="240" w:lineRule="auto"/>
        <w:jc w:val="both"/>
        <w:rPr>
          <w:rFonts w:ascii="Times New Roman" w:hAnsi="Times New Roman" w:cs="Times New Roman"/>
          <w:sz w:val="28"/>
          <w:szCs w:val="28"/>
        </w:rPr>
      </w:pPr>
    </w:p>
    <w:tbl>
      <w:tblPr>
        <w:tblStyle w:val="41"/>
        <w:tblW w:w="5000" w:type="pct"/>
        <w:tblInd w:w="-5" w:type="dxa"/>
        <w:tblLook w:val="04A0" w:firstRow="1" w:lastRow="0" w:firstColumn="1" w:lastColumn="0" w:noHBand="0" w:noVBand="1"/>
      </w:tblPr>
      <w:tblGrid>
        <w:gridCol w:w="4036"/>
        <w:gridCol w:w="1128"/>
        <w:gridCol w:w="2191"/>
        <w:gridCol w:w="1157"/>
        <w:gridCol w:w="1116"/>
      </w:tblGrid>
      <w:tr w:rsidR="008130AF" w:rsidRPr="00437528" w14:paraId="1F5387BD" w14:textId="77777777" w:rsidTr="006A01A3">
        <w:tc>
          <w:tcPr>
            <w:tcW w:w="2096" w:type="pct"/>
            <w:hideMark/>
          </w:tcPr>
          <w:p w14:paraId="19537082"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 xml:space="preserve">Параметр </w:t>
            </w:r>
          </w:p>
        </w:tc>
        <w:tc>
          <w:tcPr>
            <w:tcW w:w="586" w:type="pct"/>
          </w:tcPr>
          <w:p w14:paraId="310FE021"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 xml:space="preserve">Визит </w:t>
            </w:r>
          </w:p>
        </w:tc>
        <w:tc>
          <w:tcPr>
            <w:tcW w:w="1138" w:type="pct"/>
            <w:vAlign w:val="center"/>
            <w:hideMark/>
          </w:tcPr>
          <w:p w14:paraId="49160E9B"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Группа вмешательства (АСИТ+витаминД)</w:t>
            </w:r>
          </w:p>
        </w:tc>
        <w:tc>
          <w:tcPr>
            <w:tcW w:w="601" w:type="pct"/>
            <w:vAlign w:val="center"/>
            <w:hideMark/>
          </w:tcPr>
          <w:p w14:paraId="6E3B281F" w14:textId="77777777" w:rsidR="008130AF" w:rsidRPr="00437528" w:rsidRDefault="008130AF" w:rsidP="00441716">
            <w:pPr>
              <w:jc w:val="both"/>
              <w:rPr>
                <w:rFonts w:ascii="Times New Roman" w:hAnsi="Times New Roman"/>
                <w:sz w:val="24"/>
                <w:szCs w:val="24"/>
              </w:rPr>
            </w:pPr>
            <w:r w:rsidRPr="00437528">
              <w:rPr>
                <w:rFonts w:ascii="Times New Roman" w:hAnsi="Times New Roman"/>
                <w:bCs/>
                <w:sz w:val="24"/>
                <w:szCs w:val="24"/>
              </w:rPr>
              <w:t>Группа контроля (АСИТ)</w:t>
            </w:r>
          </w:p>
        </w:tc>
        <w:tc>
          <w:tcPr>
            <w:tcW w:w="580" w:type="pct"/>
          </w:tcPr>
          <w:p w14:paraId="6E7F28F7"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 xml:space="preserve">p-value </w:t>
            </w:r>
            <w:r w:rsidRPr="00437528">
              <w:rPr>
                <w:rFonts w:ascii="Times New Roman" w:hAnsi="Times New Roman"/>
                <w:sz w:val="28"/>
                <w:szCs w:val="28"/>
              </w:rPr>
              <w:sym w:font="Symbol" w:char="F0A2"/>
            </w:r>
          </w:p>
        </w:tc>
      </w:tr>
      <w:tr w:rsidR="008130AF" w:rsidRPr="00437528" w14:paraId="1FB51CD8" w14:textId="77777777" w:rsidTr="006A01A3">
        <w:tc>
          <w:tcPr>
            <w:tcW w:w="2096" w:type="pct"/>
            <w:hideMark/>
          </w:tcPr>
          <w:p w14:paraId="628B28D0"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 xml:space="preserve">Частота приема топических ГКС, в неделю </w:t>
            </w:r>
            <w:r w:rsidRPr="00437528">
              <w:rPr>
                <w:rFonts w:ascii="Times New Roman" w:hAnsi="Times New Roman"/>
                <w:sz w:val="28"/>
                <w:szCs w:val="28"/>
              </w:rPr>
              <w:t>*</w:t>
            </w:r>
          </w:p>
        </w:tc>
        <w:tc>
          <w:tcPr>
            <w:tcW w:w="586" w:type="pct"/>
          </w:tcPr>
          <w:p w14:paraId="0FA99486" w14:textId="77777777" w:rsidR="008130AF" w:rsidRPr="00437528" w:rsidRDefault="008130AF" w:rsidP="00441716">
            <w:pPr>
              <w:jc w:val="both"/>
              <w:rPr>
                <w:rFonts w:ascii="Times New Roman" w:hAnsi="Times New Roman"/>
                <w:sz w:val="24"/>
                <w:szCs w:val="24"/>
                <w:lang w:val="en-US"/>
              </w:rPr>
            </w:pPr>
            <w:r w:rsidRPr="00437528">
              <w:rPr>
                <w:rFonts w:ascii="Times New Roman" w:hAnsi="Times New Roman"/>
                <w:sz w:val="24"/>
                <w:szCs w:val="24"/>
              </w:rPr>
              <w:t>1 визит</w:t>
            </w:r>
          </w:p>
        </w:tc>
        <w:tc>
          <w:tcPr>
            <w:tcW w:w="1138" w:type="pct"/>
            <w:hideMark/>
          </w:tcPr>
          <w:p w14:paraId="77B38DCD" w14:textId="77777777" w:rsidR="008130AF" w:rsidRPr="00437528" w:rsidRDefault="008130AF" w:rsidP="00441716">
            <w:pPr>
              <w:jc w:val="both"/>
              <w:rPr>
                <w:rFonts w:ascii="Times New Roman" w:hAnsi="Times New Roman"/>
                <w:sz w:val="24"/>
                <w:szCs w:val="24"/>
                <w:highlight w:val="yellow"/>
              </w:rPr>
            </w:pPr>
            <w:r w:rsidRPr="00437528">
              <w:rPr>
                <w:rFonts w:ascii="Times New Roman" w:hAnsi="Times New Roman"/>
                <w:sz w:val="24"/>
                <w:szCs w:val="24"/>
              </w:rPr>
              <w:t>10 (7-14)</w:t>
            </w:r>
          </w:p>
        </w:tc>
        <w:tc>
          <w:tcPr>
            <w:tcW w:w="601" w:type="pct"/>
            <w:hideMark/>
          </w:tcPr>
          <w:p w14:paraId="3E53E95C"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12 (10-14)</w:t>
            </w:r>
          </w:p>
        </w:tc>
        <w:tc>
          <w:tcPr>
            <w:tcW w:w="580" w:type="pct"/>
            <w:hideMark/>
          </w:tcPr>
          <w:p w14:paraId="342C39E0" w14:textId="4274F6F2" w:rsidR="008130AF" w:rsidRPr="00437528" w:rsidRDefault="00BD3FA2" w:rsidP="00441716">
            <w:pPr>
              <w:jc w:val="both"/>
              <w:rPr>
                <w:rFonts w:ascii="Times New Roman" w:hAnsi="Times New Roman"/>
                <w:sz w:val="24"/>
                <w:szCs w:val="24"/>
              </w:rPr>
            </w:pPr>
            <w:r>
              <w:rPr>
                <w:rFonts w:ascii="Times New Roman" w:hAnsi="Times New Roman"/>
                <w:sz w:val="24"/>
                <w:szCs w:val="24"/>
              </w:rPr>
              <w:t>0,0924</w:t>
            </w:r>
          </w:p>
        </w:tc>
      </w:tr>
      <w:tr w:rsidR="008130AF" w:rsidRPr="00437528" w14:paraId="1B0E2A1A" w14:textId="77777777" w:rsidTr="006A01A3">
        <w:tc>
          <w:tcPr>
            <w:tcW w:w="2096" w:type="pct"/>
            <w:hideMark/>
          </w:tcPr>
          <w:p w14:paraId="0220557A"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 xml:space="preserve">Частота приема топических ГКС, в неделю </w:t>
            </w:r>
            <w:r w:rsidRPr="00437528">
              <w:rPr>
                <w:rFonts w:ascii="Times New Roman" w:hAnsi="Times New Roman"/>
                <w:sz w:val="28"/>
                <w:szCs w:val="28"/>
              </w:rPr>
              <w:t>*</w:t>
            </w:r>
          </w:p>
        </w:tc>
        <w:tc>
          <w:tcPr>
            <w:tcW w:w="586" w:type="pct"/>
          </w:tcPr>
          <w:p w14:paraId="2D7BD5FB"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3 визит</w:t>
            </w:r>
          </w:p>
        </w:tc>
        <w:tc>
          <w:tcPr>
            <w:tcW w:w="1138" w:type="pct"/>
            <w:hideMark/>
          </w:tcPr>
          <w:p w14:paraId="02CCBB8E" w14:textId="77777777" w:rsidR="008130AF" w:rsidRPr="00437528" w:rsidRDefault="008130AF" w:rsidP="00441716">
            <w:pPr>
              <w:jc w:val="both"/>
              <w:rPr>
                <w:rFonts w:ascii="Times New Roman" w:hAnsi="Times New Roman"/>
                <w:sz w:val="24"/>
                <w:szCs w:val="24"/>
                <w:highlight w:val="yellow"/>
              </w:rPr>
            </w:pPr>
            <w:r w:rsidRPr="00437528">
              <w:rPr>
                <w:rFonts w:ascii="Times New Roman" w:hAnsi="Times New Roman"/>
                <w:sz w:val="24"/>
                <w:szCs w:val="24"/>
              </w:rPr>
              <w:t>4 (2-6)</w:t>
            </w:r>
          </w:p>
        </w:tc>
        <w:tc>
          <w:tcPr>
            <w:tcW w:w="601" w:type="pct"/>
            <w:hideMark/>
          </w:tcPr>
          <w:p w14:paraId="0343F801" w14:textId="77777777" w:rsidR="008130AF" w:rsidRPr="006146D2" w:rsidRDefault="008130AF" w:rsidP="00441716">
            <w:pPr>
              <w:jc w:val="both"/>
              <w:rPr>
                <w:rFonts w:ascii="Times New Roman" w:hAnsi="Times New Roman"/>
                <w:sz w:val="24"/>
                <w:szCs w:val="24"/>
              </w:rPr>
            </w:pPr>
            <w:r w:rsidRPr="006146D2">
              <w:rPr>
                <w:rFonts w:ascii="Times New Roman" w:hAnsi="Times New Roman"/>
                <w:sz w:val="24"/>
                <w:szCs w:val="24"/>
              </w:rPr>
              <w:t>9,5 (7-10)</w:t>
            </w:r>
          </w:p>
        </w:tc>
        <w:tc>
          <w:tcPr>
            <w:tcW w:w="580" w:type="pct"/>
            <w:hideMark/>
          </w:tcPr>
          <w:p w14:paraId="262EA38E" w14:textId="77777777" w:rsidR="006A01A3" w:rsidRPr="006146D2" w:rsidRDefault="006A01A3" w:rsidP="006A01A3">
            <w:pPr>
              <w:jc w:val="both"/>
              <w:rPr>
                <w:rFonts w:ascii="Times New Roman" w:hAnsi="Times New Roman"/>
                <w:sz w:val="24"/>
                <w:szCs w:val="24"/>
              </w:rPr>
            </w:pPr>
            <w:r w:rsidRPr="006146D2">
              <w:rPr>
                <w:rFonts w:ascii="Times New Roman" w:eastAsiaTheme="minorHAnsi" w:hAnsi="Times New Roman"/>
                <w:sz w:val="24"/>
                <w:szCs w:val="24"/>
              </w:rPr>
              <w:t>0,000008</w:t>
            </w:r>
          </w:p>
          <w:p w14:paraId="618DE16E" w14:textId="720E993C" w:rsidR="008130AF" w:rsidRPr="006146D2" w:rsidRDefault="008130AF" w:rsidP="00441716">
            <w:pPr>
              <w:jc w:val="both"/>
              <w:rPr>
                <w:rFonts w:ascii="Times New Roman" w:hAnsi="Times New Roman"/>
                <w:sz w:val="24"/>
                <w:szCs w:val="24"/>
              </w:rPr>
            </w:pPr>
          </w:p>
        </w:tc>
      </w:tr>
      <w:tr w:rsidR="008130AF" w:rsidRPr="00437528" w14:paraId="377C8D27" w14:textId="77777777" w:rsidTr="006A01A3">
        <w:tc>
          <w:tcPr>
            <w:tcW w:w="2682" w:type="pct"/>
            <w:gridSpan w:val="2"/>
            <w:hideMark/>
          </w:tcPr>
          <w:p w14:paraId="0971DDEC"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705B5C3B"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p-value</w:t>
            </w:r>
            <w:r w:rsidRPr="00437528">
              <w:rPr>
                <w:rFonts w:ascii="Times New Roman" w:hAnsi="Times New Roman"/>
                <w:sz w:val="28"/>
                <w:szCs w:val="28"/>
              </w:rPr>
              <w:sym w:font="Symbol" w:char="F0B0"/>
            </w:r>
          </w:p>
        </w:tc>
        <w:tc>
          <w:tcPr>
            <w:tcW w:w="1138" w:type="pct"/>
            <w:hideMark/>
          </w:tcPr>
          <w:p w14:paraId="7BEE37CB"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-3</w:t>
            </w:r>
          </w:p>
          <w:p w14:paraId="7CDF6A64"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601" w:type="pct"/>
            <w:hideMark/>
          </w:tcPr>
          <w:p w14:paraId="22018414"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-3</w:t>
            </w:r>
          </w:p>
          <w:p w14:paraId="2F34AF96"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580" w:type="pct"/>
          </w:tcPr>
          <w:p w14:paraId="1340C970"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0,3</w:t>
            </w:r>
          </w:p>
        </w:tc>
      </w:tr>
      <w:tr w:rsidR="006A01A3" w:rsidRPr="00437528" w14:paraId="3FB7DE10" w14:textId="77777777" w:rsidTr="006A01A3">
        <w:tc>
          <w:tcPr>
            <w:tcW w:w="2096" w:type="pct"/>
            <w:hideMark/>
          </w:tcPr>
          <w:p w14:paraId="403FE53D"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 xml:space="preserve">Частота приема системных ГКС, в неделю </w:t>
            </w:r>
            <w:r w:rsidRPr="00437528">
              <w:rPr>
                <w:rFonts w:ascii="Times New Roman" w:hAnsi="Times New Roman"/>
                <w:sz w:val="28"/>
                <w:szCs w:val="28"/>
              </w:rPr>
              <w:t>*</w:t>
            </w:r>
          </w:p>
        </w:tc>
        <w:tc>
          <w:tcPr>
            <w:tcW w:w="586" w:type="pct"/>
          </w:tcPr>
          <w:p w14:paraId="6E4A275B"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1 визит</w:t>
            </w:r>
          </w:p>
        </w:tc>
        <w:tc>
          <w:tcPr>
            <w:tcW w:w="1138" w:type="pct"/>
            <w:hideMark/>
          </w:tcPr>
          <w:p w14:paraId="2DD4B1DD"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0 (0-0)</w:t>
            </w:r>
          </w:p>
        </w:tc>
        <w:tc>
          <w:tcPr>
            <w:tcW w:w="601" w:type="pct"/>
          </w:tcPr>
          <w:p w14:paraId="53B84306"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0 (0-1)</w:t>
            </w:r>
          </w:p>
        </w:tc>
        <w:tc>
          <w:tcPr>
            <w:tcW w:w="580" w:type="pct"/>
            <w:vAlign w:val="center"/>
            <w:hideMark/>
          </w:tcPr>
          <w:p w14:paraId="5EF031EB" w14:textId="20E7B70D" w:rsidR="006A01A3" w:rsidRPr="00437528" w:rsidRDefault="006A01A3" w:rsidP="006A01A3">
            <w:pPr>
              <w:jc w:val="both"/>
              <w:rPr>
                <w:rFonts w:ascii="Times New Roman" w:hAnsi="Times New Roman"/>
                <w:sz w:val="24"/>
                <w:szCs w:val="24"/>
              </w:rPr>
            </w:pPr>
            <w:r>
              <w:rPr>
                <w:rFonts w:ascii="Times New Roman" w:eastAsiaTheme="minorHAnsi" w:hAnsi="Times New Roman"/>
                <w:color w:val="000000"/>
                <w:sz w:val="24"/>
                <w:szCs w:val="24"/>
              </w:rPr>
              <w:t>0,242</w:t>
            </w:r>
          </w:p>
        </w:tc>
      </w:tr>
      <w:tr w:rsidR="006A01A3" w:rsidRPr="00437528" w14:paraId="4D381B36" w14:textId="77777777" w:rsidTr="006A01A3">
        <w:tc>
          <w:tcPr>
            <w:tcW w:w="2096" w:type="pct"/>
            <w:hideMark/>
          </w:tcPr>
          <w:p w14:paraId="0BCECF8D"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 xml:space="preserve">Частота приема системных ГКС, в неделю </w:t>
            </w:r>
            <w:r w:rsidRPr="00437528">
              <w:rPr>
                <w:rFonts w:ascii="Times New Roman" w:hAnsi="Times New Roman"/>
                <w:sz w:val="28"/>
                <w:szCs w:val="28"/>
              </w:rPr>
              <w:t>*</w:t>
            </w:r>
          </w:p>
        </w:tc>
        <w:tc>
          <w:tcPr>
            <w:tcW w:w="586" w:type="pct"/>
          </w:tcPr>
          <w:p w14:paraId="17FD0F7E"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3 визит</w:t>
            </w:r>
          </w:p>
        </w:tc>
        <w:tc>
          <w:tcPr>
            <w:tcW w:w="1138" w:type="pct"/>
            <w:hideMark/>
          </w:tcPr>
          <w:p w14:paraId="6248223F"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0 (0-0)</w:t>
            </w:r>
          </w:p>
        </w:tc>
        <w:tc>
          <w:tcPr>
            <w:tcW w:w="601" w:type="pct"/>
          </w:tcPr>
          <w:p w14:paraId="0456C40D"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0 (0-0)</w:t>
            </w:r>
          </w:p>
        </w:tc>
        <w:tc>
          <w:tcPr>
            <w:tcW w:w="580" w:type="pct"/>
            <w:vAlign w:val="center"/>
            <w:hideMark/>
          </w:tcPr>
          <w:p w14:paraId="0FABCF30" w14:textId="11B79DCA" w:rsidR="006A01A3" w:rsidRPr="00437528" w:rsidRDefault="006A01A3" w:rsidP="006A01A3">
            <w:pPr>
              <w:jc w:val="both"/>
              <w:rPr>
                <w:rFonts w:ascii="Times New Roman" w:hAnsi="Times New Roman"/>
                <w:sz w:val="24"/>
                <w:szCs w:val="24"/>
              </w:rPr>
            </w:pPr>
            <w:r>
              <w:rPr>
                <w:rFonts w:ascii="Times New Roman" w:eastAsiaTheme="minorHAnsi" w:hAnsi="Times New Roman"/>
                <w:color w:val="000000"/>
                <w:sz w:val="24"/>
                <w:szCs w:val="24"/>
              </w:rPr>
              <w:t>0,644</w:t>
            </w:r>
          </w:p>
        </w:tc>
      </w:tr>
      <w:tr w:rsidR="008130AF" w:rsidRPr="00437528" w14:paraId="71370099" w14:textId="77777777" w:rsidTr="006A01A3">
        <w:tc>
          <w:tcPr>
            <w:tcW w:w="2682" w:type="pct"/>
            <w:gridSpan w:val="2"/>
            <w:hideMark/>
          </w:tcPr>
          <w:p w14:paraId="7C78B7FC"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3E3748CA"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p-value</w:t>
            </w:r>
            <w:r w:rsidRPr="00437528">
              <w:rPr>
                <w:rFonts w:ascii="Times New Roman" w:hAnsi="Times New Roman"/>
                <w:sz w:val="28"/>
                <w:szCs w:val="28"/>
              </w:rPr>
              <w:sym w:font="Symbol" w:char="F0B0"/>
            </w:r>
          </w:p>
        </w:tc>
        <w:tc>
          <w:tcPr>
            <w:tcW w:w="1138" w:type="pct"/>
            <w:hideMark/>
          </w:tcPr>
          <w:p w14:paraId="69F04C2A"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0</w:t>
            </w:r>
          </w:p>
          <w:p w14:paraId="42A6DED8"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0,04</w:t>
            </w:r>
          </w:p>
        </w:tc>
        <w:tc>
          <w:tcPr>
            <w:tcW w:w="601" w:type="pct"/>
            <w:hideMark/>
          </w:tcPr>
          <w:p w14:paraId="16BFDA6A"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0</w:t>
            </w:r>
          </w:p>
          <w:p w14:paraId="592AD518"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0,005</w:t>
            </w:r>
          </w:p>
        </w:tc>
        <w:tc>
          <w:tcPr>
            <w:tcW w:w="580" w:type="pct"/>
          </w:tcPr>
          <w:p w14:paraId="5B3DE996"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0,3</w:t>
            </w:r>
          </w:p>
        </w:tc>
      </w:tr>
      <w:tr w:rsidR="006A01A3" w:rsidRPr="00437528" w14:paraId="536D17E6" w14:textId="77777777" w:rsidTr="006A01A3">
        <w:tc>
          <w:tcPr>
            <w:tcW w:w="2096" w:type="pct"/>
            <w:hideMark/>
          </w:tcPr>
          <w:p w14:paraId="661ED701"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 xml:space="preserve">Частота приема антигистаминных, в неделю </w:t>
            </w:r>
            <w:r w:rsidRPr="00437528">
              <w:rPr>
                <w:rFonts w:ascii="Times New Roman" w:hAnsi="Times New Roman"/>
                <w:sz w:val="28"/>
                <w:szCs w:val="28"/>
              </w:rPr>
              <w:t>*</w:t>
            </w:r>
          </w:p>
        </w:tc>
        <w:tc>
          <w:tcPr>
            <w:tcW w:w="586" w:type="pct"/>
          </w:tcPr>
          <w:p w14:paraId="482B3115"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1 визит</w:t>
            </w:r>
          </w:p>
        </w:tc>
        <w:tc>
          <w:tcPr>
            <w:tcW w:w="1138" w:type="pct"/>
            <w:hideMark/>
          </w:tcPr>
          <w:p w14:paraId="3C06C5CD" w14:textId="020CF8D8" w:rsidR="006A01A3" w:rsidRPr="00437528" w:rsidRDefault="006A01A3" w:rsidP="006A01A3">
            <w:pPr>
              <w:jc w:val="both"/>
              <w:rPr>
                <w:rFonts w:ascii="Times New Roman" w:hAnsi="Times New Roman"/>
                <w:sz w:val="24"/>
                <w:szCs w:val="24"/>
              </w:rPr>
            </w:pPr>
            <w:r>
              <w:rPr>
                <w:rFonts w:ascii="Times New Roman" w:hAnsi="Times New Roman"/>
                <w:sz w:val="24"/>
                <w:szCs w:val="24"/>
              </w:rPr>
              <w:t>5 (</w:t>
            </w:r>
            <w:r>
              <w:rPr>
                <w:rFonts w:ascii="Times New Roman" w:hAnsi="Times New Roman"/>
                <w:sz w:val="24"/>
                <w:szCs w:val="24"/>
                <w:lang w:val="en-US"/>
              </w:rPr>
              <w:t>4</w:t>
            </w:r>
            <w:r>
              <w:rPr>
                <w:rFonts w:ascii="Times New Roman" w:hAnsi="Times New Roman"/>
                <w:sz w:val="24"/>
                <w:szCs w:val="24"/>
              </w:rPr>
              <w:t>-7</w:t>
            </w:r>
            <w:r w:rsidRPr="00437528">
              <w:rPr>
                <w:rFonts w:ascii="Times New Roman" w:hAnsi="Times New Roman"/>
                <w:sz w:val="24"/>
                <w:szCs w:val="24"/>
              </w:rPr>
              <w:t>)</w:t>
            </w:r>
          </w:p>
        </w:tc>
        <w:tc>
          <w:tcPr>
            <w:tcW w:w="601" w:type="pct"/>
            <w:hideMark/>
          </w:tcPr>
          <w:p w14:paraId="6ADF14C6"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5 (4-6)</w:t>
            </w:r>
          </w:p>
        </w:tc>
        <w:tc>
          <w:tcPr>
            <w:tcW w:w="580" w:type="pct"/>
            <w:vAlign w:val="center"/>
            <w:hideMark/>
          </w:tcPr>
          <w:p w14:paraId="0B2CDED4" w14:textId="7EED3D95" w:rsidR="006A01A3" w:rsidRPr="00437528" w:rsidRDefault="006A01A3" w:rsidP="006A01A3">
            <w:pPr>
              <w:jc w:val="both"/>
              <w:rPr>
                <w:rFonts w:ascii="Times New Roman" w:hAnsi="Times New Roman"/>
                <w:sz w:val="24"/>
                <w:szCs w:val="24"/>
              </w:rPr>
            </w:pPr>
            <w:r>
              <w:rPr>
                <w:rFonts w:ascii="Times New Roman" w:eastAsiaTheme="minorHAnsi" w:hAnsi="Times New Roman"/>
                <w:color w:val="000000"/>
                <w:sz w:val="24"/>
                <w:szCs w:val="24"/>
              </w:rPr>
              <w:t>0,992</w:t>
            </w:r>
          </w:p>
        </w:tc>
      </w:tr>
      <w:tr w:rsidR="006A01A3" w:rsidRPr="00437528" w14:paraId="6A9554F5" w14:textId="77777777" w:rsidTr="006A01A3">
        <w:tc>
          <w:tcPr>
            <w:tcW w:w="2096" w:type="pct"/>
            <w:hideMark/>
          </w:tcPr>
          <w:p w14:paraId="1B3AA4D4"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 xml:space="preserve">Частота приема антигистаминных, в неделю </w:t>
            </w:r>
            <w:r w:rsidRPr="00437528">
              <w:rPr>
                <w:rFonts w:ascii="Times New Roman" w:hAnsi="Times New Roman"/>
                <w:sz w:val="28"/>
                <w:szCs w:val="28"/>
              </w:rPr>
              <w:t>*</w:t>
            </w:r>
          </w:p>
        </w:tc>
        <w:tc>
          <w:tcPr>
            <w:tcW w:w="586" w:type="pct"/>
          </w:tcPr>
          <w:p w14:paraId="33D21D6D"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3 визит</w:t>
            </w:r>
          </w:p>
        </w:tc>
        <w:tc>
          <w:tcPr>
            <w:tcW w:w="1138" w:type="pct"/>
          </w:tcPr>
          <w:p w14:paraId="1EBFB238" w14:textId="4DE00C1B" w:rsidR="006A01A3" w:rsidRPr="00437528" w:rsidRDefault="006A01A3" w:rsidP="006A01A3">
            <w:pPr>
              <w:jc w:val="both"/>
              <w:rPr>
                <w:rFonts w:ascii="Times New Roman" w:hAnsi="Times New Roman"/>
                <w:sz w:val="24"/>
                <w:szCs w:val="24"/>
              </w:rPr>
            </w:pPr>
            <w:r>
              <w:rPr>
                <w:rFonts w:ascii="Times New Roman" w:hAnsi="Times New Roman"/>
                <w:sz w:val="24"/>
                <w:szCs w:val="24"/>
              </w:rPr>
              <w:t>2 (0-3</w:t>
            </w:r>
            <w:r w:rsidRPr="00437528">
              <w:rPr>
                <w:rFonts w:ascii="Times New Roman" w:hAnsi="Times New Roman"/>
                <w:sz w:val="24"/>
                <w:szCs w:val="24"/>
              </w:rPr>
              <w:t>)</w:t>
            </w:r>
          </w:p>
        </w:tc>
        <w:tc>
          <w:tcPr>
            <w:tcW w:w="601" w:type="pct"/>
            <w:hideMark/>
          </w:tcPr>
          <w:p w14:paraId="3B24DD18"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3 (3-4)</w:t>
            </w:r>
          </w:p>
        </w:tc>
        <w:tc>
          <w:tcPr>
            <w:tcW w:w="580" w:type="pct"/>
            <w:vAlign w:val="center"/>
            <w:hideMark/>
          </w:tcPr>
          <w:p w14:paraId="1042B7E4" w14:textId="23B22646" w:rsidR="006A01A3" w:rsidRPr="006146D2" w:rsidRDefault="006A01A3" w:rsidP="006A01A3">
            <w:pPr>
              <w:jc w:val="both"/>
              <w:rPr>
                <w:rFonts w:ascii="Times New Roman" w:hAnsi="Times New Roman"/>
                <w:sz w:val="24"/>
                <w:szCs w:val="24"/>
              </w:rPr>
            </w:pPr>
            <w:r w:rsidRPr="006146D2">
              <w:rPr>
                <w:rFonts w:ascii="Times New Roman" w:eastAsiaTheme="minorHAnsi" w:hAnsi="Times New Roman"/>
                <w:sz w:val="24"/>
                <w:szCs w:val="24"/>
              </w:rPr>
              <w:t>0,02</w:t>
            </w:r>
            <w:r w:rsidR="00274547" w:rsidRPr="006146D2">
              <w:rPr>
                <w:rFonts w:ascii="Times New Roman" w:eastAsiaTheme="minorHAnsi" w:hAnsi="Times New Roman"/>
                <w:sz w:val="24"/>
                <w:szCs w:val="24"/>
              </w:rPr>
              <w:t>96</w:t>
            </w:r>
          </w:p>
        </w:tc>
      </w:tr>
      <w:tr w:rsidR="008130AF" w:rsidRPr="00437528" w14:paraId="416AC87B" w14:textId="77777777" w:rsidTr="006A01A3">
        <w:tc>
          <w:tcPr>
            <w:tcW w:w="2682" w:type="pct"/>
            <w:gridSpan w:val="2"/>
            <w:hideMark/>
          </w:tcPr>
          <w:p w14:paraId="7DE91E81"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73444374"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p-value</w:t>
            </w:r>
            <w:r w:rsidRPr="00437528">
              <w:rPr>
                <w:rFonts w:ascii="Times New Roman" w:hAnsi="Times New Roman"/>
                <w:sz w:val="28"/>
                <w:szCs w:val="28"/>
              </w:rPr>
              <w:sym w:font="Symbol" w:char="F0B0"/>
            </w:r>
          </w:p>
        </w:tc>
        <w:tc>
          <w:tcPr>
            <w:tcW w:w="1138" w:type="pct"/>
            <w:hideMark/>
          </w:tcPr>
          <w:p w14:paraId="1CDCBE71"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-3</w:t>
            </w:r>
          </w:p>
          <w:p w14:paraId="5B82ADEC"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601" w:type="pct"/>
            <w:hideMark/>
          </w:tcPr>
          <w:p w14:paraId="3F570B67"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t>-2</w:t>
            </w:r>
          </w:p>
          <w:p w14:paraId="095D5200" w14:textId="77777777" w:rsidR="008130AF" w:rsidRPr="00437528" w:rsidRDefault="008130AF"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580" w:type="pct"/>
          </w:tcPr>
          <w:p w14:paraId="5C1F8CD6" w14:textId="22C38854" w:rsidR="008130AF" w:rsidRPr="006146D2" w:rsidRDefault="00A65F79" w:rsidP="00441716">
            <w:pPr>
              <w:jc w:val="both"/>
              <w:rPr>
                <w:rFonts w:ascii="Times New Roman" w:hAnsi="Times New Roman"/>
                <w:sz w:val="24"/>
                <w:szCs w:val="24"/>
              </w:rPr>
            </w:pPr>
            <w:r w:rsidRPr="006146D2">
              <w:rPr>
                <w:rFonts w:ascii="Times New Roman" w:eastAsiaTheme="minorHAnsi" w:hAnsi="Times New Roman"/>
                <w:sz w:val="24"/>
                <w:szCs w:val="24"/>
              </w:rPr>
              <w:t>0,0004</w:t>
            </w:r>
          </w:p>
        </w:tc>
      </w:tr>
      <w:tr w:rsidR="00733835" w:rsidRPr="00437528" w14:paraId="48D98A09" w14:textId="77777777" w:rsidTr="00733835">
        <w:tc>
          <w:tcPr>
            <w:tcW w:w="5000" w:type="pct"/>
            <w:gridSpan w:val="5"/>
          </w:tcPr>
          <w:p w14:paraId="76189E3E" w14:textId="77777777" w:rsidR="00733835" w:rsidRPr="00733835" w:rsidRDefault="00733835" w:rsidP="00733835">
            <w:pPr>
              <w:spacing w:line="256" w:lineRule="auto"/>
              <w:ind w:firstLine="594"/>
              <w:jc w:val="both"/>
              <w:rPr>
                <w:rFonts w:ascii="Times New Roman" w:eastAsia="Times New Roman" w:hAnsi="Times New Roman"/>
                <w:color w:val="000000"/>
                <w:kern w:val="24"/>
                <w:sz w:val="24"/>
                <w:szCs w:val="24"/>
                <w:lang w:eastAsia="ru-RU"/>
              </w:rPr>
            </w:pPr>
            <w:r w:rsidRPr="00733835">
              <w:rPr>
                <w:rFonts w:ascii="Times New Roman" w:eastAsia="Times New Roman" w:hAnsi="Times New Roman"/>
                <w:color w:val="000000"/>
                <w:kern w:val="24"/>
                <w:sz w:val="24"/>
                <w:szCs w:val="24"/>
                <w:lang w:eastAsia="ru-RU"/>
              </w:rPr>
              <w:t>Примечания:</w:t>
            </w:r>
          </w:p>
          <w:p w14:paraId="6DC13390" w14:textId="77777777" w:rsidR="00733835" w:rsidRPr="00733835" w:rsidRDefault="00733835" w:rsidP="00733835">
            <w:pPr>
              <w:tabs>
                <w:tab w:val="left" w:pos="1454"/>
              </w:tabs>
              <w:jc w:val="both"/>
              <w:rPr>
                <w:rFonts w:ascii="Times New Roman" w:hAnsi="Times New Roman"/>
                <w:sz w:val="24"/>
                <w:szCs w:val="24"/>
              </w:rPr>
            </w:pPr>
            <w:r w:rsidRPr="00733835">
              <w:rPr>
                <w:rFonts w:ascii="Times New Roman" w:hAnsi="Times New Roman"/>
                <w:sz w:val="24"/>
                <w:szCs w:val="24"/>
              </w:rPr>
              <w:t>1 *(</w:t>
            </w:r>
            <w:r w:rsidRPr="00733835">
              <w:rPr>
                <w:rFonts w:ascii="Times New Roman" w:hAnsi="Times New Roman"/>
                <w:sz w:val="24"/>
                <w:szCs w:val="24"/>
                <w:lang w:val="en-US"/>
              </w:rPr>
              <w:t>Me</w:t>
            </w:r>
            <w:r w:rsidRPr="00733835">
              <w:rPr>
                <w:rFonts w:ascii="Times New Roman" w:hAnsi="Times New Roman"/>
                <w:sz w:val="24"/>
                <w:szCs w:val="24"/>
              </w:rPr>
              <w:t>+</w:t>
            </w:r>
            <w:r w:rsidRPr="00733835">
              <w:rPr>
                <w:rFonts w:ascii="Times New Roman" w:hAnsi="Times New Roman"/>
                <w:sz w:val="24"/>
                <w:szCs w:val="24"/>
                <w:lang w:val="en-US"/>
              </w:rPr>
              <w:t>Q</w:t>
            </w:r>
            <w:r w:rsidRPr="00733835">
              <w:rPr>
                <w:rFonts w:ascii="Times New Roman" w:hAnsi="Times New Roman"/>
                <w:sz w:val="24"/>
                <w:szCs w:val="24"/>
                <w:vertAlign w:val="subscript"/>
              </w:rPr>
              <w:t>25-75</w:t>
            </w:r>
            <w:r w:rsidRPr="00733835">
              <w:rPr>
                <w:rFonts w:ascii="Times New Roman" w:hAnsi="Times New Roman"/>
                <w:sz w:val="24"/>
                <w:szCs w:val="24"/>
              </w:rPr>
              <w:t>) – медиана (нижний и верхний квартиль)</w:t>
            </w:r>
          </w:p>
          <w:p w14:paraId="27E40C28" w14:textId="7B05F1F3" w:rsidR="00733835" w:rsidRPr="00733835" w:rsidRDefault="00733835" w:rsidP="00733835">
            <w:pPr>
              <w:tabs>
                <w:tab w:val="left" w:pos="1454"/>
              </w:tabs>
              <w:jc w:val="both"/>
              <w:rPr>
                <w:rFonts w:ascii="Times New Roman" w:hAnsi="Times New Roman"/>
                <w:sz w:val="24"/>
                <w:szCs w:val="24"/>
              </w:rPr>
            </w:pPr>
            <w:r w:rsidRPr="00733835">
              <w:rPr>
                <w:rFonts w:ascii="Times New Roman" w:hAnsi="Times New Roman"/>
                <w:sz w:val="24"/>
                <w:szCs w:val="24"/>
              </w:rPr>
              <w:t xml:space="preserve">2 </w:t>
            </w:r>
            <w:r w:rsidRPr="00733835">
              <w:rPr>
                <w:rFonts w:ascii="Times New Roman" w:hAnsi="Times New Roman"/>
                <w:sz w:val="24"/>
                <w:szCs w:val="24"/>
              </w:rPr>
              <w:sym w:font="Symbol" w:char="F0B0"/>
            </w:r>
            <w:r w:rsidRPr="00733835">
              <w:rPr>
                <w:rFonts w:ascii="Times New Roman" w:hAnsi="Times New Roman"/>
                <w:sz w:val="24"/>
                <w:szCs w:val="24"/>
              </w:rPr>
              <w:t xml:space="preserve"> сравнение внутри групп статистический критерий Мак-Нимара</w:t>
            </w:r>
          </w:p>
          <w:p w14:paraId="2BC1E777" w14:textId="63D48641" w:rsidR="00733835" w:rsidRPr="006146D2" w:rsidRDefault="00733835" w:rsidP="00733835">
            <w:pPr>
              <w:tabs>
                <w:tab w:val="left" w:pos="1454"/>
              </w:tabs>
              <w:jc w:val="both"/>
              <w:rPr>
                <w:rFonts w:ascii="Times New Roman" w:hAnsi="Times New Roman"/>
                <w:sz w:val="24"/>
                <w:szCs w:val="24"/>
              </w:rPr>
            </w:pPr>
            <w:r w:rsidRPr="00733835">
              <w:rPr>
                <w:rFonts w:ascii="Times New Roman" w:hAnsi="Times New Roman"/>
                <w:sz w:val="24"/>
                <w:szCs w:val="24"/>
              </w:rPr>
              <w:t xml:space="preserve">3 </w:t>
            </w:r>
            <w:r w:rsidRPr="00733835">
              <w:rPr>
                <w:rFonts w:ascii="Times New Roman" w:hAnsi="Times New Roman"/>
                <w:sz w:val="24"/>
                <w:szCs w:val="24"/>
              </w:rPr>
              <w:sym w:font="Symbol" w:char="F0A2"/>
            </w:r>
            <w:r w:rsidRPr="00733835">
              <w:rPr>
                <w:rFonts w:ascii="Times New Roman" w:hAnsi="Times New Roman"/>
                <w:sz w:val="24"/>
                <w:szCs w:val="24"/>
              </w:rPr>
              <w:t xml:space="preserve"> сравнение между группами статистический критерий Манна-Уитни</w:t>
            </w:r>
          </w:p>
        </w:tc>
      </w:tr>
    </w:tbl>
    <w:p w14:paraId="3769E4E1" w14:textId="77777777" w:rsidR="008130AF" w:rsidRPr="00437528" w:rsidRDefault="008130AF" w:rsidP="00602BC9">
      <w:pPr>
        <w:spacing w:after="0" w:line="240" w:lineRule="auto"/>
        <w:ind w:firstLine="567"/>
        <w:jc w:val="both"/>
        <w:rPr>
          <w:rFonts w:ascii="Times New Roman" w:hAnsi="Times New Roman" w:cs="Times New Roman"/>
          <w:sz w:val="28"/>
          <w:szCs w:val="28"/>
        </w:rPr>
      </w:pPr>
    </w:p>
    <w:p w14:paraId="154D8781" w14:textId="04788285" w:rsidR="00437528" w:rsidRPr="006146D2" w:rsidRDefault="00437528" w:rsidP="00602BC9">
      <w:pPr>
        <w:spacing w:after="0" w:line="240" w:lineRule="auto"/>
        <w:ind w:firstLine="567"/>
        <w:jc w:val="both"/>
        <w:rPr>
          <w:rFonts w:ascii="Times New Roman" w:hAnsi="Times New Roman" w:cs="Times New Roman"/>
          <w:sz w:val="28"/>
          <w:szCs w:val="28"/>
        </w:rPr>
      </w:pPr>
      <w:r w:rsidRPr="00437528">
        <w:rPr>
          <w:rFonts w:ascii="Times New Roman" w:hAnsi="Times New Roman" w:cs="Times New Roman"/>
          <w:sz w:val="28"/>
          <w:szCs w:val="28"/>
        </w:rPr>
        <w:t>Сравнительная оценка кратности применения симптоматической терапии у пациентов проведена</w:t>
      </w:r>
      <w:r w:rsidRPr="00437528">
        <w:rPr>
          <w:rFonts w:ascii="Times New Roman" w:eastAsia="Calibri" w:hAnsi="Times New Roman" w:cs="Times New Roman"/>
          <w:sz w:val="28"/>
          <w:szCs w:val="28"/>
        </w:rPr>
        <w:t xml:space="preserve"> </w:t>
      </w:r>
      <w:r w:rsidR="00C04B45">
        <w:rPr>
          <w:rFonts w:ascii="Times New Roman" w:eastAsia="Calibri" w:hAnsi="Times New Roman" w:cs="Times New Roman"/>
          <w:sz w:val="28"/>
          <w:szCs w:val="28"/>
        </w:rPr>
        <w:t xml:space="preserve">с использованием </w:t>
      </w:r>
      <w:r w:rsidR="00C04B45">
        <w:rPr>
          <w:rFonts w:ascii="Times New Roman" w:hAnsi="Times New Roman" w:cs="Times New Roman"/>
          <w:sz w:val="28"/>
          <w:szCs w:val="28"/>
        </w:rPr>
        <w:t>медианы</w:t>
      </w:r>
      <w:r w:rsidRPr="00437528">
        <w:rPr>
          <w:rFonts w:ascii="Times New Roman" w:hAnsi="Times New Roman" w:cs="Times New Roman"/>
          <w:sz w:val="28"/>
          <w:szCs w:val="28"/>
        </w:rPr>
        <w:t xml:space="preserve"> показателя </w:t>
      </w:r>
      <w:r w:rsidR="00C04B45">
        <w:rPr>
          <w:rFonts w:ascii="Times New Roman" w:hAnsi="Times New Roman" w:cs="Times New Roman"/>
          <w:sz w:val="28"/>
          <w:szCs w:val="28"/>
        </w:rPr>
        <w:t>и</w:t>
      </w:r>
      <w:r w:rsidRPr="00437528">
        <w:rPr>
          <w:rFonts w:ascii="Times New Roman" w:hAnsi="Times New Roman" w:cs="Times New Roman"/>
          <w:sz w:val="28"/>
          <w:szCs w:val="28"/>
        </w:rPr>
        <w:t xml:space="preserve"> критерия </w:t>
      </w:r>
      <w:r w:rsidRPr="00437528">
        <w:rPr>
          <w:rFonts w:ascii="Times New Roman" w:eastAsia="Calibri" w:hAnsi="Times New Roman" w:cs="Times New Roman"/>
          <w:sz w:val="28"/>
          <w:szCs w:val="28"/>
        </w:rPr>
        <w:t xml:space="preserve">Манна-Уитни. </w:t>
      </w:r>
      <w:r w:rsidRPr="00437528">
        <w:rPr>
          <w:rFonts w:ascii="Times New Roman" w:hAnsi="Times New Roman" w:cs="Times New Roman"/>
          <w:sz w:val="28"/>
          <w:szCs w:val="28"/>
        </w:rPr>
        <w:t xml:space="preserve">Применение топических ГКС в группе </w:t>
      </w:r>
      <w:r w:rsidRPr="00437528">
        <w:rPr>
          <w:rFonts w:ascii="Times New Roman" w:eastAsia="Calibri" w:hAnsi="Times New Roman" w:cs="Times New Roman"/>
          <w:sz w:val="28"/>
          <w:szCs w:val="28"/>
        </w:rPr>
        <w:t>вмешательства</w:t>
      </w:r>
      <w:r w:rsidRPr="00437528">
        <w:rPr>
          <w:rFonts w:ascii="Times New Roman" w:hAnsi="Times New Roman" w:cs="Times New Roman"/>
          <w:sz w:val="28"/>
          <w:szCs w:val="28"/>
        </w:rPr>
        <w:t xml:space="preserve"> </w:t>
      </w:r>
      <w:r w:rsidR="00784317">
        <w:rPr>
          <w:rFonts w:ascii="Times New Roman" w:hAnsi="Times New Roman" w:cs="Times New Roman"/>
          <w:sz w:val="28"/>
          <w:szCs w:val="28"/>
        </w:rPr>
        <w:t>сократилось до</w:t>
      </w:r>
      <w:r w:rsidRPr="00437528">
        <w:rPr>
          <w:rFonts w:ascii="Times New Roman" w:hAnsi="Times New Roman" w:cs="Times New Roman"/>
          <w:sz w:val="28"/>
          <w:szCs w:val="28"/>
        </w:rPr>
        <w:t xml:space="preserve"> 4 </w:t>
      </w:r>
      <w:r w:rsidR="00784317">
        <w:rPr>
          <w:rFonts w:ascii="Times New Roman" w:hAnsi="Times New Roman" w:cs="Times New Roman"/>
          <w:sz w:val="28"/>
          <w:szCs w:val="28"/>
        </w:rPr>
        <w:t>раз</w:t>
      </w:r>
      <w:r w:rsidRPr="00437528">
        <w:rPr>
          <w:rFonts w:ascii="Times New Roman" w:hAnsi="Times New Roman" w:cs="Times New Roman"/>
          <w:sz w:val="28"/>
          <w:szCs w:val="28"/>
        </w:rPr>
        <w:t xml:space="preserve"> в неделю и в группе </w:t>
      </w:r>
      <w:r w:rsidRPr="00437528">
        <w:rPr>
          <w:rFonts w:ascii="Times New Roman" w:eastAsia="Calibri" w:hAnsi="Times New Roman" w:cs="Times New Roman"/>
          <w:bCs/>
          <w:sz w:val="28"/>
          <w:szCs w:val="28"/>
        </w:rPr>
        <w:t>контроля</w:t>
      </w:r>
      <w:r w:rsidRPr="00437528">
        <w:rPr>
          <w:rFonts w:ascii="Times New Roman" w:hAnsi="Times New Roman" w:cs="Times New Roman"/>
          <w:sz w:val="28"/>
          <w:szCs w:val="28"/>
        </w:rPr>
        <w:t xml:space="preserve"> </w:t>
      </w:r>
      <w:r w:rsidR="00784317">
        <w:rPr>
          <w:rFonts w:ascii="Times New Roman" w:hAnsi="Times New Roman" w:cs="Times New Roman"/>
          <w:sz w:val="28"/>
          <w:szCs w:val="28"/>
        </w:rPr>
        <w:t xml:space="preserve">до </w:t>
      </w:r>
      <w:r w:rsidRPr="00437528">
        <w:rPr>
          <w:rFonts w:ascii="Times New Roman" w:hAnsi="Times New Roman" w:cs="Times New Roman"/>
          <w:sz w:val="28"/>
          <w:szCs w:val="28"/>
        </w:rPr>
        <w:t xml:space="preserve">9,5 раз в </w:t>
      </w:r>
      <w:r w:rsidRPr="006146D2">
        <w:rPr>
          <w:rFonts w:ascii="Times New Roman" w:hAnsi="Times New Roman" w:cs="Times New Roman"/>
          <w:sz w:val="28"/>
          <w:szCs w:val="28"/>
        </w:rPr>
        <w:t>неделю (</w:t>
      </w:r>
      <w:r w:rsidR="00B67631">
        <w:rPr>
          <w:rFonts w:ascii="Times New Roman" w:hAnsi="Times New Roman" w:cs="Times New Roman"/>
          <w:sz w:val="28"/>
          <w:szCs w:val="28"/>
        </w:rPr>
        <w:t>р=</w:t>
      </w:r>
      <w:r w:rsidR="00B67631" w:rsidRPr="00B67631">
        <w:rPr>
          <w:rFonts w:ascii="Times New Roman" w:hAnsi="Times New Roman" w:cs="Times New Roman"/>
          <w:sz w:val="28"/>
          <w:szCs w:val="28"/>
        </w:rPr>
        <w:t>0,000008</w:t>
      </w:r>
      <w:r w:rsidRPr="006146D2">
        <w:rPr>
          <w:rFonts w:ascii="Times New Roman" w:hAnsi="Times New Roman" w:cs="Times New Roman"/>
          <w:sz w:val="28"/>
          <w:szCs w:val="28"/>
        </w:rPr>
        <w:t>).</w:t>
      </w:r>
      <w:r w:rsidRPr="006146D2">
        <w:rPr>
          <w:rFonts w:ascii="Calibri" w:eastAsia="Calibri" w:hAnsi="Calibri" w:cs="Times New Roman"/>
        </w:rPr>
        <w:t xml:space="preserve"> </w:t>
      </w:r>
      <w:r w:rsidRPr="006146D2">
        <w:rPr>
          <w:rFonts w:ascii="Times New Roman" w:hAnsi="Times New Roman" w:cs="Times New Roman"/>
          <w:sz w:val="28"/>
          <w:szCs w:val="28"/>
        </w:rPr>
        <w:t xml:space="preserve">Применение антигистаминных препаратов в группе </w:t>
      </w:r>
      <w:r w:rsidRPr="006146D2">
        <w:rPr>
          <w:rFonts w:ascii="Times New Roman" w:eastAsia="Calibri" w:hAnsi="Times New Roman" w:cs="Times New Roman"/>
          <w:sz w:val="28"/>
          <w:szCs w:val="28"/>
        </w:rPr>
        <w:t>вмешательства</w:t>
      </w:r>
      <w:r w:rsidRPr="006146D2">
        <w:rPr>
          <w:rFonts w:ascii="Times New Roman" w:hAnsi="Times New Roman" w:cs="Times New Roman"/>
          <w:sz w:val="28"/>
          <w:szCs w:val="28"/>
        </w:rPr>
        <w:t xml:space="preserve"> </w:t>
      </w:r>
      <w:r w:rsidR="004B7483">
        <w:rPr>
          <w:rFonts w:ascii="Times New Roman" w:hAnsi="Times New Roman" w:cs="Times New Roman"/>
          <w:sz w:val="28"/>
          <w:szCs w:val="28"/>
        </w:rPr>
        <w:t>сократилось до 2 раз</w:t>
      </w:r>
      <w:r w:rsidRPr="006146D2">
        <w:rPr>
          <w:rFonts w:ascii="Times New Roman" w:hAnsi="Times New Roman" w:cs="Times New Roman"/>
          <w:sz w:val="28"/>
          <w:szCs w:val="28"/>
        </w:rPr>
        <w:t xml:space="preserve"> в неделю и в группе </w:t>
      </w:r>
      <w:r w:rsidRPr="006146D2">
        <w:rPr>
          <w:rFonts w:ascii="Times New Roman" w:eastAsia="Calibri" w:hAnsi="Times New Roman" w:cs="Times New Roman"/>
          <w:bCs/>
          <w:sz w:val="28"/>
          <w:szCs w:val="28"/>
        </w:rPr>
        <w:t>контроля</w:t>
      </w:r>
      <w:r w:rsidR="004B7483">
        <w:rPr>
          <w:rFonts w:ascii="Times New Roman" w:hAnsi="Times New Roman" w:cs="Times New Roman"/>
          <w:sz w:val="28"/>
          <w:szCs w:val="28"/>
        </w:rPr>
        <w:t xml:space="preserve"> 3 раз</w:t>
      </w:r>
      <w:r w:rsidRPr="006146D2">
        <w:rPr>
          <w:rFonts w:ascii="Times New Roman" w:hAnsi="Times New Roman" w:cs="Times New Roman"/>
          <w:sz w:val="28"/>
          <w:szCs w:val="28"/>
        </w:rPr>
        <w:t xml:space="preserve"> в неделю (</w:t>
      </w:r>
      <w:r w:rsidRPr="006146D2">
        <w:rPr>
          <w:rFonts w:ascii="Times New Roman" w:hAnsi="Times New Roman" w:cs="Times New Roman"/>
          <w:sz w:val="28"/>
          <w:szCs w:val="28"/>
          <w:lang w:val="en-US"/>
        </w:rPr>
        <w:t>p</w:t>
      </w:r>
      <w:r w:rsidR="00B67631">
        <w:rPr>
          <w:rFonts w:ascii="Times New Roman" w:hAnsi="Times New Roman" w:cs="Times New Roman"/>
          <w:sz w:val="28"/>
          <w:szCs w:val="28"/>
        </w:rPr>
        <w:t>=</w:t>
      </w:r>
      <w:r w:rsidR="00B67631" w:rsidRPr="00B67631">
        <w:rPr>
          <w:rFonts w:ascii="Times New Roman" w:hAnsi="Times New Roman" w:cs="Times New Roman"/>
          <w:sz w:val="28"/>
          <w:szCs w:val="28"/>
        </w:rPr>
        <w:t>0,0296</w:t>
      </w:r>
      <w:r w:rsidRPr="006146D2">
        <w:rPr>
          <w:rFonts w:ascii="Times New Roman" w:hAnsi="Times New Roman" w:cs="Times New Roman"/>
          <w:sz w:val="28"/>
          <w:szCs w:val="28"/>
        </w:rPr>
        <w:t xml:space="preserve">) </w:t>
      </w:r>
      <w:r w:rsidR="008130AF" w:rsidRPr="006146D2">
        <w:rPr>
          <w:rFonts w:ascii="Times New Roman" w:hAnsi="Times New Roman" w:cs="Times New Roman"/>
          <w:sz w:val="28"/>
          <w:szCs w:val="28"/>
        </w:rPr>
        <w:t xml:space="preserve">(таблица </w:t>
      </w:r>
      <w:r w:rsidR="00523616">
        <w:rPr>
          <w:rFonts w:ascii="Times New Roman" w:hAnsi="Times New Roman" w:cs="Times New Roman"/>
          <w:sz w:val="28"/>
          <w:szCs w:val="28"/>
        </w:rPr>
        <w:t>10</w:t>
      </w:r>
      <w:r w:rsidRPr="006146D2">
        <w:rPr>
          <w:rFonts w:ascii="Times New Roman" w:hAnsi="Times New Roman" w:cs="Times New Roman"/>
          <w:sz w:val="28"/>
          <w:szCs w:val="28"/>
        </w:rPr>
        <w:t>).</w:t>
      </w:r>
    </w:p>
    <w:p w14:paraId="67A77491" w14:textId="66276209" w:rsidR="00437528" w:rsidRPr="006146D2" w:rsidRDefault="00437528" w:rsidP="00602BC9">
      <w:pPr>
        <w:spacing w:after="0" w:line="240" w:lineRule="auto"/>
        <w:ind w:firstLine="567"/>
        <w:jc w:val="both"/>
        <w:rPr>
          <w:rFonts w:ascii="Times New Roman" w:hAnsi="Times New Roman" w:cs="Times New Roman"/>
          <w:sz w:val="28"/>
          <w:szCs w:val="28"/>
        </w:rPr>
      </w:pPr>
      <w:r w:rsidRPr="006146D2">
        <w:rPr>
          <w:rFonts w:ascii="Times New Roman" w:hAnsi="Times New Roman" w:cs="Times New Roman"/>
          <w:sz w:val="28"/>
          <w:szCs w:val="28"/>
        </w:rPr>
        <w:t xml:space="preserve">Динамическая оценка </w:t>
      </w:r>
      <w:r w:rsidR="00127FA3">
        <w:rPr>
          <w:rFonts w:ascii="Times New Roman" w:hAnsi="Times New Roman" w:cs="Times New Roman"/>
          <w:sz w:val="28"/>
          <w:szCs w:val="28"/>
        </w:rPr>
        <w:t>эффективности</w:t>
      </w:r>
      <w:r w:rsidRPr="006146D2">
        <w:rPr>
          <w:rFonts w:ascii="Times New Roman" w:hAnsi="Times New Roman" w:cs="Times New Roman"/>
          <w:sz w:val="28"/>
          <w:szCs w:val="28"/>
        </w:rPr>
        <w:t xml:space="preserve"> симптоматической</w:t>
      </w:r>
      <w:r w:rsidRPr="00437528">
        <w:rPr>
          <w:rFonts w:ascii="Times New Roman" w:hAnsi="Times New Roman" w:cs="Times New Roman"/>
          <w:sz w:val="28"/>
          <w:szCs w:val="28"/>
        </w:rPr>
        <w:t xml:space="preserve"> терапии </w:t>
      </w:r>
      <w:r w:rsidRPr="00437528">
        <w:rPr>
          <w:rFonts w:ascii="Times New Roman" w:eastAsia="Calibri" w:hAnsi="Times New Roman" w:cs="Times New Roman"/>
          <w:sz w:val="28"/>
          <w:szCs w:val="28"/>
        </w:rPr>
        <w:t xml:space="preserve">в </w:t>
      </w:r>
      <w:r w:rsidR="00127FA3">
        <w:rPr>
          <w:rFonts w:ascii="Times New Roman" w:eastAsia="Calibri" w:hAnsi="Times New Roman" w:cs="Times New Roman"/>
          <w:sz w:val="28"/>
          <w:szCs w:val="28"/>
        </w:rPr>
        <w:t xml:space="preserve">группах исследования </w:t>
      </w:r>
      <w:r w:rsidRPr="00437528">
        <w:rPr>
          <w:rFonts w:ascii="Times New Roman" w:hAnsi="Times New Roman" w:cs="Times New Roman"/>
          <w:sz w:val="28"/>
          <w:szCs w:val="28"/>
        </w:rPr>
        <w:t xml:space="preserve">была проведена в зависимых группах </w:t>
      </w:r>
      <w:r w:rsidR="00DB6069" w:rsidRPr="00437528">
        <w:rPr>
          <w:rFonts w:ascii="Times New Roman" w:hAnsi="Times New Roman" w:cs="Times New Roman"/>
          <w:sz w:val="28"/>
          <w:szCs w:val="28"/>
        </w:rPr>
        <w:t xml:space="preserve">с использованием </w:t>
      </w:r>
      <w:r w:rsidR="00DB6069">
        <w:rPr>
          <w:rFonts w:ascii="Times New Roman" w:hAnsi="Times New Roman" w:cs="Times New Roman"/>
          <w:sz w:val="28"/>
          <w:szCs w:val="28"/>
        </w:rPr>
        <w:t>медианы</w:t>
      </w:r>
      <w:r w:rsidRPr="00437528">
        <w:rPr>
          <w:rFonts w:ascii="Times New Roman" w:hAnsi="Times New Roman" w:cs="Times New Roman"/>
          <w:sz w:val="28"/>
          <w:szCs w:val="28"/>
        </w:rPr>
        <w:t xml:space="preserve"> показателя</w:t>
      </w:r>
      <w:r w:rsidR="00DB6069">
        <w:rPr>
          <w:rFonts w:ascii="Times New Roman" w:hAnsi="Times New Roman" w:cs="Times New Roman"/>
          <w:sz w:val="28"/>
          <w:szCs w:val="28"/>
        </w:rPr>
        <w:t xml:space="preserve"> и</w:t>
      </w:r>
      <w:r w:rsidRPr="00437528">
        <w:rPr>
          <w:rFonts w:ascii="Times New Roman" w:hAnsi="Times New Roman" w:cs="Times New Roman"/>
          <w:sz w:val="28"/>
          <w:szCs w:val="28"/>
        </w:rPr>
        <w:t xml:space="preserve"> критерия </w:t>
      </w:r>
      <w:r w:rsidRPr="00437528">
        <w:rPr>
          <w:rFonts w:ascii="Times New Roman" w:eastAsia="Calibri" w:hAnsi="Times New Roman" w:cs="Times New Roman"/>
          <w:sz w:val="28"/>
          <w:szCs w:val="28"/>
        </w:rPr>
        <w:t>Мак-Нимара</w:t>
      </w:r>
      <w:r w:rsidRPr="00437528">
        <w:rPr>
          <w:rFonts w:ascii="Times New Roman" w:hAnsi="Times New Roman" w:cs="Times New Roman"/>
          <w:sz w:val="28"/>
          <w:szCs w:val="28"/>
        </w:rPr>
        <w:t>.</w:t>
      </w:r>
      <w:r w:rsidR="00CE0D14">
        <w:rPr>
          <w:rFonts w:ascii="Times New Roman" w:hAnsi="Times New Roman" w:cs="Times New Roman"/>
          <w:sz w:val="28"/>
          <w:szCs w:val="28"/>
        </w:rPr>
        <w:t xml:space="preserve"> </w:t>
      </w:r>
      <w:r w:rsidRPr="00437528">
        <w:rPr>
          <w:rFonts w:ascii="Times New Roman" w:eastAsia="Calibri" w:hAnsi="Times New Roman" w:cs="Times New Roman"/>
          <w:sz w:val="28"/>
          <w:szCs w:val="28"/>
        </w:rPr>
        <w:t>В</w:t>
      </w:r>
      <w:r w:rsidRPr="00437528">
        <w:rPr>
          <w:rFonts w:ascii="Times New Roman" w:hAnsi="Times New Roman" w:cs="Times New Roman"/>
          <w:sz w:val="28"/>
          <w:szCs w:val="28"/>
        </w:rPr>
        <w:t xml:space="preserve"> группе вмешательства (АСИТ + витамин Д) была снижена кратность применения антигистаминных препаратов в 2,5 раза, в контрольной группе (АСИТ) снижена в 1,5 раза.</w:t>
      </w:r>
      <w:r w:rsidR="0007459B">
        <w:rPr>
          <w:rFonts w:ascii="Times New Roman" w:hAnsi="Times New Roman" w:cs="Times New Roman"/>
          <w:sz w:val="28"/>
          <w:szCs w:val="28"/>
        </w:rPr>
        <w:t xml:space="preserve"> </w:t>
      </w:r>
      <w:r w:rsidRPr="00437528">
        <w:rPr>
          <w:rFonts w:ascii="Times New Roman" w:hAnsi="Times New Roman" w:cs="Times New Roman"/>
          <w:sz w:val="28"/>
          <w:szCs w:val="28"/>
        </w:rPr>
        <w:t>Кратность применения назальных ГКС в группе вмешательства (АСИТ + витамин Д) была снижена в 2,5 раза, в контрольной гр</w:t>
      </w:r>
      <w:r w:rsidR="00CE0D14">
        <w:rPr>
          <w:rFonts w:ascii="Times New Roman" w:hAnsi="Times New Roman" w:cs="Times New Roman"/>
          <w:sz w:val="28"/>
          <w:szCs w:val="28"/>
        </w:rPr>
        <w:t xml:space="preserve">уппе (АСИТ) снижена в 1,2 раза </w:t>
      </w:r>
      <w:r w:rsidR="008130AF" w:rsidRPr="006146D2">
        <w:rPr>
          <w:rFonts w:ascii="Times New Roman" w:hAnsi="Times New Roman" w:cs="Times New Roman"/>
          <w:sz w:val="28"/>
          <w:szCs w:val="28"/>
        </w:rPr>
        <w:t xml:space="preserve">(таблица </w:t>
      </w:r>
      <w:r w:rsidR="00523616">
        <w:rPr>
          <w:rFonts w:ascii="Times New Roman" w:hAnsi="Times New Roman" w:cs="Times New Roman"/>
          <w:sz w:val="28"/>
          <w:szCs w:val="28"/>
        </w:rPr>
        <w:t>10</w:t>
      </w:r>
      <w:r w:rsidRPr="006146D2">
        <w:rPr>
          <w:rFonts w:ascii="Times New Roman" w:hAnsi="Times New Roman" w:cs="Times New Roman"/>
          <w:sz w:val="28"/>
          <w:szCs w:val="28"/>
        </w:rPr>
        <w:t>).</w:t>
      </w:r>
    </w:p>
    <w:p w14:paraId="4F424AF6" w14:textId="108B5798" w:rsidR="00437528" w:rsidRDefault="00437528" w:rsidP="007F19F9">
      <w:pPr>
        <w:spacing w:after="0" w:line="240" w:lineRule="auto"/>
        <w:ind w:firstLine="567"/>
        <w:jc w:val="both"/>
        <w:rPr>
          <w:rFonts w:ascii="Times New Roman" w:hAnsi="Times New Roman" w:cs="Times New Roman"/>
          <w:sz w:val="28"/>
          <w:szCs w:val="28"/>
        </w:rPr>
      </w:pPr>
      <w:r w:rsidRPr="006146D2">
        <w:rPr>
          <w:rFonts w:ascii="Times New Roman" w:hAnsi="Times New Roman" w:cs="Times New Roman"/>
          <w:sz w:val="28"/>
          <w:szCs w:val="28"/>
        </w:rPr>
        <w:t xml:space="preserve">Таким образом, в результате проведенного лечения, </w:t>
      </w:r>
      <w:r w:rsidRPr="006146D2">
        <w:rPr>
          <w:rFonts w:ascii="Times New Roman" w:eastAsia="Calibri" w:hAnsi="Times New Roman" w:cs="Times New Roman"/>
          <w:sz w:val="28"/>
          <w:szCs w:val="28"/>
        </w:rPr>
        <w:t>в группе вмешательства и в группе контроля</w:t>
      </w:r>
      <w:r w:rsidR="00C65FB6">
        <w:rPr>
          <w:rFonts w:ascii="Times New Roman" w:hAnsi="Times New Roman" w:cs="Times New Roman"/>
          <w:sz w:val="28"/>
          <w:szCs w:val="28"/>
        </w:rPr>
        <w:t xml:space="preserve"> было отмечено клиническое улучшение симптомов</w:t>
      </w:r>
      <w:r w:rsidRPr="00437528">
        <w:rPr>
          <w:rFonts w:ascii="Times New Roman" w:hAnsi="Times New Roman" w:cs="Times New Roman"/>
          <w:sz w:val="28"/>
          <w:szCs w:val="28"/>
        </w:rPr>
        <w:t xml:space="preserve"> сезонного аллергического ринита. Группа вмешательства (АСИТ + витамин Д) продемонстрировала высокую клиническую эффективность проведенного лечения в виде снижения динамики общего балла тяжести симптомов с 11 до 6 баллов (</w:t>
      </w:r>
      <w:r w:rsidRPr="00437528">
        <w:rPr>
          <w:rFonts w:ascii="Times New Roman" w:hAnsi="Times New Roman" w:cs="Times New Roman"/>
          <w:sz w:val="28"/>
          <w:szCs w:val="28"/>
          <w:lang w:val="en-US"/>
        </w:rPr>
        <w:t>p</w:t>
      </w:r>
      <w:r w:rsidRPr="00437528">
        <w:rPr>
          <w:rFonts w:ascii="Times New Roman" w:hAnsi="Times New Roman" w:cs="Times New Roman"/>
          <w:sz w:val="28"/>
          <w:szCs w:val="28"/>
        </w:rPr>
        <w:t>&lt;0,001), снижения кратности применения антигистаминных препаратов с 5 до 2 раз в неделю (</w:t>
      </w:r>
      <w:r w:rsidRPr="00437528">
        <w:rPr>
          <w:rFonts w:ascii="Times New Roman" w:hAnsi="Times New Roman" w:cs="Times New Roman"/>
          <w:sz w:val="28"/>
          <w:szCs w:val="28"/>
          <w:lang w:val="en-US"/>
        </w:rPr>
        <w:t>p</w:t>
      </w:r>
      <w:r w:rsidRPr="00437528">
        <w:rPr>
          <w:rFonts w:ascii="Times New Roman" w:hAnsi="Times New Roman" w:cs="Times New Roman"/>
          <w:sz w:val="28"/>
          <w:szCs w:val="28"/>
        </w:rPr>
        <w:t>&lt;0,001), снижения кратности применения назальных ГКС с 10 до 4 раз в неделю (</w:t>
      </w:r>
      <w:r w:rsidRPr="00437528">
        <w:rPr>
          <w:rFonts w:ascii="Times New Roman" w:hAnsi="Times New Roman" w:cs="Times New Roman"/>
          <w:sz w:val="28"/>
          <w:szCs w:val="28"/>
          <w:lang w:val="en-US"/>
        </w:rPr>
        <w:t>p</w:t>
      </w:r>
      <w:r w:rsidRPr="00437528">
        <w:rPr>
          <w:rFonts w:ascii="Times New Roman" w:hAnsi="Times New Roman" w:cs="Times New Roman"/>
          <w:sz w:val="28"/>
          <w:szCs w:val="28"/>
        </w:rPr>
        <w:t>&lt;0,001). В группе контроля (АСИТ) клиническая эффективность достигнута в меньшей степени, где динамика общего балла снижена с 11,5 до 9 баллов (</w:t>
      </w:r>
      <w:r w:rsidRPr="00437528">
        <w:rPr>
          <w:rFonts w:ascii="Times New Roman" w:hAnsi="Times New Roman" w:cs="Times New Roman"/>
          <w:sz w:val="28"/>
          <w:szCs w:val="28"/>
          <w:lang w:val="en-US"/>
        </w:rPr>
        <w:t>p</w:t>
      </w:r>
      <w:r w:rsidRPr="00437528">
        <w:rPr>
          <w:rFonts w:ascii="Times New Roman" w:hAnsi="Times New Roman" w:cs="Times New Roman"/>
          <w:sz w:val="28"/>
          <w:szCs w:val="28"/>
        </w:rPr>
        <w:t>&lt;0,001), снижения кратности применения антигистаминных препаратов с 5 до 3 раз в неделю (</w:t>
      </w:r>
      <w:r w:rsidRPr="00437528">
        <w:rPr>
          <w:rFonts w:ascii="Times New Roman" w:hAnsi="Times New Roman" w:cs="Times New Roman"/>
          <w:sz w:val="28"/>
          <w:szCs w:val="28"/>
          <w:lang w:val="en-US"/>
        </w:rPr>
        <w:t>p</w:t>
      </w:r>
      <w:r w:rsidRPr="00437528">
        <w:rPr>
          <w:rFonts w:ascii="Times New Roman" w:hAnsi="Times New Roman" w:cs="Times New Roman"/>
          <w:sz w:val="28"/>
          <w:szCs w:val="28"/>
        </w:rPr>
        <w:t>&lt;0,001), снижения кратности применения назальных ГКС с 12 до 9,5 раз в неделю (</w:t>
      </w:r>
      <w:r w:rsidRPr="00437528">
        <w:rPr>
          <w:rFonts w:ascii="Times New Roman" w:hAnsi="Times New Roman" w:cs="Times New Roman"/>
          <w:sz w:val="28"/>
          <w:szCs w:val="28"/>
          <w:lang w:val="en-US"/>
        </w:rPr>
        <w:t>p</w:t>
      </w:r>
      <w:r w:rsidRPr="00437528">
        <w:rPr>
          <w:rFonts w:ascii="Times New Roman" w:hAnsi="Times New Roman" w:cs="Times New Roman"/>
          <w:sz w:val="28"/>
          <w:szCs w:val="28"/>
        </w:rPr>
        <w:t>&lt;0,001).</w:t>
      </w:r>
    </w:p>
    <w:p w14:paraId="372FFFED" w14:textId="1326EE40" w:rsidR="007F19F9" w:rsidRDefault="007F19F9" w:rsidP="007F19F9">
      <w:pPr>
        <w:spacing w:after="0" w:line="240" w:lineRule="auto"/>
        <w:ind w:firstLine="567"/>
        <w:jc w:val="both"/>
        <w:rPr>
          <w:rFonts w:ascii="Times New Roman" w:hAnsi="Times New Roman" w:cs="Times New Roman"/>
          <w:sz w:val="28"/>
          <w:szCs w:val="28"/>
        </w:rPr>
      </w:pPr>
    </w:p>
    <w:p w14:paraId="3FBA0F64" w14:textId="77777777" w:rsidR="00437528" w:rsidRPr="00661CBF" w:rsidRDefault="00437528" w:rsidP="007F19F9">
      <w:pPr>
        <w:keepNext/>
        <w:keepLines/>
        <w:spacing w:after="0" w:line="240" w:lineRule="auto"/>
        <w:ind w:firstLine="567"/>
        <w:jc w:val="both"/>
        <w:outlineLvl w:val="1"/>
        <w:rPr>
          <w:rFonts w:ascii="Times New Roman" w:eastAsiaTheme="majorEastAsia" w:hAnsi="Times New Roman" w:cs="Times New Roman"/>
          <w:i/>
          <w:sz w:val="28"/>
          <w:szCs w:val="28"/>
        </w:rPr>
      </w:pPr>
      <w:bookmarkStart w:id="41" w:name="_Toc121590252"/>
      <w:bookmarkStart w:id="42" w:name="_Toc137904359"/>
      <w:r w:rsidRPr="00661CBF">
        <w:rPr>
          <w:rFonts w:ascii="Times New Roman" w:hAnsi="Times New Roman" w:cs="Times New Roman"/>
          <w:i/>
          <w:sz w:val="28"/>
          <w:szCs w:val="28"/>
        </w:rPr>
        <w:t xml:space="preserve">3.2.2 Сравнительная </w:t>
      </w:r>
      <w:r w:rsidRPr="00661CBF">
        <w:rPr>
          <w:rFonts w:ascii="Times New Roman" w:eastAsiaTheme="majorEastAsia" w:hAnsi="Times New Roman" w:cs="Times New Roman"/>
          <w:i/>
          <w:sz w:val="28"/>
          <w:szCs w:val="28"/>
        </w:rPr>
        <w:t>характеристика группы вмешательства и группы контроля по качеству жизни на фоне проведения аллерген-специфической иммунотерапии</w:t>
      </w:r>
      <w:bookmarkEnd w:id="41"/>
      <w:bookmarkEnd w:id="42"/>
    </w:p>
    <w:p w14:paraId="2C874F05" w14:textId="0D6D4AC6" w:rsidR="00437528" w:rsidRDefault="00437528" w:rsidP="007F19F9">
      <w:pPr>
        <w:spacing w:after="0" w:line="240" w:lineRule="auto"/>
        <w:ind w:firstLine="567"/>
        <w:jc w:val="both"/>
        <w:rPr>
          <w:rFonts w:ascii="Times New Roman" w:hAnsi="Times New Roman" w:cs="Times New Roman"/>
          <w:sz w:val="28"/>
          <w:szCs w:val="28"/>
        </w:rPr>
      </w:pPr>
      <w:r w:rsidRPr="00437528">
        <w:rPr>
          <w:rFonts w:ascii="Times New Roman" w:hAnsi="Times New Roman" w:cs="Times New Roman"/>
          <w:sz w:val="28"/>
          <w:szCs w:val="28"/>
        </w:rPr>
        <w:t xml:space="preserve">Базовая оценка качества жизни </w:t>
      </w:r>
      <w:r w:rsidRPr="00437528">
        <w:rPr>
          <w:rFonts w:ascii="Times New Roman" w:eastAsia="Calibri" w:hAnsi="Times New Roman" w:cs="Times New Roman"/>
          <w:sz w:val="28"/>
          <w:szCs w:val="28"/>
        </w:rPr>
        <w:t>в группах вмешательства (АСИТ + витамин Д) и контроля (АСИТ)</w:t>
      </w:r>
      <w:r w:rsidRPr="00437528">
        <w:rPr>
          <w:rFonts w:ascii="Times New Roman" w:eastAsia="Calibri" w:hAnsi="Times New Roman" w:cs="Times New Roman"/>
          <w:b/>
          <w:sz w:val="28"/>
          <w:szCs w:val="28"/>
        </w:rPr>
        <w:t xml:space="preserve"> </w:t>
      </w:r>
      <w:r w:rsidRPr="00437528">
        <w:rPr>
          <w:rFonts w:ascii="Times New Roman" w:hAnsi="Times New Roman" w:cs="Times New Roman"/>
          <w:sz w:val="28"/>
          <w:szCs w:val="28"/>
        </w:rPr>
        <w:t xml:space="preserve">проводилась на основании выраженности показателей повседневной деятельности, качества сна, тревожности, раздражительности, усталости, головной боли, рассеянности. Оценка качества жизни по степени тяжести симптомов в </w:t>
      </w:r>
      <w:r w:rsidRPr="00437528">
        <w:rPr>
          <w:rFonts w:ascii="Times New Roman" w:eastAsia="Calibri" w:hAnsi="Times New Roman" w:cs="Times New Roman"/>
          <w:sz w:val="28"/>
          <w:szCs w:val="28"/>
        </w:rPr>
        <w:t>группе вмешательства и группе контроля была выражена средним значением показателя. До проведения АСИТ мы обнаружили</w:t>
      </w:r>
      <w:r w:rsidRPr="00437528">
        <w:rPr>
          <w:rFonts w:ascii="Times New Roman" w:hAnsi="Times New Roman" w:cs="Times New Roman"/>
          <w:sz w:val="28"/>
          <w:szCs w:val="28"/>
        </w:rPr>
        <w:t>, что все симптомы имели одинаково средне-тяжелые проявления (±</w:t>
      </w:r>
      <w:r w:rsidRPr="00437528">
        <w:rPr>
          <w:rFonts w:ascii="Times New Roman" w:hAnsi="Times New Roman" w:cs="Times New Roman"/>
          <w:sz w:val="28"/>
          <w:szCs w:val="28"/>
          <w:lang w:val="en-US"/>
        </w:rPr>
        <w:t>SD</w:t>
      </w:r>
      <w:r w:rsidRPr="00437528">
        <w:rPr>
          <w:rFonts w:ascii="Times New Roman" w:hAnsi="Times New Roman" w:cs="Times New Roman"/>
          <w:sz w:val="28"/>
          <w:szCs w:val="28"/>
        </w:rPr>
        <w:t xml:space="preserve"> = 2,0 балла). Комплексная оценка качества жизни </w:t>
      </w:r>
      <w:r w:rsidRPr="006146D2">
        <w:rPr>
          <w:rFonts w:ascii="Times New Roman" w:hAnsi="Times New Roman" w:cs="Times New Roman"/>
          <w:sz w:val="28"/>
          <w:szCs w:val="28"/>
        </w:rPr>
        <w:t xml:space="preserve">выражалась общим баллом и составляла 19 баллов из 21 возможного в </w:t>
      </w:r>
      <w:r w:rsidRPr="006146D2">
        <w:rPr>
          <w:rFonts w:ascii="Times New Roman" w:eastAsia="Calibri" w:hAnsi="Times New Roman" w:cs="Times New Roman"/>
          <w:sz w:val="28"/>
          <w:szCs w:val="28"/>
        </w:rPr>
        <w:t xml:space="preserve">обеих группах </w:t>
      </w:r>
      <w:r w:rsidRPr="006146D2">
        <w:rPr>
          <w:rFonts w:ascii="Times New Roman" w:hAnsi="Times New Roman" w:cs="Times New Roman"/>
          <w:sz w:val="28"/>
          <w:szCs w:val="28"/>
        </w:rPr>
        <w:t xml:space="preserve">(Таблица </w:t>
      </w:r>
      <w:r w:rsidR="00EF089A" w:rsidRPr="006146D2">
        <w:rPr>
          <w:rFonts w:ascii="Times New Roman" w:hAnsi="Times New Roman" w:cs="Times New Roman"/>
          <w:sz w:val="28"/>
          <w:szCs w:val="28"/>
        </w:rPr>
        <w:t>1</w:t>
      </w:r>
      <w:r w:rsidR="00523616">
        <w:rPr>
          <w:rFonts w:ascii="Times New Roman" w:hAnsi="Times New Roman" w:cs="Times New Roman"/>
          <w:sz w:val="28"/>
          <w:szCs w:val="28"/>
        </w:rPr>
        <w:t>1</w:t>
      </w:r>
      <w:r w:rsidRPr="006146D2">
        <w:rPr>
          <w:rFonts w:ascii="Times New Roman" w:hAnsi="Times New Roman" w:cs="Times New Roman"/>
          <w:sz w:val="28"/>
          <w:szCs w:val="28"/>
        </w:rPr>
        <w:t>).</w:t>
      </w:r>
      <w:r w:rsidRPr="00437528">
        <w:rPr>
          <w:rFonts w:ascii="Times New Roman" w:hAnsi="Times New Roman" w:cs="Times New Roman"/>
          <w:sz w:val="28"/>
          <w:szCs w:val="28"/>
        </w:rPr>
        <w:t xml:space="preserve"> </w:t>
      </w:r>
    </w:p>
    <w:p w14:paraId="0BCBE92B" w14:textId="7C9DCAE0" w:rsidR="00EF089A" w:rsidRDefault="00EF089A" w:rsidP="007F19F9">
      <w:pPr>
        <w:spacing w:after="0" w:line="240" w:lineRule="auto"/>
        <w:ind w:firstLine="567"/>
        <w:jc w:val="both"/>
        <w:rPr>
          <w:rFonts w:ascii="Times New Roman" w:hAnsi="Times New Roman" w:cs="Times New Roman"/>
          <w:sz w:val="28"/>
          <w:szCs w:val="28"/>
        </w:rPr>
      </w:pPr>
    </w:p>
    <w:p w14:paraId="1E6EF569" w14:textId="6365A15B" w:rsidR="00EF089A" w:rsidRDefault="00EF089A" w:rsidP="003E7AF4">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Таблица </w:t>
      </w:r>
      <w:r w:rsidR="00523616" w:rsidRPr="006146D2">
        <w:rPr>
          <w:rFonts w:ascii="Times New Roman" w:hAnsi="Times New Roman" w:cs="Times New Roman"/>
          <w:sz w:val="28"/>
          <w:szCs w:val="28"/>
        </w:rPr>
        <w:t>1</w:t>
      </w:r>
      <w:r w:rsidR="00523616">
        <w:rPr>
          <w:rFonts w:ascii="Times New Roman" w:hAnsi="Times New Roman" w:cs="Times New Roman"/>
          <w:sz w:val="28"/>
          <w:szCs w:val="28"/>
        </w:rPr>
        <w:t>1</w:t>
      </w:r>
      <w:r w:rsidRPr="00437528">
        <w:rPr>
          <w:rFonts w:ascii="Times New Roman" w:eastAsia="Calibri" w:hAnsi="Times New Roman" w:cs="Times New Roman"/>
          <w:sz w:val="28"/>
          <w:szCs w:val="28"/>
        </w:rPr>
        <w:t xml:space="preserve"> - Сравнительная характеристика группы вмешательства и группы контроля по качеству жизни на фоне проведения аллерген-специфической иммунотерапии</w:t>
      </w:r>
    </w:p>
    <w:p w14:paraId="16B73F0A" w14:textId="77777777" w:rsidR="00203875" w:rsidRPr="00437528" w:rsidRDefault="00203875" w:rsidP="00203875">
      <w:pPr>
        <w:spacing w:after="0" w:line="240" w:lineRule="auto"/>
        <w:ind w:firstLine="567"/>
        <w:jc w:val="both"/>
        <w:rPr>
          <w:rFonts w:ascii="Times New Roman" w:eastAsia="Calibri" w:hAnsi="Times New Roman" w:cs="Times New Roman"/>
          <w:sz w:val="28"/>
          <w:szCs w:val="28"/>
        </w:rPr>
      </w:pPr>
    </w:p>
    <w:tbl>
      <w:tblPr>
        <w:tblStyle w:val="41"/>
        <w:tblW w:w="4935" w:type="pct"/>
        <w:jc w:val="center"/>
        <w:tblInd w:w="0" w:type="dxa"/>
        <w:tblLook w:val="04A0" w:firstRow="1" w:lastRow="0" w:firstColumn="1" w:lastColumn="0" w:noHBand="0" w:noVBand="1"/>
      </w:tblPr>
      <w:tblGrid>
        <w:gridCol w:w="3266"/>
        <w:gridCol w:w="1119"/>
        <w:gridCol w:w="2009"/>
        <w:gridCol w:w="1695"/>
        <w:gridCol w:w="1414"/>
      </w:tblGrid>
      <w:tr w:rsidR="00EF089A" w:rsidRPr="00437528" w14:paraId="43BDF8E4" w14:textId="77777777" w:rsidTr="0097271D">
        <w:trPr>
          <w:trHeight w:val="132"/>
          <w:jc w:val="center"/>
        </w:trPr>
        <w:tc>
          <w:tcPr>
            <w:tcW w:w="1718" w:type="pct"/>
          </w:tcPr>
          <w:p w14:paraId="21C97C16"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Показатель</w:t>
            </w:r>
          </w:p>
        </w:tc>
        <w:tc>
          <w:tcPr>
            <w:tcW w:w="589" w:type="pct"/>
          </w:tcPr>
          <w:p w14:paraId="49AA21A5"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Визит</w:t>
            </w:r>
          </w:p>
        </w:tc>
        <w:tc>
          <w:tcPr>
            <w:tcW w:w="1057" w:type="pct"/>
            <w:vAlign w:val="center"/>
          </w:tcPr>
          <w:p w14:paraId="1ED9A5FD"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Группа вмешательства (АСИТ + витамин Д)</w:t>
            </w:r>
          </w:p>
        </w:tc>
        <w:tc>
          <w:tcPr>
            <w:tcW w:w="892" w:type="pct"/>
            <w:vAlign w:val="center"/>
          </w:tcPr>
          <w:p w14:paraId="1EC195BB" w14:textId="77777777" w:rsidR="00EF089A" w:rsidRPr="00437528" w:rsidRDefault="00EF089A" w:rsidP="00441716">
            <w:pPr>
              <w:jc w:val="both"/>
              <w:rPr>
                <w:rFonts w:ascii="Times New Roman" w:hAnsi="Times New Roman"/>
                <w:sz w:val="24"/>
                <w:szCs w:val="24"/>
              </w:rPr>
            </w:pPr>
            <w:r w:rsidRPr="00437528">
              <w:rPr>
                <w:rFonts w:ascii="Times New Roman" w:hAnsi="Times New Roman"/>
                <w:bCs/>
                <w:sz w:val="24"/>
                <w:szCs w:val="24"/>
              </w:rPr>
              <w:t>Группа контроля (АСИТ)</w:t>
            </w:r>
          </w:p>
        </w:tc>
        <w:tc>
          <w:tcPr>
            <w:tcW w:w="745" w:type="pct"/>
          </w:tcPr>
          <w:p w14:paraId="0399F0F7"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lang w:val="en-US"/>
              </w:rPr>
              <w:t>p-value</w:t>
            </w:r>
            <w:r w:rsidRPr="00437528">
              <w:rPr>
                <w:rFonts w:ascii="Times New Roman" w:hAnsi="Times New Roman"/>
                <w:sz w:val="24"/>
                <w:szCs w:val="24"/>
              </w:rPr>
              <w:t xml:space="preserve"> </w:t>
            </w:r>
            <w:r w:rsidRPr="00437528">
              <w:rPr>
                <w:rFonts w:ascii="Times New Roman" w:hAnsi="Times New Roman"/>
                <w:sz w:val="28"/>
                <w:szCs w:val="28"/>
              </w:rPr>
              <w:sym w:font="Symbol" w:char="F0A2"/>
            </w:r>
          </w:p>
        </w:tc>
      </w:tr>
      <w:tr w:rsidR="00EF089A" w:rsidRPr="00437528" w14:paraId="66E3D105" w14:textId="77777777" w:rsidTr="0097271D">
        <w:trPr>
          <w:jc w:val="center"/>
        </w:trPr>
        <w:tc>
          <w:tcPr>
            <w:tcW w:w="1718" w:type="pct"/>
            <w:vMerge w:val="restart"/>
          </w:tcPr>
          <w:p w14:paraId="6A020F67" w14:textId="77777777" w:rsidR="00EF089A" w:rsidRPr="00437528" w:rsidRDefault="00EF089A" w:rsidP="00441716">
            <w:pPr>
              <w:jc w:val="both"/>
              <w:rPr>
                <w:rFonts w:ascii="Times New Roman" w:hAnsi="Times New Roman"/>
                <w:sz w:val="24"/>
                <w:szCs w:val="24"/>
                <w:lang w:val="en-US"/>
              </w:rPr>
            </w:pPr>
            <w:r w:rsidRPr="00437528">
              <w:rPr>
                <w:rFonts w:ascii="Times New Roman" w:hAnsi="Times New Roman"/>
                <w:sz w:val="24"/>
                <w:szCs w:val="24"/>
              </w:rPr>
              <w:t>Повседневная деятельность</w:t>
            </w:r>
            <w:r w:rsidRPr="00437528">
              <w:rPr>
                <w:rFonts w:ascii="Times New Roman" w:hAnsi="Times New Roman"/>
                <w:sz w:val="24"/>
                <w:szCs w:val="24"/>
                <w:lang w:val="en-US"/>
              </w:rPr>
              <w:t>*</w:t>
            </w:r>
          </w:p>
        </w:tc>
        <w:tc>
          <w:tcPr>
            <w:tcW w:w="589" w:type="pct"/>
          </w:tcPr>
          <w:p w14:paraId="6C15D4AE"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 визит</w:t>
            </w:r>
          </w:p>
        </w:tc>
        <w:tc>
          <w:tcPr>
            <w:tcW w:w="1057" w:type="pct"/>
          </w:tcPr>
          <w:p w14:paraId="1C8D177E"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2,0 (±</w:t>
            </w:r>
            <w:r w:rsidRPr="00437528">
              <w:rPr>
                <w:rFonts w:ascii="Times New Roman" w:hAnsi="Times New Roman"/>
                <w:sz w:val="24"/>
                <w:szCs w:val="24"/>
                <w:lang w:val="en-US"/>
              </w:rPr>
              <w:t>0,5</w:t>
            </w:r>
            <w:r w:rsidRPr="00437528">
              <w:rPr>
                <w:rFonts w:ascii="Times New Roman" w:hAnsi="Times New Roman"/>
                <w:sz w:val="24"/>
                <w:szCs w:val="24"/>
              </w:rPr>
              <w:t>)</w:t>
            </w:r>
          </w:p>
        </w:tc>
        <w:tc>
          <w:tcPr>
            <w:tcW w:w="892" w:type="pct"/>
          </w:tcPr>
          <w:p w14:paraId="6BCAEF0C"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2,0 (±</w:t>
            </w:r>
            <w:r w:rsidRPr="00437528">
              <w:rPr>
                <w:rFonts w:ascii="Times New Roman" w:hAnsi="Times New Roman"/>
                <w:sz w:val="24"/>
                <w:szCs w:val="24"/>
                <w:lang w:val="en-US"/>
              </w:rPr>
              <w:t>0,4</w:t>
            </w:r>
            <w:r w:rsidRPr="00437528">
              <w:rPr>
                <w:rFonts w:ascii="Times New Roman" w:hAnsi="Times New Roman"/>
                <w:sz w:val="24"/>
                <w:szCs w:val="24"/>
              </w:rPr>
              <w:t>)</w:t>
            </w:r>
          </w:p>
        </w:tc>
        <w:tc>
          <w:tcPr>
            <w:tcW w:w="745" w:type="pct"/>
          </w:tcPr>
          <w:p w14:paraId="63419AFD" w14:textId="77777777" w:rsidR="00EF089A" w:rsidRPr="00437528" w:rsidRDefault="00EF089A" w:rsidP="00441716">
            <w:pPr>
              <w:jc w:val="both"/>
              <w:rPr>
                <w:rFonts w:ascii="Times New Roman" w:hAnsi="Times New Roman"/>
                <w:sz w:val="24"/>
                <w:szCs w:val="24"/>
              </w:rPr>
            </w:pPr>
          </w:p>
        </w:tc>
      </w:tr>
      <w:tr w:rsidR="00EF089A" w:rsidRPr="00437528" w14:paraId="29FD0038" w14:textId="77777777" w:rsidTr="0097271D">
        <w:trPr>
          <w:jc w:val="center"/>
        </w:trPr>
        <w:tc>
          <w:tcPr>
            <w:tcW w:w="1718" w:type="pct"/>
            <w:vMerge/>
          </w:tcPr>
          <w:p w14:paraId="4CD6A959" w14:textId="77777777" w:rsidR="00EF089A" w:rsidRPr="00437528" w:rsidRDefault="00EF089A" w:rsidP="00441716">
            <w:pPr>
              <w:jc w:val="both"/>
              <w:rPr>
                <w:rFonts w:ascii="Times New Roman" w:hAnsi="Times New Roman"/>
                <w:sz w:val="24"/>
                <w:szCs w:val="24"/>
              </w:rPr>
            </w:pPr>
          </w:p>
        </w:tc>
        <w:tc>
          <w:tcPr>
            <w:tcW w:w="589" w:type="pct"/>
          </w:tcPr>
          <w:p w14:paraId="622B90D3"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3 визит</w:t>
            </w:r>
          </w:p>
        </w:tc>
        <w:tc>
          <w:tcPr>
            <w:tcW w:w="1057" w:type="pct"/>
          </w:tcPr>
          <w:p w14:paraId="3C5FD228"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1,0 (±</w:t>
            </w:r>
            <w:r w:rsidRPr="00437528">
              <w:rPr>
                <w:rFonts w:ascii="Times New Roman" w:hAnsi="Times New Roman"/>
                <w:sz w:val="24"/>
                <w:szCs w:val="24"/>
                <w:lang w:val="en-US"/>
              </w:rPr>
              <w:t>0,5</w:t>
            </w:r>
            <w:r w:rsidRPr="00437528">
              <w:rPr>
                <w:rFonts w:ascii="Times New Roman" w:hAnsi="Times New Roman"/>
                <w:sz w:val="24"/>
                <w:szCs w:val="24"/>
              </w:rPr>
              <w:t>)</w:t>
            </w:r>
          </w:p>
        </w:tc>
        <w:tc>
          <w:tcPr>
            <w:tcW w:w="892" w:type="pct"/>
          </w:tcPr>
          <w:p w14:paraId="430E2AC3"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1,4 (±</w:t>
            </w:r>
            <w:r w:rsidRPr="00437528">
              <w:rPr>
                <w:rFonts w:ascii="Times New Roman" w:hAnsi="Times New Roman"/>
                <w:sz w:val="24"/>
                <w:szCs w:val="24"/>
                <w:lang w:val="en-US"/>
              </w:rPr>
              <w:t>0,6</w:t>
            </w:r>
            <w:r w:rsidRPr="00437528">
              <w:rPr>
                <w:rFonts w:ascii="Times New Roman" w:hAnsi="Times New Roman"/>
                <w:sz w:val="24"/>
                <w:szCs w:val="24"/>
              </w:rPr>
              <w:t>)</w:t>
            </w:r>
          </w:p>
        </w:tc>
        <w:tc>
          <w:tcPr>
            <w:tcW w:w="745" w:type="pct"/>
          </w:tcPr>
          <w:p w14:paraId="118B59B4" w14:textId="77777777" w:rsidR="00EF089A" w:rsidRPr="00437528" w:rsidRDefault="00EF089A" w:rsidP="00441716">
            <w:pPr>
              <w:jc w:val="both"/>
              <w:rPr>
                <w:rFonts w:ascii="Times New Roman" w:hAnsi="Times New Roman"/>
                <w:sz w:val="24"/>
                <w:szCs w:val="24"/>
              </w:rPr>
            </w:pPr>
          </w:p>
        </w:tc>
      </w:tr>
      <w:tr w:rsidR="00EF089A" w:rsidRPr="00437528" w14:paraId="433AD1B1" w14:textId="77777777" w:rsidTr="0097271D">
        <w:trPr>
          <w:jc w:val="center"/>
        </w:trPr>
        <w:tc>
          <w:tcPr>
            <w:tcW w:w="2307" w:type="pct"/>
            <w:gridSpan w:val="2"/>
          </w:tcPr>
          <w:p w14:paraId="69FE362A"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5870D095"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lang w:val="en-US"/>
              </w:rPr>
              <w:t>p</w:t>
            </w:r>
            <w:r w:rsidRPr="00437528">
              <w:rPr>
                <w:rFonts w:ascii="Times New Roman" w:hAnsi="Times New Roman"/>
                <w:sz w:val="24"/>
                <w:szCs w:val="24"/>
              </w:rPr>
              <w:t>-</w:t>
            </w:r>
            <w:r w:rsidRPr="00437528">
              <w:rPr>
                <w:rFonts w:ascii="Times New Roman" w:hAnsi="Times New Roman"/>
                <w:sz w:val="24"/>
                <w:szCs w:val="24"/>
                <w:lang w:val="en-US"/>
              </w:rPr>
              <w:t>value</w:t>
            </w:r>
            <w:r w:rsidRPr="00437528">
              <w:rPr>
                <w:rFonts w:ascii="Times New Roman" w:hAnsi="Times New Roman"/>
                <w:sz w:val="28"/>
                <w:szCs w:val="28"/>
              </w:rPr>
              <w:sym w:font="Symbol" w:char="F0B0"/>
            </w:r>
          </w:p>
        </w:tc>
        <w:tc>
          <w:tcPr>
            <w:tcW w:w="1057" w:type="pct"/>
          </w:tcPr>
          <w:p w14:paraId="7AFED079"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 xml:space="preserve">-1,0 </w:t>
            </w:r>
          </w:p>
          <w:p w14:paraId="1C90A4D3"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892" w:type="pct"/>
          </w:tcPr>
          <w:p w14:paraId="740FF7A9"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-0,6</w:t>
            </w:r>
          </w:p>
          <w:p w14:paraId="239CF366"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745" w:type="pct"/>
          </w:tcPr>
          <w:p w14:paraId="57326433"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0,02</w:t>
            </w:r>
          </w:p>
        </w:tc>
      </w:tr>
      <w:tr w:rsidR="00EF089A" w:rsidRPr="00437528" w14:paraId="54DF9BED" w14:textId="77777777" w:rsidTr="0097271D">
        <w:trPr>
          <w:jc w:val="center"/>
        </w:trPr>
        <w:tc>
          <w:tcPr>
            <w:tcW w:w="1718" w:type="pct"/>
            <w:vMerge w:val="restart"/>
          </w:tcPr>
          <w:p w14:paraId="428B52FC" w14:textId="77777777" w:rsidR="00EF089A" w:rsidRPr="00437528" w:rsidRDefault="00EF089A" w:rsidP="00441716">
            <w:pPr>
              <w:jc w:val="both"/>
              <w:rPr>
                <w:rFonts w:ascii="Times New Roman" w:hAnsi="Times New Roman"/>
                <w:sz w:val="24"/>
                <w:szCs w:val="24"/>
                <w:lang w:val="en-US"/>
              </w:rPr>
            </w:pPr>
            <w:r w:rsidRPr="00437528">
              <w:rPr>
                <w:rFonts w:ascii="Times New Roman" w:hAnsi="Times New Roman"/>
                <w:sz w:val="24"/>
                <w:szCs w:val="24"/>
              </w:rPr>
              <w:t xml:space="preserve">Сон </w:t>
            </w:r>
            <w:r w:rsidRPr="00437528">
              <w:rPr>
                <w:rFonts w:ascii="Times New Roman" w:hAnsi="Times New Roman"/>
                <w:sz w:val="24"/>
                <w:szCs w:val="24"/>
                <w:lang w:val="en-US"/>
              </w:rPr>
              <w:t>*</w:t>
            </w:r>
          </w:p>
        </w:tc>
        <w:tc>
          <w:tcPr>
            <w:tcW w:w="589" w:type="pct"/>
          </w:tcPr>
          <w:p w14:paraId="75FB65A9"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 визит</w:t>
            </w:r>
          </w:p>
        </w:tc>
        <w:tc>
          <w:tcPr>
            <w:tcW w:w="1057" w:type="pct"/>
          </w:tcPr>
          <w:p w14:paraId="4877F59C"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2,1(±</w:t>
            </w:r>
            <w:r w:rsidRPr="00437528">
              <w:rPr>
                <w:rFonts w:ascii="Times New Roman" w:hAnsi="Times New Roman"/>
                <w:sz w:val="24"/>
                <w:szCs w:val="24"/>
                <w:lang w:val="en-US"/>
              </w:rPr>
              <w:t>0,5</w:t>
            </w:r>
            <w:r w:rsidRPr="00437528">
              <w:rPr>
                <w:rFonts w:ascii="Times New Roman" w:hAnsi="Times New Roman"/>
                <w:sz w:val="24"/>
                <w:szCs w:val="24"/>
              </w:rPr>
              <w:t>)</w:t>
            </w:r>
          </w:p>
        </w:tc>
        <w:tc>
          <w:tcPr>
            <w:tcW w:w="892" w:type="pct"/>
          </w:tcPr>
          <w:p w14:paraId="3D164D32"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2,0 (±</w:t>
            </w:r>
            <w:r w:rsidRPr="00437528">
              <w:rPr>
                <w:rFonts w:ascii="Times New Roman" w:hAnsi="Times New Roman"/>
                <w:sz w:val="24"/>
                <w:szCs w:val="24"/>
                <w:lang w:val="en-US"/>
              </w:rPr>
              <w:t>0,5</w:t>
            </w:r>
            <w:r w:rsidRPr="00437528">
              <w:rPr>
                <w:rFonts w:ascii="Times New Roman" w:hAnsi="Times New Roman"/>
                <w:sz w:val="24"/>
                <w:szCs w:val="24"/>
              </w:rPr>
              <w:t>)</w:t>
            </w:r>
          </w:p>
        </w:tc>
        <w:tc>
          <w:tcPr>
            <w:tcW w:w="745" w:type="pct"/>
          </w:tcPr>
          <w:p w14:paraId="1B9C43BE" w14:textId="77777777" w:rsidR="00EF089A" w:rsidRPr="00437528" w:rsidRDefault="00EF089A" w:rsidP="00441716">
            <w:pPr>
              <w:jc w:val="both"/>
              <w:rPr>
                <w:rFonts w:ascii="Times New Roman" w:hAnsi="Times New Roman"/>
                <w:sz w:val="24"/>
                <w:szCs w:val="24"/>
              </w:rPr>
            </w:pPr>
          </w:p>
        </w:tc>
      </w:tr>
      <w:tr w:rsidR="00EF089A" w:rsidRPr="00437528" w14:paraId="1E6B921A" w14:textId="77777777" w:rsidTr="0097271D">
        <w:trPr>
          <w:jc w:val="center"/>
        </w:trPr>
        <w:tc>
          <w:tcPr>
            <w:tcW w:w="1718" w:type="pct"/>
            <w:vMerge/>
          </w:tcPr>
          <w:p w14:paraId="216DAD04" w14:textId="77777777" w:rsidR="00EF089A" w:rsidRPr="00437528" w:rsidRDefault="00EF089A" w:rsidP="00441716">
            <w:pPr>
              <w:jc w:val="both"/>
              <w:rPr>
                <w:rFonts w:ascii="Times New Roman" w:hAnsi="Times New Roman"/>
                <w:sz w:val="24"/>
                <w:szCs w:val="24"/>
              </w:rPr>
            </w:pPr>
          </w:p>
        </w:tc>
        <w:tc>
          <w:tcPr>
            <w:tcW w:w="589" w:type="pct"/>
          </w:tcPr>
          <w:p w14:paraId="079324BC"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3 визит</w:t>
            </w:r>
          </w:p>
        </w:tc>
        <w:tc>
          <w:tcPr>
            <w:tcW w:w="1057" w:type="pct"/>
          </w:tcPr>
          <w:p w14:paraId="32F4EF34"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1,3(±</w:t>
            </w:r>
            <w:r w:rsidRPr="00437528">
              <w:rPr>
                <w:rFonts w:ascii="Times New Roman" w:hAnsi="Times New Roman"/>
                <w:sz w:val="24"/>
                <w:szCs w:val="24"/>
                <w:lang w:val="en-US"/>
              </w:rPr>
              <w:t>0,6</w:t>
            </w:r>
            <w:r w:rsidRPr="00437528">
              <w:rPr>
                <w:rFonts w:ascii="Times New Roman" w:hAnsi="Times New Roman"/>
                <w:sz w:val="24"/>
                <w:szCs w:val="24"/>
              </w:rPr>
              <w:t>)</w:t>
            </w:r>
          </w:p>
        </w:tc>
        <w:tc>
          <w:tcPr>
            <w:tcW w:w="892" w:type="pct"/>
          </w:tcPr>
          <w:p w14:paraId="79896C7D"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1,2 (±</w:t>
            </w:r>
            <w:r w:rsidRPr="00437528">
              <w:rPr>
                <w:rFonts w:ascii="Times New Roman" w:hAnsi="Times New Roman"/>
                <w:sz w:val="24"/>
                <w:szCs w:val="24"/>
                <w:lang w:val="en-US"/>
              </w:rPr>
              <w:t>0,6</w:t>
            </w:r>
            <w:r w:rsidRPr="00437528">
              <w:rPr>
                <w:rFonts w:ascii="Times New Roman" w:hAnsi="Times New Roman"/>
                <w:sz w:val="24"/>
                <w:szCs w:val="24"/>
              </w:rPr>
              <w:t>)</w:t>
            </w:r>
          </w:p>
        </w:tc>
        <w:tc>
          <w:tcPr>
            <w:tcW w:w="745" w:type="pct"/>
          </w:tcPr>
          <w:p w14:paraId="2813E602" w14:textId="77777777" w:rsidR="00EF089A" w:rsidRPr="00437528" w:rsidRDefault="00EF089A" w:rsidP="00441716">
            <w:pPr>
              <w:jc w:val="both"/>
              <w:rPr>
                <w:rFonts w:ascii="Times New Roman" w:hAnsi="Times New Roman"/>
                <w:sz w:val="24"/>
                <w:szCs w:val="24"/>
              </w:rPr>
            </w:pPr>
          </w:p>
        </w:tc>
      </w:tr>
      <w:tr w:rsidR="00EF089A" w:rsidRPr="00437528" w14:paraId="7E9DC09C" w14:textId="77777777" w:rsidTr="0097271D">
        <w:trPr>
          <w:jc w:val="center"/>
        </w:trPr>
        <w:tc>
          <w:tcPr>
            <w:tcW w:w="2307" w:type="pct"/>
            <w:gridSpan w:val="2"/>
          </w:tcPr>
          <w:p w14:paraId="1FD0ABD7"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235D1A05"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lang w:val="en-US"/>
              </w:rPr>
              <w:t>p</w:t>
            </w:r>
            <w:r w:rsidRPr="00437528">
              <w:rPr>
                <w:rFonts w:ascii="Times New Roman" w:hAnsi="Times New Roman"/>
                <w:sz w:val="24"/>
                <w:szCs w:val="24"/>
              </w:rPr>
              <w:t>-</w:t>
            </w:r>
            <w:r w:rsidRPr="00437528">
              <w:rPr>
                <w:rFonts w:ascii="Times New Roman" w:hAnsi="Times New Roman"/>
                <w:sz w:val="24"/>
                <w:szCs w:val="24"/>
                <w:lang w:val="en-US"/>
              </w:rPr>
              <w:t>value</w:t>
            </w:r>
            <w:r w:rsidRPr="00437528">
              <w:rPr>
                <w:rFonts w:ascii="Times New Roman" w:hAnsi="Times New Roman"/>
                <w:sz w:val="28"/>
                <w:szCs w:val="28"/>
              </w:rPr>
              <w:sym w:font="Symbol" w:char="F0B0"/>
            </w:r>
          </w:p>
        </w:tc>
        <w:tc>
          <w:tcPr>
            <w:tcW w:w="1057" w:type="pct"/>
          </w:tcPr>
          <w:p w14:paraId="45BBED29"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-0,9</w:t>
            </w:r>
          </w:p>
          <w:p w14:paraId="55861256"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892" w:type="pct"/>
          </w:tcPr>
          <w:p w14:paraId="137A6249"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-0,7</w:t>
            </w:r>
          </w:p>
          <w:p w14:paraId="5919335B"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745" w:type="pct"/>
          </w:tcPr>
          <w:p w14:paraId="36D403AC"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0,4</w:t>
            </w:r>
          </w:p>
        </w:tc>
      </w:tr>
      <w:tr w:rsidR="00EF089A" w:rsidRPr="00437528" w14:paraId="3DA649B4" w14:textId="77777777" w:rsidTr="0097271D">
        <w:trPr>
          <w:jc w:val="center"/>
        </w:trPr>
        <w:tc>
          <w:tcPr>
            <w:tcW w:w="1718" w:type="pct"/>
            <w:vMerge w:val="restart"/>
          </w:tcPr>
          <w:p w14:paraId="04F32CCB" w14:textId="77777777" w:rsidR="00EF089A" w:rsidRPr="00437528" w:rsidRDefault="00EF089A" w:rsidP="00441716">
            <w:pPr>
              <w:jc w:val="both"/>
              <w:rPr>
                <w:rFonts w:ascii="Times New Roman" w:hAnsi="Times New Roman"/>
                <w:sz w:val="24"/>
                <w:szCs w:val="24"/>
                <w:lang w:val="en-US"/>
              </w:rPr>
            </w:pPr>
            <w:r w:rsidRPr="00437528">
              <w:rPr>
                <w:rFonts w:ascii="Times New Roman" w:hAnsi="Times New Roman"/>
                <w:sz w:val="24"/>
                <w:szCs w:val="24"/>
              </w:rPr>
              <w:t>Раздражительность</w:t>
            </w:r>
            <w:r w:rsidRPr="00437528">
              <w:rPr>
                <w:rFonts w:ascii="Times New Roman" w:hAnsi="Times New Roman"/>
                <w:sz w:val="24"/>
                <w:szCs w:val="24"/>
                <w:lang w:val="en-US"/>
              </w:rPr>
              <w:t>*</w:t>
            </w:r>
          </w:p>
        </w:tc>
        <w:tc>
          <w:tcPr>
            <w:tcW w:w="589" w:type="pct"/>
          </w:tcPr>
          <w:p w14:paraId="000A0EA3"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 визит</w:t>
            </w:r>
          </w:p>
        </w:tc>
        <w:tc>
          <w:tcPr>
            <w:tcW w:w="1057" w:type="pct"/>
          </w:tcPr>
          <w:p w14:paraId="1CE0411C"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2,1 (±</w:t>
            </w:r>
            <w:r w:rsidRPr="00437528">
              <w:rPr>
                <w:rFonts w:ascii="Times New Roman" w:hAnsi="Times New Roman"/>
                <w:sz w:val="24"/>
                <w:szCs w:val="24"/>
                <w:lang w:val="en-US"/>
              </w:rPr>
              <w:t>0,5</w:t>
            </w:r>
            <w:r w:rsidRPr="00437528">
              <w:rPr>
                <w:rFonts w:ascii="Times New Roman" w:hAnsi="Times New Roman"/>
                <w:sz w:val="24"/>
                <w:szCs w:val="24"/>
              </w:rPr>
              <w:t>)</w:t>
            </w:r>
          </w:p>
        </w:tc>
        <w:tc>
          <w:tcPr>
            <w:tcW w:w="892" w:type="pct"/>
          </w:tcPr>
          <w:p w14:paraId="622E83FF"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2,0 (±</w:t>
            </w:r>
            <w:r w:rsidRPr="00437528">
              <w:rPr>
                <w:rFonts w:ascii="Times New Roman" w:hAnsi="Times New Roman"/>
                <w:sz w:val="24"/>
                <w:szCs w:val="24"/>
                <w:lang w:val="en-US"/>
              </w:rPr>
              <w:t>0,5</w:t>
            </w:r>
            <w:r w:rsidRPr="00437528">
              <w:rPr>
                <w:rFonts w:ascii="Times New Roman" w:hAnsi="Times New Roman"/>
                <w:sz w:val="24"/>
                <w:szCs w:val="24"/>
              </w:rPr>
              <w:t>)</w:t>
            </w:r>
          </w:p>
        </w:tc>
        <w:tc>
          <w:tcPr>
            <w:tcW w:w="745" w:type="pct"/>
          </w:tcPr>
          <w:p w14:paraId="2D8AB749" w14:textId="77777777" w:rsidR="00EF089A" w:rsidRPr="00437528" w:rsidRDefault="00EF089A" w:rsidP="00441716">
            <w:pPr>
              <w:jc w:val="both"/>
              <w:rPr>
                <w:rFonts w:ascii="Times New Roman" w:hAnsi="Times New Roman"/>
                <w:sz w:val="24"/>
                <w:szCs w:val="24"/>
              </w:rPr>
            </w:pPr>
          </w:p>
        </w:tc>
      </w:tr>
      <w:tr w:rsidR="00EF089A" w:rsidRPr="00437528" w14:paraId="04EA1731" w14:textId="77777777" w:rsidTr="0097271D">
        <w:trPr>
          <w:jc w:val="center"/>
        </w:trPr>
        <w:tc>
          <w:tcPr>
            <w:tcW w:w="1718" w:type="pct"/>
            <w:vMerge/>
          </w:tcPr>
          <w:p w14:paraId="2F666498" w14:textId="77777777" w:rsidR="00EF089A" w:rsidRPr="00437528" w:rsidRDefault="00EF089A" w:rsidP="00441716">
            <w:pPr>
              <w:jc w:val="both"/>
              <w:rPr>
                <w:rFonts w:ascii="Times New Roman" w:hAnsi="Times New Roman"/>
                <w:sz w:val="24"/>
                <w:szCs w:val="24"/>
              </w:rPr>
            </w:pPr>
          </w:p>
        </w:tc>
        <w:tc>
          <w:tcPr>
            <w:tcW w:w="589" w:type="pct"/>
          </w:tcPr>
          <w:p w14:paraId="062DEBC5"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3 визит</w:t>
            </w:r>
          </w:p>
        </w:tc>
        <w:tc>
          <w:tcPr>
            <w:tcW w:w="1057" w:type="pct"/>
          </w:tcPr>
          <w:p w14:paraId="2ABAA229"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0,9 (±</w:t>
            </w:r>
            <w:r w:rsidRPr="00437528">
              <w:rPr>
                <w:rFonts w:ascii="Times New Roman" w:hAnsi="Times New Roman"/>
                <w:sz w:val="24"/>
                <w:szCs w:val="24"/>
                <w:lang w:val="en-US"/>
              </w:rPr>
              <w:t>0,7</w:t>
            </w:r>
            <w:r w:rsidRPr="00437528">
              <w:rPr>
                <w:rFonts w:ascii="Times New Roman" w:hAnsi="Times New Roman"/>
                <w:sz w:val="24"/>
                <w:szCs w:val="24"/>
              </w:rPr>
              <w:t>)</w:t>
            </w:r>
          </w:p>
        </w:tc>
        <w:tc>
          <w:tcPr>
            <w:tcW w:w="892" w:type="pct"/>
          </w:tcPr>
          <w:p w14:paraId="54EBBE35"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1,2 (±</w:t>
            </w:r>
            <w:r w:rsidRPr="00437528">
              <w:rPr>
                <w:rFonts w:ascii="Times New Roman" w:hAnsi="Times New Roman"/>
                <w:sz w:val="24"/>
                <w:szCs w:val="24"/>
                <w:lang w:val="en-US"/>
              </w:rPr>
              <w:t>0,6</w:t>
            </w:r>
            <w:r w:rsidRPr="00437528">
              <w:rPr>
                <w:rFonts w:ascii="Times New Roman" w:hAnsi="Times New Roman"/>
                <w:sz w:val="24"/>
                <w:szCs w:val="24"/>
              </w:rPr>
              <w:t>)</w:t>
            </w:r>
          </w:p>
        </w:tc>
        <w:tc>
          <w:tcPr>
            <w:tcW w:w="745" w:type="pct"/>
          </w:tcPr>
          <w:p w14:paraId="72ECE3BF" w14:textId="77777777" w:rsidR="00EF089A" w:rsidRPr="00437528" w:rsidRDefault="00EF089A" w:rsidP="00441716">
            <w:pPr>
              <w:jc w:val="both"/>
              <w:rPr>
                <w:rFonts w:ascii="Times New Roman" w:hAnsi="Times New Roman"/>
                <w:sz w:val="24"/>
                <w:szCs w:val="24"/>
              </w:rPr>
            </w:pPr>
          </w:p>
        </w:tc>
      </w:tr>
      <w:tr w:rsidR="00EF089A" w:rsidRPr="00437528" w14:paraId="39C83CB2" w14:textId="77777777" w:rsidTr="0097271D">
        <w:trPr>
          <w:jc w:val="center"/>
        </w:trPr>
        <w:tc>
          <w:tcPr>
            <w:tcW w:w="2307" w:type="pct"/>
            <w:gridSpan w:val="2"/>
          </w:tcPr>
          <w:p w14:paraId="23886F92"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442CF36E"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lang w:val="en-US"/>
              </w:rPr>
              <w:t>p</w:t>
            </w:r>
            <w:r w:rsidRPr="00437528">
              <w:rPr>
                <w:rFonts w:ascii="Times New Roman" w:hAnsi="Times New Roman"/>
                <w:sz w:val="24"/>
                <w:szCs w:val="24"/>
              </w:rPr>
              <w:t>-</w:t>
            </w:r>
            <w:r w:rsidRPr="00437528">
              <w:rPr>
                <w:rFonts w:ascii="Times New Roman" w:hAnsi="Times New Roman"/>
                <w:sz w:val="24"/>
                <w:szCs w:val="24"/>
                <w:lang w:val="en-US"/>
              </w:rPr>
              <w:t>value</w:t>
            </w:r>
            <w:r w:rsidRPr="00437528">
              <w:rPr>
                <w:rFonts w:ascii="Times New Roman" w:hAnsi="Times New Roman"/>
                <w:sz w:val="28"/>
                <w:szCs w:val="28"/>
              </w:rPr>
              <w:sym w:font="Symbol" w:char="F0B0"/>
            </w:r>
          </w:p>
        </w:tc>
        <w:tc>
          <w:tcPr>
            <w:tcW w:w="1057" w:type="pct"/>
          </w:tcPr>
          <w:p w14:paraId="0B839011"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-1,2</w:t>
            </w:r>
          </w:p>
          <w:p w14:paraId="513A8C21"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892" w:type="pct"/>
          </w:tcPr>
          <w:p w14:paraId="4E1EB16B"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-0,7</w:t>
            </w:r>
          </w:p>
          <w:p w14:paraId="0A893123"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745" w:type="pct"/>
          </w:tcPr>
          <w:p w14:paraId="4C2EC855"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0,01</w:t>
            </w:r>
          </w:p>
        </w:tc>
      </w:tr>
      <w:tr w:rsidR="00EF089A" w:rsidRPr="00437528" w14:paraId="3DBE640B" w14:textId="77777777" w:rsidTr="0097271D">
        <w:trPr>
          <w:jc w:val="center"/>
        </w:trPr>
        <w:tc>
          <w:tcPr>
            <w:tcW w:w="1718" w:type="pct"/>
            <w:vMerge w:val="restart"/>
          </w:tcPr>
          <w:p w14:paraId="51CD4E02" w14:textId="77777777" w:rsidR="00EF089A" w:rsidRPr="00437528" w:rsidRDefault="00EF089A" w:rsidP="00441716">
            <w:pPr>
              <w:jc w:val="both"/>
              <w:rPr>
                <w:rFonts w:ascii="Times New Roman" w:hAnsi="Times New Roman"/>
                <w:sz w:val="24"/>
                <w:szCs w:val="24"/>
                <w:lang w:val="en-US"/>
              </w:rPr>
            </w:pPr>
            <w:r w:rsidRPr="00437528">
              <w:rPr>
                <w:rFonts w:ascii="Times New Roman" w:hAnsi="Times New Roman"/>
                <w:sz w:val="24"/>
                <w:szCs w:val="24"/>
              </w:rPr>
              <w:t>Тревожность</w:t>
            </w:r>
            <w:r w:rsidRPr="00437528">
              <w:rPr>
                <w:rFonts w:ascii="Times New Roman" w:hAnsi="Times New Roman"/>
                <w:sz w:val="24"/>
                <w:szCs w:val="24"/>
                <w:lang w:val="en-US"/>
              </w:rPr>
              <w:t>*</w:t>
            </w:r>
          </w:p>
        </w:tc>
        <w:tc>
          <w:tcPr>
            <w:tcW w:w="589" w:type="pct"/>
          </w:tcPr>
          <w:p w14:paraId="4C36784B"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 визит</w:t>
            </w:r>
          </w:p>
        </w:tc>
        <w:tc>
          <w:tcPr>
            <w:tcW w:w="1057" w:type="pct"/>
          </w:tcPr>
          <w:p w14:paraId="60B1BFB8"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2,0 (±</w:t>
            </w:r>
            <w:r w:rsidRPr="00437528">
              <w:rPr>
                <w:rFonts w:ascii="Times New Roman" w:hAnsi="Times New Roman"/>
                <w:sz w:val="24"/>
                <w:szCs w:val="24"/>
                <w:lang w:val="en-US"/>
              </w:rPr>
              <w:t>0,5</w:t>
            </w:r>
            <w:r w:rsidRPr="00437528">
              <w:rPr>
                <w:rFonts w:ascii="Times New Roman" w:hAnsi="Times New Roman"/>
                <w:sz w:val="24"/>
                <w:szCs w:val="24"/>
              </w:rPr>
              <w:t>)</w:t>
            </w:r>
          </w:p>
        </w:tc>
        <w:tc>
          <w:tcPr>
            <w:tcW w:w="892" w:type="pct"/>
          </w:tcPr>
          <w:p w14:paraId="1E14D3F5"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1,8 (±</w:t>
            </w:r>
            <w:r w:rsidRPr="00437528">
              <w:rPr>
                <w:rFonts w:ascii="Times New Roman" w:hAnsi="Times New Roman"/>
                <w:sz w:val="24"/>
                <w:szCs w:val="24"/>
                <w:lang w:val="en-US"/>
              </w:rPr>
              <w:t>0,6</w:t>
            </w:r>
            <w:r w:rsidRPr="00437528">
              <w:rPr>
                <w:rFonts w:ascii="Times New Roman" w:hAnsi="Times New Roman"/>
                <w:sz w:val="24"/>
                <w:szCs w:val="24"/>
              </w:rPr>
              <w:t>)</w:t>
            </w:r>
          </w:p>
        </w:tc>
        <w:tc>
          <w:tcPr>
            <w:tcW w:w="745" w:type="pct"/>
          </w:tcPr>
          <w:p w14:paraId="201416E0" w14:textId="77777777" w:rsidR="00EF089A" w:rsidRPr="00437528" w:rsidRDefault="00EF089A" w:rsidP="00441716">
            <w:pPr>
              <w:jc w:val="both"/>
              <w:rPr>
                <w:rFonts w:ascii="Times New Roman" w:hAnsi="Times New Roman"/>
                <w:sz w:val="24"/>
                <w:szCs w:val="24"/>
              </w:rPr>
            </w:pPr>
          </w:p>
        </w:tc>
      </w:tr>
      <w:tr w:rsidR="00EF089A" w:rsidRPr="00437528" w14:paraId="39E333F6" w14:textId="77777777" w:rsidTr="0097271D">
        <w:trPr>
          <w:jc w:val="center"/>
        </w:trPr>
        <w:tc>
          <w:tcPr>
            <w:tcW w:w="1718" w:type="pct"/>
            <w:vMerge/>
          </w:tcPr>
          <w:p w14:paraId="4C10DD93" w14:textId="77777777" w:rsidR="00EF089A" w:rsidRPr="00437528" w:rsidRDefault="00EF089A" w:rsidP="00441716">
            <w:pPr>
              <w:jc w:val="both"/>
              <w:rPr>
                <w:rFonts w:ascii="Times New Roman" w:hAnsi="Times New Roman"/>
                <w:sz w:val="24"/>
                <w:szCs w:val="24"/>
              </w:rPr>
            </w:pPr>
          </w:p>
        </w:tc>
        <w:tc>
          <w:tcPr>
            <w:tcW w:w="589" w:type="pct"/>
          </w:tcPr>
          <w:p w14:paraId="3E11399A"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3 визит</w:t>
            </w:r>
          </w:p>
        </w:tc>
        <w:tc>
          <w:tcPr>
            <w:tcW w:w="1057" w:type="pct"/>
          </w:tcPr>
          <w:p w14:paraId="35DBA3AF"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0,7 (±</w:t>
            </w:r>
            <w:r w:rsidRPr="00437528">
              <w:rPr>
                <w:rFonts w:ascii="Times New Roman" w:hAnsi="Times New Roman"/>
                <w:sz w:val="24"/>
                <w:szCs w:val="24"/>
                <w:lang w:val="en-US"/>
              </w:rPr>
              <w:t>0,7</w:t>
            </w:r>
            <w:r w:rsidRPr="00437528">
              <w:rPr>
                <w:rFonts w:ascii="Times New Roman" w:hAnsi="Times New Roman"/>
                <w:sz w:val="24"/>
                <w:szCs w:val="24"/>
              </w:rPr>
              <w:t>)</w:t>
            </w:r>
          </w:p>
        </w:tc>
        <w:tc>
          <w:tcPr>
            <w:tcW w:w="892" w:type="pct"/>
          </w:tcPr>
          <w:p w14:paraId="46234924"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0,7 (±</w:t>
            </w:r>
            <w:r w:rsidRPr="00437528">
              <w:rPr>
                <w:rFonts w:ascii="Times New Roman" w:hAnsi="Times New Roman"/>
                <w:sz w:val="24"/>
                <w:szCs w:val="24"/>
                <w:lang w:val="en-US"/>
              </w:rPr>
              <w:t>0,7</w:t>
            </w:r>
            <w:r w:rsidRPr="00437528">
              <w:rPr>
                <w:rFonts w:ascii="Times New Roman" w:hAnsi="Times New Roman"/>
                <w:sz w:val="24"/>
                <w:szCs w:val="24"/>
              </w:rPr>
              <w:t>)</w:t>
            </w:r>
          </w:p>
        </w:tc>
        <w:tc>
          <w:tcPr>
            <w:tcW w:w="745" w:type="pct"/>
          </w:tcPr>
          <w:p w14:paraId="52B9B861" w14:textId="77777777" w:rsidR="00EF089A" w:rsidRPr="00437528" w:rsidRDefault="00EF089A" w:rsidP="00441716">
            <w:pPr>
              <w:jc w:val="both"/>
              <w:rPr>
                <w:rFonts w:ascii="Times New Roman" w:hAnsi="Times New Roman"/>
                <w:sz w:val="24"/>
                <w:szCs w:val="24"/>
              </w:rPr>
            </w:pPr>
          </w:p>
        </w:tc>
      </w:tr>
      <w:tr w:rsidR="00EF089A" w:rsidRPr="00437528" w14:paraId="7B468535" w14:textId="77777777" w:rsidTr="0097271D">
        <w:trPr>
          <w:jc w:val="center"/>
        </w:trPr>
        <w:tc>
          <w:tcPr>
            <w:tcW w:w="2307" w:type="pct"/>
            <w:gridSpan w:val="2"/>
          </w:tcPr>
          <w:p w14:paraId="5C4D2C39"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17A667F7"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lang w:val="en-US"/>
              </w:rPr>
              <w:t>p</w:t>
            </w:r>
            <w:r w:rsidRPr="00437528">
              <w:rPr>
                <w:rFonts w:ascii="Times New Roman" w:hAnsi="Times New Roman"/>
                <w:sz w:val="24"/>
                <w:szCs w:val="24"/>
              </w:rPr>
              <w:t>-</w:t>
            </w:r>
            <w:r w:rsidRPr="00437528">
              <w:rPr>
                <w:rFonts w:ascii="Times New Roman" w:hAnsi="Times New Roman"/>
                <w:sz w:val="24"/>
                <w:szCs w:val="24"/>
                <w:lang w:val="en-US"/>
              </w:rPr>
              <w:t>value</w:t>
            </w:r>
            <w:r w:rsidRPr="00437528">
              <w:rPr>
                <w:rFonts w:ascii="Times New Roman" w:hAnsi="Times New Roman"/>
                <w:sz w:val="28"/>
                <w:szCs w:val="28"/>
              </w:rPr>
              <w:sym w:font="Symbol" w:char="F0B0"/>
            </w:r>
          </w:p>
        </w:tc>
        <w:tc>
          <w:tcPr>
            <w:tcW w:w="1057" w:type="pct"/>
          </w:tcPr>
          <w:p w14:paraId="65EF3FBA"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-1,3</w:t>
            </w:r>
          </w:p>
          <w:p w14:paraId="266CA9F9"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892" w:type="pct"/>
          </w:tcPr>
          <w:p w14:paraId="31C18269"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-1,1</w:t>
            </w:r>
          </w:p>
          <w:p w14:paraId="67B4BE86"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745" w:type="pct"/>
          </w:tcPr>
          <w:p w14:paraId="1BFE065B"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0,3</w:t>
            </w:r>
          </w:p>
        </w:tc>
      </w:tr>
      <w:tr w:rsidR="00EF089A" w:rsidRPr="00437528" w14:paraId="62EDE262" w14:textId="77777777" w:rsidTr="0097271D">
        <w:trPr>
          <w:jc w:val="center"/>
        </w:trPr>
        <w:tc>
          <w:tcPr>
            <w:tcW w:w="1718" w:type="pct"/>
            <w:vMerge w:val="restart"/>
          </w:tcPr>
          <w:p w14:paraId="5B712C47" w14:textId="77777777" w:rsidR="00EF089A" w:rsidRPr="00437528" w:rsidRDefault="00EF089A" w:rsidP="00441716">
            <w:pPr>
              <w:jc w:val="both"/>
              <w:rPr>
                <w:rFonts w:ascii="Times New Roman" w:hAnsi="Times New Roman"/>
                <w:sz w:val="24"/>
                <w:szCs w:val="24"/>
                <w:lang w:val="en-US"/>
              </w:rPr>
            </w:pPr>
            <w:r w:rsidRPr="00437528">
              <w:rPr>
                <w:rFonts w:ascii="Times New Roman" w:hAnsi="Times New Roman"/>
                <w:sz w:val="24"/>
                <w:szCs w:val="24"/>
              </w:rPr>
              <w:t>Головная боль</w:t>
            </w:r>
            <w:r w:rsidRPr="00437528">
              <w:rPr>
                <w:rFonts w:ascii="Times New Roman" w:hAnsi="Times New Roman"/>
                <w:sz w:val="24"/>
                <w:szCs w:val="24"/>
                <w:lang w:val="en-US"/>
              </w:rPr>
              <w:t>*</w:t>
            </w:r>
          </w:p>
        </w:tc>
        <w:tc>
          <w:tcPr>
            <w:tcW w:w="589" w:type="pct"/>
          </w:tcPr>
          <w:p w14:paraId="1FBC7A89"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 визит</w:t>
            </w:r>
          </w:p>
        </w:tc>
        <w:tc>
          <w:tcPr>
            <w:tcW w:w="1057" w:type="pct"/>
          </w:tcPr>
          <w:p w14:paraId="1CB58BF9"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2,1 (±</w:t>
            </w:r>
            <w:r w:rsidRPr="00437528">
              <w:rPr>
                <w:rFonts w:ascii="Times New Roman" w:hAnsi="Times New Roman"/>
                <w:sz w:val="24"/>
                <w:szCs w:val="24"/>
                <w:lang w:val="en-US"/>
              </w:rPr>
              <w:t>0,4</w:t>
            </w:r>
            <w:r w:rsidRPr="00437528">
              <w:rPr>
                <w:rFonts w:ascii="Times New Roman" w:hAnsi="Times New Roman"/>
                <w:sz w:val="24"/>
                <w:szCs w:val="24"/>
              </w:rPr>
              <w:t>)</w:t>
            </w:r>
          </w:p>
        </w:tc>
        <w:tc>
          <w:tcPr>
            <w:tcW w:w="892" w:type="pct"/>
          </w:tcPr>
          <w:p w14:paraId="7BC79DC1"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1,8 (±</w:t>
            </w:r>
            <w:r w:rsidRPr="00437528">
              <w:rPr>
                <w:rFonts w:ascii="Times New Roman" w:hAnsi="Times New Roman"/>
                <w:sz w:val="24"/>
                <w:szCs w:val="24"/>
                <w:lang w:val="en-US"/>
              </w:rPr>
              <w:t>0,</w:t>
            </w:r>
            <w:r w:rsidRPr="00437528">
              <w:rPr>
                <w:rFonts w:ascii="Times New Roman" w:hAnsi="Times New Roman"/>
                <w:sz w:val="24"/>
                <w:szCs w:val="24"/>
              </w:rPr>
              <w:t>6)</w:t>
            </w:r>
          </w:p>
        </w:tc>
        <w:tc>
          <w:tcPr>
            <w:tcW w:w="745" w:type="pct"/>
          </w:tcPr>
          <w:p w14:paraId="33FBEE33" w14:textId="77777777" w:rsidR="00EF089A" w:rsidRPr="00437528" w:rsidRDefault="00EF089A" w:rsidP="00441716">
            <w:pPr>
              <w:jc w:val="both"/>
              <w:rPr>
                <w:rFonts w:ascii="Times New Roman" w:hAnsi="Times New Roman"/>
                <w:sz w:val="24"/>
                <w:szCs w:val="24"/>
              </w:rPr>
            </w:pPr>
          </w:p>
        </w:tc>
      </w:tr>
      <w:tr w:rsidR="00EF089A" w:rsidRPr="00437528" w14:paraId="24FE2082" w14:textId="77777777" w:rsidTr="0097271D">
        <w:trPr>
          <w:jc w:val="center"/>
        </w:trPr>
        <w:tc>
          <w:tcPr>
            <w:tcW w:w="1718" w:type="pct"/>
            <w:vMerge/>
          </w:tcPr>
          <w:p w14:paraId="5B12AADB" w14:textId="77777777" w:rsidR="00EF089A" w:rsidRPr="00437528" w:rsidRDefault="00EF089A" w:rsidP="00441716">
            <w:pPr>
              <w:jc w:val="both"/>
              <w:rPr>
                <w:rFonts w:ascii="Times New Roman" w:hAnsi="Times New Roman"/>
                <w:sz w:val="24"/>
                <w:szCs w:val="24"/>
              </w:rPr>
            </w:pPr>
          </w:p>
        </w:tc>
        <w:tc>
          <w:tcPr>
            <w:tcW w:w="589" w:type="pct"/>
          </w:tcPr>
          <w:p w14:paraId="76318AEB"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3 визит</w:t>
            </w:r>
          </w:p>
        </w:tc>
        <w:tc>
          <w:tcPr>
            <w:tcW w:w="1057" w:type="pct"/>
          </w:tcPr>
          <w:p w14:paraId="65AB40C5"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1,1 (±</w:t>
            </w:r>
            <w:r w:rsidRPr="00437528">
              <w:rPr>
                <w:rFonts w:ascii="Times New Roman" w:hAnsi="Times New Roman"/>
                <w:sz w:val="24"/>
                <w:szCs w:val="24"/>
                <w:lang w:val="en-US"/>
              </w:rPr>
              <w:t>0,4</w:t>
            </w:r>
            <w:r w:rsidRPr="00437528">
              <w:rPr>
                <w:rFonts w:ascii="Times New Roman" w:hAnsi="Times New Roman"/>
                <w:sz w:val="24"/>
                <w:szCs w:val="24"/>
              </w:rPr>
              <w:t>)</w:t>
            </w:r>
          </w:p>
        </w:tc>
        <w:tc>
          <w:tcPr>
            <w:tcW w:w="892" w:type="pct"/>
          </w:tcPr>
          <w:p w14:paraId="75E0B8E1"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1,1 (±</w:t>
            </w:r>
            <w:r w:rsidRPr="00437528">
              <w:rPr>
                <w:rFonts w:ascii="Times New Roman" w:hAnsi="Times New Roman"/>
                <w:sz w:val="24"/>
                <w:szCs w:val="24"/>
                <w:lang w:val="en-US"/>
              </w:rPr>
              <w:t>0,7</w:t>
            </w:r>
            <w:r w:rsidRPr="00437528">
              <w:rPr>
                <w:rFonts w:ascii="Times New Roman" w:hAnsi="Times New Roman"/>
                <w:sz w:val="24"/>
                <w:szCs w:val="24"/>
              </w:rPr>
              <w:t>)</w:t>
            </w:r>
          </w:p>
        </w:tc>
        <w:tc>
          <w:tcPr>
            <w:tcW w:w="745" w:type="pct"/>
          </w:tcPr>
          <w:p w14:paraId="49217E7B" w14:textId="77777777" w:rsidR="00EF089A" w:rsidRPr="00437528" w:rsidRDefault="00EF089A" w:rsidP="00441716">
            <w:pPr>
              <w:jc w:val="both"/>
              <w:rPr>
                <w:rFonts w:ascii="Times New Roman" w:hAnsi="Times New Roman"/>
                <w:sz w:val="24"/>
                <w:szCs w:val="24"/>
              </w:rPr>
            </w:pPr>
          </w:p>
        </w:tc>
      </w:tr>
      <w:tr w:rsidR="00EF089A" w:rsidRPr="00437528" w14:paraId="2BC34620" w14:textId="77777777" w:rsidTr="0097271D">
        <w:trPr>
          <w:jc w:val="center"/>
        </w:trPr>
        <w:tc>
          <w:tcPr>
            <w:tcW w:w="2307" w:type="pct"/>
            <w:gridSpan w:val="2"/>
          </w:tcPr>
          <w:p w14:paraId="4431DD50"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480427D8"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lang w:val="en-US"/>
              </w:rPr>
              <w:t>p</w:t>
            </w:r>
            <w:r w:rsidRPr="00437528">
              <w:rPr>
                <w:rFonts w:ascii="Times New Roman" w:hAnsi="Times New Roman"/>
                <w:sz w:val="24"/>
                <w:szCs w:val="24"/>
              </w:rPr>
              <w:t>-</w:t>
            </w:r>
            <w:r w:rsidRPr="00437528">
              <w:rPr>
                <w:rFonts w:ascii="Times New Roman" w:hAnsi="Times New Roman"/>
                <w:sz w:val="24"/>
                <w:szCs w:val="24"/>
                <w:lang w:val="en-US"/>
              </w:rPr>
              <w:t>value</w:t>
            </w:r>
            <w:r w:rsidRPr="00437528">
              <w:rPr>
                <w:rFonts w:ascii="Times New Roman" w:hAnsi="Times New Roman"/>
                <w:sz w:val="28"/>
                <w:szCs w:val="28"/>
              </w:rPr>
              <w:sym w:font="Symbol" w:char="F0B0"/>
            </w:r>
          </w:p>
        </w:tc>
        <w:tc>
          <w:tcPr>
            <w:tcW w:w="1057" w:type="pct"/>
          </w:tcPr>
          <w:p w14:paraId="627964E1"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-1,0</w:t>
            </w:r>
          </w:p>
          <w:p w14:paraId="661FFCA7"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892" w:type="pct"/>
          </w:tcPr>
          <w:p w14:paraId="742C889A"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-0,7</w:t>
            </w:r>
          </w:p>
          <w:p w14:paraId="6B817866"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745" w:type="pct"/>
          </w:tcPr>
          <w:p w14:paraId="60F4D604"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0,07</w:t>
            </w:r>
          </w:p>
        </w:tc>
      </w:tr>
      <w:tr w:rsidR="00EF089A" w:rsidRPr="00437528" w14:paraId="15BBC3CA" w14:textId="77777777" w:rsidTr="0097271D">
        <w:trPr>
          <w:jc w:val="center"/>
        </w:trPr>
        <w:tc>
          <w:tcPr>
            <w:tcW w:w="1718" w:type="pct"/>
            <w:vMerge w:val="restart"/>
          </w:tcPr>
          <w:p w14:paraId="7D65F7F6" w14:textId="77777777" w:rsidR="00EF089A" w:rsidRPr="00437528" w:rsidRDefault="00EF089A" w:rsidP="00441716">
            <w:pPr>
              <w:jc w:val="both"/>
              <w:rPr>
                <w:rFonts w:ascii="Times New Roman" w:hAnsi="Times New Roman"/>
                <w:sz w:val="24"/>
                <w:szCs w:val="24"/>
                <w:lang w:val="en-US"/>
              </w:rPr>
            </w:pPr>
            <w:r w:rsidRPr="00437528">
              <w:rPr>
                <w:rFonts w:ascii="Times New Roman" w:hAnsi="Times New Roman"/>
                <w:sz w:val="24"/>
                <w:szCs w:val="24"/>
              </w:rPr>
              <w:t>Усталость</w:t>
            </w:r>
            <w:r w:rsidRPr="00437528">
              <w:rPr>
                <w:rFonts w:ascii="Times New Roman" w:hAnsi="Times New Roman"/>
                <w:sz w:val="24"/>
                <w:szCs w:val="24"/>
                <w:lang w:val="en-US"/>
              </w:rPr>
              <w:t>*</w:t>
            </w:r>
          </w:p>
        </w:tc>
        <w:tc>
          <w:tcPr>
            <w:tcW w:w="589" w:type="pct"/>
          </w:tcPr>
          <w:p w14:paraId="4BE69D5D"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 визит</w:t>
            </w:r>
          </w:p>
        </w:tc>
        <w:tc>
          <w:tcPr>
            <w:tcW w:w="1057" w:type="pct"/>
          </w:tcPr>
          <w:p w14:paraId="692FE282"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2,0 (±</w:t>
            </w:r>
            <w:r w:rsidRPr="00437528">
              <w:rPr>
                <w:rFonts w:ascii="Times New Roman" w:hAnsi="Times New Roman"/>
                <w:sz w:val="24"/>
                <w:szCs w:val="24"/>
                <w:lang w:val="en-US"/>
              </w:rPr>
              <w:t>0,6</w:t>
            </w:r>
            <w:r w:rsidRPr="00437528">
              <w:rPr>
                <w:rFonts w:ascii="Times New Roman" w:hAnsi="Times New Roman"/>
                <w:sz w:val="24"/>
                <w:szCs w:val="24"/>
              </w:rPr>
              <w:t>)</w:t>
            </w:r>
          </w:p>
        </w:tc>
        <w:tc>
          <w:tcPr>
            <w:tcW w:w="892" w:type="pct"/>
          </w:tcPr>
          <w:p w14:paraId="6D117A61"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1,9 (±</w:t>
            </w:r>
            <w:r w:rsidRPr="00437528">
              <w:rPr>
                <w:rFonts w:ascii="Times New Roman" w:hAnsi="Times New Roman"/>
                <w:sz w:val="24"/>
                <w:szCs w:val="24"/>
                <w:lang w:val="en-US"/>
              </w:rPr>
              <w:t>0,5</w:t>
            </w:r>
            <w:r w:rsidRPr="00437528">
              <w:rPr>
                <w:rFonts w:ascii="Times New Roman" w:hAnsi="Times New Roman"/>
                <w:sz w:val="24"/>
                <w:szCs w:val="24"/>
              </w:rPr>
              <w:t>)</w:t>
            </w:r>
          </w:p>
        </w:tc>
        <w:tc>
          <w:tcPr>
            <w:tcW w:w="745" w:type="pct"/>
          </w:tcPr>
          <w:p w14:paraId="5290BD52" w14:textId="77777777" w:rsidR="00EF089A" w:rsidRPr="00437528" w:rsidRDefault="00EF089A" w:rsidP="00441716">
            <w:pPr>
              <w:jc w:val="both"/>
              <w:rPr>
                <w:rFonts w:ascii="Times New Roman" w:hAnsi="Times New Roman"/>
                <w:sz w:val="24"/>
                <w:szCs w:val="24"/>
              </w:rPr>
            </w:pPr>
          </w:p>
        </w:tc>
      </w:tr>
      <w:tr w:rsidR="00EF089A" w:rsidRPr="00437528" w14:paraId="418141BE" w14:textId="77777777" w:rsidTr="0097271D">
        <w:trPr>
          <w:jc w:val="center"/>
        </w:trPr>
        <w:tc>
          <w:tcPr>
            <w:tcW w:w="1718" w:type="pct"/>
            <w:vMerge/>
          </w:tcPr>
          <w:p w14:paraId="5F52DD6B" w14:textId="77777777" w:rsidR="00EF089A" w:rsidRPr="00437528" w:rsidRDefault="00EF089A" w:rsidP="00441716">
            <w:pPr>
              <w:jc w:val="both"/>
              <w:rPr>
                <w:rFonts w:ascii="Times New Roman" w:hAnsi="Times New Roman"/>
                <w:sz w:val="24"/>
                <w:szCs w:val="24"/>
              </w:rPr>
            </w:pPr>
          </w:p>
        </w:tc>
        <w:tc>
          <w:tcPr>
            <w:tcW w:w="589" w:type="pct"/>
          </w:tcPr>
          <w:p w14:paraId="09054530"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3 визит</w:t>
            </w:r>
          </w:p>
        </w:tc>
        <w:tc>
          <w:tcPr>
            <w:tcW w:w="1057" w:type="pct"/>
          </w:tcPr>
          <w:p w14:paraId="2A3C0AD2"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1,1 (±</w:t>
            </w:r>
            <w:r w:rsidRPr="00437528">
              <w:rPr>
                <w:rFonts w:ascii="Times New Roman" w:hAnsi="Times New Roman"/>
                <w:sz w:val="24"/>
                <w:szCs w:val="24"/>
                <w:lang w:val="en-US"/>
              </w:rPr>
              <w:t>0,6</w:t>
            </w:r>
            <w:r w:rsidRPr="00437528">
              <w:rPr>
                <w:rFonts w:ascii="Times New Roman" w:hAnsi="Times New Roman"/>
                <w:sz w:val="24"/>
                <w:szCs w:val="24"/>
              </w:rPr>
              <w:t>)</w:t>
            </w:r>
          </w:p>
        </w:tc>
        <w:tc>
          <w:tcPr>
            <w:tcW w:w="892" w:type="pct"/>
          </w:tcPr>
          <w:p w14:paraId="5C77DF99"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1,2 (±</w:t>
            </w:r>
            <w:r w:rsidRPr="00437528">
              <w:rPr>
                <w:rFonts w:ascii="Times New Roman" w:hAnsi="Times New Roman"/>
                <w:sz w:val="24"/>
                <w:szCs w:val="24"/>
                <w:lang w:val="en-US"/>
              </w:rPr>
              <w:t>0,7</w:t>
            </w:r>
            <w:r w:rsidRPr="00437528">
              <w:rPr>
                <w:rFonts w:ascii="Times New Roman" w:hAnsi="Times New Roman"/>
                <w:sz w:val="24"/>
                <w:szCs w:val="24"/>
              </w:rPr>
              <w:t>)</w:t>
            </w:r>
          </w:p>
        </w:tc>
        <w:tc>
          <w:tcPr>
            <w:tcW w:w="745" w:type="pct"/>
          </w:tcPr>
          <w:p w14:paraId="7DC9CB18" w14:textId="77777777" w:rsidR="00EF089A" w:rsidRPr="00437528" w:rsidRDefault="00EF089A" w:rsidP="00441716">
            <w:pPr>
              <w:jc w:val="both"/>
              <w:rPr>
                <w:rFonts w:ascii="Times New Roman" w:hAnsi="Times New Roman"/>
                <w:sz w:val="24"/>
                <w:szCs w:val="24"/>
              </w:rPr>
            </w:pPr>
          </w:p>
        </w:tc>
      </w:tr>
      <w:tr w:rsidR="00EF089A" w:rsidRPr="00437528" w14:paraId="0DE7DFDB" w14:textId="77777777" w:rsidTr="0097271D">
        <w:trPr>
          <w:jc w:val="center"/>
        </w:trPr>
        <w:tc>
          <w:tcPr>
            <w:tcW w:w="2307" w:type="pct"/>
            <w:gridSpan w:val="2"/>
          </w:tcPr>
          <w:p w14:paraId="16C3F0C4"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75F84167"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lang w:val="en-US"/>
              </w:rPr>
              <w:t>p</w:t>
            </w:r>
            <w:r w:rsidRPr="00437528">
              <w:rPr>
                <w:rFonts w:ascii="Times New Roman" w:hAnsi="Times New Roman"/>
                <w:sz w:val="24"/>
                <w:szCs w:val="24"/>
              </w:rPr>
              <w:t>-</w:t>
            </w:r>
            <w:r w:rsidRPr="00437528">
              <w:rPr>
                <w:rFonts w:ascii="Times New Roman" w:hAnsi="Times New Roman"/>
                <w:sz w:val="24"/>
                <w:szCs w:val="24"/>
                <w:lang w:val="en-US"/>
              </w:rPr>
              <w:t>value</w:t>
            </w:r>
            <w:r w:rsidRPr="00437528">
              <w:rPr>
                <w:rFonts w:ascii="Times New Roman" w:hAnsi="Times New Roman"/>
                <w:sz w:val="28"/>
                <w:szCs w:val="28"/>
              </w:rPr>
              <w:sym w:font="Symbol" w:char="F0B0"/>
            </w:r>
          </w:p>
        </w:tc>
        <w:tc>
          <w:tcPr>
            <w:tcW w:w="1057" w:type="pct"/>
          </w:tcPr>
          <w:p w14:paraId="4FF20115"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-0,9</w:t>
            </w:r>
          </w:p>
          <w:p w14:paraId="1220556E"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892" w:type="pct"/>
          </w:tcPr>
          <w:p w14:paraId="7D7A056B"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-0,7</w:t>
            </w:r>
          </w:p>
          <w:p w14:paraId="4D2EDD5F"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745" w:type="pct"/>
          </w:tcPr>
          <w:p w14:paraId="19EF56F6"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0,3</w:t>
            </w:r>
          </w:p>
        </w:tc>
      </w:tr>
      <w:tr w:rsidR="00EF089A" w:rsidRPr="00437528" w14:paraId="19241E67" w14:textId="77777777" w:rsidTr="0097271D">
        <w:trPr>
          <w:jc w:val="center"/>
        </w:trPr>
        <w:tc>
          <w:tcPr>
            <w:tcW w:w="1718" w:type="pct"/>
            <w:vMerge w:val="restart"/>
          </w:tcPr>
          <w:p w14:paraId="138388C9" w14:textId="77777777" w:rsidR="00EF089A" w:rsidRPr="00437528" w:rsidRDefault="00EF089A" w:rsidP="00441716">
            <w:pPr>
              <w:jc w:val="both"/>
              <w:rPr>
                <w:rFonts w:ascii="Times New Roman" w:hAnsi="Times New Roman"/>
                <w:sz w:val="24"/>
                <w:szCs w:val="24"/>
                <w:lang w:val="en-US"/>
              </w:rPr>
            </w:pPr>
            <w:r w:rsidRPr="00437528">
              <w:rPr>
                <w:rFonts w:ascii="Times New Roman" w:hAnsi="Times New Roman"/>
                <w:sz w:val="24"/>
                <w:szCs w:val="24"/>
              </w:rPr>
              <w:t>Рассеянность</w:t>
            </w:r>
            <w:r w:rsidRPr="00437528">
              <w:rPr>
                <w:rFonts w:ascii="Times New Roman" w:hAnsi="Times New Roman"/>
                <w:sz w:val="24"/>
                <w:szCs w:val="24"/>
                <w:lang w:val="en-US"/>
              </w:rPr>
              <w:t>*</w:t>
            </w:r>
          </w:p>
        </w:tc>
        <w:tc>
          <w:tcPr>
            <w:tcW w:w="589" w:type="pct"/>
          </w:tcPr>
          <w:p w14:paraId="382351A6"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 визит</w:t>
            </w:r>
          </w:p>
        </w:tc>
        <w:tc>
          <w:tcPr>
            <w:tcW w:w="1057" w:type="pct"/>
          </w:tcPr>
          <w:p w14:paraId="3E0023D9"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2,0 (±</w:t>
            </w:r>
            <w:r w:rsidRPr="00437528">
              <w:rPr>
                <w:rFonts w:ascii="Times New Roman" w:hAnsi="Times New Roman"/>
                <w:sz w:val="24"/>
                <w:szCs w:val="24"/>
                <w:lang w:val="en-US"/>
              </w:rPr>
              <w:t>0,6</w:t>
            </w:r>
            <w:r w:rsidRPr="00437528">
              <w:rPr>
                <w:rFonts w:ascii="Times New Roman" w:hAnsi="Times New Roman"/>
                <w:sz w:val="24"/>
                <w:szCs w:val="24"/>
              </w:rPr>
              <w:t>)</w:t>
            </w:r>
          </w:p>
        </w:tc>
        <w:tc>
          <w:tcPr>
            <w:tcW w:w="892" w:type="pct"/>
          </w:tcPr>
          <w:p w14:paraId="266C0DCE"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2,0 (±</w:t>
            </w:r>
            <w:r w:rsidRPr="00437528">
              <w:rPr>
                <w:rFonts w:ascii="Times New Roman" w:hAnsi="Times New Roman"/>
                <w:sz w:val="24"/>
                <w:szCs w:val="24"/>
                <w:lang w:val="en-US"/>
              </w:rPr>
              <w:t>0,5</w:t>
            </w:r>
            <w:r w:rsidRPr="00437528">
              <w:rPr>
                <w:rFonts w:ascii="Times New Roman" w:hAnsi="Times New Roman"/>
                <w:sz w:val="24"/>
                <w:szCs w:val="24"/>
              </w:rPr>
              <w:t>)</w:t>
            </w:r>
          </w:p>
        </w:tc>
        <w:tc>
          <w:tcPr>
            <w:tcW w:w="745" w:type="pct"/>
          </w:tcPr>
          <w:p w14:paraId="1A5A66BD" w14:textId="77777777" w:rsidR="00EF089A" w:rsidRPr="00437528" w:rsidRDefault="00EF089A" w:rsidP="00441716">
            <w:pPr>
              <w:jc w:val="both"/>
              <w:rPr>
                <w:rFonts w:ascii="Times New Roman" w:hAnsi="Times New Roman"/>
                <w:sz w:val="24"/>
                <w:szCs w:val="24"/>
              </w:rPr>
            </w:pPr>
          </w:p>
        </w:tc>
      </w:tr>
      <w:tr w:rsidR="00EF089A" w:rsidRPr="00437528" w14:paraId="1745AEB8" w14:textId="77777777" w:rsidTr="0097271D">
        <w:trPr>
          <w:jc w:val="center"/>
        </w:trPr>
        <w:tc>
          <w:tcPr>
            <w:tcW w:w="1718" w:type="pct"/>
            <w:vMerge/>
          </w:tcPr>
          <w:p w14:paraId="19AF22AC" w14:textId="77777777" w:rsidR="00EF089A" w:rsidRPr="00437528" w:rsidRDefault="00EF089A" w:rsidP="00441716">
            <w:pPr>
              <w:jc w:val="both"/>
              <w:rPr>
                <w:rFonts w:ascii="Times New Roman" w:hAnsi="Times New Roman"/>
                <w:sz w:val="24"/>
                <w:szCs w:val="24"/>
              </w:rPr>
            </w:pPr>
          </w:p>
        </w:tc>
        <w:tc>
          <w:tcPr>
            <w:tcW w:w="589" w:type="pct"/>
          </w:tcPr>
          <w:p w14:paraId="6ED1DE5F"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3 визит</w:t>
            </w:r>
          </w:p>
        </w:tc>
        <w:tc>
          <w:tcPr>
            <w:tcW w:w="1057" w:type="pct"/>
          </w:tcPr>
          <w:p w14:paraId="044CE411"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1,0 (±</w:t>
            </w:r>
            <w:r w:rsidRPr="00437528">
              <w:rPr>
                <w:rFonts w:ascii="Times New Roman" w:hAnsi="Times New Roman"/>
                <w:sz w:val="24"/>
                <w:szCs w:val="24"/>
                <w:lang w:val="en-US"/>
              </w:rPr>
              <w:t>0,7</w:t>
            </w:r>
            <w:r w:rsidRPr="00437528">
              <w:rPr>
                <w:rFonts w:ascii="Times New Roman" w:hAnsi="Times New Roman"/>
                <w:sz w:val="24"/>
                <w:szCs w:val="24"/>
              </w:rPr>
              <w:t>)</w:t>
            </w:r>
          </w:p>
        </w:tc>
        <w:tc>
          <w:tcPr>
            <w:tcW w:w="892" w:type="pct"/>
          </w:tcPr>
          <w:p w14:paraId="14D615E7"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1,0 (±</w:t>
            </w:r>
            <w:r w:rsidRPr="00437528">
              <w:rPr>
                <w:rFonts w:ascii="Times New Roman" w:hAnsi="Times New Roman"/>
                <w:sz w:val="24"/>
                <w:szCs w:val="24"/>
                <w:lang w:val="en-US"/>
              </w:rPr>
              <w:t>0,9</w:t>
            </w:r>
            <w:r w:rsidRPr="00437528">
              <w:rPr>
                <w:rFonts w:ascii="Times New Roman" w:hAnsi="Times New Roman"/>
                <w:sz w:val="24"/>
                <w:szCs w:val="24"/>
              </w:rPr>
              <w:t>)</w:t>
            </w:r>
          </w:p>
        </w:tc>
        <w:tc>
          <w:tcPr>
            <w:tcW w:w="745" w:type="pct"/>
          </w:tcPr>
          <w:p w14:paraId="7412FB75" w14:textId="77777777" w:rsidR="00EF089A" w:rsidRPr="00437528" w:rsidRDefault="00EF089A" w:rsidP="00441716">
            <w:pPr>
              <w:jc w:val="both"/>
              <w:rPr>
                <w:rFonts w:ascii="Times New Roman" w:hAnsi="Times New Roman"/>
                <w:sz w:val="24"/>
                <w:szCs w:val="24"/>
              </w:rPr>
            </w:pPr>
          </w:p>
        </w:tc>
      </w:tr>
      <w:tr w:rsidR="00EF089A" w:rsidRPr="00437528" w14:paraId="12F5D1D0" w14:textId="77777777" w:rsidTr="0097271D">
        <w:trPr>
          <w:jc w:val="center"/>
        </w:trPr>
        <w:tc>
          <w:tcPr>
            <w:tcW w:w="2307" w:type="pct"/>
            <w:gridSpan w:val="2"/>
          </w:tcPr>
          <w:p w14:paraId="674C7C05"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7C3EA7FA"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lang w:val="en-US"/>
              </w:rPr>
              <w:t>p</w:t>
            </w:r>
            <w:r w:rsidRPr="00437528">
              <w:rPr>
                <w:rFonts w:ascii="Times New Roman" w:hAnsi="Times New Roman"/>
                <w:sz w:val="24"/>
                <w:szCs w:val="24"/>
              </w:rPr>
              <w:t>-</w:t>
            </w:r>
            <w:r w:rsidRPr="00437528">
              <w:rPr>
                <w:rFonts w:ascii="Times New Roman" w:hAnsi="Times New Roman"/>
                <w:sz w:val="24"/>
                <w:szCs w:val="24"/>
                <w:lang w:val="en-US"/>
              </w:rPr>
              <w:t>value</w:t>
            </w:r>
            <w:r w:rsidRPr="00437528">
              <w:rPr>
                <w:rFonts w:ascii="Times New Roman" w:hAnsi="Times New Roman"/>
                <w:sz w:val="28"/>
                <w:szCs w:val="28"/>
              </w:rPr>
              <w:sym w:font="Symbol" w:char="F0B0"/>
            </w:r>
          </w:p>
        </w:tc>
        <w:tc>
          <w:tcPr>
            <w:tcW w:w="1057" w:type="pct"/>
          </w:tcPr>
          <w:p w14:paraId="0ABF0BB3"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-1,0</w:t>
            </w:r>
          </w:p>
          <w:p w14:paraId="5E307877"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892" w:type="pct"/>
          </w:tcPr>
          <w:p w14:paraId="048A4E0B"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-1,0</w:t>
            </w:r>
          </w:p>
          <w:p w14:paraId="48E0A32F"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745" w:type="pct"/>
          </w:tcPr>
          <w:p w14:paraId="6CE11BD6" w14:textId="77777777" w:rsidR="00EF089A" w:rsidRPr="006146D2" w:rsidRDefault="00EF089A" w:rsidP="00441716">
            <w:pPr>
              <w:jc w:val="both"/>
              <w:rPr>
                <w:rFonts w:ascii="Times New Roman" w:hAnsi="Times New Roman"/>
                <w:sz w:val="24"/>
                <w:szCs w:val="24"/>
              </w:rPr>
            </w:pPr>
            <w:r w:rsidRPr="006146D2">
              <w:rPr>
                <w:rFonts w:ascii="Times New Roman" w:hAnsi="Times New Roman"/>
                <w:sz w:val="24"/>
                <w:szCs w:val="24"/>
              </w:rPr>
              <w:t>0,9</w:t>
            </w:r>
          </w:p>
        </w:tc>
      </w:tr>
      <w:tr w:rsidR="006A01A3" w:rsidRPr="00437528" w14:paraId="2C5B4396" w14:textId="77777777" w:rsidTr="0097271D">
        <w:trPr>
          <w:jc w:val="center"/>
        </w:trPr>
        <w:tc>
          <w:tcPr>
            <w:tcW w:w="1718" w:type="pct"/>
            <w:vMerge w:val="restart"/>
            <w:vAlign w:val="center"/>
          </w:tcPr>
          <w:p w14:paraId="7B7ECFC8" w14:textId="77777777" w:rsidR="006A01A3" w:rsidRPr="00437528" w:rsidRDefault="006A01A3" w:rsidP="006A01A3">
            <w:pPr>
              <w:jc w:val="both"/>
              <w:rPr>
                <w:rFonts w:ascii="Times New Roman" w:hAnsi="Times New Roman"/>
                <w:sz w:val="24"/>
                <w:szCs w:val="24"/>
                <w:lang w:val="en-US"/>
              </w:rPr>
            </w:pPr>
            <w:r w:rsidRPr="00437528">
              <w:rPr>
                <w:rFonts w:ascii="Times New Roman" w:hAnsi="Times New Roman"/>
                <w:sz w:val="24"/>
                <w:szCs w:val="24"/>
              </w:rPr>
              <w:t xml:space="preserve">Общий балл качества жизни </w:t>
            </w:r>
            <w:r w:rsidRPr="00437528">
              <w:rPr>
                <w:rFonts w:ascii="Times New Roman" w:hAnsi="Times New Roman"/>
                <w:sz w:val="24"/>
                <w:szCs w:val="24"/>
                <w:lang w:val="en-US"/>
              </w:rPr>
              <w:t>**</w:t>
            </w:r>
          </w:p>
        </w:tc>
        <w:tc>
          <w:tcPr>
            <w:tcW w:w="589" w:type="pct"/>
          </w:tcPr>
          <w:p w14:paraId="4AF626D7"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1 визит</w:t>
            </w:r>
          </w:p>
        </w:tc>
        <w:tc>
          <w:tcPr>
            <w:tcW w:w="1057" w:type="pct"/>
            <w:vAlign w:val="center"/>
          </w:tcPr>
          <w:p w14:paraId="603CD142"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19 (17-20)</w:t>
            </w:r>
          </w:p>
        </w:tc>
        <w:tc>
          <w:tcPr>
            <w:tcW w:w="892" w:type="pct"/>
            <w:vAlign w:val="center"/>
          </w:tcPr>
          <w:p w14:paraId="1834B1F0" w14:textId="51B8B63F" w:rsidR="006A01A3" w:rsidRPr="00437528" w:rsidRDefault="006A01A3" w:rsidP="006A01A3">
            <w:pPr>
              <w:jc w:val="both"/>
              <w:rPr>
                <w:rFonts w:ascii="Times New Roman" w:hAnsi="Times New Roman"/>
                <w:sz w:val="24"/>
                <w:szCs w:val="24"/>
              </w:rPr>
            </w:pPr>
            <w:r>
              <w:rPr>
                <w:rFonts w:ascii="Times New Roman" w:hAnsi="Times New Roman"/>
                <w:sz w:val="24"/>
                <w:szCs w:val="24"/>
              </w:rPr>
              <w:t>19 (15</w:t>
            </w:r>
            <w:r w:rsidRPr="00437528">
              <w:rPr>
                <w:rFonts w:ascii="Times New Roman" w:hAnsi="Times New Roman"/>
                <w:sz w:val="24"/>
                <w:szCs w:val="24"/>
              </w:rPr>
              <w:t>-20)</w:t>
            </w:r>
          </w:p>
        </w:tc>
        <w:tc>
          <w:tcPr>
            <w:tcW w:w="745" w:type="pct"/>
          </w:tcPr>
          <w:p w14:paraId="389AF950" w14:textId="5AD1D9FB" w:rsidR="006A01A3" w:rsidRPr="006146D2" w:rsidRDefault="006A01A3" w:rsidP="006A01A3">
            <w:pPr>
              <w:jc w:val="both"/>
              <w:rPr>
                <w:rFonts w:ascii="Times New Roman" w:hAnsi="Times New Roman"/>
                <w:sz w:val="24"/>
                <w:szCs w:val="24"/>
              </w:rPr>
            </w:pPr>
            <w:r w:rsidRPr="006146D2">
              <w:rPr>
                <w:rFonts w:ascii="Times New Roman" w:eastAsiaTheme="minorHAnsi" w:hAnsi="Times New Roman"/>
                <w:sz w:val="24"/>
                <w:szCs w:val="24"/>
              </w:rPr>
              <w:t>0,5</w:t>
            </w:r>
          </w:p>
        </w:tc>
      </w:tr>
      <w:tr w:rsidR="006A01A3" w:rsidRPr="00437528" w14:paraId="536CD0A9" w14:textId="77777777" w:rsidTr="0097271D">
        <w:trPr>
          <w:jc w:val="center"/>
        </w:trPr>
        <w:tc>
          <w:tcPr>
            <w:tcW w:w="1718" w:type="pct"/>
            <w:vMerge/>
            <w:vAlign w:val="center"/>
          </w:tcPr>
          <w:p w14:paraId="443C9CF2" w14:textId="77777777" w:rsidR="006A01A3" w:rsidRPr="00437528" w:rsidRDefault="006A01A3" w:rsidP="006A01A3">
            <w:pPr>
              <w:jc w:val="both"/>
              <w:rPr>
                <w:rFonts w:ascii="Times New Roman" w:hAnsi="Times New Roman"/>
                <w:sz w:val="24"/>
                <w:szCs w:val="24"/>
              </w:rPr>
            </w:pPr>
          </w:p>
        </w:tc>
        <w:tc>
          <w:tcPr>
            <w:tcW w:w="589" w:type="pct"/>
          </w:tcPr>
          <w:p w14:paraId="645DC661" w14:textId="77777777" w:rsidR="006A01A3" w:rsidRPr="00437528" w:rsidRDefault="006A01A3" w:rsidP="006A01A3">
            <w:pPr>
              <w:jc w:val="both"/>
              <w:rPr>
                <w:rFonts w:ascii="Times New Roman" w:hAnsi="Times New Roman"/>
                <w:sz w:val="24"/>
                <w:szCs w:val="24"/>
              </w:rPr>
            </w:pPr>
            <w:r w:rsidRPr="00437528">
              <w:rPr>
                <w:rFonts w:ascii="Times New Roman" w:hAnsi="Times New Roman"/>
                <w:sz w:val="24"/>
                <w:szCs w:val="24"/>
              </w:rPr>
              <w:t>3 визит</w:t>
            </w:r>
          </w:p>
        </w:tc>
        <w:tc>
          <w:tcPr>
            <w:tcW w:w="1057" w:type="pct"/>
            <w:vAlign w:val="center"/>
          </w:tcPr>
          <w:p w14:paraId="7C90689A" w14:textId="79DF7491" w:rsidR="006A01A3" w:rsidRPr="00437528" w:rsidRDefault="006A01A3" w:rsidP="006A01A3">
            <w:pPr>
              <w:jc w:val="both"/>
              <w:rPr>
                <w:rFonts w:ascii="Times New Roman" w:hAnsi="Times New Roman"/>
                <w:sz w:val="24"/>
                <w:szCs w:val="24"/>
              </w:rPr>
            </w:pPr>
            <w:r>
              <w:rPr>
                <w:rFonts w:ascii="Times New Roman" w:hAnsi="Times New Roman"/>
                <w:sz w:val="24"/>
                <w:szCs w:val="24"/>
              </w:rPr>
              <w:t>7 (5-9</w:t>
            </w:r>
            <w:r w:rsidRPr="00437528">
              <w:rPr>
                <w:rFonts w:ascii="Times New Roman" w:hAnsi="Times New Roman"/>
                <w:sz w:val="24"/>
                <w:szCs w:val="24"/>
              </w:rPr>
              <w:t>)</w:t>
            </w:r>
          </w:p>
        </w:tc>
        <w:tc>
          <w:tcPr>
            <w:tcW w:w="892" w:type="pct"/>
            <w:vAlign w:val="center"/>
          </w:tcPr>
          <w:p w14:paraId="4B09D554" w14:textId="09DA1652" w:rsidR="006A01A3" w:rsidRPr="00437528" w:rsidRDefault="006A01A3" w:rsidP="006A01A3">
            <w:pPr>
              <w:jc w:val="both"/>
              <w:rPr>
                <w:rFonts w:ascii="Times New Roman" w:hAnsi="Times New Roman"/>
                <w:sz w:val="24"/>
                <w:szCs w:val="24"/>
              </w:rPr>
            </w:pPr>
            <w:r>
              <w:rPr>
                <w:rFonts w:ascii="Times New Roman" w:hAnsi="Times New Roman"/>
                <w:sz w:val="24"/>
                <w:szCs w:val="24"/>
              </w:rPr>
              <w:t>9 (7-15</w:t>
            </w:r>
            <w:r w:rsidRPr="00437528">
              <w:rPr>
                <w:rFonts w:ascii="Times New Roman" w:hAnsi="Times New Roman"/>
                <w:sz w:val="24"/>
                <w:szCs w:val="24"/>
              </w:rPr>
              <w:t>)</w:t>
            </w:r>
          </w:p>
        </w:tc>
        <w:tc>
          <w:tcPr>
            <w:tcW w:w="745" w:type="pct"/>
          </w:tcPr>
          <w:p w14:paraId="5349DB3F" w14:textId="2A1DC159" w:rsidR="006A01A3" w:rsidRPr="006146D2" w:rsidRDefault="006A01A3" w:rsidP="006A01A3">
            <w:pPr>
              <w:jc w:val="both"/>
              <w:rPr>
                <w:rFonts w:ascii="Times New Roman" w:hAnsi="Times New Roman"/>
                <w:sz w:val="24"/>
                <w:szCs w:val="24"/>
              </w:rPr>
            </w:pPr>
            <w:r w:rsidRPr="006146D2">
              <w:rPr>
                <w:rFonts w:ascii="Times New Roman" w:eastAsiaTheme="minorHAnsi" w:hAnsi="Times New Roman"/>
                <w:sz w:val="24"/>
                <w:szCs w:val="24"/>
              </w:rPr>
              <w:t>0,</w:t>
            </w:r>
            <w:r w:rsidR="008F5131">
              <w:rPr>
                <w:rFonts w:ascii="Times New Roman" w:eastAsiaTheme="minorHAnsi" w:hAnsi="Times New Roman"/>
                <w:sz w:val="24"/>
                <w:szCs w:val="24"/>
              </w:rPr>
              <w:t>000</w:t>
            </w:r>
            <w:r w:rsidRPr="006146D2">
              <w:rPr>
                <w:rFonts w:ascii="Times New Roman" w:eastAsiaTheme="minorHAnsi" w:hAnsi="Times New Roman"/>
                <w:sz w:val="24"/>
                <w:szCs w:val="24"/>
              </w:rPr>
              <w:t>1</w:t>
            </w:r>
          </w:p>
        </w:tc>
      </w:tr>
      <w:tr w:rsidR="00EF089A" w:rsidRPr="00437528" w14:paraId="70F604F0" w14:textId="77777777" w:rsidTr="0097271D">
        <w:trPr>
          <w:jc w:val="center"/>
        </w:trPr>
        <w:tc>
          <w:tcPr>
            <w:tcW w:w="2307" w:type="pct"/>
            <w:gridSpan w:val="2"/>
            <w:vAlign w:val="center"/>
          </w:tcPr>
          <w:p w14:paraId="108DB5E5"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2787C525"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p-value</w:t>
            </w:r>
            <w:r w:rsidRPr="00437528">
              <w:rPr>
                <w:rFonts w:ascii="Times New Roman" w:hAnsi="Times New Roman"/>
                <w:sz w:val="28"/>
                <w:szCs w:val="28"/>
              </w:rPr>
              <w:sym w:font="Symbol" w:char="F0B0"/>
            </w:r>
          </w:p>
        </w:tc>
        <w:tc>
          <w:tcPr>
            <w:tcW w:w="1057" w:type="pct"/>
            <w:vAlign w:val="center"/>
          </w:tcPr>
          <w:p w14:paraId="1EA2E3B3"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-11</w:t>
            </w:r>
          </w:p>
          <w:p w14:paraId="6A0619E6"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892" w:type="pct"/>
            <w:vAlign w:val="center"/>
          </w:tcPr>
          <w:p w14:paraId="071C7E86"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-8,5</w:t>
            </w:r>
          </w:p>
          <w:p w14:paraId="6B2E98B8"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745" w:type="pct"/>
            <w:vAlign w:val="center"/>
          </w:tcPr>
          <w:p w14:paraId="75A5B3F7" w14:textId="5D3C3501" w:rsidR="00EF089A" w:rsidRPr="006146D2" w:rsidRDefault="00A63D2A" w:rsidP="00441716">
            <w:pPr>
              <w:jc w:val="both"/>
              <w:rPr>
                <w:rFonts w:ascii="Times New Roman" w:hAnsi="Times New Roman"/>
                <w:sz w:val="24"/>
                <w:szCs w:val="24"/>
              </w:rPr>
            </w:pPr>
            <w:r w:rsidRPr="006146D2">
              <w:rPr>
                <w:rFonts w:ascii="Times New Roman" w:eastAsiaTheme="minorHAnsi" w:hAnsi="Times New Roman"/>
                <w:sz w:val="24"/>
                <w:szCs w:val="24"/>
              </w:rPr>
              <w:t>0,0001</w:t>
            </w:r>
          </w:p>
        </w:tc>
      </w:tr>
      <w:tr w:rsidR="00571414" w:rsidRPr="00437528" w14:paraId="57B2E67B" w14:textId="77777777" w:rsidTr="0097271D">
        <w:trPr>
          <w:jc w:val="center"/>
        </w:trPr>
        <w:tc>
          <w:tcPr>
            <w:tcW w:w="5000" w:type="pct"/>
            <w:gridSpan w:val="5"/>
            <w:vAlign w:val="center"/>
          </w:tcPr>
          <w:p w14:paraId="65B438A6" w14:textId="77777777" w:rsidR="00571414" w:rsidRPr="00571414" w:rsidRDefault="00571414" w:rsidP="00571414">
            <w:pPr>
              <w:spacing w:line="256" w:lineRule="auto"/>
              <w:ind w:firstLine="594"/>
              <w:jc w:val="both"/>
              <w:rPr>
                <w:rFonts w:ascii="Times New Roman" w:eastAsia="Times New Roman" w:hAnsi="Times New Roman"/>
                <w:color w:val="000000"/>
                <w:kern w:val="24"/>
                <w:sz w:val="24"/>
                <w:szCs w:val="24"/>
                <w:lang w:eastAsia="ru-RU"/>
              </w:rPr>
            </w:pPr>
            <w:r w:rsidRPr="00571414">
              <w:rPr>
                <w:rFonts w:ascii="Times New Roman" w:eastAsia="Times New Roman" w:hAnsi="Times New Roman"/>
                <w:color w:val="000000"/>
                <w:kern w:val="24"/>
                <w:sz w:val="24"/>
                <w:szCs w:val="24"/>
                <w:lang w:eastAsia="ru-RU"/>
              </w:rPr>
              <w:t>Примечания:</w:t>
            </w:r>
          </w:p>
          <w:p w14:paraId="00492631" w14:textId="77777777" w:rsidR="00571414" w:rsidRPr="00571414" w:rsidRDefault="00571414" w:rsidP="00571414">
            <w:pPr>
              <w:jc w:val="both"/>
              <w:rPr>
                <w:rFonts w:ascii="Times New Roman" w:hAnsi="Times New Roman"/>
                <w:sz w:val="24"/>
                <w:szCs w:val="24"/>
              </w:rPr>
            </w:pPr>
            <w:r w:rsidRPr="00571414">
              <w:rPr>
                <w:rFonts w:ascii="Times New Roman" w:hAnsi="Times New Roman"/>
                <w:sz w:val="24"/>
                <w:szCs w:val="24"/>
              </w:rPr>
              <w:t>1 *среднее±</w:t>
            </w:r>
            <w:r w:rsidRPr="00571414">
              <w:rPr>
                <w:rFonts w:ascii="Times New Roman" w:hAnsi="Times New Roman"/>
                <w:sz w:val="24"/>
                <w:szCs w:val="24"/>
                <w:lang w:val="en-US"/>
              </w:rPr>
              <w:t>SD</w:t>
            </w:r>
            <w:r w:rsidRPr="00571414">
              <w:rPr>
                <w:rFonts w:ascii="Times New Roman" w:hAnsi="Times New Roman"/>
                <w:sz w:val="24"/>
                <w:szCs w:val="24"/>
              </w:rPr>
              <w:t xml:space="preserve"> – среднее значение признака со стандартным отклонением</w:t>
            </w:r>
          </w:p>
          <w:p w14:paraId="114ACA72" w14:textId="20024E47" w:rsidR="00571414" w:rsidRPr="00571414" w:rsidRDefault="00571414" w:rsidP="00571414">
            <w:pPr>
              <w:tabs>
                <w:tab w:val="left" w:pos="1454"/>
              </w:tabs>
              <w:jc w:val="both"/>
              <w:rPr>
                <w:rFonts w:ascii="Times New Roman" w:hAnsi="Times New Roman"/>
                <w:sz w:val="24"/>
                <w:szCs w:val="24"/>
              </w:rPr>
            </w:pPr>
            <w:r w:rsidRPr="00571414">
              <w:rPr>
                <w:rFonts w:ascii="Times New Roman" w:hAnsi="Times New Roman"/>
                <w:sz w:val="24"/>
                <w:szCs w:val="24"/>
              </w:rPr>
              <w:t>2 **</w:t>
            </w:r>
            <w:r w:rsidRPr="00571414">
              <w:rPr>
                <w:rFonts w:ascii="Times New Roman" w:hAnsi="Times New Roman"/>
                <w:sz w:val="24"/>
                <w:szCs w:val="24"/>
                <w:lang w:val="en-US"/>
              </w:rPr>
              <w:t>Me</w:t>
            </w:r>
            <w:r w:rsidRPr="00571414">
              <w:rPr>
                <w:rFonts w:ascii="Times New Roman" w:hAnsi="Times New Roman"/>
                <w:sz w:val="24"/>
                <w:szCs w:val="24"/>
              </w:rPr>
              <w:t>+</w:t>
            </w:r>
            <w:r w:rsidRPr="00571414">
              <w:rPr>
                <w:rFonts w:ascii="Times New Roman" w:hAnsi="Times New Roman"/>
                <w:sz w:val="24"/>
                <w:szCs w:val="24"/>
                <w:lang w:val="en-US"/>
              </w:rPr>
              <w:t>Q</w:t>
            </w:r>
            <w:r w:rsidRPr="00571414">
              <w:rPr>
                <w:rFonts w:ascii="Times New Roman" w:hAnsi="Times New Roman"/>
                <w:sz w:val="24"/>
                <w:szCs w:val="24"/>
                <w:vertAlign w:val="subscript"/>
              </w:rPr>
              <w:t>25-75</w:t>
            </w:r>
            <w:r w:rsidRPr="00571414">
              <w:rPr>
                <w:rFonts w:ascii="Times New Roman" w:hAnsi="Times New Roman"/>
                <w:sz w:val="24"/>
                <w:szCs w:val="24"/>
              </w:rPr>
              <w:t>) – медиана (нижний и верхний квартиль)</w:t>
            </w:r>
          </w:p>
          <w:p w14:paraId="7D452412" w14:textId="153A89FE" w:rsidR="00571414" w:rsidRPr="00571414" w:rsidRDefault="00571414" w:rsidP="00571414">
            <w:pPr>
              <w:tabs>
                <w:tab w:val="left" w:pos="1454"/>
              </w:tabs>
              <w:jc w:val="both"/>
              <w:rPr>
                <w:rFonts w:ascii="Times New Roman" w:hAnsi="Times New Roman"/>
                <w:sz w:val="24"/>
                <w:szCs w:val="24"/>
              </w:rPr>
            </w:pPr>
            <w:r w:rsidRPr="00571414">
              <w:rPr>
                <w:rFonts w:ascii="Times New Roman" w:hAnsi="Times New Roman"/>
                <w:sz w:val="24"/>
                <w:szCs w:val="24"/>
              </w:rPr>
              <w:t xml:space="preserve">3 </w:t>
            </w:r>
            <w:r w:rsidRPr="00571414">
              <w:rPr>
                <w:rFonts w:ascii="Times New Roman" w:hAnsi="Times New Roman"/>
                <w:sz w:val="24"/>
                <w:szCs w:val="24"/>
              </w:rPr>
              <w:sym w:font="Symbol" w:char="F0B0"/>
            </w:r>
            <w:r w:rsidRPr="00571414">
              <w:rPr>
                <w:rFonts w:ascii="Times New Roman" w:hAnsi="Times New Roman"/>
                <w:sz w:val="24"/>
                <w:szCs w:val="24"/>
              </w:rPr>
              <w:t xml:space="preserve"> сравнение внутри групп статистический критерий Мак-Нимара</w:t>
            </w:r>
          </w:p>
          <w:p w14:paraId="5FF1BB7F" w14:textId="0CE61CD5" w:rsidR="00571414" w:rsidRPr="006146D2" w:rsidRDefault="00571414" w:rsidP="00571414">
            <w:pPr>
              <w:jc w:val="both"/>
              <w:rPr>
                <w:rFonts w:ascii="Times New Roman" w:hAnsi="Times New Roman"/>
                <w:sz w:val="24"/>
                <w:szCs w:val="24"/>
              </w:rPr>
            </w:pPr>
            <w:r w:rsidRPr="00571414">
              <w:rPr>
                <w:rFonts w:ascii="Times New Roman" w:hAnsi="Times New Roman"/>
                <w:sz w:val="24"/>
                <w:szCs w:val="24"/>
              </w:rPr>
              <w:t xml:space="preserve">4 </w:t>
            </w:r>
            <w:r w:rsidRPr="00571414">
              <w:rPr>
                <w:rFonts w:ascii="Times New Roman" w:hAnsi="Times New Roman"/>
                <w:sz w:val="24"/>
                <w:szCs w:val="24"/>
              </w:rPr>
              <w:sym w:font="Symbol" w:char="F0A2"/>
            </w:r>
            <w:r w:rsidRPr="00571414">
              <w:rPr>
                <w:rFonts w:ascii="Times New Roman" w:hAnsi="Times New Roman"/>
                <w:sz w:val="24"/>
                <w:szCs w:val="24"/>
              </w:rPr>
              <w:t xml:space="preserve"> сравнение между группами статистический критерий Манна-Уитни</w:t>
            </w:r>
          </w:p>
        </w:tc>
      </w:tr>
    </w:tbl>
    <w:p w14:paraId="4C7CFE37" w14:textId="77777777" w:rsidR="00EF089A" w:rsidRPr="00437528" w:rsidRDefault="00EF089A" w:rsidP="007F19F9">
      <w:pPr>
        <w:spacing w:after="0" w:line="240" w:lineRule="auto"/>
        <w:ind w:firstLine="567"/>
        <w:jc w:val="both"/>
        <w:rPr>
          <w:rFonts w:ascii="Times New Roman" w:hAnsi="Times New Roman" w:cs="Times New Roman"/>
          <w:sz w:val="28"/>
          <w:szCs w:val="28"/>
        </w:rPr>
      </w:pPr>
    </w:p>
    <w:p w14:paraId="5DEF3C52" w14:textId="400B27C3" w:rsidR="00437528" w:rsidRPr="006146D2" w:rsidRDefault="00437528" w:rsidP="00005F81">
      <w:pPr>
        <w:spacing w:after="0" w:line="240" w:lineRule="auto"/>
        <w:ind w:firstLine="567"/>
        <w:jc w:val="both"/>
        <w:rPr>
          <w:rFonts w:ascii="Times New Roman" w:hAnsi="Times New Roman" w:cs="Times New Roman"/>
          <w:sz w:val="28"/>
          <w:szCs w:val="28"/>
        </w:rPr>
      </w:pPr>
      <w:r w:rsidRPr="00437528">
        <w:rPr>
          <w:rFonts w:ascii="Times New Roman" w:hAnsi="Times New Roman" w:cs="Times New Roman"/>
          <w:sz w:val="28"/>
          <w:szCs w:val="28"/>
        </w:rPr>
        <w:t>Сравнительная оценка качества жизни у пациентов проведена</w:t>
      </w:r>
      <w:r w:rsidRPr="00437528">
        <w:rPr>
          <w:rFonts w:ascii="Times New Roman" w:eastAsia="Calibri" w:hAnsi="Times New Roman" w:cs="Times New Roman"/>
          <w:sz w:val="28"/>
          <w:szCs w:val="28"/>
        </w:rPr>
        <w:t xml:space="preserve"> после периода обострения заболевания на 3 визите спустя 8 месяцев от начала терапии и через </w:t>
      </w:r>
      <w:r w:rsidRPr="00437528">
        <w:rPr>
          <w:rFonts w:ascii="Times New Roman" w:hAnsi="Times New Roman" w:cs="Times New Roman"/>
          <w:sz w:val="28"/>
          <w:szCs w:val="28"/>
        </w:rPr>
        <w:t>5,5 месяцев</w:t>
      </w:r>
      <w:r w:rsidRPr="00437528">
        <w:rPr>
          <w:rFonts w:ascii="Times New Roman" w:eastAsia="Calibri" w:hAnsi="Times New Roman" w:cs="Times New Roman"/>
          <w:sz w:val="28"/>
          <w:szCs w:val="28"/>
        </w:rPr>
        <w:t xml:space="preserve"> после завершения полного курса АСИТ.</w:t>
      </w:r>
      <w:r w:rsidR="00005F81">
        <w:rPr>
          <w:rFonts w:ascii="Times New Roman" w:eastAsia="Calibri" w:hAnsi="Times New Roman" w:cs="Times New Roman"/>
          <w:sz w:val="28"/>
          <w:szCs w:val="28"/>
        </w:rPr>
        <w:t xml:space="preserve"> В группе вмешательства наблюдалось эффективное снижение влияния симптомов на ограничение </w:t>
      </w:r>
      <w:r w:rsidR="00005F81" w:rsidRPr="00437528">
        <w:rPr>
          <w:rFonts w:ascii="Times New Roman" w:eastAsia="Calibri" w:hAnsi="Times New Roman" w:cs="Times New Roman"/>
          <w:sz w:val="28"/>
          <w:szCs w:val="28"/>
        </w:rPr>
        <w:t>повседневной деятельности</w:t>
      </w:r>
      <w:r w:rsidR="00005F81">
        <w:rPr>
          <w:rFonts w:ascii="Times New Roman" w:eastAsia="Calibri" w:hAnsi="Times New Roman" w:cs="Times New Roman"/>
          <w:sz w:val="28"/>
          <w:szCs w:val="28"/>
        </w:rPr>
        <w:t xml:space="preserve">, улучшение </w:t>
      </w:r>
      <w:r w:rsidR="00005F81" w:rsidRPr="00437528">
        <w:rPr>
          <w:rFonts w:ascii="Times New Roman" w:eastAsia="Calibri" w:hAnsi="Times New Roman" w:cs="Times New Roman"/>
          <w:sz w:val="28"/>
          <w:szCs w:val="28"/>
        </w:rPr>
        <w:t>качества сна</w:t>
      </w:r>
      <w:r w:rsidR="00005F81">
        <w:rPr>
          <w:rFonts w:ascii="Times New Roman" w:eastAsia="Calibri" w:hAnsi="Times New Roman" w:cs="Times New Roman"/>
          <w:sz w:val="28"/>
          <w:szCs w:val="28"/>
        </w:rPr>
        <w:t xml:space="preserve">, снижение раздражительности, тревожности, головной боли, усталости, относительности группы контроля. </w:t>
      </w:r>
      <w:r w:rsidRPr="00437528">
        <w:rPr>
          <w:rFonts w:ascii="Times New Roman" w:hAnsi="Times New Roman" w:cs="Times New Roman"/>
          <w:sz w:val="28"/>
          <w:szCs w:val="28"/>
        </w:rPr>
        <w:t>Комплексная оценка качества жизни была выражена медианой общего балла качества жизни. Общий б</w:t>
      </w:r>
      <w:r w:rsidRPr="00437528">
        <w:rPr>
          <w:rFonts w:ascii="Times New Roman" w:eastAsia="Calibri" w:hAnsi="Times New Roman" w:cs="Times New Roman"/>
          <w:sz w:val="28"/>
          <w:szCs w:val="28"/>
        </w:rPr>
        <w:t xml:space="preserve">алл качества жизни </w:t>
      </w:r>
      <w:r w:rsidRPr="006146D2">
        <w:rPr>
          <w:rFonts w:ascii="Times New Roman" w:eastAsia="Calibri" w:hAnsi="Times New Roman" w:cs="Times New Roman"/>
          <w:sz w:val="28"/>
          <w:szCs w:val="28"/>
        </w:rPr>
        <w:t xml:space="preserve">после проведения терапии был </w:t>
      </w:r>
      <w:r w:rsidR="003E40D5">
        <w:rPr>
          <w:rFonts w:ascii="Times New Roman" w:eastAsia="Calibri" w:hAnsi="Times New Roman" w:cs="Times New Roman"/>
          <w:sz w:val="28"/>
          <w:szCs w:val="28"/>
        </w:rPr>
        <w:t xml:space="preserve">эффективно снижен в группе вмешательства, относительно </w:t>
      </w:r>
      <w:r w:rsidRPr="006146D2">
        <w:rPr>
          <w:rFonts w:ascii="Times New Roman" w:eastAsia="Calibri" w:hAnsi="Times New Roman" w:cs="Times New Roman"/>
          <w:sz w:val="28"/>
          <w:szCs w:val="28"/>
        </w:rPr>
        <w:t>группы контроля (7 баллов и</w:t>
      </w:r>
      <w:r w:rsidR="002A79C6">
        <w:rPr>
          <w:rFonts w:ascii="Times New Roman" w:eastAsia="Calibri" w:hAnsi="Times New Roman" w:cs="Times New Roman"/>
          <w:sz w:val="28"/>
          <w:szCs w:val="28"/>
        </w:rPr>
        <w:t xml:space="preserve"> 9</w:t>
      </w:r>
      <w:r w:rsidR="00974229">
        <w:rPr>
          <w:rFonts w:ascii="Times New Roman" w:eastAsia="Calibri" w:hAnsi="Times New Roman" w:cs="Times New Roman"/>
          <w:sz w:val="28"/>
          <w:szCs w:val="28"/>
        </w:rPr>
        <w:t xml:space="preserve"> баллов, соответственно) (p=0,0001)</w:t>
      </w:r>
      <w:r w:rsidRPr="006146D2">
        <w:rPr>
          <w:rFonts w:ascii="Times New Roman" w:eastAsia="Calibri" w:hAnsi="Times New Roman" w:cs="Times New Roman"/>
          <w:sz w:val="28"/>
          <w:szCs w:val="28"/>
        </w:rPr>
        <w:t xml:space="preserve"> </w:t>
      </w:r>
      <w:r w:rsidR="00EF089A" w:rsidRPr="006146D2">
        <w:rPr>
          <w:rFonts w:ascii="Times New Roman" w:hAnsi="Times New Roman" w:cs="Times New Roman"/>
          <w:sz w:val="28"/>
          <w:szCs w:val="28"/>
        </w:rPr>
        <w:t xml:space="preserve">(Таблица </w:t>
      </w:r>
      <w:r w:rsidR="00523616" w:rsidRPr="006146D2">
        <w:rPr>
          <w:rFonts w:ascii="Times New Roman" w:hAnsi="Times New Roman" w:cs="Times New Roman"/>
          <w:sz w:val="28"/>
          <w:szCs w:val="28"/>
        </w:rPr>
        <w:t>1</w:t>
      </w:r>
      <w:r w:rsidR="00523616">
        <w:rPr>
          <w:rFonts w:ascii="Times New Roman" w:hAnsi="Times New Roman" w:cs="Times New Roman"/>
          <w:sz w:val="28"/>
          <w:szCs w:val="28"/>
        </w:rPr>
        <w:t>1</w:t>
      </w:r>
      <w:r w:rsidRPr="006146D2">
        <w:rPr>
          <w:rFonts w:ascii="Times New Roman" w:hAnsi="Times New Roman" w:cs="Times New Roman"/>
          <w:sz w:val="28"/>
          <w:szCs w:val="28"/>
        </w:rPr>
        <w:t>)</w:t>
      </w:r>
      <w:r w:rsidRPr="006146D2">
        <w:rPr>
          <w:rFonts w:ascii="Times New Roman" w:eastAsia="Calibri" w:hAnsi="Times New Roman" w:cs="Times New Roman"/>
          <w:sz w:val="28"/>
          <w:szCs w:val="28"/>
        </w:rPr>
        <w:t>.</w:t>
      </w:r>
    </w:p>
    <w:p w14:paraId="3DE9F6E6" w14:textId="7CE0CB04" w:rsidR="00437528" w:rsidRDefault="00437528" w:rsidP="00437528">
      <w:pPr>
        <w:spacing w:after="0" w:line="240" w:lineRule="auto"/>
        <w:ind w:firstLine="567"/>
        <w:jc w:val="both"/>
        <w:rPr>
          <w:rFonts w:ascii="Times New Roman" w:hAnsi="Times New Roman" w:cs="Times New Roman"/>
          <w:sz w:val="28"/>
          <w:szCs w:val="28"/>
        </w:rPr>
      </w:pPr>
      <w:r w:rsidRPr="006146D2">
        <w:rPr>
          <w:rFonts w:ascii="Times New Roman" w:hAnsi="Times New Roman" w:cs="Times New Roman"/>
          <w:sz w:val="28"/>
          <w:szCs w:val="28"/>
        </w:rPr>
        <w:t>Динамическая</w:t>
      </w:r>
      <w:r w:rsidRPr="00437528">
        <w:rPr>
          <w:rFonts w:ascii="Times New Roman" w:hAnsi="Times New Roman" w:cs="Times New Roman"/>
          <w:sz w:val="28"/>
          <w:szCs w:val="28"/>
        </w:rPr>
        <w:t xml:space="preserve"> оценка качества жизни была проведена в зависимых группах </w:t>
      </w:r>
      <w:r w:rsidR="00690484" w:rsidRPr="00437528">
        <w:rPr>
          <w:rFonts w:ascii="Times New Roman" w:hAnsi="Times New Roman" w:cs="Times New Roman"/>
          <w:sz w:val="28"/>
          <w:szCs w:val="28"/>
        </w:rPr>
        <w:t xml:space="preserve">с использованием </w:t>
      </w:r>
      <w:r w:rsidR="00690484">
        <w:rPr>
          <w:rFonts w:ascii="Times New Roman" w:hAnsi="Times New Roman" w:cs="Times New Roman"/>
          <w:sz w:val="28"/>
          <w:szCs w:val="28"/>
        </w:rPr>
        <w:t>медианы</w:t>
      </w:r>
      <w:r w:rsidR="00EC1FDB">
        <w:rPr>
          <w:rFonts w:ascii="Times New Roman" w:hAnsi="Times New Roman" w:cs="Times New Roman"/>
          <w:sz w:val="28"/>
          <w:szCs w:val="28"/>
        </w:rPr>
        <w:t>,</w:t>
      </w:r>
      <w:r w:rsidR="00690484">
        <w:rPr>
          <w:rFonts w:ascii="Times New Roman" w:hAnsi="Times New Roman" w:cs="Times New Roman"/>
          <w:sz w:val="28"/>
          <w:szCs w:val="28"/>
        </w:rPr>
        <w:t xml:space="preserve"> среднего значения</w:t>
      </w:r>
      <w:r w:rsidRPr="00437528">
        <w:rPr>
          <w:rFonts w:ascii="Times New Roman" w:hAnsi="Times New Roman" w:cs="Times New Roman"/>
          <w:sz w:val="28"/>
          <w:szCs w:val="28"/>
        </w:rPr>
        <w:t xml:space="preserve"> показателя</w:t>
      </w:r>
      <w:r w:rsidR="00690484">
        <w:rPr>
          <w:rFonts w:ascii="Times New Roman" w:hAnsi="Times New Roman" w:cs="Times New Roman"/>
          <w:sz w:val="28"/>
          <w:szCs w:val="28"/>
        </w:rPr>
        <w:t xml:space="preserve"> и</w:t>
      </w:r>
      <w:r w:rsidRPr="00437528">
        <w:rPr>
          <w:rFonts w:ascii="Times New Roman" w:hAnsi="Times New Roman" w:cs="Times New Roman"/>
          <w:sz w:val="28"/>
          <w:szCs w:val="28"/>
        </w:rPr>
        <w:t xml:space="preserve"> критерия </w:t>
      </w:r>
      <w:r w:rsidRPr="00437528">
        <w:rPr>
          <w:rFonts w:ascii="Times New Roman" w:eastAsia="Calibri" w:hAnsi="Times New Roman" w:cs="Times New Roman"/>
          <w:sz w:val="28"/>
          <w:szCs w:val="28"/>
        </w:rPr>
        <w:t>Мак-Нимара</w:t>
      </w:r>
      <w:r w:rsidRPr="00437528">
        <w:rPr>
          <w:rFonts w:ascii="Times New Roman" w:hAnsi="Times New Roman" w:cs="Times New Roman"/>
          <w:sz w:val="28"/>
          <w:szCs w:val="28"/>
        </w:rPr>
        <w:t>.</w:t>
      </w:r>
    </w:p>
    <w:p w14:paraId="5F38AEAD" w14:textId="0B8480E7" w:rsidR="00437528" w:rsidRPr="006146D2" w:rsidRDefault="00071AE3" w:rsidP="0057451D">
      <w:pPr>
        <w:spacing w:after="0" w:line="240" w:lineRule="auto"/>
        <w:ind w:firstLine="567"/>
        <w:jc w:val="both"/>
        <w:rPr>
          <w:rFonts w:ascii="Times New Roman" w:hAnsi="Times New Roman" w:cs="Times New Roman"/>
          <w:sz w:val="28"/>
          <w:szCs w:val="28"/>
        </w:rPr>
      </w:pPr>
      <w:r>
        <w:rPr>
          <w:rFonts w:ascii="Times New Roman" w:eastAsia="Calibri" w:hAnsi="Times New Roman" w:cs="Times New Roman"/>
          <w:sz w:val="28"/>
          <w:szCs w:val="28"/>
        </w:rPr>
        <w:t>Эффективная динамика</w:t>
      </w:r>
      <w:r w:rsidR="00EC1FDB">
        <w:rPr>
          <w:rFonts w:ascii="Times New Roman" w:eastAsia="Calibri" w:hAnsi="Times New Roman" w:cs="Times New Roman"/>
          <w:sz w:val="28"/>
          <w:szCs w:val="28"/>
        </w:rPr>
        <w:t xml:space="preserve"> </w:t>
      </w:r>
      <w:r>
        <w:rPr>
          <w:rFonts w:ascii="Times New Roman" w:eastAsia="Calibri" w:hAnsi="Times New Roman" w:cs="Times New Roman"/>
          <w:sz w:val="28"/>
          <w:szCs w:val="28"/>
        </w:rPr>
        <w:t>улучшения симптомов, влияющих на качество жизни (</w:t>
      </w:r>
      <w:r w:rsidR="0001542B">
        <w:rPr>
          <w:rFonts w:ascii="Times New Roman" w:eastAsia="Calibri" w:hAnsi="Times New Roman" w:cs="Times New Roman"/>
          <w:sz w:val="28"/>
          <w:szCs w:val="28"/>
        </w:rPr>
        <w:t xml:space="preserve">ограничение </w:t>
      </w:r>
      <w:r w:rsidR="0001542B" w:rsidRPr="00437528">
        <w:rPr>
          <w:rFonts w:ascii="Times New Roman" w:eastAsia="Calibri" w:hAnsi="Times New Roman" w:cs="Times New Roman"/>
          <w:sz w:val="28"/>
          <w:szCs w:val="28"/>
        </w:rPr>
        <w:t>повседневной деятельности</w:t>
      </w:r>
      <w:r w:rsidR="0001542B">
        <w:rPr>
          <w:rFonts w:ascii="Times New Roman" w:eastAsia="Calibri" w:hAnsi="Times New Roman" w:cs="Times New Roman"/>
          <w:sz w:val="28"/>
          <w:szCs w:val="28"/>
        </w:rPr>
        <w:t xml:space="preserve">, </w:t>
      </w:r>
      <w:r w:rsidR="0001542B" w:rsidRPr="00437528">
        <w:rPr>
          <w:rFonts w:ascii="Times New Roman" w:eastAsia="Calibri" w:hAnsi="Times New Roman" w:cs="Times New Roman"/>
          <w:sz w:val="28"/>
          <w:szCs w:val="28"/>
        </w:rPr>
        <w:t>качеств</w:t>
      </w:r>
      <w:r w:rsidR="0001542B">
        <w:rPr>
          <w:rFonts w:ascii="Times New Roman" w:eastAsia="Calibri" w:hAnsi="Times New Roman" w:cs="Times New Roman"/>
          <w:sz w:val="28"/>
          <w:szCs w:val="28"/>
        </w:rPr>
        <w:t>о</w:t>
      </w:r>
      <w:r w:rsidR="0001542B" w:rsidRPr="00437528">
        <w:rPr>
          <w:rFonts w:ascii="Times New Roman" w:eastAsia="Calibri" w:hAnsi="Times New Roman" w:cs="Times New Roman"/>
          <w:sz w:val="28"/>
          <w:szCs w:val="28"/>
        </w:rPr>
        <w:t xml:space="preserve"> сна</w:t>
      </w:r>
      <w:r w:rsidR="0001542B">
        <w:rPr>
          <w:rFonts w:ascii="Times New Roman" w:eastAsia="Calibri" w:hAnsi="Times New Roman" w:cs="Times New Roman"/>
          <w:sz w:val="28"/>
          <w:szCs w:val="28"/>
        </w:rPr>
        <w:t>, раздражительность, тревожность, головная боль, усталость</w:t>
      </w:r>
      <w:r>
        <w:rPr>
          <w:rFonts w:ascii="Times New Roman" w:eastAsia="Calibri" w:hAnsi="Times New Roman" w:cs="Times New Roman"/>
          <w:sz w:val="28"/>
          <w:szCs w:val="28"/>
        </w:rPr>
        <w:t>)</w:t>
      </w:r>
      <w:r w:rsidR="00EC1FDB">
        <w:rPr>
          <w:rFonts w:ascii="Times New Roman" w:eastAsia="Calibri" w:hAnsi="Times New Roman" w:cs="Times New Roman"/>
          <w:sz w:val="28"/>
          <w:szCs w:val="28"/>
        </w:rPr>
        <w:t xml:space="preserve"> </w:t>
      </w:r>
      <w:r>
        <w:rPr>
          <w:rFonts w:ascii="Times New Roman" w:eastAsia="Calibri" w:hAnsi="Times New Roman" w:cs="Times New Roman"/>
          <w:sz w:val="28"/>
          <w:szCs w:val="28"/>
        </w:rPr>
        <w:t>наблюдалась</w:t>
      </w:r>
      <w:r w:rsidR="00EC1FDB" w:rsidRPr="0061235E">
        <w:rPr>
          <w:rFonts w:ascii="Times New Roman" w:eastAsia="Calibri" w:hAnsi="Times New Roman" w:cs="Times New Roman"/>
          <w:sz w:val="28"/>
          <w:szCs w:val="28"/>
        </w:rPr>
        <w:t xml:space="preserve"> </w:t>
      </w:r>
      <w:r w:rsidR="00EC1FDB">
        <w:rPr>
          <w:rFonts w:ascii="Times New Roman" w:eastAsia="Calibri" w:hAnsi="Times New Roman" w:cs="Times New Roman"/>
          <w:sz w:val="28"/>
          <w:szCs w:val="28"/>
        </w:rPr>
        <w:t>в</w:t>
      </w:r>
      <w:r w:rsidR="00EC1FDB" w:rsidRPr="00CC2107">
        <w:rPr>
          <w:rFonts w:ascii="Times New Roman" w:eastAsia="Calibri" w:hAnsi="Times New Roman" w:cs="Times New Roman"/>
          <w:sz w:val="28"/>
          <w:szCs w:val="28"/>
        </w:rPr>
        <w:t xml:space="preserve"> группе вмешательства (АСИТ + витамин Д) </w:t>
      </w:r>
      <w:r w:rsidR="00EC1FDB">
        <w:rPr>
          <w:rFonts w:ascii="Times New Roman" w:eastAsia="Calibri" w:hAnsi="Times New Roman" w:cs="Times New Roman"/>
          <w:sz w:val="28"/>
          <w:szCs w:val="28"/>
        </w:rPr>
        <w:t>относительно группы контроля</w:t>
      </w:r>
      <w:r w:rsidR="00EC1FDB" w:rsidRPr="00CC2107">
        <w:rPr>
          <w:rFonts w:ascii="Times New Roman" w:eastAsia="Calibri" w:hAnsi="Times New Roman" w:cs="Times New Roman"/>
          <w:sz w:val="28"/>
          <w:szCs w:val="28"/>
        </w:rPr>
        <w:t>.</w:t>
      </w:r>
      <w:r w:rsidR="00D168AD">
        <w:rPr>
          <w:rFonts w:ascii="Times New Roman" w:eastAsia="Calibri" w:hAnsi="Times New Roman" w:cs="Times New Roman"/>
          <w:sz w:val="28"/>
          <w:szCs w:val="28"/>
        </w:rPr>
        <w:t xml:space="preserve"> </w:t>
      </w:r>
      <w:r w:rsidR="00437528" w:rsidRPr="00437528">
        <w:rPr>
          <w:rFonts w:ascii="Times New Roman" w:hAnsi="Times New Roman" w:cs="Times New Roman"/>
          <w:sz w:val="28"/>
          <w:szCs w:val="28"/>
        </w:rPr>
        <w:t xml:space="preserve">Комплексная оценка тяжести нарушения качества жизни была выражена медианой общего балла качества жизни. В </w:t>
      </w:r>
      <w:r w:rsidR="00437528" w:rsidRPr="00437528">
        <w:rPr>
          <w:rFonts w:ascii="Times New Roman" w:eastAsia="Calibri" w:hAnsi="Times New Roman" w:cs="Times New Roman"/>
          <w:sz w:val="28"/>
          <w:szCs w:val="28"/>
        </w:rPr>
        <w:t>группе вмешательства</w:t>
      </w:r>
      <w:r w:rsidR="00437528" w:rsidRPr="00437528">
        <w:rPr>
          <w:rFonts w:ascii="Times New Roman" w:hAnsi="Times New Roman" w:cs="Times New Roman"/>
          <w:sz w:val="28"/>
          <w:szCs w:val="28"/>
        </w:rPr>
        <w:t xml:space="preserve"> (АСИТ + витамин Д) </w:t>
      </w:r>
      <w:r w:rsidR="00437528" w:rsidRPr="00437528">
        <w:rPr>
          <w:rFonts w:ascii="Times New Roman" w:eastAsia="Calibri" w:hAnsi="Times New Roman" w:cs="Times New Roman"/>
          <w:sz w:val="28"/>
          <w:szCs w:val="28"/>
        </w:rPr>
        <w:t>наблюдалась наилучшая динамика снижения общего балла оценки качества жизни с 19 до 7 баллов (</w:t>
      </w:r>
      <w:r w:rsidR="00437528" w:rsidRPr="00437528">
        <w:rPr>
          <w:rFonts w:ascii="Times New Roman" w:eastAsia="Calibri" w:hAnsi="Times New Roman" w:cs="Times New Roman"/>
          <w:sz w:val="28"/>
          <w:szCs w:val="28"/>
          <w:lang w:val="en-US"/>
        </w:rPr>
        <w:t>p</w:t>
      </w:r>
      <w:r w:rsidR="00437528" w:rsidRPr="00437528">
        <w:rPr>
          <w:rFonts w:ascii="Times New Roman" w:eastAsia="Calibri" w:hAnsi="Times New Roman" w:cs="Times New Roman"/>
          <w:sz w:val="28"/>
          <w:szCs w:val="28"/>
        </w:rPr>
        <w:t>&lt;0,</w:t>
      </w:r>
      <w:r w:rsidR="00437528" w:rsidRPr="006146D2">
        <w:rPr>
          <w:rFonts w:ascii="Times New Roman" w:eastAsia="Calibri" w:hAnsi="Times New Roman" w:cs="Times New Roman"/>
          <w:sz w:val="28"/>
          <w:szCs w:val="28"/>
        </w:rPr>
        <w:t>001)</w:t>
      </w:r>
      <w:r w:rsidR="006A2370">
        <w:rPr>
          <w:rFonts w:ascii="Times New Roman" w:hAnsi="Times New Roman" w:cs="Times New Roman"/>
          <w:sz w:val="28"/>
          <w:szCs w:val="28"/>
        </w:rPr>
        <w:t xml:space="preserve">, относительно группы контроля, где </w:t>
      </w:r>
      <w:r w:rsidR="006A2370">
        <w:rPr>
          <w:rFonts w:ascii="Times New Roman" w:eastAsia="Calibri" w:hAnsi="Times New Roman" w:cs="Times New Roman"/>
          <w:sz w:val="28"/>
          <w:szCs w:val="28"/>
        </w:rPr>
        <w:t>общий балл</w:t>
      </w:r>
      <w:r w:rsidR="00437528" w:rsidRPr="006146D2">
        <w:rPr>
          <w:rFonts w:ascii="Times New Roman" w:eastAsia="Calibri" w:hAnsi="Times New Roman" w:cs="Times New Roman"/>
          <w:sz w:val="28"/>
          <w:szCs w:val="28"/>
        </w:rPr>
        <w:t xml:space="preserve"> </w:t>
      </w:r>
      <w:r w:rsidR="00437528" w:rsidRPr="006146D2">
        <w:rPr>
          <w:rFonts w:ascii="Times New Roman" w:hAnsi="Times New Roman" w:cs="Times New Roman"/>
          <w:sz w:val="28"/>
          <w:szCs w:val="28"/>
        </w:rPr>
        <w:t>качества жизни</w:t>
      </w:r>
      <w:r w:rsidR="006A2370">
        <w:rPr>
          <w:rFonts w:ascii="Times New Roman" w:hAnsi="Times New Roman" w:cs="Times New Roman"/>
          <w:sz w:val="28"/>
          <w:szCs w:val="28"/>
        </w:rPr>
        <w:t xml:space="preserve"> был снижен</w:t>
      </w:r>
      <w:r w:rsidR="00437528" w:rsidRPr="006146D2">
        <w:rPr>
          <w:rFonts w:ascii="Times New Roman" w:hAnsi="Times New Roman" w:cs="Times New Roman"/>
          <w:sz w:val="28"/>
          <w:szCs w:val="28"/>
        </w:rPr>
        <w:t xml:space="preserve"> с 19 баллов до 9,5 баллов (</w:t>
      </w:r>
      <w:r w:rsidR="00437528" w:rsidRPr="006146D2">
        <w:rPr>
          <w:rFonts w:ascii="Times New Roman" w:hAnsi="Times New Roman" w:cs="Times New Roman"/>
          <w:sz w:val="28"/>
          <w:szCs w:val="28"/>
          <w:lang w:val="en-US"/>
        </w:rPr>
        <w:t>p</w:t>
      </w:r>
      <w:r w:rsidR="00437528" w:rsidRPr="006146D2">
        <w:rPr>
          <w:rFonts w:ascii="Times New Roman" w:hAnsi="Times New Roman" w:cs="Times New Roman"/>
          <w:sz w:val="28"/>
          <w:szCs w:val="28"/>
        </w:rPr>
        <w:t xml:space="preserve">&lt;0,001) </w:t>
      </w:r>
      <w:r w:rsidR="00EF089A" w:rsidRPr="006146D2">
        <w:rPr>
          <w:rFonts w:ascii="Times New Roman" w:hAnsi="Times New Roman" w:cs="Times New Roman"/>
          <w:sz w:val="28"/>
          <w:szCs w:val="28"/>
        </w:rPr>
        <w:t xml:space="preserve">(Таблица </w:t>
      </w:r>
      <w:r w:rsidR="00523616" w:rsidRPr="006146D2">
        <w:rPr>
          <w:rFonts w:ascii="Times New Roman" w:hAnsi="Times New Roman" w:cs="Times New Roman"/>
          <w:sz w:val="28"/>
          <w:szCs w:val="28"/>
        </w:rPr>
        <w:t>1</w:t>
      </w:r>
      <w:r w:rsidR="00523616">
        <w:rPr>
          <w:rFonts w:ascii="Times New Roman" w:hAnsi="Times New Roman" w:cs="Times New Roman"/>
          <w:sz w:val="28"/>
          <w:szCs w:val="28"/>
        </w:rPr>
        <w:t>1</w:t>
      </w:r>
      <w:r w:rsidR="00437528" w:rsidRPr="006146D2">
        <w:rPr>
          <w:rFonts w:ascii="Times New Roman" w:hAnsi="Times New Roman" w:cs="Times New Roman"/>
          <w:sz w:val="28"/>
          <w:szCs w:val="28"/>
        </w:rPr>
        <w:t>).</w:t>
      </w:r>
    </w:p>
    <w:p w14:paraId="440E64DF" w14:textId="0EE40E0F" w:rsidR="00437528" w:rsidRDefault="00437528" w:rsidP="00437528">
      <w:pPr>
        <w:spacing w:after="0" w:line="240" w:lineRule="auto"/>
        <w:ind w:firstLine="567"/>
        <w:jc w:val="both"/>
        <w:rPr>
          <w:rFonts w:ascii="Times New Roman" w:eastAsia="Calibri" w:hAnsi="Times New Roman" w:cs="Times New Roman"/>
          <w:sz w:val="28"/>
          <w:szCs w:val="28"/>
        </w:rPr>
      </w:pPr>
      <w:r w:rsidRPr="006146D2">
        <w:rPr>
          <w:rFonts w:ascii="Times New Roman" w:eastAsia="Calibri" w:hAnsi="Times New Roman" w:cs="Times New Roman"/>
          <w:sz w:val="28"/>
          <w:szCs w:val="28"/>
        </w:rPr>
        <w:t>Оценка качества жизни в групп</w:t>
      </w:r>
      <w:r w:rsidR="00EA1AE4">
        <w:rPr>
          <w:rFonts w:ascii="Times New Roman" w:eastAsia="Calibri" w:hAnsi="Times New Roman" w:cs="Times New Roman"/>
          <w:sz w:val="28"/>
          <w:szCs w:val="28"/>
        </w:rPr>
        <w:t xml:space="preserve">ах исследования </w:t>
      </w:r>
      <w:r w:rsidRPr="006146D2">
        <w:rPr>
          <w:rFonts w:ascii="Times New Roman" w:eastAsia="Calibri" w:hAnsi="Times New Roman" w:cs="Times New Roman"/>
          <w:sz w:val="28"/>
          <w:szCs w:val="28"/>
        </w:rPr>
        <w:t xml:space="preserve">включала также детализацию видов физической активности, которые пациентам чаще приходилось ограничивать в период обострения. В группе вмешательства (АСИТ + витамин Д) пациенты чаще ограничивали поездки за город (64 %) и </w:t>
      </w:r>
      <w:r w:rsidR="001B06E9">
        <w:rPr>
          <w:rFonts w:ascii="Times New Roman" w:eastAsia="Calibri" w:hAnsi="Times New Roman" w:cs="Times New Roman"/>
          <w:sz w:val="28"/>
          <w:szCs w:val="28"/>
        </w:rPr>
        <w:t>в</w:t>
      </w:r>
      <w:r w:rsidRPr="006146D2">
        <w:rPr>
          <w:rFonts w:ascii="Times New Roman" w:eastAsia="Calibri" w:hAnsi="Times New Roman" w:cs="Times New Roman"/>
          <w:sz w:val="28"/>
          <w:szCs w:val="28"/>
        </w:rPr>
        <w:t xml:space="preserve"> группе</w:t>
      </w:r>
      <w:r w:rsidRPr="006146D2">
        <w:rPr>
          <w:rFonts w:ascii="Times New Roman" w:eastAsia="Calibri" w:hAnsi="Times New Roman" w:cs="Times New Roman"/>
          <w:sz w:val="28"/>
          <w:szCs w:val="28"/>
          <w:lang w:val="kk-KZ"/>
        </w:rPr>
        <w:t xml:space="preserve"> контроля</w:t>
      </w:r>
      <w:r w:rsidRPr="006146D2">
        <w:rPr>
          <w:rFonts w:ascii="Times New Roman" w:eastAsia="Calibri" w:hAnsi="Times New Roman" w:cs="Times New Roman"/>
          <w:sz w:val="28"/>
          <w:szCs w:val="28"/>
        </w:rPr>
        <w:t xml:space="preserve"> чаще отмечали ограничение пеших прогулок (85%) </w:t>
      </w:r>
      <w:r w:rsidR="00EF089A" w:rsidRPr="006146D2">
        <w:rPr>
          <w:rFonts w:ascii="Times New Roman" w:hAnsi="Times New Roman" w:cs="Times New Roman"/>
          <w:sz w:val="28"/>
          <w:szCs w:val="28"/>
        </w:rPr>
        <w:t>(Таблица 1</w:t>
      </w:r>
      <w:r w:rsidR="00523616">
        <w:rPr>
          <w:rFonts w:ascii="Times New Roman" w:hAnsi="Times New Roman" w:cs="Times New Roman"/>
          <w:sz w:val="28"/>
          <w:szCs w:val="28"/>
        </w:rPr>
        <w:t>2</w:t>
      </w:r>
      <w:r w:rsidRPr="006146D2">
        <w:rPr>
          <w:rFonts w:ascii="Times New Roman" w:hAnsi="Times New Roman" w:cs="Times New Roman"/>
          <w:sz w:val="28"/>
          <w:szCs w:val="28"/>
        </w:rPr>
        <w:t>)</w:t>
      </w:r>
      <w:r w:rsidRPr="006146D2">
        <w:rPr>
          <w:rFonts w:ascii="Times New Roman" w:eastAsia="Calibri" w:hAnsi="Times New Roman" w:cs="Times New Roman"/>
          <w:sz w:val="28"/>
          <w:szCs w:val="28"/>
        </w:rPr>
        <w:t>.</w:t>
      </w:r>
      <w:r w:rsidRPr="00437528">
        <w:rPr>
          <w:rFonts w:ascii="Times New Roman" w:eastAsia="Calibri" w:hAnsi="Times New Roman" w:cs="Times New Roman"/>
          <w:sz w:val="28"/>
          <w:szCs w:val="28"/>
        </w:rPr>
        <w:t xml:space="preserve"> </w:t>
      </w:r>
    </w:p>
    <w:p w14:paraId="703A7376" w14:textId="6881F4D9" w:rsidR="00EF089A" w:rsidRDefault="00EF089A" w:rsidP="00437528">
      <w:pPr>
        <w:spacing w:after="0" w:line="240" w:lineRule="auto"/>
        <w:ind w:firstLine="567"/>
        <w:jc w:val="both"/>
        <w:rPr>
          <w:rFonts w:ascii="Times New Roman" w:eastAsia="Calibri" w:hAnsi="Times New Roman" w:cs="Times New Roman"/>
          <w:sz w:val="28"/>
          <w:szCs w:val="28"/>
        </w:rPr>
      </w:pPr>
    </w:p>
    <w:p w14:paraId="40A3651E" w14:textId="35B417E2" w:rsidR="00EF089A" w:rsidRPr="00437528" w:rsidRDefault="00EF089A" w:rsidP="003E7AF4">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Таблица </w:t>
      </w:r>
      <w:r w:rsidR="00523616" w:rsidRPr="006146D2">
        <w:rPr>
          <w:rFonts w:ascii="Times New Roman" w:hAnsi="Times New Roman" w:cs="Times New Roman"/>
          <w:sz w:val="28"/>
          <w:szCs w:val="28"/>
        </w:rPr>
        <w:t>1</w:t>
      </w:r>
      <w:r w:rsidR="00523616">
        <w:rPr>
          <w:rFonts w:ascii="Times New Roman" w:hAnsi="Times New Roman" w:cs="Times New Roman"/>
          <w:sz w:val="28"/>
          <w:szCs w:val="28"/>
        </w:rPr>
        <w:t>2</w:t>
      </w:r>
      <w:r w:rsidRPr="00437528">
        <w:rPr>
          <w:rFonts w:ascii="Times New Roman" w:eastAsia="Calibri" w:hAnsi="Times New Roman" w:cs="Times New Roman"/>
          <w:sz w:val="28"/>
          <w:szCs w:val="28"/>
        </w:rPr>
        <w:t xml:space="preserve"> - Виды физической активности, которые пациенты чаще ограничивали в период обострения</w:t>
      </w:r>
    </w:p>
    <w:p w14:paraId="576B04B7" w14:textId="77777777" w:rsidR="00EF089A" w:rsidRPr="00437528" w:rsidRDefault="00EF089A" w:rsidP="00EF089A">
      <w:pPr>
        <w:spacing w:after="0" w:line="240" w:lineRule="auto"/>
        <w:jc w:val="both"/>
        <w:rPr>
          <w:rFonts w:ascii="Times New Roman" w:eastAsia="Calibri" w:hAnsi="Times New Roman" w:cs="Times New Roman"/>
          <w:sz w:val="28"/>
          <w:szCs w:val="28"/>
        </w:rPr>
      </w:pPr>
    </w:p>
    <w:tbl>
      <w:tblPr>
        <w:tblStyle w:val="41"/>
        <w:tblW w:w="4954" w:type="pct"/>
        <w:jc w:val="center"/>
        <w:tblInd w:w="0" w:type="dxa"/>
        <w:tblLayout w:type="fixed"/>
        <w:tblLook w:val="04A0" w:firstRow="1" w:lastRow="0" w:firstColumn="1" w:lastColumn="0" w:noHBand="0" w:noVBand="1"/>
      </w:tblPr>
      <w:tblGrid>
        <w:gridCol w:w="3865"/>
        <w:gridCol w:w="1093"/>
        <w:gridCol w:w="1843"/>
        <w:gridCol w:w="1591"/>
        <w:gridCol w:w="1147"/>
      </w:tblGrid>
      <w:tr w:rsidR="00EF089A" w:rsidRPr="00437528" w14:paraId="21F3415B" w14:textId="77777777" w:rsidTr="002D4C65">
        <w:trPr>
          <w:trHeight w:val="1135"/>
          <w:jc w:val="center"/>
        </w:trPr>
        <w:tc>
          <w:tcPr>
            <w:tcW w:w="2026" w:type="pct"/>
            <w:vAlign w:val="center"/>
          </w:tcPr>
          <w:p w14:paraId="3FA0D1FF"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Признак</w:t>
            </w:r>
          </w:p>
        </w:tc>
        <w:tc>
          <w:tcPr>
            <w:tcW w:w="572" w:type="pct"/>
            <w:vAlign w:val="center"/>
          </w:tcPr>
          <w:p w14:paraId="17A50499"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Визит</w:t>
            </w:r>
          </w:p>
        </w:tc>
        <w:tc>
          <w:tcPr>
            <w:tcW w:w="966" w:type="pct"/>
            <w:vAlign w:val="center"/>
          </w:tcPr>
          <w:p w14:paraId="30AE16B5"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Группа вмешательства (АСИТ + витамин Д)</w:t>
            </w:r>
          </w:p>
        </w:tc>
        <w:tc>
          <w:tcPr>
            <w:tcW w:w="834" w:type="pct"/>
            <w:vAlign w:val="center"/>
          </w:tcPr>
          <w:p w14:paraId="21A9EF47" w14:textId="77777777" w:rsidR="00EF089A" w:rsidRPr="00437528" w:rsidRDefault="00EF089A" w:rsidP="00441716">
            <w:pPr>
              <w:jc w:val="both"/>
              <w:rPr>
                <w:rFonts w:ascii="Times New Roman" w:hAnsi="Times New Roman"/>
                <w:sz w:val="24"/>
                <w:szCs w:val="24"/>
              </w:rPr>
            </w:pPr>
            <w:r w:rsidRPr="00437528">
              <w:rPr>
                <w:rFonts w:ascii="Times New Roman" w:hAnsi="Times New Roman"/>
                <w:bCs/>
                <w:sz w:val="24"/>
                <w:szCs w:val="24"/>
              </w:rPr>
              <w:t>Группа контроля (АСИТ)</w:t>
            </w:r>
          </w:p>
        </w:tc>
        <w:tc>
          <w:tcPr>
            <w:tcW w:w="602" w:type="pct"/>
            <w:vAlign w:val="center"/>
          </w:tcPr>
          <w:p w14:paraId="0F4D4240" w14:textId="77777777" w:rsidR="00EF089A" w:rsidRPr="00437528" w:rsidRDefault="00EF089A" w:rsidP="00441716">
            <w:pPr>
              <w:jc w:val="both"/>
              <w:rPr>
                <w:rFonts w:ascii="Times New Roman" w:hAnsi="Times New Roman"/>
                <w:sz w:val="24"/>
                <w:szCs w:val="24"/>
                <w:lang w:val="en-US"/>
              </w:rPr>
            </w:pPr>
            <w:r w:rsidRPr="00437528">
              <w:rPr>
                <w:rFonts w:ascii="Times New Roman" w:hAnsi="Times New Roman"/>
                <w:sz w:val="24"/>
                <w:szCs w:val="24"/>
                <w:lang w:val="en-US"/>
              </w:rPr>
              <w:t>p-value</w:t>
            </w:r>
            <w:r w:rsidRPr="00437528">
              <w:rPr>
                <w:rFonts w:ascii="Times New Roman" w:hAnsi="Times New Roman"/>
                <w:sz w:val="24"/>
                <w:szCs w:val="24"/>
              </w:rPr>
              <w:t>**</w:t>
            </w:r>
          </w:p>
        </w:tc>
      </w:tr>
      <w:tr w:rsidR="00EF089A" w:rsidRPr="00437528" w14:paraId="6E681788" w14:textId="77777777" w:rsidTr="002D4C65">
        <w:trPr>
          <w:jc w:val="center"/>
        </w:trPr>
        <w:tc>
          <w:tcPr>
            <w:tcW w:w="2026" w:type="pct"/>
            <w:vMerge w:val="restart"/>
            <w:vAlign w:val="center"/>
          </w:tcPr>
          <w:p w14:paraId="0C1F0B11"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Поездки за город</w:t>
            </w:r>
          </w:p>
        </w:tc>
        <w:tc>
          <w:tcPr>
            <w:tcW w:w="572" w:type="pct"/>
            <w:vAlign w:val="center"/>
          </w:tcPr>
          <w:p w14:paraId="1DF837D6"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 визит</w:t>
            </w:r>
          </w:p>
        </w:tc>
        <w:tc>
          <w:tcPr>
            <w:tcW w:w="966" w:type="pct"/>
            <w:vAlign w:val="center"/>
          </w:tcPr>
          <w:p w14:paraId="5682CA1B"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18 (64%)</w:t>
            </w:r>
          </w:p>
        </w:tc>
        <w:tc>
          <w:tcPr>
            <w:tcW w:w="834" w:type="pct"/>
            <w:vAlign w:val="center"/>
          </w:tcPr>
          <w:p w14:paraId="729064F1"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11 (41%)</w:t>
            </w:r>
          </w:p>
        </w:tc>
        <w:tc>
          <w:tcPr>
            <w:tcW w:w="602" w:type="pct"/>
            <w:vMerge w:val="restart"/>
            <w:vAlign w:val="center"/>
          </w:tcPr>
          <w:p w14:paraId="287D6A69"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lang w:val="en-US"/>
              </w:rPr>
              <w:t>0,008</w:t>
            </w:r>
          </w:p>
        </w:tc>
      </w:tr>
      <w:tr w:rsidR="00EF089A" w:rsidRPr="00437528" w14:paraId="6AE99EED" w14:textId="77777777" w:rsidTr="002D4C65">
        <w:trPr>
          <w:jc w:val="center"/>
        </w:trPr>
        <w:tc>
          <w:tcPr>
            <w:tcW w:w="2026" w:type="pct"/>
            <w:vMerge/>
            <w:vAlign w:val="center"/>
          </w:tcPr>
          <w:p w14:paraId="2A5BB0FF" w14:textId="77777777" w:rsidR="00EF089A" w:rsidRPr="00437528" w:rsidRDefault="00EF089A" w:rsidP="00441716">
            <w:pPr>
              <w:jc w:val="both"/>
              <w:rPr>
                <w:rFonts w:ascii="Times New Roman" w:hAnsi="Times New Roman"/>
                <w:sz w:val="24"/>
                <w:szCs w:val="24"/>
              </w:rPr>
            </w:pPr>
          </w:p>
        </w:tc>
        <w:tc>
          <w:tcPr>
            <w:tcW w:w="572" w:type="pct"/>
            <w:vAlign w:val="center"/>
          </w:tcPr>
          <w:p w14:paraId="1AA1F264"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3 визит</w:t>
            </w:r>
          </w:p>
        </w:tc>
        <w:tc>
          <w:tcPr>
            <w:tcW w:w="966" w:type="pct"/>
            <w:vAlign w:val="center"/>
          </w:tcPr>
          <w:p w14:paraId="51DCB24E"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7 (28%)</w:t>
            </w:r>
          </w:p>
        </w:tc>
        <w:tc>
          <w:tcPr>
            <w:tcW w:w="834" w:type="pct"/>
            <w:vAlign w:val="center"/>
          </w:tcPr>
          <w:p w14:paraId="1AB13B39"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11 (42%)</w:t>
            </w:r>
          </w:p>
        </w:tc>
        <w:tc>
          <w:tcPr>
            <w:tcW w:w="602" w:type="pct"/>
            <w:vMerge/>
            <w:vAlign w:val="center"/>
          </w:tcPr>
          <w:p w14:paraId="1C39A7DE" w14:textId="77777777" w:rsidR="00EF089A" w:rsidRPr="00437528" w:rsidRDefault="00EF089A" w:rsidP="00441716">
            <w:pPr>
              <w:jc w:val="both"/>
              <w:rPr>
                <w:rFonts w:ascii="Times New Roman" w:hAnsi="Times New Roman"/>
                <w:sz w:val="24"/>
                <w:szCs w:val="24"/>
              </w:rPr>
            </w:pPr>
          </w:p>
        </w:tc>
      </w:tr>
      <w:tr w:rsidR="00EF089A" w:rsidRPr="00437528" w14:paraId="11D645EC" w14:textId="77777777" w:rsidTr="002D4C65">
        <w:trPr>
          <w:jc w:val="center"/>
        </w:trPr>
        <w:tc>
          <w:tcPr>
            <w:tcW w:w="2599" w:type="pct"/>
            <w:gridSpan w:val="2"/>
            <w:vAlign w:val="center"/>
          </w:tcPr>
          <w:p w14:paraId="1F82DB8B"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7A2D1745"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p-value*</w:t>
            </w:r>
          </w:p>
        </w:tc>
        <w:tc>
          <w:tcPr>
            <w:tcW w:w="966" w:type="pct"/>
            <w:vAlign w:val="center"/>
          </w:tcPr>
          <w:p w14:paraId="2EE29F9D"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 xml:space="preserve">- 11 (-44 %) </w:t>
            </w:r>
          </w:p>
          <w:p w14:paraId="47121317" w14:textId="77777777" w:rsidR="00EF089A" w:rsidRPr="00437528" w:rsidRDefault="00EF089A" w:rsidP="00441716">
            <w:pPr>
              <w:jc w:val="both"/>
              <w:rPr>
                <w:rFonts w:ascii="Times New Roman" w:hAnsi="Times New Roman"/>
                <w:sz w:val="24"/>
                <w:szCs w:val="24"/>
                <w:lang w:val="en-US"/>
              </w:rPr>
            </w:pPr>
            <w:r w:rsidRPr="00437528">
              <w:rPr>
                <w:rFonts w:ascii="Times New Roman" w:hAnsi="Times New Roman"/>
                <w:sz w:val="24"/>
                <w:szCs w:val="24"/>
                <w:lang w:val="en-US"/>
              </w:rPr>
              <w:t>p&lt;0,001</w:t>
            </w:r>
          </w:p>
        </w:tc>
        <w:tc>
          <w:tcPr>
            <w:tcW w:w="834" w:type="pct"/>
            <w:vAlign w:val="center"/>
          </w:tcPr>
          <w:p w14:paraId="1B733705"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0</w:t>
            </w:r>
          </w:p>
          <w:p w14:paraId="2E12703E" w14:textId="77777777" w:rsidR="00EF089A" w:rsidRPr="00437528" w:rsidRDefault="00EF089A" w:rsidP="00441716">
            <w:pPr>
              <w:jc w:val="both"/>
              <w:rPr>
                <w:rFonts w:ascii="Times New Roman" w:hAnsi="Times New Roman"/>
                <w:sz w:val="24"/>
                <w:szCs w:val="24"/>
                <w:lang w:val="en-US"/>
              </w:rPr>
            </w:pPr>
            <w:r w:rsidRPr="00437528">
              <w:rPr>
                <w:rFonts w:ascii="Times New Roman" w:hAnsi="Times New Roman"/>
                <w:sz w:val="24"/>
                <w:szCs w:val="24"/>
                <w:lang w:val="en-US"/>
              </w:rPr>
              <w:t>p&lt;0,01</w:t>
            </w:r>
          </w:p>
        </w:tc>
        <w:tc>
          <w:tcPr>
            <w:tcW w:w="602" w:type="pct"/>
            <w:vAlign w:val="center"/>
          </w:tcPr>
          <w:p w14:paraId="1468C18F" w14:textId="77777777" w:rsidR="00EF089A" w:rsidRPr="00437528" w:rsidRDefault="00EF089A" w:rsidP="00441716">
            <w:pPr>
              <w:jc w:val="both"/>
              <w:rPr>
                <w:rFonts w:ascii="Times New Roman" w:hAnsi="Times New Roman"/>
                <w:sz w:val="24"/>
                <w:szCs w:val="24"/>
                <w:lang w:val="en-US"/>
              </w:rPr>
            </w:pPr>
          </w:p>
        </w:tc>
      </w:tr>
      <w:tr w:rsidR="00EF089A" w:rsidRPr="00437528" w14:paraId="5B33C056" w14:textId="77777777" w:rsidTr="002D4C65">
        <w:trPr>
          <w:jc w:val="center"/>
        </w:trPr>
        <w:tc>
          <w:tcPr>
            <w:tcW w:w="2026" w:type="pct"/>
            <w:vMerge w:val="restart"/>
            <w:vAlign w:val="center"/>
          </w:tcPr>
          <w:p w14:paraId="64452056"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Физические упражнения</w:t>
            </w:r>
          </w:p>
        </w:tc>
        <w:tc>
          <w:tcPr>
            <w:tcW w:w="572" w:type="pct"/>
            <w:vAlign w:val="center"/>
          </w:tcPr>
          <w:p w14:paraId="4AF66686"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 визит</w:t>
            </w:r>
          </w:p>
        </w:tc>
        <w:tc>
          <w:tcPr>
            <w:tcW w:w="966" w:type="pct"/>
            <w:vAlign w:val="center"/>
          </w:tcPr>
          <w:p w14:paraId="69C7F001"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15 (54%)</w:t>
            </w:r>
          </w:p>
        </w:tc>
        <w:tc>
          <w:tcPr>
            <w:tcW w:w="834" w:type="pct"/>
            <w:vAlign w:val="center"/>
          </w:tcPr>
          <w:p w14:paraId="364F4196"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12 (44%)</w:t>
            </w:r>
          </w:p>
        </w:tc>
        <w:tc>
          <w:tcPr>
            <w:tcW w:w="602" w:type="pct"/>
            <w:vMerge w:val="restart"/>
            <w:vAlign w:val="center"/>
          </w:tcPr>
          <w:p w14:paraId="1993EE90"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lang w:val="en-US"/>
              </w:rPr>
              <w:t>0,2</w:t>
            </w:r>
          </w:p>
        </w:tc>
      </w:tr>
      <w:tr w:rsidR="00EF089A" w:rsidRPr="00437528" w14:paraId="0C14866E" w14:textId="77777777" w:rsidTr="002D4C65">
        <w:trPr>
          <w:jc w:val="center"/>
        </w:trPr>
        <w:tc>
          <w:tcPr>
            <w:tcW w:w="2026" w:type="pct"/>
            <w:vMerge/>
            <w:vAlign w:val="center"/>
          </w:tcPr>
          <w:p w14:paraId="6B667BA8" w14:textId="77777777" w:rsidR="00EF089A" w:rsidRPr="00437528" w:rsidRDefault="00EF089A" w:rsidP="00441716">
            <w:pPr>
              <w:jc w:val="both"/>
              <w:rPr>
                <w:rFonts w:ascii="Times New Roman" w:hAnsi="Times New Roman"/>
                <w:sz w:val="24"/>
                <w:szCs w:val="24"/>
              </w:rPr>
            </w:pPr>
          </w:p>
        </w:tc>
        <w:tc>
          <w:tcPr>
            <w:tcW w:w="572" w:type="pct"/>
            <w:vAlign w:val="center"/>
          </w:tcPr>
          <w:p w14:paraId="55A2C2C2"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3 визит</w:t>
            </w:r>
          </w:p>
        </w:tc>
        <w:tc>
          <w:tcPr>
            <w:tcW w:w="966" w:type="pct"/>
            <w:vAlign w:val="center"/>
          </w:tcPr>
          <w:p w14:paraId="60166783"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8 (32%)</w:t>
            </w:r>
          </w:p>
        </w:tc>
        <w:tc>
          <w:tcPr>
            <w:tcW w:w="834" w:type="pct"/>
            <w:vAlign w:val="center"/>
          </w:tcPr>
          <w:p w14:paraId="568E0107"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7 (27%)</w:t>
            </w:r>
          </w:p>
        </w:tc>
        <w:tc>
          <w:tcPr>
            <w:tcW w:w="602" w:type="pct"/>
            <w:vMerge/>
            <w:vAlign w:val="center"/>
          </w:tcPr>
          <w:p w14:paraId="20CA4DB9" w14:textId="77777777" w:rsidR="00EF089A" w:rsidRPr="00437528" w:rsidRDefault="00EF089A" w:rsidP="00441716">
            <w:pPr>
              <w:jc w:val="both"/>
              <w:rPr>
                <w:rFonts w:ascii="Times New Roman" w:hAnsi="Times New Roman"/>
                <w:sz w:val="24"/>
                <w:szCs w:val="24"/>
              </w:rPr>
            </w:pPr>
          </w:p>
        </w:tc>
      </w:tr>
      <w:tr w:rsidR="00EF089A" w:rsidRPr="00437528" w14:paraId="4C5C0F06" w14:textId="77777777" w:rsidTr="002D4C65">
        <w:trPr>
          <w:jc w:val="center"/>
        </w:trPr>
        <w:tc>
          <w:tcPr>
            <w:tcW w:w="2599" w:type="pct"/>
            <w:gridSpan w:val="2"/>
            <w:vAlign w:val="center"/>
          </w:tcPr>
          <w:p w14:paraId="0A75E3BC"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67AE587E"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p-value*</w:t>
            </w:r>
          </w:p>
        </w:tc>
        <w:tc>
          <w:tcPr>
            <w:tcW w:w="966" w:type="pct"/>
            <w:vAlign w:val="center"/>
          </w:tcPr>
          <w:p w14:paraId="2685D8A1"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- 7 (-28%)</w:t>
            </w:r>
          </w:p>
          <w:p w14:paraId="77D45FD1" w14:textId="77777777" w:rsidR="00EF089A" w:rsidRPr="00437528" w:rsidRDefault="00EF089A" w:rsidP="00441716">
            <w:pPr>
              <w:jc w:val="both"/>
              <w:rPr>
                <w:rFonts w:ascii="Times New Roman" w:hAnsi="Times New Roman"/>
                <w:sz w:val="24"/>
                <w:szCs w:val="24"/>
                <w:lang w:val="en-US"/>
              </w:rPr>
            </w:pPr>
            <w:r w:rsidRPr="00437528">
              <w:rPr>
                <w:rFonts w:ascii="Times New Roman" w:hAnsi="Times New Roman"/>
                <w:sz w:val="24"/>
                <w:szCs w:val="24"/>
                <w:lang w:val="en-US"/>
              </w:rPr>
              <w:t>p&lt;0,001</w:t>
            </w:r>
          </w:p>
        </w:tc>
        <w:tc>
          <w:tcPr>
            <w:tcW w:w="834" w:type="pct"/>
            <w:vAlign w:val="center"/>
          </w:tcPr>
          <w:p w14:paraId="296CD222"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-5 (-19%)</w:t>
            </w:r>
          </w:p>
          <w:p w14:paraId="4EC629E8" w14:textId="77777777" w:rsidR="00EF089A" w:rsidRPr="00437528" w:rsidRDefault="00EF089A" w:rsidP="00441716">
            <w:pPr>
              <w:jc w:val="both"/>
              <w:rPr>
                <w:rFonts w:ascii="Times New Roman" w:hAnsi="Times New Roman"/>
                <w:sz w:val="24"/>
                <w:szCs w:val="24"/>
                <w:lang w:val="en-US"/>
              </w:rPr>
            </w:pPr>
            <w:r w:rsidRPr="00437528">
              <w:rPr>
                <w:rFonts w:ascii="Times New Roman" w:hAnsi="Times New Roman"/>
                <w:sz w:val="24"/>
                <w:szCs w:val="24"/>
                <w:lang w:val="en-US"/>
              </w:rPr>
              <w:t>p=0,001</w:t>
            </w:r>
          </w:p>
        </w:tc>
        <w:tc>
          <w:tcPr>
            <w:tcW w:w="602" w:type="pct"/>
            <w:vAlign w:val="center"/>
          </w:tcPr>
          <w:p w14:paraId="23429508" w14:textId="77777777" w:rsidR="00EF089A" w:rsidRPr="00437528" w:rsidRDefault="00EF089A" w:rsidP="00441716">
            <w:pPr>
              <w:jc w:val="both"/>
              <w:rPr>
                <w:rFonts w:ascii="Times New Roman" w:hAnsi="Times New Roman"/>
                <w:sz w:val="24"/>
                <w:szCs w:val="24"/>
                <w:lang w:val="en-US"/>
              </w:rPr>
            </w:pPr>
          </w:p>
        </w:tc>
      </w:tr>
      <w:tr w:rsidR="00EF089A" w:rsidRPr="00437528" w14:paraId="1D6EED15" w14:textId="77777777" w:rsidTr="002D4C65">
        <w:trPr>
          <w:jc w:val="center"/>
        </w:trPr>
        <w:tc>
          <w:tcPr>
            <w:tcW w:w="2026" w:type="pct"/>
            <w:vMerge w:val="restart"/>
            <w:vAlign w:val="center"/>
          </w:tcPr>
          <w:p w14:paraId="02B93F16"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Прогулки пешком</w:t>
            </w:r>
          </w:p>
        </w:tc>
        <w:tc>
          <w:tcPr>
            <w:tcW w:w="572" w:type="pct"/>
            <w:vAlign w:val="center"/>
          </w:tcPr>
          <w:p w14:paraId="17B5E3AB"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 визит</w:t>
            </w:r>
          </w:p>
        </w:tc>
        <w:tc>
          <w:tcPr>
            <w:tcW w:w="966" w:type="pct"/>
            <w:vAlign w:val="center"/>
          </w:tcPr>
          <w:p w14:paraId="37EBE533"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17 (61%)</w:t>
            </w:r>
          </w:p>
        </w:tc>
        <w:tc>
          <w:tcPr>
            <w:tcW w:w="834" w:type="pct"/>
            <w:vAlign w:val="center"/>
          </w:tcPr>
          <w:p w14:paraId="6FC4AA58"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23 (85%)</w:t>
            </w:r>
          </w:p>
        </w:tc>
        <w:tc>
          <w:tcPr>
            <w:tcW w:w="602" w:type="pct"/>
            <w:vMerge w:val="restart"/>
            <w:vAlign w:val="center"/>
          </w:tcPr>
          <w:p w14:paraId="66C7E37C"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lang w:val="en-US"/>
              </w:rPr>
              <w:t>0,3</w:t>
            </w:r>
          </w:p>
        </w:tc>
      </w:tr>
      <w:tr w:rsidR="00EF089A" w:rsidRPr="00437528" w14:paraId="2126FA3E" w14:textId="77777777" w:rsidTr="002D4C65">
        <w:trPr>
          <w:jc w:val="center"/>
        </w:trPr>
        <w:tc>
          <w:tcPr>
            <w:tcW w:w="2026" w:type="pct"/>
            <w:vMerge/>
            <w:vAlign w:val="center"/>
          </w:tcPr>
          <w:p w14:paraId="4389FAB9" w14:textId="77777777" w:rsidR="00EF089A" w:rsidRPr="00437528" w:rsidRDefault="00EF089A" w:rsidP="00441716">
            <w:pPr>
              <w:jc w:val="both"/>
              <w:rPr>
                <w:rFonts w:ascii="Times New Roman" w:hAnsi="Times New Roman"/>
                <w:sz w:val="24"/>
                <w:szCs w:val="24"/>
              </w:rPr>
            </w:pPr>
          </w:p>
        </w:tc>
        <w:tc>
          <w:tcPr>
            <w:tcW w:w="572" w:type="pct"/>
            <w:vAlign w:val="center"/>
          </w:tcPr>
          <w:p w14:paraId="1F64589C"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3 визит</w:t>
            </w:r>
          </w:p>
        </w:tc>
        <w:tc>
          <w:tcPr>
            <w:tcW w:w="966" w:type="pct"/>
            <w:vAlign w:val="center"/>
          </w:tcPr>
          <w:p w14:paraId="67A8247F"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7 (28%)</w:t>
            </w:r>
          </w:p>
        </w:tc>
        <w:tc>
          <w:tcPr>
            <w:tcW w:w="834" w:type="pct"/>
            <w:vAlign w:val="center"/>
          </w:tcPr>
          <w:p w14:paraId="388D1572"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15 (58%)</w:t>
            </w:r>
          </w:p>
        </w:tc>
        <w:tc>
          <w:tcPr>
            <w:tcW w:w="602" w:type="pct"/>
            <w:vMerge/>
            <w:vAlign w:val="center"/>
          </w:tcPr>
          <w:p w14:paraId="177C932E" w14:textId="77777777" w:rsidR="00EF089A" w:rsidRPr="00437528" w:rsidRDefault="00EF089A" w:rsidP="00441716">
            <w:pPr>
              <w:jc w:val="both"/>
              <w:rPr>
                <w:rFonts w:ascii="Times New Roman" w:hAnsi="Times New Roman"/>
                <w:sz w:val="24"/>
                <w:szCs w:val="24"/>
              </w:rPr>
            </w:pPr>
          </w:p>
        </w:tc>
      </w:tr>
      <w:tr w:rsidR="00EF089A" w:rsidRPr="00437528" w14:paraId="3704C5DD" w14:textId="77777777" w:rsidTr="002D4C65">
        <w:trPr>
          <w:trHeight w:val="717"/>
          <w:jc w:val="center"/>
        </w:trPr>
        <w:tc>
          <w:tcPr>
            <w:tcW w:w="2599" w:type="pct"/>
            <w:gridSpan w:val="2"/>
            <w:vAlign w:val="center"/>
          </w:tcPr>
          <w:p w14:paraId="6F5AEEA4"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0E820CC8"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p-value*</w:t>
            </w:r>
          </w:p>
        </w:tc>
        <w:tc>
          <w:tcPr>
            <w:tcW w:w="966" w:type="pct"/>
            <w:vAlign w:val="center"/>
          </w:tcPr>
          <w:p w14:paraId="2E310A3B"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-10 (-40%)</w:t>
            </w:r>
          </w:p>
          <w:p w14:paraId="2A624E67" w14:textId="77777777" w:rsidR="00EF089A" w:rsidRPr="00437528" w:rsidRDefault="00EF089A" w:rsidP="00441716">
            <w:pPr>
              <w:jc w:val="both"/>
              <w:rPr>
                <w:rFonts w:ascii="Times New Roman" w:hAnsi="Times New Roman"/>
                <w:sz w:val="24"/>
                <w:szCs w:val="24"/>
                <w:lang w:val="en-US"/>
              </w:rPr>
            </w:pPr>
            <w:r w:rsidRPr="00437528">
              <w:rPr>
                <w:rFonts w:ascii="Times New Roman" w:hAnsi="Times New Roman"/>
                <w:sz w:val="24"/>
                <w:szCs w:val="24"/>
                <w:lang w:val="en-US"/>
              </w:rPr>
              <w:t>p&lt;0,001</w:t>
            </w:r>
          </w:p>
        </w:tc>
        <w:tc>
          <w:tcPr>
            <w:tcW w:w="834" w:type="pct"/>
            <w:vAlign w:val="center"/>
          </w:tcPr>
          <w:p w14:paraId="18669E83"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-8 (-30,5%)</w:t>
            </w:r>
          </w:p>
          <w:p w14:paraId="33DBB9F1" w14:textId="77777777" w:rsidR="00EF089A" w:rsidRPr="00437528" w:rsidRDefault="00EF089A" w:rsidP="00441716">
            <w:pPr>
              <w:jc w:val="both"/>
              <w:rPr>
                <w:rFonts w:ascii="Times New Roman" w:hAnsi="Times New Roman"/>
                <w:sz w:val="24"/>
                <w:szCs w:val="24"/>
                <w:lang w:val="en-US"/>
              </w:rPr>
            </w:pPr>
            <w:r w:rsidRPr="00437528">
              <w:rPr>
                <w:rFonts w:ascii="Times New Roman" w:hAnsi="Times New Roman"/>
                <w:sz w:val="24"/>
                <w:szCs w:val="24"/>
                <w:lang w:val="en-US"/>
              </w:rPr>
              <w:t>p&lt;0,001</w:t>
            </w:r>
          </w:p>
        </w:tc>
        <w:tc>
          <w:tcPr>
            <w:tcW w:w="602" w:type="pct"/>
            <w:vAlign w:val="center"/>
          </w:tcPr>
          <w:p w14:paraId="0F792ECA" w14:textId="77777777" w:rsidR="00EF089A" w:rsidRPr="00437528" w:rsidRDefault="00EF089A" w:rsidP="00441716">
            <w:pPr>
              <w:jc w:val="both"/>
              <w:rPr>
                <w:rFonts w:ascii="Times New Roman" w:hAnsi="Times New Roman"/>
                <w:sz w:val="24"/>
                <w:szCs w:val="24"/>
                <w:lang w:val="en-US"/>
              </w:rPr>
            </w:pPr>
          </w:p>
        </w:tc>
      </w:tr>
      <w:tr w:rsidR="00EF089A" w:rsidRPr="00437528" w14:paraId="09D294EA" w14:textId="77777777" w:rsidTr="002D4C65">
        <w:trPr>
          <w:jc w:val="center"/>
        </w:trPr>
        <w:tc>
          <w:tcPr>
            <w:tcW w:w="2026" w:type="pct"/>
            <w:vMerge w:val="restart"/>
            <w:vAlign w:val="center"/>
          </w:tcPr>
          <w:p w14:paraId="4D2777E4"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Работа</w:t>
            </w:r>
          </w:p>
        </w:tc>
        <w:tc>
          <w:tcPr>
            <w:tcW w:w="572" w:type="pct"/>
            <w:vAlign w:val="center"/>
          </w:tcPr>
          <w:p w14:paraId="7E2F400A"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 визит</w:t>
            </w:r>
          </w:p>
        </w:tc>
        <w:tc>
          <w:tcPr>
            <w:tcW w:w="966" w:type="pct"/>
            <w:vAlign w:val="center"/>
          </w:tcPr>
          <w:p w14:paraId="75B8B425"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15 (54%)</w:t>
            </w:r>
          </w:p>
        </w:tc>
        <w:tc>
          <w:tcPr>
            <w:tcW w:w="834" w:type="pct"/>
            <w:vAlign w:val="center"/>
          </w:tcPr>
          <w:p w14:paraId="49E3DAAA"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20 (74%)</w:t>
            </w:r>
          </w:p>
        </w:tc>
        <w:tc>
          <w:tcPr>
            <w:tcW w:w="602" w:type="pct"/>
            <w:vMerge w:val="restart"/>
            <w:vAlign w:val="center"/>
          </w:tcPr>
          <w:p w14:paraId="454882E6"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lang w:val="en-US"/>
              </w:rPr>
              <w:t>0,3</w:t>
            </w:r>
          </w:p>
        </w:tc>
      </w:tr>
      <w:tr w:rsidR="00EF089A" w:rsidRPr="00437528" w14:paraId="296908BA" w14:textId="77777777" w:rsidTr="002D4C65">
        <w:trPr>
          <w:jc w:val="center"/>
        </w:trPr>
        <w:tc>
          <w:tcPr>
            <w:tcW w:w="2026" w:type="pct"/>
            <w:vMerge/>
            <w:vAlign w:val="center"/>
          </w:tcPr>
          <w:p w14:paraId="6EA782F0" w14:textId="77777777" w:rsidR="00EF089A" w:rsidRPr="00437528" w:rsidRDefault="00EF089A" w:rsidP="00441716">
            <w:pPr>
              <w:jc w:val="both"/>
              <w:rPr>
                <w:rFonts w:ascii="Times New Roman" w:hAnsi="Times New Roman"/>
                <w:sz w:val="24"/>
                <w:szCs w:val="24"/>
              </w:rPr>
            </w:pPr>
          </w:p>
        </w:tc>
        <w:tc>
          <w:tcPr>
            <w:tcW w:w="572" w:type="pct"/>
            <w:vAlign w:val="center"/>
          </w:tcPr>
          <w:p w14:paraId="2B57184A"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3 визит</w:t>
            </w:r>
          </w:p>
        </w:tc>
        <w:tc>
          <w:tcPr>
            <w:tcW w:w="966" w:type="pct"/>
            <w:vAlign w:val="center"/>
          </w:tcPr>
          <w:p w14:paraId="474BA653"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9 (36%)</w:t>
            </w:r>
          </w:p>
        </w:tc>
        <w:tc>
          <w:tcPr>
            <w:tcW w:w="834" w:type="pct"/>
            <w:vAlign w:val="center"/>
          </w:tcPr>
          <w:p w14:paraId="3C389705"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11 (42%)</w:t>
            </w:r>
          </w:p>
        </w:tc>
        <w:tc>
          <w:tcPr>
            <w:tcW w:w="602" w:type="pct"/>
            <w:vMerge/>
            <w:vAlign w:val="center"/>
          </w:tcPr>
          <w:p w14:paraId="62065EA0" w14:textId="77777777" w:rsidR="00EF089A" w:rsidRPr="00437528" w:rsidRDefault="00EF089A" w:rsidP="00441716">
            <w:pPr>
              <w:jc w:val="both"/>
              <w:rPr>
                <w:rFonts w:ascii="Times New Roman" w:hAnsi="Times New Roman"/>
                <w:sz w:val="24"/>
                <w:szCs w:val="24"/>
              </w:rPr>
            </w:pPr>
          </w:p>
        </w:tc>
      </w:tr>
      <w:tr w:rsidR="00EF089A" w:rsidRPr="00437528" w14:paraId="1B5436F0" w14:textId="77777777" w:rsidTr="002D4C65">
        <w:trPr>
          <w:jc w:val="center"/>
        </w:trPr>
        <w:tc>
          <w:tcPr>
            <w:tcW w:w="2599" w:type="pct"/>
            <w:gridSpan w:val="2"/>
            <w:vAlign w:val="center"/>
          </w:tcPr>
          <w:p w14:paraId="3D8090ED"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0844A746"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p-value*</w:t>
            </w:r>
          </w:p>
        </w:tc>
        <w:tc>
          <w:tcPr>
            <w:tcW w:w="966" w:type="pct"/>
            <w:vAlign w:val="center"/>
          </w:tcPr>
          <w:p w14:paraId="4CD1CD5E"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-6 (-24%)</w:t>
            </w:r>
          </w:p>
          <w:p w14:paraId="27C07E0B" w14:textId="77777777" w:rsidR="00EF089A" w:rsidRPr="00437528" w:rsidRDefault="00EF089A" w:rsidP="00441716">
            <w:pPr>
              <w:jc w:val="both"/>
              <w:rPr>
                <w:rFonts w:ascii="Times New Roman" w:hAnsi="Times New Roman"/>
                <w:sz w:val="24"/>
                <w:szCs w:val="24"/>
                <w:lang w:val="en-US"/>
              </w:rPr>
            </w:pPr>
            <w:r w:rsidRPr="00437528">
              <w:rPr>
                <w:rFonts w:ascii="Times New Roman" w:hAnsi="Times New Roman"/>
                <w:sz w:val="24"/>
                <w:szCs w:val="24"/>
                <w:lang w:val="en-US"/>
              </w:rPr>
              <w:t>p&lt;0,001</w:t>
            </w:r>
          </w:p>
        </w:tc>
        <w:tc>
          <w:tcPr>
            <w:tcW w:w="834" w:type="pct"/>
            <w:vAlign w:val="center"/>
          </w:tcPr>
          <w:p w14:paraId="1EB03F3E"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-9 (-34,7%)</w:t>
            </w:r>
          </w:p>
          <w:p w14:paraId="6A76FFCB" w14:textId="77777777" w:rsidR="00EF089A" w:rsidRPr="00437528" w:rsidRDefault="00EF089A" w:rsidP="00441716">
            <w:pPr>
              <w:jc w:val="both"/>
              <w:rPr>
                <w:rFonts w:ascii="Times New Roman" w:hAnsi="Times New Roman"/>
                <w:sz w:val="24"/>
                <w:szCs w:val="24"/>
                <w:lang w:val="en-US"/>
              </w:rPr>
            </w:pPr>
            <w:r w:rsidRPr="00437528">
              <w:rPr>
                <w:rFonts w:ascii="Times New Roman" w:hAnsi="Times New Roman"/>
                <w:sz w:val="24"/>
                <w:szCs w:val="24"/>
                <w:lang w:val="en-US"/>
              </w:rPr>
              <w:t>p&lt;0,001</w:t>
            </w:r>
          </w:p>
        </w:tc>
        <w:tc>
          <w:tcPr>
            <w:tcW w:w="602" w:type="pct"/>
            <w:vAlign w:val="center"/>
          </w:tcPr>
          <w:p w14:paraId="723FF984" w14:textId="77777777" w:rsidR="00EF089A" w:rsidRPr="00437528" w:rsidRDefault="00EF089A" w:rsidP="00441716">
            <w:pPr>
              <w:jc w:val="both"/>
              <w:rPr>
                <w:rFonts w:ascii="Times New Roman" w:hAnsi="Times New Roman"/>
                <w:sz w:val="24"/>
                <w:szCs w:val="24"/>
                <w:lang w:val="en-US"/>
              </w:rPr>
            </w:pPr>
          </w:p>
        </w:tc>
      </w:tr>
      <w:tr w:rsidR="00EF089A" w:rsidRPr="00437528" w14:paraId="06CB3456" w14:textId="77777777" w:rsidTr="002D4C65">
        <w:trPr>
          <w:jc w:val="center"/>
        </w:trPr>
        <w:tc>
          <w:tcPr>
            <w:tcW w:w="2026" w:type="pct"/>
            <w:vMerge w:val="restart"/>
            <w:vAlign w:val="center"/>
          </w:tcPr>
          <w:p w14:paraId="08CC63F1"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Пребывание на открытом воздухе</w:t>
            </w:r>
          </w:p>
        </w:tc>
        <w:tc>
          <w:tcPr>
            <w:tcW w:w="572" w:type="pct"/>
            <w:vAlign w:val="center"/>
          </w:tcPr>
          <w:p w14:paraId="2422C45B"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 визит</w:t>
            </w:r>
          </w:p>
        </w:tc>
        <w:tc>
          <w:tcPr>
            <w:tcW w:w="966" w:type="pct"/>
            <w:vAlign w:val="center"/>
          </w:tcPr>
          <w:p w14:paraId="64D3AC8D"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10 (36%)</w:t>
            </w:r>
          </w:p>
        </w:tc>
        <w:tc>
          <w:tcPr>
            <w:tcW w:w="834" w:type="pct"/>
            <w:vAlign w:val="center"/>
          </w:tcPr>
          <w:p w14:paraId="278F80BB"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12 (44%)</w:t>
            </w:r>
          </w:p>
        </w:tc>
        <w:tc>
          <w:tcPr>
            <w:tcW w:w="602" w:type="pct"/>
            <w:vMerge w:val="restart"/>
            <w:vAlign w:val="center"/>
          </w:tcPr>
          <w:p w14:paraId="474A41CD"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lang w:val="en-US"/>
              </w:rPr>
              <w:t>0,3</w:t>
            </w:r>
          </w:p>
        </w:tc>
      </w:tr>
      <w:tr w:rsidR="00EF089A" w:rsidRPr="00437528" w14:paraId="7719F167" w14:textId="77777777" w:rsidTr="002D4C65">
        <w:trPr>
          <w:jc w:val="center"/>
        </w:trPr>
        <w:tc>
          <w:tcPr>
            <w:tcW w:w="2026" w:type="pct"/>
            <w:vMerge/>
            <w:vAlign w:val="center"/>
          </w:tcPr>
          <w:p w14:paraId="3CA37912" w14:textId="77777777" w:rsidR="00EF089A" w:rsidRPr="00437528" w:rsidRDefault="00EF089A" w:rsidP="00441716">
            <w:pPr>
              <w:jc w:val="both"/>
              <w:rPr>
                <w:rFonts w:ascii="Times New Roman" w:hAnsi="Times New Roman"/>
                <w:sz w:val="24"/>
                <w:szCs w:val="24"/>
              </w:rPr>
            </w:pPr>
          </w:p>
        </w:tc>
        <w:tc>
          <w:tcPr>
            <w:tcW w:w="572" w:type="pct"/>
            <w:vAlign w:val="center"/>
          </w:tcPr>
          <w:p w14:paraId="6668795C"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3 визит</w:t>
            </w:r>
          </w:p>
        </w:tc>
        <w:tc>
          <w:tcPr>
            <w:tcW w:w="966" w:type="pct"/>
            <w:vAlign w:val="center"/>
          </w:tcPr>
          <w:p w14:paraId="5104A5BF"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5 (20%)</w:t>
            </w:r>
          </w:p>
        </w:tc>
        <w:tc>
          <w:tcPr>
            <w:tcW w:w="834" w:type="pct"/>
            <w:vAlign w:val="center"/>
          </w:tcPr>
          <w:p w14:paraId="3A577CBC"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10 (38%)</w:t>
            </w:r>
          </w:p>
        </w:tc>
        <w:tc>
          <w:tcPr>
            <w:tcW w:w="602" w:type="pct"/>
            <w:vMerge/>
            <w:vAlign w:val="center"/>
          </w:tcPr>
          <w:p w14:paraId="495904CC" w14:textId="77777777" w:rsidR="00EF089A" w:rsidRPr="00437528" w:rsidRDefault="00EF089A" w:rsidP="00441716">
            <w:pPr>
              <w:jc w:val="both"/>
              <w:rPr>
                <w:rFonts w:ascii="Times New Roman" w:hAnsi="Times New Roman"/>
                <w:sz w:val="24"/>
                <w:szCs w:val="24"/>
              </w:rPr>
            </w:pPr>
          </w:p>
        </w:tc>
      </w:tr>
      <w:tr w:rsidR="00EF089A" w:rsidRPr="00437528" w14:paraId="1A656B2C" w14:textId="77777777" w:rsidTr="002D4C65">
        <w:trPr>
          <w:jc w:val="center"/>
        </w:trPr>
        <w:tc>
          <w:tcPr>
            <w:tcW w:w="2599" w:type="pct"/>
            <w:gridSpan w:val="2"/>
            <w:vAlign w:val="center"/>
          </w:tcPr>
          <w:p w14:paraId="394F00D1"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Динамика между 1 и 3 визитами</w:t>
            </w:r>
          </w:p>
          <w:p w14:paraId="26DF2A45"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p-value*</w:t>
            </w:r>
          </w:p>
        </w:tc>
        <w:tc>
          <w:tcPr>
            <w:tcW w:w="966" w:type="pct"/>
            <w:vAlign w:val="center"/>
          </w:tcPr>
          <w:p w14:paraId="5A655276"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-5 (-20%)</w:t>
            </w:r>
          </w:p>
          <w:p w14:paraId="7C1957F3" w14:textId="77777777" w:rsidR="00EF089A" w:rsidRPr="00437528" w:rsidRDefault="00EF089A" w:rsidP="00441716">
            <w:pPr>
              <w:jc w:val="both"/>
              <w:rPr>
                <w:rFonts w:ascii="Times New Roman" w:hAnsi="Times New Roman"/>
                <w:sz w:val="24"/>
                <w:szCs w:val="24"/>
                <w:lang w:val="en-US"/>
              </w:rPr>
            </w:pPr>
            <w:r w:rsidRPr="00437528">
              <w:rPr>
                <w:rFonts w:ascii="Times New Roman" w:hAnsi="Times New Roman"/>
                <w:sz w:val="24"/>
                <w:szCs w:val="24"/>
                <w:lang w:val="en-US"/>
              </w:rPr>
              <w:t>p&lt;0,01</w:t>
            </w:r>
          </w:p>
        </w:tc>
        <w:tc>
          <w:tcPr>
            <w:tcW w:w="834" w:type="pct"/>
            <w:vAlign w:val="center"/>
          </w:tcPr>
          <w:p w14:paraId="734FF25F" w14:textId="77777777" w:rsidR="00EF089A" w:rsidRPr="00437528" w:rsidRDefault="00EF089A" w:rsidP="00441716">
            <w:pPr>
              <w:jc w:val="both"/>
              <w:rPr>
                <w:rFonts w:ascii="Times New Roman" w:hAnsi="Times New Roman"/>
                <w:sz w:val="24"/>
                <w:szCs w:val="24"/>
              </w:rPr>
            </w:pPr>
            <w:r w:rsidRPr="00437528">
              <w:rPr>
                <w:rFonts w:ascii="Times New Roman" w:hAnsi="Times New Roman"/>
                <w:sz w:val="24"/>
                <w:szCs w:val="24"/>
              </w:rPr>
              <w:t>-2 (-7,5%)</w:t>
            </w:r>
          </w:p>
          <w:p w14:paraId="5D121255" w14:textId="77777777" w:rsidR="00EF089A" w:rsidRPr="00437528" w:rsidRDefault="00EF089A" w:rsidP="00441716">
            <w:pPr>
              <w:jc w:val="both"/>
              <w:rPr>
                <w:rFonts w:ascii="Times New Roman" w:hAnsi="Times New Roman"/>
                <w:sz w:val="24"/>
                <w:szCs w:val="24"/>
                <w:lang w:val="en-US"/>
              </w:rPr>
            </w:pPr>
            <w:r w:rsidRPr="00437528">
              <w:rPr>
                <w:rFonts w:ascii="Times New Roman" w:hAnsi="Times New Roman"/>
                <w:sz w:val="24"/>
                <w:szCs w:val="24"/>
                <w:lang w:val="en-US"/>
              </w:rPr>
              <w:t>p&lt;0,05</w:t>
            </w:r>
          </w:p>
        </w:tc>
        <w:tc>
          <w:tcPr>
            <w:tcW w:w="602" w:type="pct"/>
            <w:vAlign w:val="center"/>
          </w:tcPr>
          <w:p w14:paraId="19562F68" w14:textId="77777777" w:rsidR="00EF089A" w:rsidRPr="00437528" w:rsidRDefault="00EF089A" w:rsidP="00441716">
            <w:pPr>
              <w:jc w:val="both"/>
              <w:rPr>
                <w:rFonts w:ascii="Times New Roman" w:hAnsi="Times New Roman"/>
                <w:sz w:val="24"/>
                <w:szCs w:val="24"/>
                <w:lang w:val="en-US"/>
              </w:rPr>
            </w:pPr>
          </w:p>
        </w:tc>
      </w:tr>
      <w:tr w:rsidR="002D4C65" w:rsidRPr="00437528" w14:paraId="75BC4621" w14:textId="77777777" w:rsidTr="002D4C65">
        <w:trPr>
          <w:jc w:val="center"/>
        </w:trPr>
        <w:tc>
          <w:tcPr>
            <w:tcW w:w="5000" w:type="pct"/>
            <w:gridSpan w:val="5"/>
            <w:vAlign w:val="center"/>
          </w:tcPr>
          <w:p w14:paraId="2C429724" w14:textId="77777777" w:rsidR="002D4C65" w:rsidRPr="002D4C65" w:rsidRDefault="002D4C65" w:rsidP="002D4C65">
            <w:pPr>
              <w:spacing w:line="256" w:lineRule="auto"/>
              <w:ind w:firstLine="594"/>
              <w:jc w:val="both"/>
              <w:rPr>
                <w:rFonts w:ascii="Times New Roman" w:eastAsia="Times New Roman" w:hAnsi="Times New Roman"/>
                <w:color w:val="000000"/>
                <w:kern w:val="24"/>
                <w:sz w:val="24"/>
                <w:szCs w:val="24"/>
                <w:lang w:eastAsia="ru-RU"/>
              </w:rPr>
            </w:pPr>
            <w:r w:rsidRPr="002D4C65">
              <w:rPr>
                <w:rFonts w:ascii="Times New Roman" w:eastAsia="Times New Roman" w:hAnsi="Times New Roman"/>
                <w:color w:val="000000"/>
                <w:kern w:val="24"/>
                <w:sz w:val="24"/>
                <w:szCs w:val="24"/>
                <w:lang w:eastAsia="ru-RU"/>
              </w:rPr>
              <w:t>Примечания:</w:t>
            </w:r>
          </w:p>
          <w:p w14:paraId="0CB69D26" w14:textId="77777777" w:rsidR="002D4C65" w:rsidRPr="002D4C65" w:rsidRDefault="002D4C65" w:rsidP="002D4C65">
            <w:pPr>
              <w:tabs>
                <w:tab w:val="left" w:pos="1454"/>
              </w:tabs>
              <w:jc w:val="both"/>
              <w:rPr>
                <w:rFonts w:ascii="Times New Roman" w:hAnsi="Times New Roman"/>
                <w:sz w:val="24"/>
                <w:szCs w:val="24"/>
              </w:rPr>
            </w:pPr>
            <w:r w:rsidRPr="002D4C65">
              <w:rPr>
                <w:rFonts w:ascii="Times New Roman" w:hAnsi="Times New Roman"/>
                <w:sz w:val="24"/>
                <w:szCs w:val="24"/>
              </w:rPr>
              <w:t xml:space="preserve">1 </w:t>
            </w:r>
            <w:r w:rsidRPr="002D4C65">
              <w:rPr>
                <w:rFonts w:ascii="Times New Roman" w:hAnsi="Times New Roman"/>
                <w:sz w:val="24"/>
                <w:szCs w:val="24"/>
                <w:lang w:val="en-US"/>
              </w:rPr>
              <w:t>n</w:t>
            </w:r>
            <w:r w:rsidRPr="002D4C65">
              <w:rPr>
                <w:rFonts w:ascii="Times New Roman" w:hAnsi="Times New Roman"/>
                <w:sz w:val="24"/>
                <w:szCs w:val="24"/>
              </w:rPr>
              <w:t xml:space="preserve"> (%) – количество человек с процентным соотношением к общему количеству</w:t>
            </w:r>
          </w:p>
          <w:p w14:paraId="54B76CDB" w14:textId="7E13DD51" w:rsidR="002D4C65" w:rsidRPr="002D4C65" w:rsidRDefault="002D4C65" w:rsidP="002D4C65">
            <w:pPr>
              <w:tabs>
                <w:tab w:val="left" w:pos="1454"/>
              </w:tabs>
              <w:jc w:val="both"/>
              <w:rPr>
                <w:rFonts w:ascii="Times New Roman" w:hAnsi="Times New Roman"/>
                <w:sz w:val="24"/>
                <w:szCs w:val="24"/>
              </w:rPr>
            </w:pPr>
            <w:r w:rsidRPr="002D4C65">
              <w:rPr>
                <w:rFonts w:ascii="Times New Roman" w:hAnsi="Times New Roman"/>
                <w:sz w:val="24"/>
                <w:szCs w:val="24"/>
              </w:rPr>
              <w:t>2 *статистический критерии мак-нимара</w:t>
            </w:r>
          </w:p>
          <w:p w14:paraId="1ECE91CE" w14:textId="44FAD037" w:rsidR="002D4C65" w:rsidRPr="002D4C65" w:rsidRDefault="002D4C65" w:rsidP="002D4C65">
            <w:pPr>
              <w:tabs>
                <w:tab w:val="left" w:pos="1454"/>
              </w:tabs>
              <w:jc w:val="both"/>
              <w:rPr>
                <w:rFonts w:ascii="Times New Roman" w:hAnsi="Times New Roman"/>
              </w:rPr>
            </w:pPr>
            <w:r w:rsidRPr="002D4C65">
              <w:rPr>
                <w:rFonts w:ascii="Times New Roman" w:hAnsi="Times New Roman"/>
                <w:sz w:val="24"/>
                <w:szCs w:val="24"/>
              </w:rPr>
              <w:t>3 **сравнение между группами статистический критерии хи квадрат Пирсона</w:t>
            </w:r>
          </w:p>
        </w:tc>
      </w:tr>
    </w:tbl>
    <w:p w14:paraId="5C9B1B79" w14:textId="77777777" w:rsidR="00EF089A" w:rsidRPr="00437528" w:rsidRDefault="00EF089A" w:rsidP="00437528">
      <w:pPr>
        <w:spacing w:after="0" w:line="240" w:lineRule="auto"/>
        <w:ind w:firstLine="567"/>
        <w:jc w:val="both"/>
        <w:rPr>
          <w:rFonts w:ascii="Times New Roman" w:eastAsia="Calibri" w:hAnsi="Times New Roman" w:cs="Times New Roman"/>
          <w:sz w:val="28"/>
          <w:szCs w:val="28"/>
        </w:rPr>
      </w:pPr>
    </w:p>
    <w:p w14:paraId="77408E82" w14:textId="3214E331" w:rsidR="00437528" w:rsidRPr="006146D2" w:rsidRDefault="00437528" w:rsidP="00437528">
      <w:pPr>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 xml:space="preserve">Изолированное сравнение частоты ограничения </w:t>
      </w:r>
      <w:r w:rsidR="00D71A3D">
        <w:rPr>
          <w:rFonts w:ascii="Times New Roman" w:eastAsia="Calibri" w:hAnsi="Times New Roman" w:cs="Times New Roman"/>
          <w:sz w:val="28"/>
          <w:szCs w:val="28"/>
        </w:rPr>
        <w:t xml:space="preserve">различных </w:t>
      </w:r>
      <w:r w:rsidRPr="00437528">
        <w:rPr>
          <w:rFonts w:ascii="Times New Roman" w:eastAsia="Calibri" w:hAnsi="Times New Roman" w:cs="Times New Roman"/>
          <w:sz w:val="28"/>
          <w:szCs w:val="28"/>
        </w:rPr>
        <w:t>видов физической активности в групп</w:t>
      </w:r>
      <w:r w:rsidR="00017D1C">
        <w:rPr>
          <w:rFonts w:ascii="Times New Roman" w:eastAsia="Calibri" w:hAnsi="Times New Roman" w:cs="Times New Roman"/>
          <w:sz w:val="28"/>
          <w:szCs w:val="28"/>
        </w:rPr>
        <w:t xml:space="preserve">ах исследования </w:t>
      </w:r>
      <w:r w:rsidRPr="00437528">
        <w:rPr>
          <w:rFonts w:ascii="Times New Roman" w:eastAsia="Calibri" w:hAnsi="Times New Roman" w:cs="Times New Roman"/>
          <w:sz w:val="28"/>
          <w:szCs w:val="28"/>
        </w:rPr>
        <w:t xml:space="preserve">было проведено </w:t>
      </w:r>
      <w:r w:rsidR="00017D1C">
        <w:rPr>
          <w:rFonts w:ascii="Times New Roman" w:eastAsia="Calibri" w:hAnsi="Times New Roman" w:cs="Times New Roman"/>
          <w:sz w:val="28"/>
          <w:szCs w:val="28"/>
        </w:rPr>
        <w:t>спустя 5,5 месяцев после проведё</w:t>
      </w:r>
      <w:r w:rsidRPr="00437528">
        <w:rPr>
          <w:rFonts w:ascii="Times New Roman" w:eastAsia="Calibri" w:hAnsi="Times New Roman" w:cs="Times New Roman"/>
          <w:sz w:val="28"/>
          <w:szCs w:val="28"/>
        </w:rPr>
        <w:t xml:space="preserve">нного лечения в период следующего обострения основного заболевания методом анкетирования. Сравнительная оценка показателей между </w:t>
      </w:r>
      <w:r w:rsidRPr="006146D2">
        <w:rPr>
          <w:rFonts w:ascii="Times New Roman" w:eastAsia="Calibri" w:hAnsi="Times New Roman" w:cs="Times New Roman"/>
          <w:sz w:val="28"/>
          <w:szCs w:val="28"/>
        </w:rPr>
        <w:t xml:space="preserve">группой вмешательства и группой контроля была проведена по частоте встречаемости и выражена критерием Хи-квардат Пирсона. </w:t>
      </w:r>
      <w:r w:rsidR="00365A92">
        <w:rPr>
          <w:rFonts w:ascii="Times New Roman" w:eastAsia="Calibri" w:hAnsi="Times New Roman" w:cs="Times New Roman"/>
          <w:sz w:val="28"/>
          <w:szCs w:val="28"/>
        </w:rPr>
        <w:t>В</w:t>
      </w:r>
      <w:r w:rsidR="00365A92" w:rsidRPr="006146D2">
        <w:rPr>
          <w:rFonts w:ascii="Times New Roman" w:eastAsia="Calibri" w:hAnsi="Times New Roman" w:cs="Times New Roman"/>
          <w:sz w:val="28"/>
          <w:szCs w:val="28"/>
        </w:rPr>
        <w:t xml:space="preserve"> результате проведенного лечения </w:t>
      </w:r>
      <w:r w:rsidRPr="006146D2">
        <w:rPr>
          <w:rFonts w:ascii="Times New Roman" w:eastAsia="Calibri" w:hAnsi="Times New Roman" w:cs="Times New Roman"/>
          <w:sz w:val="28"/>
          <w:szCs w:val="28"/>
        </w:rPr>
        <w:t>пациенты</w:t>
      </w:r>
      <w:r w:rsidR="00C71EB8">
        <w:rPr>
          <w:rFonts w:ascii="Times New Roman" w:eastAsia="Calibri" w:hAnsi="Times New Roman" w:cs="Times New Roman"/>
          <w:sz w:val="28"/>
          <w:szCs w:val="28"/>
        </w:rPr>
        <w:t xml:space="preserve"> обеих групп</w:t>
      </w:r>
      <w:r w:rsidRPr="006146D2">
        <w:rPr>
          <w:rFonts w:ascii="Times New Roman" w:eastAsia="Calibri" w:hAnsi="Times New Roman" w:cs="Times New Roman"/>
          <w:sz w:val="28"/>
          <w:szCs w:val="28"/>
        </w:rPr>
        <w:t xml:space="preserve"> </w:t>
      </w:r>
      <w:r w:rsidR="00954218">
        <w:rPr>
          <w:rFonts w:ascii="Times New Roman" w:eastAsia="Calibri" w:hAnsi="Times New Roman" w:cs="Times New Roman"/>
          <w:sz w:val="28"/>
          <w:szCs w:val="28"/>
        </w:rPr>
        <w:t>меньше</w:t>
      </w:r>
      <w:r w:rsidR="00D2312A">
        <w:rPr>
          <w:rFonts w:ascii="Times New Roman" w:eastAsia="Calibri" w:hAnsi="Times New Roman" w:cs="Times New Roman"/>
          <w:sz w:val="28"/>
          <w:szCs w:val="28"/>
        </w:rPr>
        <w:t xml:space="preserve"> ограничивали</w:t>
      </w:r>
      <w:r w:rsidRPr="006146D2">
        <w:rPr>
          <w:rFonts w:ascii="Times New Roman" w:eastAsia="Calibri" w:hAnsi="Times New Roman" w:cs="Times New Roman"/>
          <w:sz w:val="28"/>
          <w:szCs w:val="28"/>
        </w:rPr>
        <w:t xml:space="preserve"> поездки за город, </w:t>
      </w:r>
      <w:r w:rsidR="00365A92">
        <w:rPr>
          <w:rFonts w:ascii="Times New Roman" w:eastAsia="Calibri" w:hAnsi="Times New Roman" w:cs="Times New Roman"/>
          <w:sz w:val="28"/>
          <w:szCs w:val="28"/>
        </w:rPr>
        <w:t xml:space="preserve">пешие </w:t>
      </w:r>
      <w:r w:rsidRPr="006146D2">
        <w:rPr>
          <w:rFonts w:ascii="Times New Roman" w:eastAsia="Calibri" w:hAnsi="Times New Roman" w:cs="Times New Roman"/>
          <w:sz w:val="28"/>
          <w:szCs w:val="28"/>
        </w:rPr>
        <w:t xml:space="preserve">прогулки, пребывание на открытом воздухе и работу </w:t>
      </w:r>
      <w:r w:rsidR="00EF089A" w:rsidRPr="006146D2">
        <w:rPr>
          <w:rFonts w:ascii="Times New Roman" w:hAnsi="Times New Roman" w:cs="Times New Roman"/>
          <w:sz w:val="28"/>
          <w:szCs w:val="28"/>
        </w:rPr>
        <w:t xml:space="preserve">(Таблица </w:t>
      </w:r>
      <w:r w:rsidR="00523616" w:rsidRPr="006146D2">
        <w:rPr>
          <w:rFonts w:ascii="Times New Roman" w:hAnsi="Times New Roman" w:cs="Times New Roman"/>
          <w:sz w:val="28"/>
          <w:szCs w:val="28"/>
        </w:rPr>
        <w:t>1</w:t>
      </w:r>
      <w:r w:rsidR="00523616">
        <w:rPr>
          <w:rFonts w:ascii="Times New Roman" w:hAnsi="Times New Roman" w:cs="Times New Roman"/>
          <w:sz w:val="28"/>
          <w:szCs w:val="28"/>
        </w:rPr>
        <w:t>2</w:t>
      </w:r>
      <w:r w:rsidRPr="006146D2">
        <w:rPr>
          <w:rFonts w:ascii="Times New Roman" w:hAnsi="Times New Roman" w:cs="Times New Roman"/>
          <w:sz w:val="28"/>
          <w:szCs w:val="28"/>
        </w:rPr>
        <w:t>).</w:t>
      </w:r>
    </w:p>
    <w:p w14:paraId="5DF93D1D" w14:textId="7159599C" w:rsidR="00437528" w:rsidRPr="00437528" w:rsidRDefault="00437528" w:rsidP="00437528">
      <w:pPr>
        <w:spacing w:after="0" w:line="240" w:lineRule="auto"/>
        <w:ind w:firstLine="567"/>
        <w:jc w:val="both"/>
        <w:rPr>
          <w:rFonts w:ascii="Times New Roman" w:eastAsia="Calibri" w:hAnsi="Times New Roman" w:cs="Times New Roman"/>
          <w:sz w:val="28"/>
          <w:szCs w:val="28"/>
        </w:rPr>
      </w:pPr>
      <w:r w:rsidRPr="006146D2">
        <w:rPr>
          <w:rFonts w:ascii="Times New Roman" w:eastAsia="Calibri" w:hAnsi="Times New Roman" w:cs="Times New Roman"/>
          <w:sz w:val="28"/>
          <w:szCs w:val="28"/>
        </w:rPr>
        <w:t>Резюмируя данный раздел результатов</w:t>
      </w:r>
      <w:r w:rsidRPr="00437528">
        <w:rPr>
          <w:rFonts w:ascii="Times New Roman" w:eastAsia="Calibri" w:hAnsi="Times New Roman" w:cs="Times New Roman"/>
          <w:sz w:val="28"/>
          <w:szCs w:val="28"/>
        </w:rPr>
        <w:t xml:space="preserve"> исследования, мы выявили, что в группе вмешательства (АСИТ + витамин Д) после лечения была достигнута </w:t>
      </w:r>
      <w:r w:rsidRPr="00437528">
        <w:rPr>
          <w:rFonts w:ascii="Times New Roman" w:hAnsi="Times New Roman" w:cs="Times New Roman"/>
          <w:sz w:val="28"/>
          <w:szCs w:val="28"/>
        </w:rPr>
        <w:t>высокая клиническая эффективность в виде снижения</w:t>
      </w:r>
      <w:r w:rsidR="0018468C" w:rsidRPr="0018468C">
        <w:rPr>
          <w:rFonts w:ascii="Times New Roman" w:eastAsia="Calibri" w:hAnsi="Times New Roman" w:cs="Times New Roman"/>
          <w:sz w:val="28"/>
          <w:szCs w:val="28"/>
        </w:rPr>
        <w:t xml:space="preserve"> </w:t>
      </w:r>
      <w:r w:rsidR="0018468C">
        <w:rPr>
          <w:rFonts w:ascii="Times New Roman" w:eastAsia="Calibri" w:hAnsi="Times New Roman" w:cs="Times New Roman"/>
          <w:sz w:val="28"/>
          <w:szCs w:val="28"/>
        </w:rPr>
        <w:t xml:space="preserve">ограничения </w:t>
      </w:r>
      <w:r w:rsidR="0018468C" w:rsidRPr="00437528">
        <w:rPr>
          <w:rFonts w:ascii="Times New Roman" w:eastAsia="Calibri" w:hAnsi="Times New Roman" w:cs="Times New Roman"/>
          <w:sz w:val="28"/>
          <w:szCs w:val="28"/>
        </w:rPr>
        <w:t>повседневной деятельности</w:t>
      </w:r>
      <w:r w:rsidR="0018468C">
        <w:rPr>
          <w:rFonts w:ascii="Times New Roman" w:eastAsia="Calibri" w:hAnsi="Times New Roman" w:cs="Times New Roman"/>
          <w:sz w:val="28"/>
          <w:szCs w:val="28"/>
        </w:rPr>
        <w:t>,</w:t>
      </w:r>
      <w:r w:rsidR="0007459B">
        <w:rPr>
          <w:rFonts w:ascii="Times New Roman" w:hAnsi="Times New Roman" w:cs="Times New Roman"/>
          <w:sz w:val="28"/>
          <w:szCs w:val="28"/>
        </w:rPr>
        <w:t xml:space="preserve"> </w:t>
      </w:r>
      <w:r w:rsidRPr="00437528">
        <w:rPr>
          <w:rFonts w:ascii="Times New Roman" w:hAnsi="Times New Roman" w:cs="Times New Roman"/>
          <w:sz w:val="28"/>
          <w:szCs w:val="28"/>
        </w:rPr>
        <w:t>выраженности</w:t>
      </w:r>
      <w:r w:rsidRPr="00437528">
        <w:rPr>
          <w:rFonts w:ascii="Times New Roman" w:eastAsia="Calibri" w:hAnsi="Times New Roman" w:cs="Times New Roman"/>
          <w:sz w:val="28"/>
          <w:szCs w:val="28"/>
        </w:rPr>
        <w:t xml:space="preserve"> симптомов раздражительности и усталости,</w:t>
      </w:r>
      <w:r w:rsidR="0018468C">
        <w:rPr>
          <w:rFonts w:ascii="Times New Roman" w:eastAsia="Calibri" w:hAnsi="Times New Roman" w:cs="Times New Roman"/>
          <w:sz w:val="28"/>
          <w:szCs w:val="28"/>
        </w:rPr>
        <w:t xml:space="preserve"> а также улучшения качества сна</w:t>
      </w:r>
      <w:r w:rsidRPr="00437528">
        <w:rPr>
          <w:rFonts w:ascii="Times New Roman" w:eastAsia="Calibri" w:hAnsi="Times New Roman" w:cs="Times New Roman"/>
          <w:sz w:val="28"/>
          <w:szCs w:val="28"/>
        </w:rPr>
        <w:t xml:space="preserve"> относительно группы контроля. Симптомы тревожности, головной боли, рассеянности и обеих группах имели аналогичную эффективность. </w:t>
      </w:r>
    </w:p>
    <w:p w14:paraId="3DAA7A3F" w14:textId="367EF25E" w:rsidR="00437528" w:rsidRPr="00437528" w:rsidRDefault="00437528" w:rsidP="00437528">
      <w:pPr>
        <w:spacing w:after="0" w:line="240" w:lineRule="auto"/>
        <w:ind w:firstLine="567"/>
        <w:jc w:val="both"/>
        <w:rPr>
          <w:rFonts w:ascii="Times New Roman" w:hAnsi="Times New Roman" w:cs="Times New Roman"/>
          <w:sz w:val="28"/>
          <w:szCs w:val="28"/>
        </w:rPr>
      </w:pPr>
      <w:r w:rsidRPr="00437528">
        <w:rPr>
          <w:rFonts w:ascii="Times New Roman" w:eastAsia="Calibri" w:hAnsi="Times New Roman" w:cs="Times New Roman"/>
          <w:sz w:val="28"/>
          <w:szCs w:val="28"/>
        </w:rPr>
        <w:t>Таким образом, данный раздел свидетельствует о том,</w:t>
      </w:r>
      <w:r w:rsidRPr="00437528">
        <w:rPr>
          <w:rFonts w:ascii="Times New Roman" w:hAnsi="Times New Roman" w:cs="Times New Roman"/>
          <w:sz w:val="28"/>
          <w:szCs w:val="28"/>
        </w:rPr>
        <w:t xml:space="preserve"> </w:t>
      </w:r>
      <w:r w:rsidRPr="00437528">
        <w:rPr>
          <w:rFonts w:ascii="Times New Roman" w:eastAsia="Calibri" w:hAnsi="Times New Roman" w:cs="Times New Roman"/>
          <w:sz w:val="28"/>
          <w:szCs w:val="28"/>
        </w:rPr>
        <w:t>группа вмешательства</w:t>
      </w:r>
      <w:r w:rsidRPr="00437528">
        <w:rPr>
          <w:rFonts w:ascii="Times New Roman" w:hAnsi="Times New Roman" w:cs="Times New Roman"/>
          <w:sz w:val="28"/>
          <w:szCs w:val="28"/>
        </w:rPr>
        <w:t xml:space="preserve"> (АСИТ + витамин Д) на фоне проведенной терапии показала высокую клиническую эффективность в виде снижения динамики общего балла качества жизни с 19 до 7 баллов (</w:t>
      </w:r>
      <w:r w:rsidRPr="00437528">
        <w:rPr>
          <w:rFonts w:ascii="Times New Roman" w:eastAsia="Calibri" w:hAnsi="Times New Roman" w:cs="Times New Roman"/>
          <w:sz w:val="28"/>
          <w:szCs w:val="28"/>
        </w:rPr>
        <w:sym w:font="Symbol" w:char="F03C"/>
      </w:r>
      <w:r w:rsidRPr="00437528">
        <w:rPr>
          <w:rFonts w:ascii="Times New Roman" w:eastAsia="Calibri" w:hAnsi="Times New Roman" w:cs="Times New Roman"/>
          <w:sz w:val="28"/>
          <w:szCs w:val="28"/>
        </w:rPr>
        <w:t>0,001)</w:t>
      </w:r>
      <w:r w:rsidR="003E6D6F">
        <w:rPr>
          <w:rFonts w:ascii="Times New Roman" w:hAnsi="Times New Roman" w:cs="Times New Roman"/>
          <w:sz w:val="28"/>
          <w:szCs w:val="28"/>
        </w:rPr>
        <w:t xml:space="preserve"> относительно группы</w:t>
      </w:r>
      <w:r w:rsidRPr="00437528">
        <w:rPr>
          <w:rFonts w:ascii="Times New Roman" w:hAnsi="Times New Roman" w:cs="Times New Roman"/>
          <w:sz w:val="28"/>
          <w:szCs w:val="28"/>
        </w:rPr>
        <w:t xml:space="preserve"> контроля (АСИТ)</w:t>
      </w:r>
      <w:r w:rsidR="0007459B">
        <w:rPr>
          <w:rFonts w:ascii="Times New Roman" w:hAnsi="Times New Roman" w:cs="Times New Roman"/>
          <w:sz w:val="28"/>
          <w:szCs w:val="28"/>
        </w:rPr>
        <w:t xml:space="preserve"> </w:t>
      </w:r>
      <w:r w:rsidR="003E6D6F">
        <w:rPr>
          <w:rFonts w:ascii="Times New Roman" w:hAnsi="Times New Roman" w:cs="Times New Roman"/>
          <w:sz w:val="28"/>
          <w:szCs w:val="28"/>
        </w:rPr>
        <w:t>с</w:t>
      </w:r>
      <w:r w:rsidRPr="00437528">
        <w:rPr>
          <w:rFonts w:ascii="Times New Roman" w:hAnsi="Times New Roman" w:cs="Times New Roman"/>
          <w:sz w:val="28"/>
          <w:szCs w:val="28"/>
        </w:rPr>
        <w:t xml:space="preserve"> динами</w:t>
      </w:r>
      <w:r w:rsidR="003E6D6F">
        <w:rPr>
          <w:rFonts w:ascii="Times New Roman" w:hAnsi="Times New Roman" w:cs="Times New Roman"/>
          <w:sz w:val="28"/>
          <w:szCs w:val="28"/>
        </w:rPr>
        <w:t>кой</w:t>
      </w:r>
      <w:r w:rsidRPr="00437528">
        <w:rPr>
          <w:rFonts w:ascii="Times New Roman" w:hAnsi="Times New Roman" w:cs="Times New Roman"/>
          <w:sz w:val="28"/>
          <w:szCs w:val="28"/>
        </w:rPr>
        <w:t xml:space="preserve"> снижения общего балла качества жизни с 19 до 9,5 баллов (</w:t>
      </w:r>
      <w:r w:rsidRPr="00437528">
        <w:rPr>
          <w:rFonts w:ascii="Times New Roman" w:eastAsia="Calibri" w:hAnsi="Times New Roman" w:cs="Times New Roman"/>
          <w:sz w:val="28"/>
          <w:szCs w:val="28"/>
        </w:rPr>
        <w:sym w:font="Symbol" w:char="F03C"/>
      </w:r>
      <w:r w:rsidRPr="00437528">
        <w:rPr>
          <w:rFonts w:ascii="Times New Roman" w:eastAsia="Calibri" w:hAnsi="Times New Roman" w:cs="Times New Roman"/>
          <w:sz w:val="28"/>
          <w:szCs w:val="28"/>
        </w:rPr>
        <w:t>0,001)</w:t>
      </w:r>
      <w:r w:rsidRPr="00437528">
        <w:rPr>
          <w:rFonts w:ascii="Times New Roman" w:hAnsi="Times New Roman" w:cs="Times New Roman"/>
          <w:sz w:val="28"/>
          <w:szCs w:val="28"/>
        </w:rPr>
        <w:t xml:space="preserve">. </w:t>
      </w:r>
    </w:p>
    <w:p w14:paraId="62FF74A7" w14:textId="6BEE2BEA" w:rsidR="00EE7215" w:rsidRDefault="00EE7215" w:rsidP="00437528">
      <w:pPr>
        <w:spacing w:after="0" w:line="240" w:lineRule="auto"/>
        <w:ind w:firstLine="567"/>
        <w:jc w:val="both"/>
        <w:rPr>
          <w:rFonts w:ascii="Times New Roman" w:eastAsia="Calibri" w:hAnsi="Times New Roman" w:cs="Times New Roman"/>
          <w:sz w:val="28"/>
          <w:szCs w:val="28"/>
        </w:rPr>
      </w:pPr>
    </w:p>
    <w:p w14:paraId="40D51804" w14:textId="77777777" w:rsidR="00437528" w:rsidRPr="006F1945" w:rsidRDefault="00437528" w:rsidP="00EE7215">
      <w:pPr>
        <w:keepNext/>
        <w:keepLines/>
        <w:spacing w:after="0" w:line="240" w:lineRule="auto"/>
        <w:ind w:firstLine="567"/>
        <w:jc w:val="both"/>
        <w:outlineLvl w:val="1"/>
        <w:rPr>
          <w:rFonts w:ascii="Times New Roman" w:eastAsiaTheme="majorEastAsia" w:hAnsi="Times New Roman" w:cs="Times New Roman"/>
          <w:i/>
          <w:sz w:val="28"/>
          <w:szCs w:val="28"/>
        </w:rPr>
      </w:pPr>
      <w:bookmarkStart w:id="43" w:name="_Toc121590253"/>
      <w:bookmarkStart w:id="44" w:name="_Toc137904360"/>
      <w:r w:rsidRPr="006F1945">
        <w:rPr>
          <w:rFonts w:ascii="Times New Roman" w:hAnsi="Times New Roman" w:cs="Times New Roman"/>
          <w:i/>
          <w:sz w:val="28"/>
          <w:szCs w:val="28"/>
        </w:rPr>
        <w:t xml:space="preserve">3.2.3 Сравнительная </w:t>
      </w:r>
      <w:r w:rsidRPr="006F1945">
        <w:rPr>
          <w:rFonts w:ascii="Times New Roman" w:eastAsiaTheme="majorEastAsia" w:hAnsi="Times New Roman" w:cs="Times New Roman"/>
          <w:i/>
          <w:sz w:val="28"/>
          <w:szCs w:val="28"/>
        </w:rPr>
        <w:t xml:space="preserve">характеристика группы вмешательства и группы контроля по лабораторным показателям (общий иммуноглобулин Е, эозинофильный катионный белок, </w:t>
      </w:r>
      <w:r w:rsidRPr="006F1945">
        <w:rPr>
          <w:rFonts w:ascii="Times New Roman" w:eastAsiaTheme="majorEastAsia" w:hAnsi="Times New Roman" w:cs="Times New Roman"/>
          <w:i/>
          <w:sz w:val="28"/>
          <w:szCs w:val="28"/>
          <w:lang w:val="en-US"/>
        </w:rPr>
        <w:t>ISAC</w:t>
      </w:r>
      <w:r w:rsidRPr="006F1945">
        <w:rPr>
          <w:rFonts w:ascii="Times New Roman" w:eastAsiaTheme="majorEastAsia" w:hAnsi="Times New Roman" w:cs="Times New Roman"/>
          <w:i/>
          <w:sz w:val="28"/>
          <w:szCs w:val="28"/>
        </w:rPr>
        <w:t xml:space="preserve"> тест) на фоне проведения аллерген-специфической иммунотерапии</w:t>
      </w:r>
      <w:bookmarkEnd w:id="43"/>
      <w:bookmarkEnd w:id="44"/>
    </w:p>
    <w:p w14:paraId="0F00BA56" w14:textId="10F4D80E" w:rsidR="00437528" w:rsidRDefault="001D5096" w:rsidP="00EE721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Базовая оценка</w:t>
      </w:r>
      <w:r w:rsidR="00437528" w:rsidRPr="00437528">
        <w:rPr>
          <w:rFonts w:ascii="Times New Roman" w:hAnsi="Times New Roman" w:cs="Times New Roman"/>
          <w:sz w:val="28"/>
          <w:szCs w:val="28"/>
        </w:rPr>
        <w:t xml:space="preserve"> лабораторных показателей </w:t>
      </w:r>
      <w:r w:rsidR="00437528" w:rsidRPr="00437528">
        <w:rPr>
          <w:rFonts w:ascii="Times New Roman" w:eastAsia="Calibri" w:hAnsi="Times New Roman" w:cs="Times New Roman"/>
          <w:sz w:val="28"/>
          <w:szCs w:val="28"/>
        </w:rPr>
        <w:t>группы вмешательства (АСИТ + витамин Д) и группы контроля (АСИТ)</w:t>
      </w:r>
      <w:r w:rsidR="00437528" w:rsidRPr="00437528">
        <w:rPr>
          <w:rFonts w:ascii="Times New Roman" w:eastAsia="Calibri" w:hAnsi="Times New Roman" w:cs="Times New Roman"/>
          <w:b/>
          <w:sz w:val="28"/>
          <w:szCs w:val="28"/>
        </w:rPr>
        <w:t xml:space="preserve"> </w:t>
      </w:r>
      <w:r w:rsidR="00437528" w:rsidRPr="00437528">
        <w:rPr>
          <w:rFonts w:ascii="Times New Roman" w:hAnsi="Times New Roman" w:cs="Times New Roman"/>
          <w:sz w:val="28"/>
          <w:szCs w:val="28"/>
        </w:rPr>
        <w:t xml:space="preserve">до начала </w:t>
      </w:r>
      <w:r w:rsidR="00437528" w:rsidRPr="00437528">
        <w:rPr>
          <w:rFonts w:ascii="Times New Roman" w:eastAsia="Calibri" w:hAnsi="Times New Roman" w:cs="Times New Roman"/>
          <w:sz w:val="28"/>
          <w:szCs w:val="28"/>
        </w:rPr>
        <w:t>проведения аллерген-специфической иммунотерапии</w:t>
      </w:r>
      <w:r w:rsidR="00437528" w:rsidRPr="00437528">
        <w:rPr>
          <w:rFonts w:ascii="Times New Roman" w:hAnsi="Times New Roman" w:cs="Times New Roman"/>
          <w:sz w:val="28"/>
          <w:szCs w:val="28"/>
        </w:rPr>
        <w:t xml:space="preserve"> было проведено с целью выявления статистических различий. </w:t>
      </w:r>
      <w:r w:rsidR="00B02E77">
        <w:rPr>
          <w:rFonts w:ascii="Times New Roman" w:hAnsi="Times New Roman" w:cs="Times New Roman"/>
          <w:sz w:val="28"/>
          <w:szCs w:val="28"/>
        </w:rPr>
        <w:t xml:space="preserve">При анализе показателей в </w:t>
      </w:r>
      <w:r w:rsidR="00426D18">
        <w:rPr>
          <w:rFonts w:ascii="Times New Roman" w:hAnsi="Times New Roman" w:cs="Times New Roman"/>
          <w:sz w:val="28"/>
          <w:szCs w:val="28"/>
        </w:rPr>
        <w:t>исследуемых группах</w:t>
      </w:r>
      <w:r w:rsidR="00426D18" w:rsidRPr="00437528">
        <w:rPr>
          <w:rFonts w:ascii="Times New Roman" w:hAnsi="Times New Roman" w:cs="Times New Roman"/>
          <w:sz w:val="28"/>
          <w:szCs w:val="28"/>
        </w:rPr>
        <w:t xml:space="preserve"> </w:t>
      </w:r>
      <w:r w:rsidR="00B02E77" w:rsidRPr="00B02E77">
        <w:rPr>
          <w:rFonts w:ascii="Times New Roman" w:hAnsi="Times New Roman" w:cs="Times New Roman"/>
          <w:sz w:val="28"/>
          <w:szCs w:val="28"/>
        </w:rPr>
        <w:t xml:space="preserve">установлено, что </w:t>
      </w:r>
      <w:r w:rsidR="00426D18">
        <w:rPr>
          <w:rFonts w:ascii="Times New Roman" w:hAnsi="Times New Roman" w:cs="Times New Roman"/>
          <w:sz w:val="28"/>
          <w:szCs w:val="28"/>
        </w:rPr>
        <w:t xml:space="preserve">группа вмешательства и группа контроля </w:t>
      </w:r>
      <w:r w:rsidR="00DA2A4D" w:rsidRPr="00437528">
        <w:rPr>
          <w:rFonts w:ascii="Times New Roman" w:hAnsi="Times New Roman" w:cs="Times New Roman"/>
          <w:sz w:val="28"/>
          <w:szCs w:val="28"/>
        </w:rPr>
        <w:t xml:space="preserve">были идентичны </w:t>
      </w:r>
      <w:r w:rsidR="00DA2A4D">
        <w:rPr>
          <w:rFonts w:ascii="Times New Roman" w:hAnsi="Times New Roman" w:cs="Times New Roman"/>
          <w:sz w:val="28"/>
          <w:szCs w:val="28"/>
        </w:rPr>
        <w:t>по исходному уровеню</w:t>
      </w:r>
      <w:r w:rsidR="00B02E77">
        <w:rPr>
          <w:rFonts w:ascii="Times New Roman" w:hAnsi="Times New Roman" w:cs="Times New Roman"/>
          <w:sz w:val="28"/>
          <w:szCs w:val="28"/>
        </w:rPr>
        <w:t xml:space="preserve"> </w:t>
      </w:r>
      <w:r w:rsidR="00B02E77" w:rsidRPr="00437528">
        <w:rPr>
          <w:rFonts w:ascii="Times New Roman" w:hAnsi="Times New Roman" w:cs="Times New Roman"/>
          <w:sz w:val="28"/>
          <w:szCs w:val="28"/>
        </w:rPr>
        <w:t>общего ИГЕ</w:t>
      </w:r>
      <w:r w:rsidR="00B02E77">
        <w:rPr>
          <w:rFonts w:ascii="Times New Roman" w:hAnsi="Times New Roman" w:cs="Times New Roman"/>
          <w:sz w:val="28"/>
          <w:szCs w:val="28"/>
        </w:rPr>
        <w:t xml:space="preserve"> </w:t>
      </w:r>
      <w:r w:rsidR="00DA2A4D">
        <w:rPr>
          <w:rFonts w:ascii="Times New Roman" w:hAnsi="Times New Roman" w:cs="Times New Roman"/>
          <w:sz w:val="28"/>
          <w:szCs w:val="28"/>
        </w:rPr>
        <w:t>(</w:t>
      </w:r>
      <w:r w:rsidR="00EA41F2" w:rsidRPr="00EA41F2">
        <w:rPr>
          <w:rFonts w:ascii="Times New Roman" w:hAnsi="Times New Roman" w:cs="Times New Roman"/>
          <w:sz w:val="28"/>
          <w:szCs w:val="28"/>
        </w:rPr>
        <w:t>387,2</w:t>
      </w:r>
      <w:r w:rsidR="00EA41F2">
        <w:rPr>
          <w:rFonts w:ascii="Times New Roman" w:hAnsi="Times New Roman" w:cs="Times New Roman"/>
          <w:sz w:val="28"/>
          <w:szCs w:val="28"/>
        </w:rPr>
        <w:t xml:space="preserve"> </w:t>
      </w:r>
      <w:r w:rsidR="00EA41F2" w:rsidRPr="00EA41F2">
        <w:rPr>
          <w:rFonts w:ascii="Times New Roman" w:hAnsi="Times New Roman" w:cs="Times New Roman"/>
          <w:sz w:val="28"/>
          <w:szCs w:val="28"/>
        </w:rPr>
        <w:t>Ед/мл</w:t>
      </w:r>
      <w:r w:rsidR="00EA41F2">
        <w:rPr>
          <w:rFonts w:ascii="Times New Roman" w:hAnsi="Times New Roman" w:cs="Times New Roman"/>
          <w:sz w:val="28"/>
          <w:szCs w:val="28"/>
        </w:rPr>
        <w:t xml:space="preserve"> и </w:t>
      </w:r>
      <w:r w:rsidR="00EA41F2" w:rsidRPr="00EA41F2">
        <w:rPr>
          <w:rFonts w:ascii="Times New Roman" w:hAnsi="Times New Roman" w:cs="Times New Roman"/>
          <w:sz w:val="28"/>
          <w:szCs w:val="28"/>
        </w:rPr>
        <w:t>365,3</w:t>
      </w:r>
      <w:r w:rsidR="00EA41F2">
        <w:rPr>
          <w:rFonts w:ascii="Times New Roman" w:hAnsi="Times New Roman" w:cs="Times New Roman"/>
          <w:sz w:val="28"/>
          <w:szCs w:val="28"/>
        </w:rPr>
        <w:t xml:space="preserve"> </w:t>
      </w:r>
      <w:r w:rsidR="00EA41F2" w:rsidRPr="00EA41F2">
        <w:rPr>
          <w:rFonts w:ascii="Times New Roman" w:hAnsi="Times New Roman" w:cs="Times New Roman"/>
          <w:sz w:val="28"/>
          <w:szCs w:val="28"/>
        </w:rPr>
        <w:t xml:space="preserve">Ед/мл </w:t>
      </w:r>
      <w:r w:rsidR="00EA41F2">
        <w:rPr>
          <w:rFonts w:ascii="Times New Roman" w:hAnsi="Times New Roman" w:cs="Times New Roman"/>
          <w:sz w:val="28"/>
          <w:szCs w:val="28"/>
        </w:rPr>
        <w:t xml:space="preserve">соответственно, </w:t>
      </w:r>
      <w:r w:rsidR="00DA2A4D">
        <w:rPr>
          <w:rFonts w:ascii="Times New Roman" w:hAnsi="Times New Roman" w:cs="Times New Roman"/>
          <w:sz w:val="28"/>
          <w:szCs w:val="28"/>
        </w:rPr>
        <w:t>р</w:t>
      </w:r>
      <w:r w:rsidR="002D3933">
        <w:rPr>
          <w:rFonts w:ascii="Times New Roman" w:hAnsi="Times New Roman" w:cs="Times New Roman"/>
          <w:sz w:val="28"/>
          <w:szCs w:val="28"/>
        </w:rPr>
        <w:t>=</w:t>
      </w:r>
      <w:r w:rsidR="002D3933" w:rsidRPr="002D3933">
        <w:rPr>
          <w:rFonts w:ascii="Times New Roman" w:hAnsi="Times New Roman" w:cs="Times New Roman"/>
          <w:sz w:val="28"/>
          <w:szCs w:val="28"/>
        </w:rPr>
        <w:t>0,828</w:t>
      </w:r>
      <w:r w:rsidR="00DA2A4D">
        <w:rPr>
          <w:rFonts w:ascii="Times New Roman" w:hAnsi="Times New Roman" w:cs="Times New Roman"/>
          <w:sz w:val="28"/>
          <w:szCs w:val="28"/>
        </w:rPr>
        <w:t>),</w:t>
      </w:r>
      <w:r w:rsidR="00B02E77" w:rsidRPr="00437528">
        <w:rPr>
          <w:rFonts w:ascii="Times New Roman" w:hAnsi="Times New Roman" w:cs="Times New Roman"/>
          <w:sz w:val="28"/>
          <w:szCs w:val="28"/>
        </w:rPr>
        <w:t xml:space="preserve"> ЭКБ </w:t>
      </w:r>
      <w:r w:rsidR="00DA2A4D">
        <w:rPr>
          <w:rFonts w:ascii="Times New Roman" w:hAnsi="Times New Roman" w:cs="Times New Roman"/>
          <w:sz w:val="28"/>
          <w:szCs w:val="28"/>
        </w:rPr>
        <w:t>(</w:t>
      </w:r>
      <w:r w:rsidR="000C446A" w:rsidRPr="000C446A">
        <w:rPr>
          <w:rFonts w:ascii="Times New Roman" w:hAnsi="Times New Roman" w:cs="Times New Roman"/>
          <w:sz w:val="28"/>
          <w:szCs w:val="28"/>
        </w:rPr>
        <w:t>46,2</w:t>
      </w:r>
      <w:r w:rsidR="000C446A" w:rsidRPr="000C446A">
        <w:t xml:space="preserve"> </w:t>
      </w:r>
      <w:r w:rsidR="000C446A" w:rsidRPr="000C446A">
        <w:rPr>
          <w:rFonts w:ascii="Times New Roman" w:hAnsi="Times New Roman" w:cs="Times New Roman"/>
          <w:sz w:val="28"/>
          <w:szCs w:val="28"/>
        </w:rPr>
        <w:t>нг/мл</w:t>
      </w:r>
      <w:r w:rsidR="000C446A">
        <w:rPr>
          <w:rFonts w:ascii="Times New Roman" w:hAnsi="Times New Roman" w:cs="Times New Roman"/>
          <w:sz w:val="28"/>
          <w:szCs w:val="28"/>
        </w:rPr>
        <w:t xml:space="preserve"> и</w:t>
      </w:r>
      <w:r w:rsidR="000C446A" w:rsidRPr="000C446A">
        <w:rPr>
          <w:rFonts w:ascii="Times New Roman" w:hAnsi="Times New Roman" w:cs="Times New Roman"/>
          <w:sz w:val="28"/>
          <w:szCs w:val="28"/>
        </w:rPr>
        <w:t xml:space="preserve"> 47,4</w:t>
      </w:r>
      <w:r w:rsidR="000C446A" w:rsidRPr="000C446A">
        <w:t xml:space="preserve"> </w:t>
      </w:r>
      <w:r w:rsidR="000C446A" w:rsidRPr="000C446A">
        <w:rPr>
          <w:rFonts w:ascii="Times New Roman" w:hAnsi="Times New Roman" w:cs="Times New Roman"/>
          <w:sz w:val="28"/>
          <w:szCs w:val="28"/>
        </w:rPr>
        <w:t>нг/мл</w:t>
      </w:r>
      <w:r w:rsidR="000C446A">
        <w:rPr>
          <w:rFonts w:ascii="Times New Roman" w:hAnsi="Times New Roman" w:cs="Times New Roman"/>
          <w:sz w:val="28"/>
          <w:szCs w:val="28"/>
        </w:rPr>
        <w:t xml:space="preserve"> соответственно,</w:t>
      </w:r>
      <w:r w:rsidR="000C446A" w:rsidRPr="000C446A">
        <w:rPr>
          <w:rFonts w:ascii="Times New Roman" w:hAnsi="Times New Roman" w:cs="Times New Roman"/>
          <w:sz w:val="28"/>
          <w:szCs w:val="28"/>
        </w:rPr>
        <w:t xml:space="preserve"> </w:t>
      </w:r>
      <w:r w:rsidR="00DA2A4D">
        <w:rPr>
          <w:rFonts w:ascii="Times New Roman" w:hAnsi="Times New Roman" w:cs="Times New Roman"/>
          <w:sz w:val="28"/>
          <w:szCs w:val="28"/>
        </w:rPr>
        <w:t>р</w:t>
      </w:r>
      <w:r w:rsidR="002D3933">
        <w:rPr>
          <w:rFonts w:ascii="Times New Roman" w:hAnsi="Times New Roman" w:cs="Times New Roman"/>
          <w:sz w:val="28"/>
          <w:szCs w:val="28"/>
        </w:rPr>
        <w:t>=</w:t>
      </w:r>
      <w:r w:rsidR="002D3933" w:rsidRPr="002D3933">
        <w:rPr>
          <w:rFonts w:ascii="Times New Roman" w:hAnsi="Times New Roman" w:cs="Times New Roman"/>
          <w:sz w:val="28"/>
          <w:szCs w:val="28"/>
        </w:rPr>
        <w:t>0,777</w:t>
      </w:r>
      <w:r w:rsidR="00DA2A4D">
        <w:rPr>
          <w:rFonts w:ascii="Times New Roman" w:hAnsi="Times New Roman" w:cs="Times New Roman"/>
          <w:sz w:val="28"/>
          <w:szCs w:val="28"/>
        </w:rPr>
        <w:t>)</w:t>
      </w:r>
      <w:r w:rsidR="008D2F4B">
        <w:rPr>
          <w:rFonts w:ascii="Times New Roman" w:hAnsi="Times New Roman" w:cs="Times New Roman"/>
          <w:sz w:val="28"/>
          <w:szCs w:val="28"/>
        </w:rPr>
        <w:t xml:space="preserve"> </w:t>
      </w:r>
      <w:r w:rsidR="00DA2A4D">
        <w:rPr>
          <w:rFonts w:ascii="Times New Roman" w:hAnsi="Times New Roman" w:cs="Times New Roman"/>
          <w:sz w:val="28"/>
          <w:szCs w:val="28"/>
        </w:rPr>
        <w:t>и в</w:t>
      </w:r>
      <w:r w:rsidR="00EC2181">
        <w:rPr>
          <w:rFonts w:ascii="Times New Roman" w:eastAsia="Calibri" w:hAnsi="Times New Roman" w:cs="Times New Roman"/>
          <w:sz w:val="28"/>
          <w:szCs w:val="28"/>
        </w:rPr>
        <w:t>ита</w:t>
      </w:r>
      <w:r w:rsidR="00B02E77">
        <w:rPr>
          <w:rFonts w:ascii="Times New Roman" w:eastAsia="Calibri" w:hAnsi="Times New Roman" w:cs="Times New Roman"/>
          <w:sz w:val="28"/>
          <w:szCs w:val="28"/>
        </w:rPr>
        <w:t>мин</w:t>
      </w:r>
      <w:r w:rsidR="00DA2A4D">
        <w:rPr>
          <w:rFonts w:ascii="Times New Roman" w:eastAsia="Calibri" w:hAnsi="Times New Roman" w:cs="Times New Roman"/>
          <w:sz w:val="28"/>
          <w:szCs w:val="28"/>
        </w:rPr>
        <w:t>а</w:t>
      </w:r>
      <w:r w:rsidR="00B02E77">
        <w:rPr>
          <w:rFonts w:ascii="Times New Roman" w:eastAsia="Calibri" w:hAnsi="Times New Roman" w:cs="Times New Roman"/>
          <w:sz w:val="28"/>
          <w:szCs w:val="28"/>
        </w:rPr>
        <w:t xml:space="preserve"> Д (</w:t>
      </w:r>
      <w:r w:rsidR="00EC2181" w:rsidRPr="00EC2181">
        <w:rPr>
          <w:rFonts w:ascii="Times New Roman" w:eastAsia="Calibri" w:hAnsi="Times New Roman" w:cs="Times New Roman"/>
          <w:sz w:val="28"/>
          <w:szCs w:val="28"/>
        </w:rPr>
        <w:t>16,32</w:t>
      </w:r>
      <w:r w:rsidR="00EC2181">
        <w:rPr>
          <w:rFonts w:ascii="Times New Roman" w:eastAsia="Calibri" w:hAnsi="Times New Roman" w:cs="Times New Roman"/>
          <w:sz w:val="28"/>
          <w:szCs w:val="28"/>
        </w:rPr>
        <w:t xml:space="preserve"> </w:t>
      </w:r>
      <w:r w:rsidR="00EC2181" w:rsidRPr="00EC2181">
        <w:rPr>
          <w:rFonts w:ascii="Times New Roman" w:eastAsia="Calibri" w:hAnsi="Times New Roman" w:cs="Times New Roman"/>
          <w:sz w:val="28"/>
          <w:szCs w:val="28"/>
        </w:rPr>
        <w:t xml:space="preserve">нг/мл </w:t>
      </w:r>
      <w:r w:rsidR="00EC2181">
        <w:rPr>
          <w:rFonts w:ascii="Times New Roman" w:eastAsia="Calibri" w:hAnsi="Times New Roman" w:cs="Times New Roman"/>
          <w:sz w:val="28"/>
          <w:szCs w:val="28"/>
        </w:rPr>
        <w:t xml:space="preserve">и </w:t>
      </w:r>
      <w:r w:rsidR="00EC2181" w:rsidRPr="00EC2181">
        <w:rPr>
          <w:rFonts w:ascii="Times New Roman" w:eastAsia="Calibri" w:hAnsi="Times New Roman" w:cs="Times New Roman"/>
          <w:sz w:val="28"/>
          <w:szCs w:val="28"/>
        </w:rPr>
        <w:t xml:space="preserve">15,65 </w:t>
      </w:r>
      <w:r w:rsidR="00EC2181">
        <w:rPr>
          <w:rFonts w:ascii="Times New Roman" w:eastAsia="Calibri" w:hAnsi="Times New Roman" w:cs="Times New Roman"/>
          <w:sz w:val="28"/>
          <w:szCs w:val="28"/>
        </w:rPr>
        <w:t>нг/мл соответственно, р=</w:t>
      </w:r>
      <w:r w:rsidR="00B02E77" w:rsidRPr="00B02E77">
        <w:rPr>
          <w:rFonts w:ascii="Times New Roman" w:eastAsia="Calibri" w:hAnsi="Times New Roman" w:cs="Times New Roman"/>
          <w:sz w:val="28"/>
          <w:szCs w:val="28"/>
        </w:rPr>
        <w:t>0,977</w:t>
      </w:r>
      <w:r w:rsidR="00B02E77">
        <w:rPr>
          <w:rFonts w:ascii="Times New Roman" w:eastAsia="Calibri" w:hAnsi="Times New Roman" w:cs="Times New Roman"/>
          <w:sz w:val="28"/>
          <w:szCs w:val="28"/>
        </w:rPr>
        <w:t>)</w:t>
      </w:r>
      <w:r w:rsidR="00437528" w:rsidRPr="006146D2">
        <w:rPr>
          <w:rFonts w:ascii="Times New Roman" w:hAnsi="Times New Roman" w:cs="Times New Roman"/>
          <w:sz w:val="28"/>
          <w:szCs w:val="28"/>
        </w:rPr>
        <w:t xml:space="preserve"> </w:t>
      </w:r>
      <w:r w:rsidR="00226F66">
        <w:rPr>
          <w:rFonts w:ascii="Times New Roman" w:eastAsia="Calibri" w:hAnsi="Times New Roman" w:cs="Times New Roman"/>
          <w:sz w:val="28"/>
          <w:szCs w:val="28"/>
        </w:rPr>
        <w:t>(Т</w:t>
      </w:r>
      <w:r w:rsidR="00EF089A" w:rsidRPr="006146D2">
        <w:rPr>
          <w:rFonts w:ascii="Times New Roman" w:eastAsia="Calibri" w:hAnsi="Times New Roman" w:cs="Times New Roman"/>
          <w:sz w:val="28"/>
          <w:szCs w:val="28"/>
        </w:rPr>
        <w:t>абл</w:t>
      </w:r>
      <w:r w:rsidR="00226F66">
        <w:rPr>
          <w:rFonts w:ascii="Times New Roman" w:eastAsia="Calibri" w:hAnsi="Times New Roman" w:cs="Times New Roman"/>
          <w:sz w:val="28"/>
          <w:szCs w:val="28"/>
        </w:rPr>
        <w:t>ица</w:t>
      </w:r>
      <w:r w:rsidR="00EF089A" w:rsidRPr="006146D2">
        <w:rPr>
          <w:rFonts w:ascii="Times New Roman" w:eastAsia="Calibri" w:hAnsi="Times New Roman" w:cs="Times New Roman"/>
          <w:sz w:val="28"/>
          <w:szCs w:val="28"/>
        </w:rPr>
        <w:t xml:space="preserve"> 1</w:t>
      </w:r>
      <w:r w:rsidR="00226F66">
        <w:rPr>
          <w:rFonts w:ascii="Times New Roman" w:eastAsia="Calibri" w:hAnsi="Times New Roman" w:cs="Times New Roman"/>
          <w:sz w:val="28"/>
          <w:szCs w:val="28"/>
        </w:rPr>
        <w:t>3</w:t>
      </w:r>
      <w:r w:rsidR="00437528" w:rsidRPr="006146D2">
        <w:rPr>
          <w:rFonts w:ascii="Times New Roman" w:eastAsia="Calibri" w:hAnsi="Times New Roman" w:cs="Times New Roman"/>
          <w:sz w:val="28"/>
          <w:szCs w:val="28"/>
        </w:rPr>
        <w:t>)</w:t>
      </w:r>
      <w:r w:rsidR="00437528" w:rsidRPr="006146D2">
        <w:rPr>
          <w:rFonts w:ascii="Times New Roman" w:hAnsi="Times New Roman" w:cs="Times New Roman"/>
          <w:sz w:val="28"/>
          <w:szCs w:val="28"/>
        </w:rPr>
        <w:t>.</w:t>
      </w:r>
      <w:r w:rsidR="00437528" w:rsidRPr="00437528">
        <w:rPr>
          <w:rFonts w:ascii="Times New Roman" w:hAnsi="Times New Roman" w:cs="Times New Roman"/>
          <w:sz w:val="28"/>
          <w:szCs w:val="28"/>
        </w:rPr>
        <w:t xml:space="preserve"> </w:t>
      </w:r>
    </w:p>
    <w:p w14:paraId="0DF90B34" w14:textId="614BF045" w:rsidR="00EF089A" w:rsidRDefault="00EF089A" w:rsidP="00EE7215">
      <w:pPr>
        <w:spacing w:after="0" w:line="240" w:lineRule="auto"/>
        <w:ind w:firstLine="567"/>
        <w:jc w:val="both"/>
        <w:rPr>
          <w:rFonts w:ascii="Times New Roman" w:hAnsi="Times New Roman" w:cs="Times New Roman"/>
          <w:sz w:val="28"/>
          <w:szCs w:val="28"/>
        </w:rPr>
      </w:pPr>
    </w:p>
    <w:p w14:paraId="4582464E" w14:textId="7FDD9C86" w:rsidR="00EF089A" w:rsidRPr="00437528" w:rsidRDefault="00EF089A" w:rsidP="003E7AF4">
      <w:pPr>
        <w:tabs>
          <w:tab w:val="left" w:pos="1454"/>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226F66" w:rsidRPr="006146D2">
        <w:rPr>
          <w:rFonts w:ascii="Times New Roman" w:eastAsia="Calibri" w:hAnsi="Times New Roman" w:cs="Times New Roman"/>
          <w:sz w:val="28"/>
          <w:szCs w:val="28"/>
        </w:rPr>
        <w:t>1</w:t>
      </w:r>
      <w:r w:rsidR="00226F66">
        <w:rPr>
          <w:rFonts w:ascii="Times New Roman" w:eastAsia="Calibri" w:hAnsi="Times New Roman" w:cs="Times New Roman"/>
          <w:sz w:val="28"/>
          <w:szCs w:val="28"/>
        </w:rPr>
        <w:t>3</w:t>
      </w:r>
      <w:r w:rsidRPr="00437528">
        <w:rPr>
          <w:rFonts w:ascii="Times New Roman" w:hAnsi="Times New Roman" w:cs="Times New Roman"/>
          <w:sz w:val="28"/>
          <w:szCs w:val="28"/>
        </w:rPr>
        <w:t xml:space="preserve"> - Сравнительная характеристика группы вмешательства и группы контроля по лабораторным показателям на фоне проведения аллерген-специфической иммунотерапии</w:t>
      </w:r>
    </w:p>
    <w:p w14:paraId="31CFF015" w14:textId="77777777" w:rsidR="00EF089A" w:rsidRPr="00437528" w:rsidRDefault="00EF089A" w:rsidP="00EF089A">
      <w:pPr>
        <w:tabs>
          <w:tab w:val="left" w:pos="1454"/>
        </w:tabs>
        <w:spacing w:after="0" w:line="240" w:lineRule="auto"/>
        <w:jc w:val="both"/>
        <w:rPr>
          <w:rFonts w:ascii="Times New Roman" w:hAnsi="Times New Roman" w:cs="Times New Roman"/>
          <w:b/>
          <w:sz w:val="28"/>
          <w:szCs w:val="28"/>
        </w:rPr>
      </w:pPr>
    </w:p>
    <w:tbl>
      <w:tblPr>
        <w:tblStyle w:val="310"/>
        <w:tblW w:w="5118" w:type="pct"/>
        <w:jc w:val="center"/>
        <w:tblInd w:w="0" w:type="dxa"/>
        <w:tblLook w:val="04A0" w:firstRow="1" w:lastRow="0" w:firstColumn="1" w:lastColumn="0" w:noHBand="0" w:noVBand="1"/>
      </w:tblPr>
      <w:tblGrid>
        <w:gridCol w:w="3615"/>
        <w:gridCol w:w="2192"/>
        <w:gridCol w:w="2107"/>
        <w:gridCol w:w="1941"/>
      </w:tblGrid>
      <w:tr w:rsidR="00EF089A" w:rsidRPr="00437528" w14:paraId="5DB104F7" w14:textId="77777777" w:rsidTr="00F478EA">
        <w:trPr>
          <w:trHeight w:val="847"/>
          <w:jc w:val="center"/>
        </w:trPr>
        <w:tc>
          <w:tcPr>
            <w:tcW w:w="1834" w:type="pct"/>
            <w:tcBorders>
              <w:top w:val="single" w:sz="4" w:space="0" w:color="auto"/>
              <w:left w:val="single" w:sz="4" w:space="0" w:color="auto"/>
              <w:bottom w:val="single" w:sz="4" w:space="0" w:color="auto"/>
              <w:right w:val="single" w:sz="4" w:space="0" w:color="auto"/>
            </w:tcBorders>
            <w:hideMark/>
          </w:tcPr>
          <w:p w14:paraId="113A35FD"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Параметр</w:t>
            </w:r>
          </w:p>
        </w:tc>
        <w:tc>
          <w:tcPr>
            <w:tcW w:w="1112" w:type="pct"/>
            <w:tcBorders>
              <w:top w:val="single" w:sz="4" w:space="0" w:color="auto"/>
              <w:left w:val="single" w:sz="4" w:space="0" w:color="auto"/>
              <w:bottom w:val="single" w:sz="4" w:space="0" w:color="auto"/>
              <w:right w:val="single" w:sz="4" w:space="0" w:color="auto"/>
            </w:tcBorders>
            <w:vAlign w:val="center"/>
            <w:hideMark/>
          </w:tcPr>
          <w:p w14:paraId="0135F505" w14:textId="77777777" w:rsidR="00EF089A" w:rsidRPr="00437528" w:rsidRDefault="00EF089A" w:rsidP="00441716">
            <w:pPr>
              <w:jc w:val="both"/>
              <w:rPr>
                <w:rFonts w:ascii="Times New Roman" w:hAnsi="Times New Roman" w:cs="Times New Roman"/>
                <w:sz w:val="24"/>
                <w:szCs w:val="24"/>
              </w:rPr>
            </w:pPr>
            <w:r w:rsidRPr="00437528">
              <w:rPr>
                <w:rFonts w:ascii="Times New Roman" w:eastAsia="Calibri" w:hAnsi="Times New Roman" w:cs="Times New Roman"/>
                <w:sz w:val="24"/>
                <w:szCs w:val="24"/>
              </w:rPr>
              <w:t>Группа вмешательства (АСИТ+витаминД)</w:t>
            </w:r>
          </w:p>
        </w:tc>
        <w:tc>
          <w:tcPr>
            <w:tcW w:w="1069" w:type="pct"/>
            <w:tcBorders>
              <w:top w:val="single" w:sz="4" w:space="0" w:color="auto"/>
              <w:left w:val="single" w:sz="4" w:space="0" w:color="auto"/>
              <w:bottom w:val="single" w:sz="4" w:space="0" w:color="auto"/>
              <w:right w:val="single" w:sz="4" w:space="0" w:color="auto"/>
            </w:tcBorders>
            <w:vAlign w:val="center"/>
            <w:hideMark/>
          </w:tcPr>
          <w:p w14:paraId="0E056695" w14:textId="77777777" w:rsidR="00EF089A" w:rsidRPr="00437528" w:rsidRDefault="00EF089A" w:rsidP="00441716">
            <w:pPr>
              <w:jc w:val="both"/>
              <w:rPr>
                <w:rFonts w:ascii="Times New Roman" w:hAnsi="Times New Roman" w:cs="Times New Roman"/>
                <w:sz w:val="24"/>
                <w:szCs w:val="24"/>
              </w:rPr>
            </w:pPr>
            <w:r w:rsidRPr="00437528">
              <w:rPr>
                <w:rFonts w:ascii="Times New Roman" w:eastAsia="Calibri" w:hAnsi="Times New Roman" w:cs="Times New Roman"/>
                <w:bCs/>
                <w:sz w:val="24"/>
                <w:szCs w:val="24"/>
              </w:rPr>
              <w:t>Группа контроля (АСИТ)</w:t>
            </w:r>
          </w:p>
        </w:tc>
        <w:tc>
          <w:tcPr>
            <w:tcW w:w="985" w:type="pct"/>
            <w:tcBorders>
              <w:top w:val="single" w:sz="4" w:space="0" w:color="auto"/>
              <w:left w:val="single" w:sz="4" w:space="0" w:color="auto"/>
              <w:bottom w:val="single" w:sz="4" w:space="0" w:color="auto"/>
              <w:right w:val="single" w:sz="4" w:space="0" w:color="auto"/>
            </w:tcBorders>
            <w:hideMark/>
          </w:tcPr>
          <w:p w14:paraId="003D2A97"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p-value</w:t>
            </w:r>
          </w:p>
          <w:p w14:paraId="45979445"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p &lt;0,05 **</w:t>
            </w:r>
          </w:p>
          <w:p w14:paraId="6320001B" w14:textId="77777777" w:rsidR="00EF089A" w:rsidRPr="00437528" w:rsidRDefault="00EF089A" w:rsidP="00441716">
            <w:pPr>
              <w:jc w:val="both"/>
              <w:rPr>
                <w:rFonts w:ascii="Times New Roman" w:hAnsi="Times New Roman" w:cs="Times New Roman"/>
                <w:sz w:val="24"/>
                <w:szCs w:val="24"/>
              </w:rPr>
            </w:pPr>
          </w:p>
        </w:tc>
      </w:tr>
      <w:tr w:rsidR="00F478EA" w:rsidRPr="00437528" w14:paraId="64DA2077" w14:textId="77777777" w:rsidTr="00F478EA">
        <w:trPr>
          <w:jc w:val="center"/>
        </w:trPr>
        <w:tc>
          <w:tcPr>
            <w:tcW w:w="1834" w:type="pct"/>
            <w:hideMark/>
          </w:tcPr>
          <w:p w14:paraId="6B186CEA" w14:textId="77777777" w:rsidR="00F478EA" w:rsidRPr="009F65CA" w:rsidRDefault="00F478EA" w:rsidP="00F478EA">
            <w:pPr>
              <w:jc w:val="both"/>
              <w:rPr>
                <w:rFonts w:ascii="Times New Roman" w:hAnsi="Times New Roman" w:cs="Times New Roman"/>
                <w:sz w:val="24"/>
                <w:szCs w:val="24"/>
                <w:lang w:val="ru-RU"/>
              </w:rPr>
            </w:pPr>
            <w:r w:rsidRPr="009F65CA">
              <w:rPr>
                <w:rFonts w:ascii="Times New Roman" w:hAnsi="Times New Roman" w:cs="Times New Roman"/>
                <w:sz w:val="24"/>
                <w:szCs w:val="24"/>
                <w:lang w:val="ru-RU"/>
              </w:rPr>
              <w:t>ЭКБ (нг/мл) (</w:t>
            </w:r>
            <w:r w:rsidRPr="00437528">
              <w:rPr>
                <w:rFonts w:ascii="Times New Roman" w:hAnsi="Times New Roman" w:cs="Times New Roman"/>
                <w:sz w:val="24"/>
                <w:szCs w:val="24"/>
              </w:rPr>
              <w:t>Me</w:t>
            </w:r>
            <w:r w:rsidRPr="009F65CA">
              <w:rPr>
                <w:rFonts w:ascii="Times New Roman" w:hAnsi="Times New Roman" w:cs="Times New Roman"/>
                <w:sz w:val="24"/>
                <w:szCs w:val="24"/>
                <w:lang w:val="ru-RU"/>
              </w:rPr>
              <w:t>+</w:t>
            </w:r>
            <w:r w:rsidRPr="00437528">
              <w:rPr>
                <w:rFonts w:ascii="Times New Roman" w:hAnsi="Times New Roman" w:cs="Times New Roman"/>
                <w:sz w:val="24"/>
                <w:szCs w:val="24"/>
              </w:rPr>
              <w:t>Q</w:t>
            </w:r>
            <w:r w:rsidRPr="009F65CA">
              <w:rPr>
                <w:rFonts w:ascii="Times New Roman" w:hAnsi="Times New Roman" w:cs="Times New Roman"/>
                <w:sz w:val="24"/>
                <w:szCs w:val="24"/>
                <w:vertAlign w:val="subscript"/>
                <w:lang w:val="ru-RU"/>
              </w:rPr>
              <w:t>25-75</w:t>
            </w:r>
            <w:r w:rsidRPr="009F65CA">
              <w:rPr>
                <w:rFonts w:ascii="Times New Roman" w:hAnsi="Times New Roman" w:cs="Times New Roman"/>
                <w:sz w:val="24"/>
                <w:szCs w:val="24"/>
                <w:lang w:val="ru-RU"/>
              </w:rPr>
              <w:t>) 1 визит</w:t>
            </w:r>
          </w:p>
        </w:tc>
        <w:tc>
          <w:tcPr>
            <w:tcW w:w="1112" w:type="pct"/>
            <w:hideMark/>
          </w:tcPr>
          <w:p w14:paraId="23175082" w14:textId="77777777" w:rsidR="00F478EA" w:rsidRPr="00437528" w:rsidRDefault="00F478EA" w:rsidP="00F478EA">
            <w:pPr>
              <w:jc w:val="both"/>
              <w:rPr>
                <w:rFonts w:ascii="Times New Roman" w:hAnsi="Times New Roman" w:cs="Times New Roman"/>
                <w:sz w:val="24"/>
                <w:szCs w:val="24"/>
              </w:rPr>
            </w:pPr>
            <w:r w:rsidRPr="00437528">
              <w:rPr>
                <w:rFonts w:ascii="Times New Roman" w:hAnsi="Times New Roman" w:cs="Times New Roman"/>
                <w:sz w:val="24"/>
                <w:szCs w:val="24"/>
              </w:rPr>
              <w:t>46,2 (40,8-53,6)</w:t>
            </w:r>
          </w:p>
        </w:tc>
        <w:tc>
          <w:tcPr>
            <w:tcW w:w="1069" w:type="pct"/>
            <w:hideMark/>
          </w:tcPr>
          <w:p w14:paraId="50785CAC" w14:textId="77777777" w:rsidR="00F478EA" w:rsidRPr="00437528" w:rsidRDefault="00F478EA" w:rsidP="00F478EA">
            <w:pPr>
              <w:jc w:val="both"/>
              <w:rPr>
                <w:rFonts w:ascii="Times New Roman" w:hAnsi="Times New Roman" w:cs="Times New Roman"/>
                <w:sz w:val="24"/>
                <w:szCs w:val="24"/>
              </w:rPr>
            </w:pPr>
            <w:r w:rsidRPr="00437528">
              <w:rPr>
                <w:rFonts w:ascii="Times New Roman" w:hAnsi="Times New Roman" w:cs="Times New Roman"/>
                <w:sz w:val="24"/>
                <w:szCs w:val="24"/>
              </w:rPr>
              <w:t>47,4 (41,6-50,6)</w:t>
            </w:r>
          </w:p>
        </w:tc>
        <w:tc>
          <w:tcPr>
            <w:tcW w:w="985" w:type="pct"/>
          </w:tcPr>
          <w:p w14:paraId="34881D55" w14:textId="5B447037" w:rsidR="00F478EA" w:rsidRPr="00524662" w:rsidRDefault="00F478EA" w:rsidP="00F478EA">
            <w:pPr>
              <w:jc w:val="both"/>
              <w:rPr>
                <w:rFonts w:ascii="Times New Roman" w:hAnsi="Times New Roman" w:cs="Times New Roman"/>
                <w:sz w:val="24"/>
                <w:szCs w:val="24"/>
              </w:rPr>
            </w:pPr>
            <w:r w:rsidRPr="00524662">
              <w:rPr>
                <w:rFonts w:ascii="Times New Roman" w:hAnsi="Times New Roman"/>
                <w:sz w:val="24"/>
                <w:szCs w:val="24"/>
              </w:rPr>
              <w:t>0,777</w:t>
            </w:r>
          </w:p>
        </w:tc>
      </w:tr>
      <w:tr w:rsidR="00F478EA" w:rsidRPr="00437528" w14:paraId="05A50F6B" w14:textId="77777777" w:rsidTr="00F478EA">
        <w:trPr>
          <w:jc w:val="center"/>
        </w:trPr>
        <w:tc>
          <w:tcPr>
            <w:tcW w:w="1834" w:type="pct"/>
            <w:hideMark/>
          </w:tcPr>
          <w:p w14:paraId="1F1C663A" w14:textId="77777777" w:rsidR="00F478EA" w:rsidRPr="009F65CA" w:rsidRDefault="00F478EA" w:rsidP="00F478EA">
            <w:pPr>
              <w:jc w:val="both"/>
              <w:rPr>
                <w:rFonts w:ascii="Times New Roman" w:hAnsi="Times New Roman" w:cs="Times New Roman"/>
                <w:sz w:val="24"/>
                <w:szCs w:val="24"/>
                <w:lang w:val="ru-RU"/>
              </w:rPr>
            </w:pPr>
            <w:r w:rsidRPr="009F65CA">
              <w:rPr>
                <w:rFonts w:ascii="Times New Roman" w:hAnsi="Times New Roman" w:cs="Times New Roman"/>
                <w:sz w:val="24"/>
                <w:szCs w:val="24"/>
                <w:lang w:val="ru-RU"/>
              </w:rPr>
              <w:t>ЭКБ (нг/мл) (</w:t>
            </w:r>
            <w:r w:rsidRPr="00437528">
              <w:rPr>
                <w:rFonts w:ascii="Times New Roman" w:hAnsi="Times New Roman" w:cs="Times New Roman"/>
                <w:sz w:val="24"/>
                <w:szCs w:val="24"/>
              </w:rPr>
              <w:t>Me</w:t>
            </w:r>
            <w:r w:rsidRPr="009F65CA">
              <w:rPr>
                <w:rFonts w:ascii="Times New Roman" w:hAnsi="Times New Roman" w:cs="Times New Roman"/>
                <w:sz w:val="24"/>
                <w:szCs w:val="24"/>
                <w:lang w:val="ru-RU"/>
              </w:rPr>
              <w:t>+</w:t>
            </w:r>
            <w:r w:rsidRPr="00437528">
              <w:rPr>
                <w:rFonts w:ascii="Times New Roman" w:hAnsi="Times New Roman" w:cs="Times New Roman"/>
                <w:sz w:val="24"/>
                <w:szCs w:val="24"/>
              </w:rPr>
              <w:t>Q</w:t>
            </w:r>
            <w:r w:rsidRPr="009F65CA">
              <w:rPr>
                <w:rFonts w:ascii="Times New Roman" w:hAnsi="Times New Roman" w:cs="Times New Roman"/>
                <w:sz w:val="24"/>
                <w:szCs w:val="24"/>
                <w:vertAlign w:val="subscript"/>
                <w:lang w:val="ru-RU"/>
              </w:rPr>
              <w:t>25-75</w:t>
            </w:r>
            <w:r w:rsidRPr="009F65CA">
              <w:rPr>
                <w:rFonts w:ascii="Times New Roman" w:hAnsi="Times New Roman" w:cs="Times New Roman"/>
                <w:sz w:val="24"/>
                <w:szCs w:val="24"/>
                <w:lang w:val="ru-RU"/>
              </w:rPr>
              <w:t>) 2 визит</w:t>
            </w:r>
          </w:p>
        </w:tc>
        <w:tc>
          <w:tcPr>
            <w:tcW w:w="1112" w:type="pct"/>
            <w:hideMark/>
          </w:tcPr>
          <w:p w14:paraId="1F8A6F40" w14:textId="77777777" w:rsidR="00F478EA" w:rsidRPr="00437528" w:rsidRDefault="00F478EA" w:rsidP="00F478EA">
            <w:pPr>
              <w:jc w:val="both"/>
              <w:rPr>
                <w:rFonts w:ascii="Times New Roman" w:hAnsi="Times New Roman" w:cs="Times New Roman"/>
                <w:sz w:val="24"/>
                <w:szCs w:val="24"/>
              </w:rPr>
            </w:pPr>
            <w:r w:rsidRPr="00437528">
              <w:rPr>
                <w:rFonts w:ascii="Times New Roman" w:hAnsi="Times New Roman" w:cs="Times New Roman"/>
                <w:sz w:val="24"/>
                <w:szCs w:val="24"/>
              </w:rPr>
              <w:t>32,61 (28,3-38,3)</w:t>
            </w:r>
          </w:p>
        </w:tc>
        <w:tc>
          <w:tcPr>
            <w:tcW w:w="1069" w:type="pct"/>
            <w:hideMark/>
          </w:tcPr>
          <w:p w14:paraId="1CDABC39" w14:textId="77777777" w:rsidR="00F478EA" w:rsidRPr="00437528" w:rsidRDefault="00F478EA" w:rsidP="00F478EA">
            <w:pPr>
              <w:jc w:val="both"/>
              <w:rPr>
                <w:rFonts w:ascii="Times New Roman" w:hAnsi="Times New Roman" w:cs="Times New Roman"/>
                <w:sz w:val="24"/>
                <w:szCs w:val="24"/>
              </w:rPr>
            </w:pPr>
            <w:r w:rsidRPr="00437528">
              <w:rPr>
                <w:rFonts w:ascii="Times New Roman" w:hAnsi="Times New Roman" w:cs="Times New Roman"/>
                <w:sz w:val="24"/>
                <w:szCs w:val="24"/>
              </w:rPr>
              <w:t>40,28 (35,1-44,15)</w:t>
            </w:r>
          </w:p>
        </w:tc>
        <w:tc>
          <w:tcPr>
            <w:tcW w:w="985" w:type="pct"/>
          </w:tcPr>
          <w:p w14:paraId="0E73A59C" w14:textId="6B91E1E5" w:rsidR="00F478EA" w:rsidRPr="00524662" w:rsidRDefault="00F478EA" w:rsidP="00F478EA">
            <w:pPr>
              <w:jc w:val="both"/>
              <w:rPr>
                <w:rFonts w:ascii="Times New Roman" w:hAnsi="Times New Roman" w:cs="Times New Roman"/>
                <w:sz w:val="24"/>
                <w:szCs w:val="24"/>
              </w:rPr>
            </w:pPr>
            <w:r w:rsidRPr="00524662">
              <w:rPr>
                <w:rFonts w:ascii="Times New Roman" w:hAnsi="Times New Roman"/>
                <w:sz w:val="24"/>
                <w:szCs w:val="24"/>
              </w:rPr>
              <w:t>0,006</w:t>
            </w:r>
          </w:p>
        </w:tc>
      </w:tr>
      <w:tr w:rsidR="00EF089A" w:rsidRPr="00437528" w14:paraId="135E7585" w14:textId="77777777" w:rsidTr="00F478EA">
        <w:trPr>
          <w:jc w:val="center"/>
        </w:trPr>
        <w:tc>
          <w:tcPr>
            <w:tcW w:w="1834" w:type="pct"/>
          </w:tcPr>
          <w:p w14:paraId="284D22C3" w14:textId="77777777" w:rsidR="00EF089A" w:rsidRPr="009F65CA" w:rsidRDefault="00EF089A" w:rsidP="00441716">
            <w:pPr>
              <w:jc w:val="both"/>
              <w:rPr>
                <w:rFonts w:ascii="Times New Roman" w:hAnsi="Times New Roman" w:cs="Times New Roman"/>
                <w:sz w:val="24"/>
                <w:szCs w:val="24"/>
                <w:lang w:val="ru-RU"/>
              </w:rPr>
            </w:pPr>
            <w:r w:rsidRPr="009F65CA">
              <w:rPr>
                <w:rFonts w:ascii="Times New Roman" w:hAnsi="Times New Roman" w:cs="Times New Roman"/>
                <w:sz w:val="24"/>
                <w:szCs w:val="24"/>
                <w:lang w:val="ru-RU"/>
              </w:rPr>
              <w:t>Динамика между визитами 1и 2</w:t>
            </w:r>
          </w:p>
          <w:p w14:paraId="323B50BB" w14:textId="77777777" w:rsidR="00EF089A" w:rsidRPr="009F65CA" w:rsidRDefault="00EF089A" w:rsidP="00441716">
            <w:pPr>
              <w:jc w:val="both"/>
              <w:rPr>
                <w:rFonts w:ascii="Times New Roman" w:hAnsi="Times New Roman" w:cs="Times New Roman"/>
                <w:sz w:val="24"/>
                <w:szCs w:val="24"/>
                <w:lang w:val="ru-RU"/>
              </w:rPr>
            </w:pPr>
            <w:r w:rsidRPr="00437528">
              <w:rPr>
                <w:rFonts w:ascii="Times New Roman" w:hAnsi="Times New Roman" w:cs="Times New Roman"/>
                <w:sz w:val="24"/>
                <w:szCs w:val="24"/>
              </w:rPr>
              <w:t>p</w:t>
            </w:r>
            <w:r w:rsidRPr="009F65CA">
              <w:rPr>
                <w:rFonts w:ascii="Times New Roman" w:hAnsi="Times New Roman" w:cs="Times New Roman"/>
                <w:sz w:val="24"/>
                <w:szCs w:val="24"/>
                <w:lang w:val="ru-RU"/>
              </w:rPr>
              <w:t>-</w:t>
            </w:r>
            <w:r w:rsidRPr="00437528">
              <w:rPr>
                <w:rFonts w:ascii="Times New Roman" w:hAnsi="Times New Roman" w:cs="Times New Roman"/>
                <w:sz w:val="24"/>
                <w:szCs w:val="24"/>
              </w:rPr>
              <w:t>value</w:t>
            </w:r>
            <w:r w:rsidRPr="009F65CA">
              <w:rPr>
                <w:rFonts w:ascii="Times New Roman" w:hAnsi="Times New Roman" w:cs="Times New Roman"/>
                <w:sz w:val="24"/>
                <w:szCs w:val="24"/>
                <w:lang w:val="ru-RU"/>
              </w:rPr>
              <w:t>*</w:t>
            </w:r>
          </w:p>
        </w:tc>
        <w:tc>
          <w:tcPr>
            <w:tcW w:w="1112" w:type="pct"/>
          </w:tcPr>
          <w:p w14:paraId="2894F120"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-13,59</w:t>
            </w:r>
          </w:p>
          <w:p w14:paraId="74F30E45"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sym w:font="Symbol" w:char="F03C"/>
            </w:r>
            <w:r w:rsidRPr="00437528">
              <w:rPr>
                <w:rFonts w:ascii="Times New Roman" w:hAnsi="Times New Roman" w:cs="Times New Roman"/>
                <w:sz w:val="24"/>
                <w:szCs w:val="24"/>
              </w:rPr>
              <w:t>0,001</w:t>
            </w:r>
          </w:p>
        </w:tc>
        <w:tc>
          <w:tcPr>
            <w:tcW w:w="1069" w:type="pct"/>
          </w:tcPr>
          <w:p w14:paraId="2B776F5E"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-7,12</w:t>
            </w:r>
          </w:p>
          <w:p w14:paraId="1FF83E32"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sym w:font="Symbol" w:char="F03C"/>
            </w:r>
            <w:r w:rsidRPr="00437528">
              <w:rPr>
                <w:rFonts w:ascii="Times New Roman" w:hAnsi="Times New Roman" w:cs="Times New Roman"/>
                <w:sz w:val="24"/>
                <w:szCs w:val="24"/>
              </w:rPr>
              <w:t>0,001</w:t>
            </w:r>
          </w:p>
        </w:tc>
        <w:tc>
          <w:tcPr>
            <w:tcW w:w="985" w:type="pct"/>
          </w:tcPr>
          <w:p w14:paraId="1176BDDD" w14:textId="3601684A" w:rsidR="00EF089A" w:rsidRPr="00524662" w:rsidRDefault="00DF7D3A" w:rsidP="00441716">
            <w:pPr>
              <w:jc w:val="both"/>
              <w:rPr>
                <w:rFonts w:ascii="Times New Roman" w:hAnsi="Times New Roman" w:cs="Times New Roman"/>
                <w:sz w:val="24"/>
                <w:szCs w:val="24"/>
              </w:rPr>
            </w:pPr>
            <w:r w:rsidRPr="00524662">
              <w:rPr>
                <w:rFonts w:ascii="Times New Roman" w:hAnsi="Times New Roman"/>
                <w:sz w:val="24"/>
                <w:szCs w:val="24"/>
              </w:rPr>
              <w:t>0,000</w:t>
            </w:r>
          </w:p>
        </w:tc>
      </w:tr>
      <w:tr w:rsidR="00F478EA" w:rsidRPr="00437528" w14:paraId="558E8428" w14:textId="77777777" w:rsidTr="00F478EA">
        <w:trPr>
          <w:jc w:val="center"/>
        </w:trPr>
        <w:tc>
          <w:tcPr>
            <w:tcW w:w="1834" w:type="pct"/>
            <w:hideMark/>
          </w:tcPr>
          <w:p w14:paraId="29CF2591" w14:textId="77777777" w:rsidR="00F478EA" w:rsidRPr="009F65CA" w:rsidRDefault="00F478EA" w:rsidP="00F478EA">
            <w:pPr>
              <w:jc w:val="both"/>
              <w:rPr>
                <w:rFonts w:ascii="Times New Roman" w:hAnsi="Times New Roman" w:cs="Times New Roman"/>
                <w:sz w:val="24"/>
                <w:szCs w:val="24"/>
                <w:lang w:val="ru-RU"/>
              </w:rPr>
            </w:pPr>
            <w:r w:rsidRPr="009F65CA">
              <w:rPr>
                <w:rFonts w:ascii="Times New Roman" w:hAnsi="Times New Roman" w:cs="Times New Roman"/>
                <w:sz w:val="24"/>
                <w:szCs w:val="24"/>
                <w:lang w:val="ru-RU"/>
              </w:rPr>
              <w:t>Общий ИГЕ (Ед/мл) (</w:t>
            </w:r>
            <w:r w:rsidRPr="00437528">
              <w:rPr>
                <w:rFonts w:ascii="Times New Roman" w:hAnsi="Times New Roman" w:cs="Times New Roman"/>
                <w:sz w:val="24"/>
                <w:szCs w:val="24"/>
              </w:rPr>
              <w:t>Me</w:t>
            </w:r>
            <w:r w:rsidRPr="009F65CA">
              <w:rPr>
                <w:rFonts w:ascii="Times New Roman" w:hAnsi="Times New Roman" w:cs="Times New Roman"/>
                <w:sz w:val="24"/>
                <w:szCs w:val="24"/>
                <w:lang w:val="ru-RU"/>
              </w:rPr>
              <w:t>+</w:t>
            </w:r>
            <w:r w:rsidRPr="00437528">
              <w:rPr>
                <w:rFonts w:ascii="Times New Roman" w:hAnsi="Times New Roman" w:cs="Times New Roman"/>
                <w:sz w:val="24"/>
                <w:szCs w:val="24"/>
              </w:rPr>
              <w:t>Q</w:t>
            </w:r>
            <w:r w:rsidRPr="009F65CA">
              <w:rPr>
                <w:rFonts w:ascii="Times New Roman" w:hAnsi="Times New Roman" w:cs="Times New Roman"/>
                <w:sz w:val="24"/>
                <w:szCs w:val="24"/>
                <w:vertAlign w:val="subscript"/>
                <w:lang w:val="ru-RU"/>
              </w:rPr>
              <w:t>25-75</w:t>
            </w:r>
            <w:r w:rsidRPr="009F65CA">
              <w:rPr>
                <w:rFonts w:ascii="Times New Roman" w:hAnsi="Times New Roman" w:cs="Times New Roman"/>
                <w:sz w:val="24"/>
                <w:szCs w:val="24"/>
                <w:lang w:val="ru-RU"/>
              </w:rPr>
              <w:t>) 1 визит</w:t>
            </w:r>
          </w:p>
        </w:tc>
        <w:tc>
          <w:tcPr>
            <w:tcW w:w="1112" w:type="pct"/>
            <w:hideMark/>
          </w:tcPr>
          <w:p w14:paraId="0AE0F2A3" w14:textId="77777777" w:rsidR="00F478EA" w:rsidRPr="00437528" w:rsidRDefault="00F478EA" w:rsidP="00F478EA">
            <w:pPr>
              <w:jc w:val="both"/>
              <w:rPr>
                <w:rFonts w:ascii="Times New Roman" w:hAnsi="Times New Roman" w:cs="Times New Roman"/>
                <w:sz w:val="24"/>
                <w:szCs w:val="24"/>
              </w:rPr>
            </w:pPr>
            <w:r w:rsidRPr="00437528">
              <w:rPr>
                <w:rFonts w:ascii="Times New Roman" w:hAnsi="Times New Roman" w:cs="Times New Roman"/>
                <w:sz w:val="24"/>
                <w:szCs w:val="24"/>
              </w:rPr>
              <w:t>387,2 (251,86-498,03)</w:t>
            </w:r>
          </w:p>
        </w:tc>
        <w:tc>
          <w:tcPr>
            <w:tcW w:w="1069" w:type="pct"/>
            <w:hideMark/>
          </w:tcPr>
          <w:p w14:paraId="72C90B36" w14:textId="77777777" w:rsidR="00F478EA" w:rsidRPr="00437528" w:rsidRDefault="00F478EA" w:rsidP="00F478EA">
            <w:pPr>
              <w:jc w:val="both"/>
              <w:rPr>
                <w:rFonts w:ascii="Times New Roman" w:hAnsi="Times New Roman" w:cs="Times New Roman"/>
                <w:sz w:val="24"/>
                <w:szCs w:val="24"/>
              </w:rPr>
            </w:pPr>
            <w:r w:rsidRPr="00437528">
              <w:rPr>
                <w:rFonts w:ascii="Times New Roman" w:hAnsi="Times New Roman" w:cs="Times New Roman"/>
                <w:sz w:val="24"/>
                <w:szCs w:val="24"/>
              </w:rPr>
              <w:t>365,3 (261,8-501,3)</w:t>
            </w:r>
          </w:p>
        </w:tc>
        <w:tc>
          <w:tcPr>
            <w:tcW w:w="985" w:type="pct"/>
          </w:tcPr>
          <w:p w14:paraId="25C01912" w14:textId="69A60D94" w:rsidR="00F478EA" w:rsidRPr="00524662" w:rsidRDefault="00F478EA" w:rsidP="00F478EA">
            <w:pPr>
              <w:jc w:val="both"/>
              <w:rPr>
                <w:rFonts w:ascii="Times New Roman" w:hAnsi="Times New Roman" w:cs="Times New Roman"/>
                <w:sz w:val="24"/>
                <w:szCs w:val="24"/>
              </w:rPr>
            </w:pPr>
            <w:r w:rsidRPr="00524662">
              <w:rPr>
                <w:rFonts w:ascii="Times New Roman" w:hAnsi="Times New Roman"/>
                <w:sz w:val="24"/>
                <w:szCs w:val="24"/>
              </w:rPr>
              <w:t>0,828</w:t>
            </w:r>
          </w:p>
        </w:tc>
      </w:tr>
      <w:tr w:rsidR="00F478EA" w:rsidRPr="00437528" w14:paraId="560EAA5E" w14:textId="77777777" w:rsidTr="00F478EA">
        <w:trPr>
          <w:jc w:val="center"/>
        </w:trPr>
        <w:tc>
          <w:tcPr>
            <w:tcW w:w="1834" w:type="pct"/>
          </w:tcPr>
          <w:p w14:paraId="5770CA59" w14:textId="77777777" w:rsidR="00F478EA" w:rsidRPr="009F65CA" w:rsidRDefault="00F478EA" w:rsidP="00F478EA">
            <w:pPr>
              <w:jc w:val="both"/>
              <w:rPr>
                <w:rFonts w:ascii="Times New Roman" w:hAnsi="Times New Roman" w:cs="Times New Roman"/>
                <w:sz w:val="24"/>
                <w:szCs w:val="24"/>
                <w:lang w:val="ru-RU"/>
              </w:rPr>
            </w:pPr>
            <w:r w:rsidRPr="009F65CA">
              <w:rPr>
                <w:rFonts w:ascii="Times New Roman" w:hAnsi="Times New Roman" w:cs="Times New Roman"/>
                <w:sz w:val="24"/>
                <w:szCs w:val="24"/>
                <w:lang w:val="ru-RU"/>
              </w:rPr>
              <w:t>Общий ИГЕ (Ед/мл) (</w:t>
            </w:r>
            <w:r w:rsidRPr="00437528">
              <w:rPr>
                <w:rFonts w:ascii="Times New Roman" w:hAnsi="Times New Roman" w:cs="Times New Roman"/>
                <w:sz w:val="24"/>
                <w:szCs w:val="24"/>
              </w:rPr>
              <w:t>Me</w:t>
            </w:r>
            <w:r w:rsidRPr="009F65CA">
              <w:rPr>
                <w:rFonts w:ascii="Times New Roman" w:hAnsi="Times New Roman" w:cs="Times New Roman"/>
                <w:sz w:val="24"/>
                <w:szCs w:val="24"/>
                <w:lang w:val="ru-RU"/>
              </w:rPr>
              <w:t>+</w:t>
            </w:r>
            <w:r w:rsidRPr="00437528">
              <w:rPr>
                <w:rFonts w:ascii="Times New Roman" w:hAnsi="Times New Roman" w:cs="Times New Roman"/>
                <w:sz w:val="24"/>
                <w:szCs w:val="24"/>
              </w:rPr>
              <w:t>Q</w:t>
            </w:r>
            <w:r w:rsidRPr="009F65CA">
              <w:rPr>
                <w:rFonts w:ascii="Times New Roman" w:hAnsi="Times New Roman" w:cs="Times New Roman"/>
                <w:sz w:val="24"/>
                <w:szCs w:val="24"/>
                <w:vertAlign w:val="subscript"/>
                <w:lang w:val="ru-RU"/>
              </w:rPr>
              <w:t>25-75</w:t>
            </w:r>
            <w:r w:rsidRPr="009F65CA">
              <w:rPr>
                <w:rFonts w:ascii="Times New Roman" w:hAnsi="Times New Roman" w:cs="Times New Roman"/>
                <w:sz w:val="24"/>
                <w:szCs w:val="24"/>
                <w:lang w:val="ru-RU"/>
              </w:rPr>
              <w:t>) 2 визит</w:t>
            </w:r>
          </w:p>
        </w:tc>
        <w:tc>
          <w:tcPr>
            <w:tcW w:w="1112" w:type="pct"/>
          </w:tcPr>
          <w:p w14:paraId="1D0F8DAE" w14:textId="77777777" w:rsidR="00F478EA" w:rsidRPr="00437528" w:rsidRDefault="00F478EA" w:rsidP="00F478EA">
            <w:pPr>
              <w:jc w:val="both"/>
              <w:rPr>
                <w:rFonts w:ascii="Times New Roman" w:hAnsi="Times New Roman" w:cs="Times New Roman"/>
                <w:sz w:val="24"/>
                <w:szCs w:val="24"/>
              </w:rPr>
            </w:pPr>
            <w:r w:rsidRPr="00437528">
              <w:rPr>
                <w:rFonts w:ascii="Times New Roman" w:hAnsi="Times New Roman" w:cs="Times New Roman"/>
                <w:sz w:val="24"/>
                <w:szCs w:val="24"/>
              </w:rPr>
              <w:t>209,6 (159,4-338,4)</w:t>
            </w:r>
          </w:p>
        </w:tc>
        <w:tc>
          <w:tcPr>
            <w:tcW w:w="1069" w:type="pct"/>
          </w:tcPr>
          <w:p w14:paraId="78BAFB6A" w14:textId="77777777" w:rsidR="00F478EA" w:rsidRPr="00437528" w:rsidRDefault="00F478EA" w:rsidP="00F478EA">
            <w:pPr>
              <w:jc w:val="both"/>
              <w:rPr>
                <w:rFonts w:ascii="Times New Roman" w:hAnsi="Times New Roman" w:cs="Times New Roman"/>
                <w:sz w:val="24"/>
                <w:szCs w:val="24"/>
              </w:rPr>
            </w:pPr>
            <w:r w:rsidRPr="00437528">
              <w:rPr>
                <w:rFonts w:ascii="Times New Roman" w:hAnsi="Times New Roman" w:cs="Times New Roman"/>
                <w:sz w:val="24"/>
                <w:szCs w:val="24"/>
              </w:rPr>
              <w:t>299,75 (215,9-439,7)</w:t>
            </w:r>
          </w:p>
        </w:tc>
        <w:tc>
          <w:tcPr>
            <w:tcW w:w="985" w:type="pct"/>
            <w:vAlign w:val="center"/>
          </w:tcPr>
          <w:p w14:paraId="384BFBFB" w14:textId="5CA5EC22" w:rsidR="00F478EA" w:rsidRPr="00524662" w:rsidRDefault="002A79C6" w:rsidP="00F478EA">
            <w:pPr>
              <w:jc w:val="both"/>
              <w:rPr>
                <w:rFonts w:ascii="Times New Roman" w:hAnsi="Times New Roman" w:cs="Times New Roman"/>
                <w:sz w:val="24"/>
                <w:szCs w:val="24"/>
              </w:rPr>
            </w:pPr>
            <w:r w:rsidRPr="00524662">
              <w:rPr>
                <w:rFonts w:ascii="Times New Roman" w:hAnsi="Times New Roman"/>
                <w:sz w:val="24"/>
                <w:szCs w:val="24"/>
              </w:rPr>
              <w:t>0,004</w:t>
            </w:r>
          </w:p>
        </w:tc>
      </w:tr>
      <w:tr w:rsidR="00EF089A" w:rsidRPr="00437528" w14:paraId="60784E78" w14:textId="77777777" w:rsidTr="00F478EA">
        <w:trPr>
          <w:jc w:val="center"/>
        </w:trPr>
        <w:tc>
          <w:tcPr>
            <w:tcW w:w="1834" w:type="pct"/>
          </w:tcPr>
          <w:p w14:paraId="0BAABE5B" w14:textId="77777777" w:rsidR="00EF089A" w:rsidRPr="009F65CA" w:rsidRDefault="00EF089A" w:rsidP="00441716">
            <w:pPr>
              <w:jc w:val="both"/>
              <w:rPr>
                <w:rFonts w:ascii="Times New Roman" w:hAnsi="Times New Roman" w:cs="Times New Roman"/>
                <w:sz w:val="24"/>
                <w:szCs w:val="24"/>
                <w:lang w:val="ru-RU"/>
              </w:rPr>
            </w:pPr>
            <w:r w:rsidRPr="009F65CA">
              <w:rPr>
                <w:rFonts w:ascii="Times New Roman" w:hAnsi="Times New Roman" w:cs="Times New Roman"/>
                <w:sz w:val="24"/>
                <w:szCs w:val="24"/>
                <w:lang w:val="ru-RU"/>
              </w:rPr>
              <w:t>Динамика между визитами 1и 2</w:t>
            </w:r>
          </w:p>
          <w:p w14:paraId="3055533F" w14:textId="77777777" w:rsidR="00EF089A" w:rsidRPr="009F65CA" w:rsidRDefault="00EF089A" w:rsidP="00441716">
            <w:pPr>
              <w:jc w:val="both"/>
              <w:rPr>
                <w:rFonts w:ascii="Times New Roman" w:hAnsi="Times New Roman" w:cs="Times New Roman"/>
                <w:sz w:val="24"/>
                <w:szCs w:val="24"/>
                <w:lang w:val="ru-RU"/>
              </w:rPr>
            </w:pPr>
            <w:r w:rsidRPr="00437528">
              <w:rPr>
                <w:rFonts w:ascii="Times New Roman" w:hAnsi="Times New Roman" w:cs="Times New Roman"/>
                <w:sz w:val="24"/>
                <w:szCs w:val="24"/>
              </w:rPr>
              <w:t>p</w:t>
            </w:r>
            <w:r w:rsidRPr="009F65CA">
              <w:rPr>
                <w:rFonts w:ascii="Times New Roman" w:hAnsi="Times New Roman" w:cs="Times New Roman"/>
                <w:sz w:val="24"/>
                <w:szCs w:val="24"/>
                <w:lang w:val="ru-RU"/>
              </w:rPr>
              <w:t>-</w:t>
            </w:r>
            <w:r w:rsidRPr="00437528">
              <w:rPr>
                <w:rFonts w:ascii="Times New Roman" w:hAnsi="Times New Roman" w:cs="Times New Roman"/>
                <w:sz w:val="24"/>
                <w:szCs w:val="24"/>
              </w:rPr>
              <w:t>value</w:t>
            </w:r>
            <w:r w:rsidRPr="009F65CA">
              <w:rPr>
                <w:rFonts w:ascii="Times New Roman" w:hAnsi="Times New Roman" w:cs="Times New Roman"/>
                <w:sz w:val="24"/>
                <w:szCs w:val="24"/>
                <w:lang w:val="ru-RU"/>
              </w:rPr>
              <w:t>*</w:t>
            </w:r>
          </w:p>
        </w:tc>
        <w:tc>
          <w:tcPr>
            <w:tcW w:w="1112" w:type="pct"/>
          </w:tcPr>
          <w:p w14:paraId="5467557A"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-177,6</w:t>
            </w:r>
          </w:p>
          <w:p w14:paraId="1B470F00"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sym w:font="Symbol" w:char="F03C"/>
            </w:r>
            <w:r w:rsidRPr="00437528">
              <w:rPr>
                <w:rFonts w:ascii="Times New Roman" w:hAnsi="Times New Roman" w:cs="Times New Roman"/>
                <w:sz w:val="24"/>
                <w:szCs w:val="24"/>
              </w:rPr>
              <w:t>0,001</w:t>
            </w:r>
          </w:p>
        </w:tc>
        <w:tc>
          <w:tcPr>
            <w:tcW w:w="1069" w:type="pct"/>
          </w:tcPr>
          <w:p w14:paraId="10173923"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-65,55</w:t>
            </w:r>
          </w:p>
          <w:p w14:paraId="65F7A7CA"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sym w:font="Symbol" w:char="F03C"/>
            </w:r>
            <w:r w:rsidRPr="00437528">
              <w:rPr>
                <w:rFonts w:ascii="Times New Roman" w:hAnsi="Times New Roman" w:cs="Times New Roman"/>
                <w:sz w:val="24"/>
                <w:szCs w:val="24"/>
              </w:rPr>
              <w:t>0,001</w:t>
            </w:r>
          </w:p>
        </w:tc>
        <w:tc>
          <w:tcPr>
            <w:tcW w:w="985" w:type="pct"/>
          </w:tcPr>
          <w:p w14:paraId="68ECD370" w14:textId="78F8C481" w:rsidR="00EF089A" w:rsidRPr="00524662" w:rsidRDefault="00DF7D3A" w:rsidP="00441716">
            <w:pPr>
              <w:jc w:val="both"/>
              <w:rPr>
                <w:rFonts w:ascii="Times New Roman" w:hAnsi="Times New Roman" w:cs="Times New Roman"/>
                <w:sz w:val="24"/>
                <w:szCs w:val="24"/>
              </w:rPr>
            </w:pPr>
            <w:r w:rsidRPr="00524662">
              <w:rPr>
                <w:rFonts w:ascii="Times New Roman" w:hAnsi="Times New Roman"/>
                <w:sz w:val="24"/>
                <w:szCs w:val="24"/>
              </w:rPr>
              <w:t>0,004</w:t>
            </w:r>
          </w:p>
        </w:tc>
      </w:tr>
      <w:tr w:rsidR="00F478EA" w:rsidRPr="00437528" w14:paraId="143D6D0F" w14:textId="77777777" w:rsidTr="00F478EA">
        <w:trPr>
          <w:jc w:val="center"/>
        </w:trPr>
        <w:tc>
          <w:tcPr>
            <w:tcW w:w="1834" w:type="pct"/>
            <w:hideMark/>
          </w:tcPr>
          <w:p w14:paraId="0267492F" w14:textId="77777777" w:rsidR="00F478EA" w:rsidRPr="009F65CA" w:rsidRDefault="00F478EA" w:rsidP="00F478EA">
            <w:pPr>
              <w:jc w:val="both"/>
              <w:rPr>
                <w:rFonts w:ascii="Times New Roman" w:hAnsi="Times New Roman" w:cs="Times New Roman"/>
                <w:sz w:val="24"/>
                <w:szCs w:val="24"/>
                <w:lang w:val="ru-RU"/>
              </w:rPr>
            </w:pPr>
            <w:r w:rsidRPr="009F65CA">
              <w:rPr>
                <w:rFonts w:ascii="Times New Roman" w:hAnsi="Times New Roman" w:cs="Times New Roman"/>
                <w:sz w:val="24"/>
                <w:szCs w:val="24"/>
                <w:lang w:val="ru-RU"/>
              </w:rPr>
              <w:t>Витамин Д (нг/мл) (</w:t>
            </w:r>
            <w:r w:rsidRPr="00437528">
              <w:rPr>
                <w:rFonts w:ascii="Times New Roman" w:hAnsi="Times New Roman" w:cs="Times New Roman"/>
                <w:sz w:val="24"/>
                <w:szCs w:val="24"/>
              </w:rPr>
              <w:t>Me</w:t>
            </w:r>
            <w:r w:rsidRPr="009F65CA">
              <w:rPr>
                <w:rFonts w:ascii="Times New Roman" w:hAnsi="Times New Roman" w:cs="Times New Roman"/>
                <w:sz w:val="24"/>
                <w:szCs w:val="24"/>
                <w:lang w:val="ru-RU"/>
              </w:rPr>
              <w:t>+</w:t>
            </w:r>
            <w:r w:rsidRPr="00437528">
              <w:rPr>
                <w:rFonts w:ascii="Times New Roman" w:hAnsi="Times New Roman" w:cs="Times New Roman"/>
                <w:sz w:val="24"/>
                <w:szCs w:val="24"/>
              </w:rPr>
              <w:t>Q</w:t>
            </w:r>
            <w:r w:rsidRPr="009F65CA">
              <w:rPr>
                <w:rFonts w:ascii="Times New Roman" w:hAnsi="Times New Roman" w:cs="Times New Roman"/>
                <w:sz w:val="24"/>
                <w:szCs w:val="24"/>
                <w:vertAlign w:val="subscript"/>
                <w:lang w:val="ru-RU"/>
              </w:rPr>
              <w:t>25-75</w:t>
            </w:r>
            <w:r w:rsidRPr="009F65CA">
              <w:rPr>
                <w:rFonts w:ascii="Times New Roman" w:hAnsi="Times New Roman" w:cs="Times New Roman"/>
                <w:sz w:val="24"/>
                <w:szCs w:val="24"/>
                <w:lang w:val="ru-RU"/>
              </w:rPr>
              <w:t xml:space="preserve">) </w:t>
            </w:r>
          </w:p>
          <w:p w14:paraId="4F6F3FA7" w14:textId="77777777" w:rsidR="00F478EA" w:rsidRPr="00437528" w:rsidRDefault="00F478EA" w:rsidP="00F478EA">
            <w:pPr>
              <w:jc w:val="both"/>
              <w:rPr>
                <w:rFonts w:ascii="Times New Roman" w:hAnsi="Times New Roman" w:cs="Times New Roman"/>
                <w:sz w:val="24"/>
                <w:szCs w:val="24"/>
              </w:rPr>
            </w:pPr>
            <w:r w:rsidRPr="00437528">
              <w:rPr>
                <w:rFonts w:ascii="Times New Roman" w:hAnsi="Times New Roman" w:cs="Times New Roman"/>
                <w:sz w:val="24"/>
                <w:szCs w:val="24"/>
              </w:rPr>
              <w:t>1 визит</w:t>
            </w:r>
          </w:p>
        </w:tc>
        <w:tc>
          <w:tcPr>
            <w:tcW w:w="1112" w:type="pct"/>
            <w:hideMark/>
          </w:tcPr>
          <w:p w14:paraId="79E9D09E" w14:textId="77777777" w:rsidR="00F478EA" w:rsidRPr="00437528" w:rsidRDefault="00F478EA" w:rsidP="00F478EA">
            <w:pPr>
              <w:jc w:val="both"/>
              <w:rPr>
                <w:rFonts w:ascii="Times New Roman" w:hAnsi="Times New Roman" w:cs="Times New Roman"/>
                <w:sz w:val="24"/>
                <w:szCs w:val="24"/>
              </w:rPr>
            </w:pPr>
            <w:r w:rsidRPr="00437528">
              <w:rPr>
                <w:rFonts w:ascii="Times New Roman" w:hAnsi="Times New Roman" w:cs="Times New Roman"/>
                <w:sz w:val="24"/>
                <w:szCs w:val="24"/>
              </w:rPr>
              <w:t>16,32 (13,21-24,33)</w:t>
            </w:r>
          </w:p>
        </w:tc>
        <w:tc>
          <w:tcPr>
            <w:tcW w:w="1069" w:type="pct"/>
            <w:hideMark/>
          </w:tcPr>
          <w:p w14:paraId="19F54446" w14:textId="77777777" w:rsidR="00F478EA" w:rsidRPr="00437528" w:rsidRDefault="00F478EA" w:rsidP="00F478EA">
            <w:pPr>
              <w:jc w:val="both"/>
              <w:rPr>
                <w:rFonts w:ascii="Times New Roman" w:hAnsi="Times New Roman" w:cs="Times New Roman"/>
                <w:sz w:val="24"/>
                <w:szCs w:val="24"/>
              </w:rPr>
            </w:pPr>
            <w:r w:rsidRPr="00437528">
              <w:rPr>
                <w:rFonts w:ascii="Times New Roman" w:hAnsi="Times New Roman" w:cs="Times New Roman"/>
                <w:sz w:val="24"/>
                <w:szCs w:val="24"/>
              </w:rPr>
              <w:t>15,65 (13,6-23,8)</w:t>
            </w:r>
          </w:p>
        </w:tc>
        <w:tc>
          <w:tcPr>
            <w:tcW w:w="985" w:type="pct"/>
          </w:tcPr>
          <w:p w14:paraId="7148E31B" w14:textId="10A0D091" w:rsidR="00F478EA" w:rsidRPr="00524662" w:rsidRDefault="00F478EA" w:rsidP="00F478EA">
            <w:pPr>
              <w:jc w:val="both"/>
              <w:rPr>
                <w:rFonts w:ascii="Times New Roman" w:hAnsi="Times New Roman" w:cs="Times New Roman"/>
                <w:sz w:val="24"/>
                <w:szCs w:val="24"/>
              </w:rPr>
            </w:pPr>
            <w:r w:rsidRPr="00524662">
              <w:rPr>
                <w:rFonts w:ascii="Times New Roman" w:hAnsi="Times New Roman"/>
                <w:sz w:val="24"/>
                <w:szCs w:val="24"/>
              </w:rPr>
              <w:t>0,977</w:t>
            </w:r>
          </w:p>
        </w:tc>
      </w:tr>
      <w:tr w:rsidR="00F478EA" w:rsidRPr="00437528" w14:paraId="46E2DC19" w14:textId="77777777" w:rsidTr="00F478EA">
        <w:trPr>
          <w:jc w:val="center"/>
        </w:trPr>
        <w:tc>
          <w:tcPr>
            <w:tcW w:w="1834" w:type="pct"/>
            <w:hideMark/>
          </w:tcPr>
          <w:p w14:paraId="138DA1CF" w14:textId="77777777" w:rsidR="00F478EA" w:rsidRPr="009F65CA" w:rsidRDefault="00F478EA" w:rsidP="00F478EA">
            <w:pPr>
              <w:jc w:val="both"/>
              <w:rPr>
                <w:rFonts w:ascii="Times New Roman" w:hAnsi="Times New Roman" w:cs="Times New Roman"/>
                <w:sz w:val="24"/>
                <w:szCs w:val="24"/>
                <w:lang w:val="ru-RU"/>
              </w:rPr>
            </w:pPr>
            <w:r w:rsidRPr="009F65CA">
              <w:rPr>
                <w:rFonts w:ascii="Times New Roman" w:hAnsi="Times New Roman" w:cs="Times New Roman"/>
                <w:sz w:val="24"/>
                <w:szCs w:val="24"/>
                <w:lang w:val="ru-RU"/>
              </w:rPr>
              <w:t>Витамин Д (нг/мл) (</w:t>
            </w:r>
            <w:r w:rsidRPr="00437528">
              <w:rPr>
                <w:rFonts w:ascii="Times New Roman" w:hAnsi="Times New Roman" w:cs="Times New Roman"/>
                <w:sz w:val="24"/>
                <w:szCs w:val="24"/>
              </w:rPr>
              <w:t>Me</w:t>
            </w:r>
            <w:r w:rsidRPr="009F65CA">
              <w:rPr>
                <w:rFonts w:ascii="Times New Roman" w:hAnsi="Times New Roman" w:cs="Times New Roman"/>
                <w:sz w:val="24"/>
                <w:szCs w:val="24"/>
                <w:lang w:val="ru-RU"/>
              </w:rPr>
              <w:t>+</w:t>
            </w:r>
            <w:r w:rsidRPr="00437528">
              <w:rPr>
                <w:rFonts w:ascii="Times New Roman" w:hAnsi="Times New Roman" w:cs="Times New Roman"/>
                <w:sz w:val="24"/>
                <w:szCs w:val="24"/>
              </w:rPr>
              <w:t>Q</w:t>
            </w:r>
            <w:r w:rsidRPr="009F65CA">
              <w:rPr>
                <w:rFonts w:ascii="Times New Roman" w:hAnsi="Times New Roman" w:cs="Times New Roman"/>
                <w:sz w:val="24"/>
                <w:szCs w:val="24"/>
                <w:vertAlign w:val="subscript"/>
                <w:lang w:val="ru-RU"/>
              </w:rPr>
              <w:t>25-75</w:t>
            </w:r>
            <w:r w:rsidRPr="009F65CA">
              <w:rPr>
                <w:rFonts w:ascii="Times New Roman" w:hAnsi="Times New Roman" w:cs="Times New Roman"/>
                <w:sz w:val="24"/>
                <w:szCs w:val="24"/>
                <w:lang w:val="ru-RU"/>
              </w:rPr>
              <w:t xml:space="preserve">) </w:t>
            </w:r>
          </w:p>
          <w:p w14:paraId="3B852F02" w14:textId="77777777" w:rsidR="00F478EA" w:rsidRPr="00437528" w:rsidRDefault="00F478EA" w:rsidP="00F478EA">
            <w:pPr>
              <w:jc w:val="both"/>
              <w:rPr>
                <w:rFonts w:ascii="Times New Roman" w:hAnsi="Times New Roman" w:cs="Times New Roman"/>
                <w:sz w:val="24"/>
                <w:szCs w:val="24"/>
              </w:rPr>
            </w:pPr>
            <w:r w:rsidRPr="00437528">
              <w:rPr>
                <w:rFonts w:ascii="Times New Roman" w:hAnsi="Times New Roman" w:cs="Times New Roman"/>
                <w:sz w:val="24"/>
                <w:szCs w:val="24"/>
              </w:rPr>
              <w:t>2 визит</w:t>
            </w:r>
          </w:p>
        </w:tc>
        <w:tc>
          <w:tcPr>
            <w:tcW w:w="1112" w:type="pct"/>
            <w:hideMark/>
          </w:tcPr>
          <w:p w14:paraId="7F692B07" w14:textId="77777777" w:rsidR="00F478EA" w:rsidRPr="00437528" w:rsidRDefault="00F478EA" w:rsidP="00F478EA">
            <w:pPr>
              <w:jc w:val="both"/>
              <w:rPr>
                <w:rFonts w:ascii="Times New Roman" w:hAnsi="Times New Roman" w:cs="Times New Roman"/>
                <w:sz w:val="24"/>
                <w:szCs w:val="24"/>
              </w:rPr>
            </w:pPr>
            <w:r w:rsidRPr="00437528">
              <w:rPr>
                <w:rFonts w:ascii="Times New Roman" w:hAnsi="Times New Roman" w:cs="Times New Roman"/>
                <w:sz w:val="24"/>
                <w:szCs w:val="24"/>
              </w:rPr>
              <w:t>37,6 (32,4-41,06)</w:t>
            </w:r>
          </w:p>
        </w:tc>
        <w:tc>
          <w:tcPr>
            <w:tcW w:w="1069" w:type="pct"/>
            <w:hideMark/>
          </w:tcPr>
          <w:p w14:paraId="00A49A71" w14:textId="77777777" w:rsidR="00F478EA" w:rsidRPr="00437528" w:rsidRDefault="00F478EA" w:rsidP="00F478EA">
            <w:pPr>
              <w:jc w:val="both"/>
              <w:rPr>
                <w:rFonts w:ascii="Times New Roman" w:hAnsi="Times New Roman" w:cs="Times New Roman"/>
                <w:sz w:val="24"/>
                <w:szCs w:val="24"/>
              </w:rPr>
            </w:pPr>
            <w:r w:rsidRPr="00437528">
              <w:rPr>
                <w:rFonts w:ascii="Times New Roman" w:hAnsi="Times New Roman" w:cs="Times New Roman"/>
                <w:sz w:val="24"/>
                <w:szCs w:val="24"/>
              </w:rPr>
              <w:t>13,4 (11,9-18)</w:t>
            </w:r>
          </w:p>
        </w:tc>
        <w:tc>
          <w:tcPr>
            <w:tcW w:w="985" w:type="pct"/>
          </w:tcPr>
          <w:p w14:paraId="45C58DEF" w14:textId="046E04F9" w:rsidR="00F478EA" w:rsidRPr="00524662" w:rsidRDefault="00F478EA" w:rsidP="00F478EA">
            <w:pPr>
              <w:jc w:val="both"/>
              <w:rPr>
                <w:rFonts w:ascii="Times New Roman" w:hAnsi="Times New Roman" w:cs="Times New Roman"/>
                <w:sz w:val="24"/>
                <w:szCs w:val="24"/>
              </w:rPr>
            </w:pPr>
            <w:r w:rsidRPr="00524662">
              <w:rPr>
                <w:rFonts w:ascii="Times New Roman" w:hAnsi="Times New Roman"/>
                <w:sz w:val="24"/>
                <w:szCs w:val="24"/>
              </w:rPr>
              <w:t>0,000000</w:t>
            </w:r>
          </w:p>
        </w:tc>
      </w:tr>
      <w:tr w:rsidR="00EF089A" w:rsidRPr="00437528" w14:paraId="6EA511FD" w14:textId="77777777" w:rsidTr="00F478EA">
        <w:trPr>
          <w:jc w:val="center"/>
        </w:trPr>
        <w:tc>
          <w:tcPr>
            <w:tcW w:w="1834" w:type="pct"/>
          </w:tcPr>
          <w:p w14:paraId="08227AF6" w14:textId="77777777" w:rsidR="00EF089A" w:rsidRPr="009F65CA" w:rsidRDefault="00EF089A" w:rsidP="00441716">
            <w:pPr>
              <w:jc w:val="both"/>
              <w:rPr>
                <w:rFonts w:ascii="Times New Roman" w:hAnsi="Times New Roman" w:cs="Times New Roman"/>
                <w:sz w:val="24"/>
                <w:szCs w:val="24"/>
                <w:lang w:val="ru-RU"/>
              </w:rPr>
            </w:pPr>
            <w:r w:rsidRPr="009F65CA">
              <w:rPr>
                <w:rFonts w:ascii="Times New Roman" w:hAnsi="Times New Roman" w:cs="Times New Roman"/>
                <w:sz w:val="24"/>
                <w:szCs w:val="24"/>
                <w:lang w:val="ru-RU"/>
              </w:rPr>
              <w:t>Динамика между визитами 1и 2</w:t>
            </w:r>
          </w:p>
          <w:p w14:paraId="2DD3D49C" w14:textId="77777777" w:rsidR="00EF089A" w:rsidRPr="009F65CA" w:rsidRDefault="00EF089A" w:rsidP="00441716">
            <w:pPr>
              <w:jc w:val="both"/>
              <w:rPr>
                <w:rFonts w:ascii="Times New Roman" w:hAnsi="Times New Roman" w:cs="Times New Roman"/>
                <w:sz w:val="24"/>
                <w:szCs w:val="24"/>
                <w:lang w:val="ru-RU"/>
              </w:rPr>
            </w:pPr>
            <w:r w:rsidRPr="00437528">
              <w:rPr>
                <w:rFonts w:ascii="Times New Roman" w:hAnsi="Times New Roman" w:cs="Times New Roman"/>
                <w:sz w:val="24"/>
                <w:szCs w:val="24"/>
              </w:rPr>
              <w:t>p</w:t>
            </w:r>
            <w:r w:rsidRPr="009F65CA">
              <w:rPr>
                <w:rFonts w:ascii="Times New Roman" w:hAnsi="Times New Roman" w:cs="Times New Roman"/>
                <w:sz w:val="24"/>
                <w:szCs w:val="24"/>
                <w:lang w:val="ru-RU"/>
              </w:rPr>
              <w:t>-</w:t>
            </w:r>
            <w:r w:rsidRPr="00437528">
              <w:rPr>
                <w:rFonts w:ascii="Times New Roman" w:hAnsi="Times New Roman" w:cs="Times New Roman"/>
                <w:sz w:val="24"/>
                <w:szCs w:val="24"/>
              </w:rPr>
              <w:t>value</w:t>
            </w:r>
            <w:r w:rsidRPr="009F65CA">
              <w:rPr>
                <w:rFonts w:ascii="Times New Roman" w:hAnsi="Times New Roman" w:cs="Times New Roman"/>
                <w:sz w:val="24"/>
                <w:szCs w:val="24"/>
                <w:lang w:val="ru-RU"/>
              </w:rPr>
              <w:t>*</w:t>
            </w:r>
          </w:p>
        </w:tc>
        <w:tc>
          <w:tcPr>
            <w:tcW w:w="1112" w:type="pct"/>
          </w:tcPr>
          <w:p w14:paraId="329022B7"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21,28</w:t>
            </w:r>
          </w:p>
          <w:p w14:paraId="5E90893D"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sym w:font="Symbol" w:char="F03C"/>
            </w:r>
            <w:r w:rsidRPr="00437528">
              <w:rPr>
                <w:rFonts w:ascii="Times New Roman" w:hAnsi="Times New Roman" w:cs="Times New Roman"/>
                <w:sz w:val="24"/>
                <w:szCs w:val="24"/>
              </w:rPr>
              <w:t>0,001</w:t>
            </w:r>
          </w:p>
        </w:tc>
        <w:tc>
          <w:tcPr>
            <w:tcW w:w="1069" w:type="pct"/>
          </w:tcPr>
          <w:p w14:paraId="69EDE34B"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-2,25</w:t>
            </w:r>
          </w:p>
          <w:p w14:paraId="663590EE"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sym w:font="Symbol" w:char="F03C"/>
            </w:r>
            <w:r w:rsidRPr="00437528">
              <w:rPr>
                <w:rFonts w:ascii="Times New Roman" w:hAnsi="Times New Roman" w:cs="Times New Roman"/>
                <w:sz w:val="24"/>
                <w:szCs w:val="24"/>
              </w:rPr>
              <w:t>0,001</w:t>
            </w:r>
          </w:p>
        </w:tc>
        <w:tc>
          <w:tcPr>
            <w:tcW w:w="985" w:type="pct"/>
          </w:tcPr>
          <w:p w14:paraId="3005EEC0" w14:textId="7FB7BD94" w:rsidR="00EF089A" w:rsidRPr="00437528" w:rsidRDefault="00DF7D3A" w:rsidP="00441716">
            <w:pPr>
              <w:jc w:val="both"/>
              <w:rPr>
                <w:rFonts w:ascii="Times New Roman" w:hAnsi="Times New Roman" w:cs="Times New Roman"/>
                <w:sz w:val="24"/>
                <w:szCs w:val="24"/>
              </w:rPr>
            </w:pPr>
            <w:r>
              <w:rPr>
                <w:rFonts w:ascii="Times New Roman" w:hAnsi="Times New Roman"/>
                <w:sz w:val="24"/>
                <w:szCs w:val="24"/>
              </w:rPr>
              <w:t>0,000</w:t>
            </w:r>
          </w:p>
        </w:tc>
      </w:tr>
      <w:tr w:rsidR="00EF089A" w:rsidRPr="00437528" w14:paraId="7F1FAA6F" w14:textId="77777777" w:rsidTr="00F478EA">
        <w:trPr>
          <w:jc w:val="center"/>
        </w:trPr>
        <w:tc>
          <w:tcPr>
            <w:tcW w:w="1834" w:type="pct"/>
          </w:tcPr>
          <w:p w14:paraId="4DB019BC" w14:textId="77777777" w:rsidR="00EF089A" w:rsidRPr="009F65CA" w:rsidRDefault="00EF089A" w:rsidP="00441716">
            <w:pPr>
              <w:jc w:val="both"/>
              <w:rPr>
                <w:rFonts w:ascii="Times New Roman" w:hAnsi="Times New Roman" w:cs="Times New Roman"/>
                <w:sz w:val="24"/>
                <w:szCs w:val="24"/>
                <w:lang w:val="ru-RU"/>
              </w:rPr>
            </w:pPr>
            <w:r w:rsidRPr="00437528">
              <w:rPr>
                <w:rFonts w:ascii="Times New Roman" w:eastAsia="Calibri" w:hAnsi="Times New Roman" w:cs="Times New Roman"/>
                <w:sz w:val="24"/>
                <w:szCs w:val="24"/>
              </w:rPr>
              <w:t>rPhlp</w:t>
            </w:r>
            <w:r w:rsidRPr="009F65CA">
              <w:rPr>
                <w:rFonts w:ascii="Times New Roman" w:eastAsia="Calibri" w:hAnsi="Times New Roman" w:cs="Times New Roman"/>
                <w:sz w:val="24"/>
                <w:szCs w:val="24"/>
                <w:lang w:val="ru-RU"/>
              </w:rPr>
              <w:t>1</w:t>
            </w:r>
            <w:r w:rsidRPr="009F65CA">
              <w:rPr>
                <w:rFonts w:ascii="Times New Roman" w:hAnsi="Times New Roman" w:cs="Times New Roman"/>
                <w:sz w:val="24"/>
                <w:szCs w:val="24"/>
                <w:lang w:val="ru-RU"/>
              </w:rPr>
              <w:t>(Ед/мл) (</w:t>
            </w:r>
            <w:r w:rsidRPr="00437528">
              <w:rPr>
                <w:rFonts w:ascii="Times New Roman" w:hAnsi="Times New Roman" w:cs="Times New Roman"/>
                <w:sz w:val="24"/>
                <w:szCs w:val="24"/>
              </w:rPr>
              <w:t>Me</w:t>
            </w:r>
            <w:r w:rsidRPr="009F65CA">
              <w:rPr>
                <w:rFonts w:ascii="Times New Roman" w:hAnsi="Times New Roman" w:cs="Times New Roman"/>
                <w:sz w:val="24"/>
                <w:szCs w:val="24"/>
                <w:lang w:val="ru-RU"/>
              </w:rPr>
              <w:t>+</w:t>
            </w:r>
            <w:r w:rsidRPr="00437528">
              <w:rPr>
                <w:rFonts w:ascii="Times New Roman" w:hAnsi="Times New Roman" w:cs="Times New Roman"/>
                <w:sz w:val="24"/>
                <w:szCs w:val="24"/>
              </w:rPr>
              <w:t>Q</w:t>
            </w:r>
            <w:r w:rsidRPr="009F65CA">
              <w:rPr>
                <w:rFonts w:ascii="Times New Roman" w:hAnsi="Times New Roman" w:cs="Times New Roman"/>
                <w:sz w:val="24"/>
                <w:szCs w:val="24"/>
                <w:vertAlign w:val="subscript"/>
                <w:lang w:val="ru-RU"/>
              </w:rPr>
              <w:t>25-75</w:t>
            </w:r>
            <w:r w:rsidRPr="009F65CA">
              <w:rPr>
                <w:rFonts w:ascii="Times New Roman" w:hAnsi="Times New Roman" w:cs="Times New Roman"/>
                <w:sz w:val="24"/>
                <w:szCs w:val="24"/>
                <w:lang w:val="ru-RU"/>
              </w:rPr>
              <w:t>) 1 визит</w:t>
            </w:r>
          </w:p>
        </w:tc>
        <w:tc>
          <w:tcPr>
            <w:tcW w:w="1112" w:type="pct"/>
          </w:tcPr>
          <w:p w14:paraId="77D820D4"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9,9 (1,2-17,7)</w:t>
            </w:r>
          </w:p>
        </w:tc>
        <w:tc>
          <w:tcPr>
            <w:tcW w:w="1069" w:type="pct"/>
          </w:tcPr>
          <w:p w14:paraId="3970558F"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6,7 (1,9-9,5)</w:t>
            </w:r>
          </w:p>
        </w:tc>
        <w:tc>
          <w:tcPr>
            <w:tcW w:w="985" w:type="pct"/>
          </w:tcPr>
          <w:p w14:paraId="258F2232" w14:textId="77777777" w:rsidR="00EF089A" w:rsidRPr="00437528" w:rsidRDefault="00EF089A" w:rsidP="00441716">
            <w:pPr>
              <w:jc w:val="both"/>
              <w:rPr>
                <w:rFonts w:ascii="Times New Roman" w:hAnsi="Times New Roman" w:cs="Times New Roman"/>
                <w:sz w:val="24"/>
                <w:szCs w:val="24"/>
              </w:rPr>
            </w:pPr>
          </w:p>
        </w:tc>
      </w:tr>
      <w:tr w:rsidR="00EF089A" w:rsidRPr="00437528" w14:paraId="7354D078" w14:textId="77777777" w:rsidTr="00F478EA">
        <w:trPr>
          <w:jc w:val="center"/>
        </w:trPr>
        <w:tc>
          <w:tcPr>
            <w:tcW w:w="1834" w:type="pct"/>
          </w:tcPr>
          <w:p w14:paraId="7CDA4F18" w14:textId="77777777" w:rsidR="00EF089A" w:rsidRPr="009F65CA" w:rsidRDefault="00EF089A" w:rsidP="00441716">
            <w:pPr>
              <w:jc w:val="both"/>
              <w:rPr>
                <w:rFonts w:ascii="Times New Roman" w:hAnsi="Times New Roman" w:cs="Times New Roman"/>
                <w:sz w:val="24"/>
                <w:szCs w:val="24"/>
                <w:lang w:val="ru-RU"/>
              </w:rPr>
            </w:pPr>
            <w:r w:rsidRPr="00437528">
              <w:rPr>
                <w:rFonts w:ascii="Times New Roman" w:eastAsia="Calibri" w:hAnsi="Times New Roman" w:cs="Times New Roman"/>
                <w:sz w:val="24"/>
                <w:szCs w:val="24"/>
              </w:rPr>
              <w:t>rPhlp</w:t>
            </w:r>
            <w:r w:rsidRPr="009F65CA">
              <w:rPr>
                <w:rFonts w:ascii="Times New Roman" w:eastAsia="Calibri" w:hAnsi="Times New Roman" w:cs="Times New Roman"/>
                <w:sz w:val="24"/>
                <w:szCs w:val="24"/>
                <w:lang w:val="ru-RU"/>
              </w:rPr>
              <w:t>1</w:t>
            </w:r>
            <w:r w:rsidRPr="009F65CA">
              <w:rPr>
                <w:rFonts w:ascii="Times New Roman" w:hAnsi="Times New Roman" w:cs="Times New Roman"/>
                <w:sz w:val="24"/>
                <w:szCs w:val="24"/>
                <w:lang w:val="ru-RU"/>
              </w:rPr>
              <w:t>(Ед/мл) (</w:t>
            </w:r>
            <w:r w:rsidRPr="00437528">
              <w:rPr>
                <w:rFonts w:ascii="Times New Roman" w:hAnsi="Times New Roman" w:cs="Times New Roman"/>
                <w:sz w:val="24"/>
                <w:szCs w:val="24"/>
              </w:rPr>
              <w:t>Me</w:t>
            </w:r>
            <w:r w:rsidRPr="009F65CA">
              <w:rPr>
                <w:rFonts w:ascii="Times New Roman" w:hAnsi="Times New Roman" w:cs="Times New Roman"/>
                <w:sz w:val="24"/>
                <w:szCs w:val="24"/>
                <w:lang w:val="ru-RU"/>
              </w:rPr>
              <w:t>+</w:t>
            </w:r>
            <w:r w:rsidRPr="00437528">
              <w:rPr>
                <w:rFonts w:ascii="Times New Roman" w:hAnsi="Times New Roman" w:cs="Times New Roman"/>
                <w:sz w:val="24"/>
                <w:szCs w:val="24"/>
              </w:rPr>
              <w:t>Q</w:t>
            </w:r>
            <w:r w:rsidRPr="009F65CA">
              <w:rPr>
                <w:rFonts w:ascii="Times New Roman" w:hAnsi="Times New Roman" w:cs="Times New Roman"/>
                <w:sz w:val="24"/>
                <w:szCs w:val="24"/>
                <w:vertAlign w:val="subscript"/>
                <w:lang w:val="ru-RU"/>
              </w:rPr>
              <w:t>25-75</w:t>
            </w:r>
            <w:r w:rsidRPr="009F65CA">
              <w:rPr>
                <w:rFonts w:ascii="Times New Roman" w:hAnsi="Times New Roman" w:cs="Times New Roman"/>
                <w:sz w:val="24"/>
                <w:szCs w:val="24"/>
                <w:lang w:val="ru-RU"/>
              </w:rPr>
              <w:t>) 2 визит</w:t>
            </w:r>
          </w:p>
        </w:tc>
        <w:tc>
          <w:tcPr>
            <w:tcW w:w="1112" w:type="pct"/>
          </w:tcPr>
          <w:p w14:paraId="5E1945C7"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5,3 (0,9-12,6)</w:t>
            </w:r>
          </w:p>
        </w:tc>
        <w:tc>
          <w:tcPr>
            <w:tcW w:w="1069" w:type="pct"/>
          </w:tcPr>
          <w:p w14:paraId="0A96B917"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5,4 (1,6-7,9)</w:t>
            </w:r>
          </w:p>
        </w:tc>
        <w:tc>
          <w:tcPr>
            <w:tcW w:w="985" w:type="pct"/>
          </w:tcPr>
          <w:p w14:paraId="53475A02" w14:textId="77777777" w:rsidR="00EF089A" w:rsidRPr="00437528" w:rsidRDefault="00EF089A" w:rsidP="00441716">
            <w:pPr>
              <w:jc w:val="both"/>
              <w:rPr>
                <w:rFonts w:ascii="Times New Roman" w:hAnsi="Times New Roman" w:cs="Times New Roman"/>
                <w:sz w:val="24"/>
                <w:szCs w:val="24"/>
              </w:rPr>
            </w:pPr>
          </w:p>
        </w:tc>
      </w:tr>
      <w:tr w:rsidR="00EF089A" w:rsidRPr="00437528" w14:paraId="7F544038" w14:textId="77777777" w:rsidTr="00F478EA">
        <w:trPr>
          <w:jc w:val="center"/>
        </w:trPr>
        <w:tc>
          <w:tcPr>
            <w:tcW w:w="1834" w:type="pct"/>
          </w:tcPr>
          <w:p w14:paraId="17CE9251" w14:textId="77777777" w:rsidR="00EF089A" w:rsidRPr="009F65CA" w:rsidRDefault="00EF089A" w:rsidP="00441716">
            <w:pPr>
              <w:jc w:val="both"/>
              <w:rPr>
                <w:rFonts w:ascii="Times New Roman" w:hAnsi="Times New Roman" w:cs="Times New Roman"/>
                <w:sz w:val="24"/>
                <w:szCs w:val="24"/>
                <w:lang w:val="ru-RU"/>
              </w:rPr>
            </w:pPr>
            <w:r w:rsidRPr="009F65CA">
              <w:rPr>
                <w:rFonts w:ascii="Times New Roman" w:hAnsi="Times New Roman" w:cs="Times New Roman"/>
                <w:sz w:val="24"/>
                <w:szCs w:val="24"/>
                <w:lang w:val="ru-RU"/>
              </w:rPr>
              <w:t>Динамика между визитами 1и 2</w:t>
            </w:r>
          </w:p>
          <w:p w14:paraId="6ACFF7AD" w14:textId="77777777" w:rsidR="00EF089A" w:rsidRPr="009F65CA" w:rsidRDefault="00EF089A" w:rsidP="00441716">
            <w:pPr>
              <w:jc w:val="both"/>
              <w:rPr>
                <w:rFonts w:ascii="Times New Roman" w:hAnsi="Times New Roman" w:cs="Times New Roman"/>
                <w:sz w:val="24"/>
                <w:szCs w:val="24"/>
                <w:lang w:val="ru-RU"/>
              </w:rPr>
            </w:pPr>
            <w:r w:rsidRPr="00437528">
              <w:rPr>
                <w:rFonts w:ascii="Times New Roman" w:hAnsi="Times New Roman" w:cs="Times New Roman"/>
                <w:sz w:val="24"/>
                <w:szCs w:val="24"/>
              </w:rPr>
              <w:t>p</w:t>
            </w:r>
            <w:r w:rsidRPr="009F65CA">
              <w:rPr>
                <w:rFonts w:ascii="Times New Roman" w:hAnsi="Times New Roman" w:cs="Times New Roman"/>
                <w:sz w:val="24"/>
                <w:szCs w:val="24"/>
                <w:lang w:val="ru-RU"/>
              </w:rPr>
              <w:t>-</w:t>
            </w:r>
            <w:r w:rsidRPr="00437528">
              <w:rPr>
                <w:rFonts w:ascii="Times New Roman" w:hAnsi="Times New Roman" w:cs="Times New Roman"/>
                <w:sz w:val="24"/>
                <w:szCs w:val="24"/>
              </w:rPr>
              <w:t>value</w:t>
            </w:r>
            <w:r w:rsidRPr="009F65CA">
              <w:rPr>
                <w:rFonts w:ascii="Times New Roman" w:hAnsi="Times New Roman" w:cs="Times New Roman"/>
                <w:sz w:val="24"/>
                <w:szCs w:val="24"/>
                <w:lang w:val="ru-RU"/>
              </w:rPr>
              <w:t>*</w:t>
            </w:r>
          </w:p>
        </w:tc>
        <w:tc>
          <w:tcPr>
            <w:tcW w:w="1112" w:type="pct"/>
          </w:tcPr>
          <w:p w14:paraId="475DA846"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eastAsia="Calibri" w:hAnsi="Times New Roman" w:cs="Times New Roman"/>
                <w:sz w:val="24"/>
                <w:szCs w:val="24"/>
              </w:rPr>
              <w:t>-3,9</w:t>
            </w:r>
          </w:p>
          <w:p w14:paraId="6F0D6C27"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hAnsi="Times New Roman" w:cs="Times New Roman"/>
                <w:sz w:val="24"/>
                <w:szCs w:val="24"/>
              </w:rPr>
              <w:sym w:font="Symbol" w:char="F03C"/>
            </w:r>
            <w:r w:rsidRPr="00437528">
              <w:rPr>
                <w:rFonts w:ascii="Times New Roman" w:hAnsi="Times New Roman" w:cs="Times New Roman"/>
                <w:sz w:val="24"/>
                <w:szCs w:val="24"/>
              </w:rPr>
              <w:t>0,001</w:t>
            </w:r>
          </w:p>
        </w:tc>
        <w:tc>
          <w:tcPr>
            <w:tcW w:w="1069" w:type="pct"/>
          </w:tcPr>
          <w:p w14:paraId="70FB157E"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eastAsia="Calibri" w:hAnsi="Times New Roman" w:cs="Times New Roman"/>
                <w:sz w:val="24"/>
                <w:szCs w:val="24"/>
              </w:rPr>
              <w:t>-1,2</w:t>
            </w:r>
          </w:p>
          <w:p w14:paraId="6B747064"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hAnsi="Times New Roman" w:cs="Times New Roman"/>
                <w:sz w:val="24"/>
                <w:szCs w:val="24"/>
              </w:rPr>
              <w:sym w:font="Symbol" w:char="F03C"/>
            </w:r>
            <w:r w:rsidRPr="00437528">
              <w:rPr>
                <w:rFonts w:ascii="Times New Roman" w:hAnsi="Times New Roman" w:cs="Times New Roman"/>
                <w:sz w:val="24"/>
                <w:szCs w:val="24"/>
              </w:rPr>
              <w:t>0,001</w:t>
            </w:r>
          </w:p>
        </w:tc>
        <w:tc>
          <w:tcPr>
            <w:tcW w:w="985" w:type="pct"/>
            <w:vAlign w:val="center"/>
          </w:tcPr>
          <w:p w14:paraId="6D08A2A3" w14:textId="77777777" w:rsidR="00EF089A" w:rsidRPr="00437528" w:rsidRDefault="00EF089A" w:rsidP="00441716">
            <w:pPr>
              <w:jc w:val="both"/>
              <w:rPr>
                <w:rFonts w:ascii="Times New Roman" w:hAnsi="Times New Roman" w:cs="Times New Roman"/>
                <w:sz w:val="24"/>
                <w:szCs w:val="24"/>
              </w:rPr>
            </w:pPr>
            <w:r w:rsidRPr="00437528">
              <w:rPr>
                <w:rFonts w:ascii="Times New Roman" w:eastAsia="Calibri" w:hAnsi="Times New Roman" w:cs="Times New Roman"/>
                <w:sz w:val="24"/>
                <w:szCs w:val="24"/>
              </w:rPr>
              <w:t>0,2</w:t>
            </w:r>
          </w:p>
        </w:tc>
      </w:tr>
      <w:tr w:rsidR="00EF089A" w:rsidRPr="00437528" w14:paraId="1AEAFD25" w14:textId="77777777" w:rsidTr="00F478EA">
        <w:trPr>
          <w:jc w:val="center"/>
        </w:trPr>
        <w:tc>
          <w:tcPr>
            <w:tcW w:w="1834" w:type="pct"/>
          </w:tcPr>
          <w:p w14:paraId="5E30B208" w14:textId="77777777" w:rsidR="00EF089A" w:rsidRPr="009F65CA" w:rsidRDefault="00EF089A" w:rsidP="00441716">
            <w:pPr>
              <w:jc w:val="both"/>
              <w:rPr>
                <w:rFonts w:ascii="Times New Roman" w:hAnsi="Times New Roman" w:cs="Times New Roman"/>
                <w:sz w:val="24"/>
                <w:szCs w:val="24"/>
                <w:lang w:val="ru-RU"/>
              </w:rPr>
            </w:pPr>
            <w:r w:rsidRPr="00437528">
              <w:rPr>
                <w:rFonts w:ascii="Times New Roman" w:eastAsia="Calibri" w:hAnsi="Times New Roman" w:cs="Times New Roman"/>
                <w:sz w:val="24"/>
                <w:szCs w:val="24"/>
              </w:rPr>
              <w:t>rPhlp</w:t>
            </w:r>
            <w:r w:rsidRPr="009F65CA">
              <w:rPr>
                <w:rFonts w:ascii="Times New Roman" w:eastAsia="Calibri" w:hAnsi="Times New Roman" w:cs="Times New Roman"/>
                <w:sz w:val="24"/>
                <w:szCs w:val="24"/>
                <w:lang w:val="ru-RU"/>
              </w:rPr>
              <w:t>5</w:t>
            </w:r>
            <w:r w:rsidRPr="009F65CA">
              <w:rPr>
                <w:rFonts w:ascii="Times New Roman" w:hAnsi="Times New Roman" w:cs="Times New Roman"/>
                <w:sz w:val="24"/>
                <w:szCs w:val="24"/>
                <w:lang w:val="ru-RU"/>
              </w:rPr>
              <w:t>(Ед/мл) (</w:t>
            </w:r>
            <w:r w:rsidRPr="00437528">
              <w:rPr>
                <w:rFonts w:ascii="Times New Roman" w:hAnsi="Times New Roman" w:cs="Times New Roman"/>
                <w:sz w:val="24"/>
                <w:szCs w:val="24"/>
              </w:rPr>
              <w:t>Me</w:t>
            </w:r>
            <w:r w:rsidRPr="009F65CA">
              <w:rPr>
                <w:rFonts w:ascii="Times New Roman" w:hAnsi="Times New Roman" w:cs="Times New Roman"/>
                <w:sz w:val="24"/>
                <w:szCs w:val="24"/>
                <w:lang w:val="ru-RU"/>
              </w:rPr>
              <w:t>+</w:t>
            </w:r>
            <w:r w:rsidRPr="00437528">
              <w:rPr>
                <w:rFonts w:ascii="Times New Roman" w:hAnsi="Times New Roman" w:cs="Times New Roman"/>
                <w:sz w:val="24"/>
                <w:szCs w:val="24"/>
              </w:rPr>
              <w:t>Q</w:t>
            </w:r>
            <w:r w:rsidRPr="009F65CA">
              <w:rPr>
                <w:rFonts w:ascii="Times New Roman" w:hAnsi="Times New Roman" w:cs="Times New Roman"/>
                <w:sz w:val="24"/>
                <w:szCs w:val="24"/>
                <w:vertAlign w:val="subscript"/>
                <w:lang w:val="ru-RU"/>
              </w:rPr>
              <w:t>25-75</w:t>
            </w:r>
            <w:r w:rsidRPr="009F65CA">
              <w:rPr>
                <w:rFonts w:ascii="Times New Roman" w:hAnsi="Times New Roman" w:cs="Times New Roman"/>
                <w:sz w:val="24"/>
                <w:szCs w:val="24"/>
                <w:lang w:val="ru-RU"/>
              </w:rPr>
              <w:t>) 1 визит</w:t>
            </w:r>
          </w:p>
        </w:tc>
        <w:tc>
          <w:tcPr>
            <w:tcW w:w="1112" w:type="pct"/>
          </w:tcPr>
          <w:p w14:paraId="0D2AC955"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14,7(2,02-15,5)</w:t>
            </w:r>
          </w:p>
        </w:tc>
        <w:tc>
          <w:tcPr>
            <w:tcW w:w="1069" w:type="pct"/>
          </w:tcPr>
          <w:p w14:paraId="3D7A6EFC"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10,2(6,6-12,5)</w:t>
            </w:r>
          </w:p>
          <w:p w14:paraId="1D00A0BA" w14:textId="77777777" w:rsidR="00EF089A" w:rsidRPr="00437528" w:rsidRDefault="00EF089A" w:rsidP="00441716">
            <w:pPr>
              <w:jc w:val="both"/>
              <w:rPr>
                <w:rFonts w:ascii="Times New Roman" w:hAnsi="Times New Roman" w:cs="Times New Roman"/>
                <w:sz w:val="24"/>
                <w:szCs w:val="24"/>
              </w:rPr>
            </w:pPr>
          </w:p>
        </w:tc>
        <w:tc>
          <w:tcPr>
            <w:tcW w:w="985" w:type="pct"/>
          </w:tcPr>
          <w:p w14:paraId="3C22B79E" w14:textId="77777777" w:rsidR="00EF089A" w:rsidRPr="00437528" w:rsidRDefault="00EF089A" w:rsidP="00441716">
            <w:pPr>
              <w:jc w:val="both"/>
              <w:rPr>
                <w:rFonts w:ascii="Times New Roman" w:hAnsi="Times New Roman" w:cs="Times New Roman"/>
                <w:sz w:val="24"/>
                <w:szCs w:val="24"/>
              </w:rPr>
            </w:pPr>
          </w:p>
        </w:tc>
      </w:tr>
      <w:tr w:rsidR="00EF089A" w:rsidRPr="00437528" w14:paraId="25DE0DD7" w14:textId="77777777" w:rsidTr="00F478EA">
        <w:trPr>
          <w:jc w:val="center"/>
        </w:trPr>
        <w:tc>
          <w:tcPr>
            <w:tcW w:w="1834" w:type="pct"/>
          </w:tcPr>
          <w:p w14:paraId="43FE38A0" w14:textId="77777777" w:rsidR="00EF089A" w:rsidRPr="009F65CA" w:rsidRDefault="00EF089A" w:rsidP="00441716">
            <w:pPr>
              <w:jc w:val="both"/>
              <w:rPr>
                <w:rFonts w:ascii="Times New Roman" w:hAnsi="Times New Roman" w:cs="Times New Roman"/>
                <w:sz w:val="24"/>
                <w:szCs w:val="24"/>
                <w:lang w:val="ru-RU"/>
              </w:rPr>
            </w:pPr>
            <w:r w:rsidRPr="00437528">
              <w:rPr>
                <w:rFonts w:ascii="Times New Roman" w:eastAsia="Calibri" w:hAnsi="Times New Roman" w:cs="Times New Roman"/>
                <w:sz w:val="24"/>
                <w:szCs w:val="24"/>
              </w:rPr>
              <w:t>rPhlp</w:t>
            </w:r>
            <w:r w:rsidRPr="009F65CA">
              <w:rPr>
                <w:rFonts w:ascii="Times New Roman" w:eastAsia="Calibri" w:hAnsi="Times New Roman" w:cs="Times New Roman"/>
                <w:sz w:val="24"/>
                <w:szCs w:val="24"/>
                <w:lang w:val="ru-RU"/>
              </w:rPr>
              <w:t>5</w:t>
            </w:r>
            <w:r w:rsidRPr="009F65CA">
              <w:rPr>
                <w:rFonts w:ascii="Times New Roman" w:hAnsi="Times New Roman" w:cs="Times New Roman"/>
                <w:sz w:val="24"/>
                <w:szCs w:val="24"/>
                <w:lang w:val="ru-RU"/>
              </w:rPr>
              <w:t>(Ед/мл) (</w:t>
            </w:r>
            <w:r w:rsidRPr="00437528">
              <w:rPr>
                <w:rFonts w:ascii="Times New Roman" w:hAnsi="Times New Roman" w:cs="Times New Roman"/>
                <w:sz w:val="24"/>
                <w:szCs w:val="24"/>
              </w:rPr>
              <w:t>Me</w:t>
            </w:r>
            <w:r w:rsidRPr="009F65CA">
              <w:rPr>
                <w:rFonts w:ascii="Times New Roman" w:hAnsi="Times New Roman" w:cs="Times New Roman"/>
                <w:sz w:val="24"/>
                <w:szCs w:val="24"/>
                <w:lang w:val="ru-RU"/>
              </w:rPr>
              <w:t>+</w:t>
            </w:r>
            <w:r w:rsidRPr="00437528">
              <w:rPr>
                <w:rFonts w:ascii="Times New Roman" w:hAnsi="Times New Roman" w:cs="Times New Roman"/>
                <w:sz w:val="24"/>
                <w:szCs w:val="24"/>
              </w:rPr>
              <w:t>Q</w:t>
            </w:r>
            <w:r w:rsidRPr="009F65CA">
              <w:rPr>
                <w:rFonts w:ascii="Times New Roman" w:hAnsi="Times New Roman" w:cs="Times New Roman"/>
                <w:sz w:val="24"/>
                <w:szCs w:val="24"/>
                <w:vertAlign w:val="subscript"/>
                <w:lang w:val="ru-RU"/>
              </w:rPr>
              <w:t>25-75</w:t>
            </w:r>
            <w:r w:rsidRPr="009F65CA">
              <w:rPr>
                <w:rFonts w:ascii="Times New Roman" w:hAnsi="Times New Roman" w:cs="Times New Roman"/>
                <w:sz w:val="24"/>
                <w:szCs w:val="24"/>
                <w:lang w:val="ru-RU"/>
              </w:rPr>
              <w:t>) 2 визит</w:t>
            </w:r>
          </w:p>
        </w:tc>
        <w:tc>
          <w:tcPr>
            <w:tcW w:w="1112" w:type="pct"/>
          </w:tcPr>
          <w:p w14:paraId="0ACF3735"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7,3(1-8,1)</w:t>
            </w:r>
          </w:p>
        </w:tc>
        <w:tc>
          <w:tcPr>
            <w:tcW w:w="1069" w:type="pct"/>
          </w:tcPr>
          <w:p w14:paraId="4A85A101"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8(5,1-9,5)</w:t>
            </w:r>
          </w:p>
        </w:tc>
        <w:tc>
          <w:tcPr>
            <w:tcW w:w="985" w:type="pct"/>
          </w:tcPr>
          <w:p w14:paraId="037E7869" w14:textId="77777777" w:rsidR="00EF089A" w:rsidRPr="00437528" w:rsidRDefault="00EF089A" w:rsidP="00441716">
            <w:pPr>
              <w:jc w:val="both"/>
              <w:rPr>
                <w:rFonts w:ascii="Times New Roman" w:hAnsi="Times New Roman" w:cs="Times New Roman"/>
                <w:sz w:val="24"/>
                <w:szCs w:val="24"/>
              </w:rPr>
            </w:pPr>
          </w:p>
        </w:tc>
      </w:tr>
      <w:tr w:rsidR="00EF089A" w:rsidRPr="00437528" w14:paraId="628138A3" w14:textId="77777777" w:rsidTr="00F478EA">
        <w:trPr>
          <w:jc w:val="center"/>
        </w:trPr>
        <w:tc>
          <w:tcPr>
            <w:tcW w:w="1834" w:type="pct"/>
          </w:tcPr>
          <w:p w14:paraId="52C5C5B3" w14:textId="77777777" w:rsidR="00EF089A" w:rsidRPr="009F65CA" w:rsidRDefault="00EF089A" w:rsidP="00441716">
            <w:pPr>
              <w:jc w:val="both"/>
              <w:rPr>
                <w:rFonts w:ascii="Times New Roman" w:hAnsi="Times New Roman" w:cs="Times New Roman"/>
                <w:sz w:val="24"/>
                <w:szCs w:val="24"/>
                <w:lang w:val="ru-RU"/>
              </w:rPr>
            </w:pPr>
            <w:r w:rsidRPr="009F65CA">
              <w:rPr>
                <w:rFonts w:ascii="Times New Roman" w:hAnsi="Times New Roman" w:cs="Times New Roman"/>
                <w:sz w:val="24"/>
                <w:szCs w:val="24"/>
                <w:lang w:val="ru-RU"/>
              </w:rPr>
              <w:t>Динамика между визитами 1и 2</w:t>
            </w:r>
          </w:p>
          <w:p w14:paraId="083E40A4" w14:textId="77777777" w:rsidR="00EF089A" w:rsidRPr="009F65CA" w:rsidRDefault="00EF089A" w:rsidP="00441716">
            <w:pPr>
              <w:jc w:val="both"/>
              <w:rPr>
                <w:rFonts w:ascii="Times New Roman" w:hAnsi="Times New Roman" w:cs="Times New Roman"/>
                <w:sz w:val="24"/>
                <w:szCs w:val="24"/>
                <w:lang w:val="ru-RU"/>
              </w:rPr>
            </w:pPr>
            <w:r w:rsidRPr="00437528">
              <w:rPr>
                <w:rFonts w:ascii="Times New Roman" w:hAnsi="Times New Roman" w:cs="Times New Roman"/>
                <w:sz w:val="24"/>
                <w:szCs w:val="24"/>
              </w:rPr>
              <w:t>p</w:t>
            </w:r>
            <w:r w:rsidRPr="009F65CA">
              <w:rPr>
                <w:rFonts w:ascii="Times New Roman" w:hAnsi="Times New Roman" w:cs="Times New Roman"/>
                <w:sz w:val="24"/>
                <w:szCs w:val="24"/>
                <w:lang w:val="ru-RU"/>
              </w:rPr>
              <w:t>-</w:t>
            </w:r>
            <w:r w:rsidRPr="00437528">
              <w:rPr>
                <w:rFonts w:ascii="Times New Roman" w:hAnsi="Times New Roman" w:cs="Times New Roman"/>
                <w:sz w:val="24"/>
                <w:szCs w:val="24"/>
              </w:rPr>
              <w:t>value</w:t>
            </w:r>
            <w:r w:rsidRPr="009F65CA">
              <w:rPr>
                <w:rFonts w:ascii="Times New Roman" w:hAnsi="Times New Roman" w:cs="Times New Roman"/>
                <w:sz w:val="24"/>
                <w:szCs w:val="24"/>
                <w:lang w:val="ru-RU"/>
              </w:rPr>
              <w:t>*</w:t>
            </w:r>
          </w:p>
        </w:tc>
        <w:tc>
          <w:tcPr>
            <w:tcW w:w="1112" w:type="pct"/>
          </w:tcPr>
          <w:p w14:paraId="57429A89"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eastAsia="Calibri" w:hAnsi="Times New Roman" w:cs="Times New Roman"/>
                <w:sz w:val="24"/>
                <w:szCs w:val="24"/>
              </w:rPr>
              <w:t>-7,4</w:t>
            </w:r>
          </w:p>
          <w:p w14:paraId="312F5422"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eastAsia="Calibri" w:hAnsi="Times New Roman" w:cs="Times New Roman"/>
                <w:sz w:val="24"/>
                <w:szCs w:val="24"/>
              </w:rPr>
              <w:t>0,04</w:t>
            </w:r>
          </w:p>
        </w:tc>
        <w:tc>
          <w:tcPr>
            <w:tcW w:w="1069" w:type="pct"/>
          </w:tcPr>
          <w:p w14:paraId="7FBB786F"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eastAsia="Calibri" w:hAnsi="Times New Roman" w:cs="Times New Roman"/>
                <w:sz w:val="24"/>
                <w:szCs w:val="24"/>
              </w:rPr>
              <w:t>-2,2</w:t>
            </w:r>
          </w:p>
          <w:p w14:paraId="56084398"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eastAsia="Calibri" w:hAnsi="Times New Roman" w:cs="Times New Roman"/>
                <w:sz w:val="24"/>
                <w:szCs w:val="24"/>
              </w:rPr>
              <w:t>0,06</w:t>
            </w:r>
          </w:p>
        </w:tc>
        <w:tc>
          <w:tcPr>
            <w:tcW w:w="985" w:type="pct"/>
            <w:vAlign w:val="center"/>
          </w:tcPr>
          <w:p w14:paraId="1615EF12" w14:textId="77777777" w:rsidR="00EF089A" w:rsidRPr="00437528" w:rsidRDefault="00EF089A" w:rsidP="00441716">
            <w:pPr>
              <w:jc w:val="both"/>
              <w:rPr>
                <w:rFonts w:ascii="Times New Roman" w:hAnsi="Times New Roman" w:cs="Times New Roman"/>
                <w:sz w:val="24"/>
                <w:szCs w:val="24"/>
              </w:rPr>
            </w:pPr>
            <w:r w:rsidRPr="00437528">
              <w:rPr>
                <w:rFonts w:ascii="Times New Roman" w:eastAsia="Calibri" w:hAnsi="Times New Roman" w:cs="Times New Roman"/>
                <w:sz w:val="24"/>
                <w:szCs w:val="24"/>
              </w:rPr>
              <w:t>0,8</w:t>
            </w:r>
          </w:p>
        </w:tc>
      </w:tr>
      <w:tr w:rsidR="00EF089A" w:rsidRPr="00437528" w14:paraId="7DD695FC" w14:textId="77777777" w:rsidTr="00F478EA">
        <w:trPr>
          <w:jc w:val="center"/>
        </w:trPr>
        <w:tc>
          <w:tcPr>
            <w:tcW w:w="1834" w:type="pct"/>
          </w:tcPr>
          <w:p w14:paraId="1266C0C6" w14:textId="77777777" w:rsidR="00EF089A" w:rsidRPr="00437528" w:rsidRDefault="00EF089A" w:rsidP="00441716">
            <w:pPr>
              <w:jc w:val="both"/>
              <w:rPr>
                <w:rFonts w:ascii="Times New Roman" w:hAnsi="Times New Roman" w:cs="Times New Roman"/>
                <w:sz w:val="24"/>
                <w:szCs w:val="24"/>
              </w:rPr>
            </w:pPr>
            <w:r w:rsidRPr="00437528">
              <w:rPr>
                <w:rFonts w:ascii="Times New Roman" w:eastAsia="Calibri" w:hAnsi="Times New Roman" w:cs="Times New Roman"/>
                <w:sz w:val="24"/>
                <w:szCs w:val="24"/>
              </w:rPr>
              <w:t>rBet v1</w:t>
            </w:r>
            <w:r w:rsidRPr="00437528">
              <w:rPr>
                <w:rFonts w:ascii="Times New Roman" w:hAnsi="Times New Roman" w:cs="Times New Roman"/>
                <w:sz w:val="24"/>
                <w:szCs w:val="24"/>
              </w:rPr>
              <w:t>(Ед/мл) (Me+Q</w:t>
            </w:r>
            <w:r w:rsidRPr="00437528">
              <w:rPr>
                <w:rFonts w:ascii="Times New Roman" w:hAnsi="Times New Roman" w:cs="Times New Roman"/>
                <w:sz w:val="24"/>
                <w:szCs w:val="24"/>
                <w:vertAlign w:val="subscript"/>
              </w:rPr>
              <w:t>25-75</w:t>
            </w:r>
            <w:r w:rsidRPr="00437528">
              <w:rPr>
                <w:rFonts w:ascii="Times New Roman" w:hAnsi="Times New Roman" w:cs="Times New Roman"/>
                <w:sz w:val="24"/>
                <w:szCs w:val="24"/>
              </w:rPr>
              <w:t>) 1 визит</w:t>
            </w:r>
          </w:p>
        </w:tc>
        <w:tc>
          <w:tcPr>
            <w:tcW w:w="1112" w:type="pct"/>
          </w:tcPr>
          <w:p w14:paraId="0AFE3391"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5,06(4,92-32,84)</w:t>
            </w:r>
          </w:p>
          <w:p w14:paraId="550CE7AA" w14:textId="77777777" w:rsidR="00EF089A" w:rsidRPr="00437528" w:rsidRDefault="00EF089A" w:rsidP="00441716">
            <w:pPr>
              <w:jc w:val="both"/>
              <w:rPr>
                <w:rFonts w:ascii="Times New Roman" w:hAnsi="Times New Roman" w:cs="Times New Roman"/>
                <w:sz w:val="24"/>
                <w:szCs w:val="24"/>
              </w:rPr>
            </w:pPr>
          </w:p>
        </w:tc>
        <w:tc>
          <w:tcPr>
            <w:tcW w:w="1069" w:type="pct"/>
          </w:tcPr>
          <w:p w14:paraId="6B20421E"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3,68 (1,38-5,06)</w:t>
            </w:r>
          </w:p>
          <w:p w14:paraId="4F955F2D" w14:textId="77777777" w:rsidR="00EF089A" w:rsidRPr="00437528" w:rsidRDefault="00EF089A" w:rsidP="00441716">
            <w:pPr>
              <w:jc w:val="both"/>
              <w:rPr>
                <w:rFonts w:ascii="Times New Roman" w:hAnsi="Times New Roman" w:cs="Times New Roman"/>
                <w:sz w:val="24"/>
                <w:szCs w:val="24"/>
              </w:rPr>
            </w:pPr>
          </w:p>
        </w:tc>
        <w:tc>
          <w:tcPr>
            <w:tcW w:w="985" w:type="pct"/>
          </w:tcPr>
          <w:p w14:paraId="307118F1" w14:textId="77777777" w:rsidR="00EF089A" w:rsidRPr="00437528" w:rsidRDefault="00EF089A" w:rsidP="00441716">
            <w:pPr>
              <w:jc w:val="both"/>
              <w:rPr>
                <w:rFonts w:ascii="Times New Roman" w:hAnsi="Times New Roman" w:cs="Times New Roman"/>
                <w:sz w:val="24"/>
                <w:szCs w:val="24"/>
              </w:rPr>
            </w:pPr>
          </w:p>
        </w:tc>
      </w:tr>
      <w:tr w:rsidR="00EF089A" w:rsidRPr="00437528" w14:paraId="43C93B3E" w14:textId="77777777" w:rsidTr="00F478EA">
        <w:trPr>
          <w:jc w:val="center"/>
        </w:trPr>
        <w:tc>
          <w:tcPr>
            <w:tcW w:w="1834" w:type="pct"/>
          </w:tcPr>
          <w:p w14:paraId="2C44ECD8" w14:textId="77777777" w:rsidR="00EF089A" w:rsidRPr="00437528" w:rsidRDefault="00EF089A" w:rsidP="00441716">
            <w:pPr>
              <w:jc w:val="both"/>
              <w:rPr>
                <w:rFonts w:ascii="Times New Roman" w:hAnsi="Times New Roman" w:cs="Times New Roman"/>
                <w:sz w:val="24"/>
                <w:szCs w:val="24"/>
              </w:rPr>
            </w:pPr>
            <w:r w:rsidRPr="00437528">
              <w:rPr>
                <w:rFonts w:ascii="Times New Roman" w:eastAsia="Calibri" w:hAnsi="Times New Roman" w:cs="Times New Roman"/>
                <w:sz w:val="24"/>
                <w:szCs w:val="24"/>
              </w:rPr>
              <w:t>rBet v1</w:t>
            </w:r>
            <w:r w:rsidRPr="00437528">
              <w:rPr>
                <w:rFonts w:ascii="Times New Roman" w:hAnsi="Times New Roman" w:cs="Times New Roman"/>
                <w:sz w:val="24"/>
                <w:szCs w:val="24"/>
              </w:rPr>
              <w:t>(Ед/мл) (Me+Q</w:t>
            </w:r>
            <w:r w:rsidRPr="00437528">
              <w:rPr>
                <w:rFonts w:ascii="Times New Roman" w:hAnsi="Times New Roman" w:cs="Times New Roman"/>
                <w:sz w:val="24"/>
                <w:szCs w:val="24"/>
                <w:vertAlign w:val="subscript"/>
              </w:rPr>
              <w:t>25-75</w:t>
            </w:r>
            <w:r w:rsidRPr="00437528">
              <w:rPr>
                <w:rFonts w:ascii="Times New Roman" w:hAnsi="Times New Roman" w:cs="Times New Roman"/>
                <w:sz w:val="24"/>
                <w:szCs w:val="24"/>
              </w:rPr>
              <w:t>) 2 визит</w:t>
            </w:r>
          </w:p>
        </w:tc>
        <w:tc>
          <w:tcPr>
            <w:tcW w:w="1112" w:type="pct"/>
          </w:tcPr>
          <w:p w14:paraId="6B3EDD87"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2,16(2,03-19,31)</w:t>
            </w:r>
          </w:p>
        </w:tc>
        <w:tc>
          <w:tcPr>
            <w:tcW w:w="1069" w:type="pct"/>
          </w:tcPr>
          <w:p w14:paraId="65C573AF"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2,96 (1,02-4,36)</w:t>
            </w:r>
          </w:p>
        </w:tc>
        <w:tc>
          <w:tcPr>
            <w:tcW w:w="985" w:type="pct"/>
          </w:tcPr>
          <w:p w14:paraId="62F3F34A" w14:textId="77777777" w:rsidR="00EF089A" w:rsidRPr="00437528" w:rsidRDefault="00EF089A" w:rsidP="00441716">
            <w:pPr>
              <w:jc w:val="both"/>
              <w:rPr>
                <w:rFonts w:ascii="Times New Roman" w:hAnsi="Times New Roman" w:cs="Times New Roman"/>
                <w:sz w:val="24"/>
                <w:szCs w:val="24"/>
              </w:rPr>
            </w:pPr>
          </w:p>
        </w:tc>
      </w:tr>
      <w:tr w:rsidR="00EF089A" w:rsidRPr="00437528" w14:paraId="15FA1846" w14:textId="77777777" w:rsidTr="00F478EA">
        <w:trPr>
          <w:jc w:val="center"/>
        </w:trPr>
        <w:tc>
          <w:tcPr>
            <w:tcW w:w="1834" w:type="pct"/>
          </w:tcPr>
          <w:p w14:paraId="19F29FCE" w14:textId="77777777" w:rsidR="00EF089A" w:rsidRPr="009F65CA" w:rsidRDefault="00EF089A" w:rsidP="00441716">
            <w:pPr>
              <w:jc w:val="both"/>
              <w:rPr>
                <w:rFonts w:ascii="Times New Roman" w:hAnsi="Times New Roman" w:cs="Times New Roman"/>
                <w:sz w:val="24"/>
                <w:szCs w:val="24"/>
                <w:lang w:val="ru-RU"/>
              </w:rPr>
            </w:pPr>
            <w:r w:rsidRPr="009F65CA">
              <w:rPr>
                <w:rFonts w:ascii="Times New Roman" w:hAnsi="Times New Roman" w:cs="Times New Roman"/>
                <w:sz w:val="24"/>
                <w:szCs w:val="24"/>
                <w:lang w:val="ru-RU"/>
              </w:rPr>
              <w:t>Динамика между визитами 1и 2</w:t>
            </w:r>
          </w:p>
          <w:p w14:paraId="0BE952FE" w14:textId="77777777" w:rsidR="00EF089A" w:rsidRPr="009F65CA" w:rsidRDefault="00EF089A" w:rsidP="00441716">
            <w:pPr>
              <w:jc w:val="both"/>
              <w:rPr>
                <w:rFonts w:ascii="Times New Roman" w:hAnsi="Times New Roman" w:cs="Times New Roman"/>
                <w:sz w:val="24"/>
                <w:szCs w:val="24"/>
                <w:lang w:val="ru-RU"/>
              </w:rPr>
            </w:pPr>
            <w:r w:rsidRPr="00437528">
              <w:rPr>
                <w:rFonts w:ascii="Times New Roman" w:hAnsi="Times New Roman" w:cs="Times New Roman"/>
                <w:sz w:val="24"/>
                <w:szCs w:val="24"/>
              </w:rPr>
              <w:t>p</w:t>
            </w:r>
            <w:r w:rsidRPr="009F65CA">
              <w:rPr>
                <w:rFonts w:ascii="Times New Roman" w:hAnsi="Times New Roman" w:cs="Times New Roman"/>
                <w:sz w:val="24"/>
                <w:szCs w:val="24"/>
                <w:lang w:val="ru-RU"/>
              </w:rPr>
              <w:t>-</w:t>
            </w:r>
            <w:r w:rsidRPr="00437528">
              <w:rPr>
                <w:rFonts w:ascii="Times New Roman" w:hAnsi="Times New Roman" w:cs="Times New Roman"/>
                <w:sz w:val="24"/>
                <w:szCs w:val="24"/>
              </w:rPr>
              <w:t>value</w:t>
            </w:r>
            <w:r w:rsidRPr="009F65CA">
              <w:rPr>
                <w:rFonts w:ascii="Times New Roman" w:hAnsi="Times New Roman" w:cs="Times New Roman"/>
                <w:sz w:val="24"/>
                <w:szCs w:val="24"/>
                <w:lang w:val="ru-RU"/>
              </w:rPr>
              <w:t>*</w:t>
            </w:r>
          </w:p>
        </w:tc>
        <w:tc>
          <w:tcPr>
            <w:tcW w:w="1112" w:type="pct"/>
          </w:tcPr>
          <w:p w14:paraId="112193BF"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eastAsia="Calibri" w:hAnsi="Times New Roman" w:cs="Times New Roman"/>
                <w:sz w:val="24"/>
                <w:szCs w:val="24"/>
              </w:rPr>
              <w:t>-2,9</w:t>
            </w:r>
          </w:p>
          <w:p w14:paraId="502DC613"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eastAsia="Calibri" w:hAnsi="Times New Roman" w:cs="Times New Roman"/>
                <w:sz w:val="24"/>
                <w:szCs w:val="24"/>
              </w:rPr>
              <w:t>0,04</w:t>
            </w:r>
          </w:p>
        </w:tc>
        <w:tc>
          <w:tcPr>
            <w:tcW w:w="1069" w:type="pct"/>
          </w:tcPr>
          <w:p w14:paraId="0714AFE1"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eastAsia="Calibri" w:hAnsi="Times New Roman" w:cs="Times New Roman"/>
                <w:sz w:val="24"/>
                <w:szCs w:val="24"/>
              </w:rPr>
              <w:t>-0,72</w:t>
            </w:r>
          </w:p>
          <w:p w14:paraId="3FAC1092"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eastAsia="Calibri" w:hAnsi="Times New Roman" w:cs="Times New Roman"/>
                <w:sz w:val="24"/>
                <w:szCs w:val="24"/>
              </w:rPr>
              <w:t>0,01</w:t>
            </w:r>
          </w:p>
        </w:tc>
        <w:tc>
          <w:tcPr>
            <w:tcW w:w="985" w:type="pct"/>
            <w:vAlign w:val="center"/>
          </w:tcPr>
          <w:p w14:paraId="470495F8" w14:textId="77777777" w:rsidR="00EF089A" w:rsidRPr="00437528" w:rsidRDefault="00EF089A" w:rsidP="00441716">
            <w:pPr>
              <w:jc w:val="both"/>
              <w:rPr>
                <w:rFonts w:ascii="Times New Roman" w:hAnsi="Times New Roman" w:cs="Times New Roman"/>
                <w:sz w:val="24"/>
                <w:szCs w:val="24"/>
              </w:rPr>
            </w:pPr>
            <w:r w:rsidRPr="00437528">
              <w:rPr>
                <w:rFonts w:ascii="Times New Roman" w:eastAsia="Calibri" w:hAnsi="Times New Roman" w:cs="Times New Roman"/>
                <w:sz w:val="24"/>
                <w:szCs w:val="24"/>
              </w:rPr>
              <w:t>0,06</w:t>
            </w:r>
          </w:p>
        </w:tc>
      </w:tr>
      <w:tr w:rsidR="00EF089A" w:rsidRPr="00437528" w14:paraId="0A01CE03" w14:textId="77777777" w:rsidTr="00F478EA">
        <w:trPr>
          <w:jc w:val="center"/>
        </w:trPr>
        <w:tc>
          <w:tcPr>
            <w:tcW w:w="1834" w:type="pct"/>
          </w:tcPr>
          <w:p w14:paraId="3681EC5A" w14:textId="77777777" w:rsidR="00EF089A" w:rsidRPr="00437528" w:rsidRDefault="00EF089A" w:rsidP="00441716">
            <w:pPr>
              <w:jc w:val="both"/>
              <w:rPr>
                <w:rFonts w:ascii="Times New Roman" w:hAnsi="Times New Roman" w:cs="Times New Roman"/>
                <w:sz w:val="24"/>
                <w:szCs w:val="24"/>
              </w:rPr>
            </w:pPr>
            <w:r w:rsidRPr="00437528">
              <w:rPr>
                <w:rFonts w:ascii="Times New Roman" w:eastAsia="Calibri" w:hAnsi="Times New Roman" w:cs="Times New Roman"/>
                <w:sz w:val="24"/>
                <w:szCs w:val="24"/>
              </w:rPr>
              <w:t>nArt v1</w:t>
            </w:r>
            <w:r w:rsidRPr="00437528">
              <w:rPr>
                <w:rFonts w:ascii="Times New Roman" w:hAnsi="Times New Roman" w:cs="Times New Roman"/>
                <w:sz w:val="24"/>
                <w:szCs w:val="24"/>
              </w:rPr>
              <w:t>(Ед/мл) (Me+Q</w:t>
            </w:r>
            <w:r w:rsidRPr="00437528">
              <w:rPr>
                <w:rFonts w:ascii="Times New Roman" w:hAnsi="Times New Roman" w:cs="Times New Roman"/>
                <w:sz w:val="24"/>
                <w:szCs w:val="24"/>
                <w:vertAlign w:val="subscript"/>
              </w:rPr>
              <w:t>25-75</w:t>
            </w:r>
            <w:r w:rsidRPr="00437528">
              <w:rPr>
                <w:rFonts w:ascii="Times New Roman" w:hAnsi="Times New Roman" w:cs="Times New Roman"/>
                <w:sz w:val="24"/>
                <w:szCs w:val="24"/>
              </w:rPr>
              <w:t>) 1 визит</w:t>
            </w:r>
          </w:p>
        </w:tc>
        <w:tc>
          <w:tcPr>
            <w:tcW w:w="1112" w:type="pct"/>
          </w:tcPr>
          <w:p w14:paraId="31551801"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4,47 (2,04-10,26)</w:t>
            </w:r>
          </w:p>
          <w:p w14:paraId="2886BA01" w14:textId="77777777" w:rsidR="00EF089A" w:rsidRPr="00437528" w:rsidRDefault="00EF089A" w:rsidP="00441716">
            <w:pPr>
              <w:jc w:val="both"/>
              <w:rPr>
                <w:rFonts w:ascii="Times New Roman" w:hAnsi="Times New Roman" w:cs="Times New Roman"/>
                <w:sz w:val="24"/>
                <w:szCs w:val="24"/>
              </w:rPr>
            </w:pPr>
          </w:p>
        </w:tc>
        <w:tc>
          <w:tcPr>
            <w:tcW w:w="1069" w:type="pct"/>
          </w:tcPr>
          <w:p w14:paraId="539A7175"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9,45 (0,68-16,13)</w:t>
            </w:r>
          </w:p>
          <w:p w14:paraId="66FF7F13" w14:textId="77777777" w:rsidR="00EF089A" w:rsidRPr="00437528" w:rsidRDefault="00EF089A" w:rsidP="00441716">
            <w:pPr>
              <w:jc w:val="both"/>
              <w:rPr>
                <w:rFonts w:ascii="Times New Roman" w:hAnsi="Times New Roman" w:cs="Times New Roman"/>
                <w:sz w:val="24"/>
                <w:szCs w:val="24"/>
              </w:rPr>
            </w:pPr>
          </w:p>
        </w:tc>
        <w:tc>
          <w:tcPr>
            <w:tcW w:w="985" w:type="pct"/>
          </w:tcPr>
          <w:p w14:paraId="72BAF97B" w14:textId="77777777" w:rsidR="00EF089A" w:rsidRPr="00437528" w:rsidRDefault="00EF089A" w:rsidP="00441716">
            <w:pPr>
              <w:jc w:val="both"/>
              <w:rPr>
                <w:rFonts w:ascii="Times New Roman" w:hAnsi="Times New Roman" w:cs="Times New Roman"/>
                <w:sz w:val="24"/>
                <w:szCs w:val="24"/>
              </w:rPr>
            </w:pPr>
          </w:p>
        </w:tc>
      </w:tr>
      <w:tr w:rsidR="00EF089A" w:rsidRPr="00437528" w14:paraId="012FA125" w14:textId="77777777" w:rsidTr="00F478EA">
        <w:trPr>
          <w:jc w:val="center"/>
        </w:trPr>
        <w:tc>
          <w:tcPr>
            <w:tcW w:w="1834" w:type="pct"/>
          </w:tcPr>
          <w:p w14:paraId="0248F2FB" w14:textId="77777777" w:rsidR="00EF089A" w:rsidRPr="00437528" w:rsidRDefault="00EF089A" w:rsidP="00441716">
            <w:pPr>
              <w:jc w:val="both"/>
              <w:rPr>
                <w:rFonts w:ascii="Times New Roman" w:hAnsi="Times New Roman" w:cs="Times New Roman"/>
                <w:sz w:val="24"/>
                <w:szCs w:val="24"/>
              </w:rPr>
            </w:pPr>
            <w:r w:rsidRPr="00437528">
              <w:rPr>
                <w:rFonts w:ascii="Times New Roman" w:eastAsia="Calibri" w:hAnsi="Times New Roman" w:cs="Times New Roman"/>
                <w:sz w:val="24"/>
                <w:szCs w:val="24"/>
              </w:rPr>
              <w:t>nArt v1</w:t>
            </w:r>
            <w:r w:rsidRPr="00437528">
              <w:rPr>
                <w:rFonts w:ascii="Times New Roman" w:hAnsi="Times New Roman" w:cs="Times New Roman"/>
                <w:sz w:val="24"/>
                <w:szCs w:val="24"/>
              </w:rPr>
              <w:t>(Ед/мл) (Me+Q</w:t>
            </w:r>
            <w:r w:rsidRPr="00437528">
              <w:rPr>
                <w:rFonts w:ascii="Times New Roman" w:hAnsi="Times New Roman" w:cs="Times New Roman"/>
                <w:sz w:val="24"/>
                <w:szCs w:val="24"/>
                <w:vertAlign w:val="subscript"/>
              </w:rPr>
              <w:t>25-75</w:t>
            </w:r>
            <w:r w:rsidRPr="00437528">
              <w:rPr>
                <w:rFonts w:ascii="Times New Roman" w:hAnsi="Times New Roman" w:cs="Times New Roman"/>
                <w:sz w:val="24"/>
                <w:szCs w:val="24"/>
              </w:rPr>
              <w:t>) 2 визит</w:t>
            </w:r>
          </w:p>
        </w:tc>
        <w:tc>
          <w:tcPr>
            <w:tcW w:w="1112" w:type="pct"/>
          </w:tcPr>
          <w:p w14:paraId="439E28E7"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2,03 (1,03-6,34)</w:t>
            </w:r>
          </w:p>
        </w:tc>
        <w:tc>
          <w:tcPr>
            <w:tcW w:w="1069" w:type="pct"/>
          </w:tcPr>
          <w:p w14:paraId="2593F5B9"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6,87 (0,38-12,69)</w:t>
            </w:r>
          </w:p>
        </w:tc>
        <w:tc>
          <w:tcPr>
            <w:tcW w:w="985" w:type="pct"/>
          </w:tcPr>
          <w:p w14:paraId="38466F7B" w14:textId="77777777" w:rsidR="00EF089A" w:rsidRPr="00437528" w:rsidRDefault="00EF089A" w:rsidP="00441716">
            <w:pPr>
              <w:jc w:val="both"/>
              <w:rPr>
                <w:rFonts w:ascii="Times New Roman" w:hAnsi="Times New Roman" w:cs="Times New Roman"/>
                <w:sz w:val="24"/>
                <w:szCs w:val="24"/>
              </w:rPr>
            </w:pPr>
          </w:p>
        </w:tc>
      </w:tr>
      <w:tr w:rsidR="00EF089A" w:rsidRPr="00437528" w14:paraId="28856A87" w14:textId="77777777" w:rsidTr="00F478EA">
        <w:trPr>
          <w:jc w:val="center"/>
        </w:trPr>
        <w:tc>
          <w:tcPr>
            <w:tcW w:w="1834" w:type="pct"/>
            <w:vAlign w:val="center"/>
          </w:tcPr>
          <w:p w14:paraId="1B45CBA8" w14:textId="77777777" w:rsidR="00EF089A" w:rsidRPr="009F65CA" w:rsidRDefault="00EF089A" w:rsidP="00441716">
            <w:pPr>
              <w:jc w:val="both"/>
              <w:rPr>
                <w:rFonts w:ascii="Times New Roman" w:hAnsi="Times New Roman" w:cs="Times New Roman"/>
                <w:sz w:val="24"/>
                <w:szCs w:val="24"/>
                <w:lang w:val="ru-RU"/>
              </w:rPr>
            </w:pPr>
            <w:r w:rsidRPr="009F65CA">
              <w:rPr>
                <w:rFonts w:ascii="Times New Roman" w:hAnsi="Times New Roman" w:cs="Times New Roman"/>
                <w:sz w:val="24"/>
                <w:szCs w:val="24"/>
                <w:lang w:val="ru-RU"/>
              </w:rPr>
              <w:t>Динамика между визитами 1и 2</w:t>
            </w:r>
          </w:p>
          <w:p w14:paraId="5FA29CE2" w14:textId="77777777" w:rsidR="00EF089A" w:rsidRPr="009F65CA" w:rsidRDefault="00EF089A" w:rsidP="00441716">
            <w:pPr>
              <w:jc w:val="both"/>
              <w:rPr>
                <w:rFonts w:ascii="Times New Roman" w:hAnsi="Times New Roman" w:cs="Times New Roman"/>
                <w:sz w:val="24"/>
                <w:szCs w:val="24"/>
                <w:lang w:val="ru-RU"/>
              </w:rPr>
            </w:pPr>
            <w:r w:rsidRPr="00437528">
              <w:rPr>
                <w:rFonts w:ascii="Times New Roman" w:hAnsi="Times New Roman" w:cs="Times New Roman"/>
                <w:sz w:val="24"/>
                <w:szCs w:val="24"/>
              </w:rPr>
              <w:t>p</w:t>
            </w:r>
            <w:r w:rsidRPr="009F65CA">
              <w:rPr>
                <w:rFonts w:ascii="Times New Roman" w:hAnsi="Times New Roman" w:cs="Times New Roman"/>
                <w:sz w:val="24"/>
                <w:szCs w:val="24"/>
                <w:lang w:val="ru-RU"/>
              </w:rPr>
              <w:t>-</w:t>
            </w:r>
            <w:r w:rsidRPr="00437528">
              <w:rPr>
                <w:rFonts w:ascii="Times New Roman" w:hAnsi="Times New Roman" w:cs="Times New Roman"/>
                <w:sz w:val="24"/>
                <w:szCs w:val="24"/>
              </w:rPr>
              <w:t>value</w:t>
            </w:r>
            <w:r w:rsidRPr="009F65CA">
              <w:rPr>
                <w:rFonts w:ascii="Times New Roman" w:hAnsi="Times New Roman" w:cs="Times New Roman"/>
                <w:sz w:val="24"/>
                <w:szCs w:val="24"/>
                <w:lang w:val="ru-RU"/>
              </w:rPr>
              <w:t>*</w:t>
            </w:r>
          </w:p>
        </w:tc>
        <w:tc>
          <w:tcPr>
            <w:tcW w:w="1112" w:type="pct"/>
          </w:tcPr>
          <w:p w14:paraId="7C697FEC"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eastAsia="Calibri" w:hAnsi="Times New Roman" w:cs="Times New Roman"/>
                <w:sz w:val="24"/>
                <w:szCs w:val="24"/>
              </w:rPr>
              <w:t>-2,66</w:t>
            </w:r>
          </w:p>
          <w:p w14:paraId="765D85F4"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hAnsi="Times New Roman" w:cs="Times New Roman"/>
                <w:sz w:val="24"/>
                <w:szCs w:val="24"/>
              </w:rPr>
              <w:sym w:font="Symbol" w:char="F03C"/>
            </w:r>
            <w:r w:rsidRPr="00437528">
              <w:rPr>
                <w:rFonts w:ascii="Times New Roman" w:hAnsi="Times New Roman" w:cs="Times New Roman"/>
                <w:sz w:val="24"/>
                <w:szCs w:val="24"/>
              </w:rPr>
              <w:t>0,001</w:t>
            </w:r>
          </w:p>
        </w:tc>
        <w:tc>
          <w:tcPr>
            <w:tcW w:w="1069" w:type="pct"/>
          </w:tcPr>
          <w:p w14:paraId="7CE8E057"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eastAsia="Calibri" w:hAnsi="Times New Roman" w:cs="Times New Roman"/>
                <w:sz w:val="24"/>
                <w:szCs w:val="24"/>
              </w:rPr>
              <w:t>-2,58</w:t>
            </w:r>
          </w:p>
          <w:p w14:paraId="0CF36FCE"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hAnsi="Times New Roman" w:cs="Times New Roman"/>
                <w:sz w:val="24"/>
                <w:szCs w:val="24"/>
              </w:rPr>
              <w:sym w:font="Symbol" w:char="F03C"/>
            </w:r>
            <w:r w:rsidRPr="00437528">
              <w:rPr>
                <w:rFonts w:ascii="Times New Roman" w:hAnsi="Times New Roman" w:cs="Times New Roman"/>
                <w:sz w:val="24"/>
                <w:szCs w:val="24"/>
              </w:rPr>
              <w:t>0,001</w:t>
            </w:r>
          </w:p>
        </w:tc>
        <w:tc>
          <w:tcPr>
            <w:tcW w:w="985" w:type="pct"/>
            <w:vAlign w:val="center"/>
          </w:tcPr>
          <w:p w14:paraId="7214F199" w14:textId="77777777" w:rsidR="00EF089A" w:rsidRPr="00437528" w:rsidRDefault="00EF089A" w:rsidP="00441716">
            <w:pPr>
              <w:jc w:val="both"/>
              <w:rPr>
                <w:rFonts w:ascii="Times New Roman" w:hAnsi="Times New Roman" w:cs="Times New Roman"/>
                <w:sz w:val="24"/>
                <w:szCs w:val="24"/>
              </w:rPr>
            </w:pPr>
            <w:r w:rsidRPr="00437528">
              <w:rPr>
                <w:rFonts w:ascii="Times New Roman" w:eastAsia="Calibri" w:hAnsi="Times New Roman" w:cs="Times New Roman"/>
                <w:sz w:val="24"/>
                <w:szCs w:val="24"/>
              </w:rPr>
              <w:t>0,5</w:t>
            </w:r>
          </w:p>
        </w:tc>
      </w:tr>
      <w:tr w:rsidR="00EF089A" w:rsidRPr="00437528" w14:paraId="492732E4" w14:textId="77777777" w:rsidTr="00F478EA">
        <w:trPr>
          <w:jc w:val="center"/>
        </w:trPr>
        <w:tc>
          <w:tcPr>
            <w:tcW w:w="1834" w:type="pct"/>
          </w:tcPr>
          <w:p w14:paraId="21547EE8" w14:textId="77777777" w:rsidR="00EF089A" w:rsidRPr="00437528" w:rsidRDefault="00EF089A" w:rsidP="00441716">
            <w:pPr>
              <w:jc w:val="both"/>
              <w:rPr>
                <w:rFonts w:ascii="Times New Roman" w:hAnsi="Times New Roman" w:cs="Times New Roman"/>
                <w:sz w:val="24"/>
                <w:szCs w:val="24"/>
              </w:rPr>
            </w:pPr>
            <w:r w:rsidRPr="00437528">
              <w:rPr>
                <w:rFonts w:ascii="Times New Roman" w:eastAsia="Calibri" w:hAnsi="Times New Roman" w:cs="Times New Roman"/>
                <w:sz w:val="24"/>
                <w:szCs w:val="24"/>
              </w:rPr>
              <w:t>nAmb a1</w:t>
            </w:r>
            <w:r w:rsidRPr="00437528">
              <w:rPr>
                <w:rFonts w:ascii="Times New Roman" w:hAnsi="Times New Roman" w:cs="Times New Roman"/>
                <w:sz w:val="24"/>
                <w:szCs w:val="24"/>
              </w:rPr>
              <w:t>(Ед/мл) (Me+Q</w:t>
            </w:r>
            <w:r w:rsidRPr="00437528">
              <w:rPr>
                <w:rFonts w:ascii="Times New Roman" w:hAnsi="Times New Roman" w:cs="Times New Roman"/>
                <w:sz w:val="24"/>
                <w:szCs w:val="24"/>
                <w:vertAlign w:val="subscript"/>
              </w:rPr>
              <w:t>25-75</w:t>
            </w:r>
            <w:r w:rsidRPr="00437528">
              <w:rPr>
                <w:rFonts w:ascii="Times New Roman" w:hAnsi="Times New Roman" w:cs="Times New Roman"/>
                <w:sz w:val="24"/>
                <w:szCs w:val="24"/>
              </w:rPr>
              <w:t>) 1 визит</w:t>
            </w:r>
          </w:p>
        </w:tc>
        <w:tc>
          <w:tcPr>
            <w:tcW w:w="1112" w:type="pct"/>
          </w:tcPr>
          <w:p w14:paraId="41955728"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5,99 (1,28-9,16)</w:t>
            </w:r>
          </w:p>
          <w:p w14:paraId="193D814F" w14:textId="77777777" w:rsidR="00EF089A" w:rsidRPr="00437528" w:rsidRDefault="00EF089A" w:rsidP="00441716">
            <w:pPr>
              <w:jc w:val="both"/>
              <w:rPr>
                <w:rFonts w:ascii="Times New Roman" w:hAnsi="Times New Roman" w:cs="Times New Roman"/>
                <w:sz w:val="24"/>
                <w:szCs w:val="24"/>
              </w:rPr>
            </w:pPr>
          </w:p>
        </w:tc>
        <w:tc>
          <w:tcPr>
            <w:tcW w:w="1069" w:type="pct"/>
          </w:tcPr>
          <w:p w14:paraId="67967D20"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3,38 (0,71-10,19)</w:t>
            </w:r>
          </w:p>
          <w:p w14:paraId="134B3521" w14:textId="77777777" w:rsidR="00EF089A" w:rsidRPr="00437528" w:rsidRDefault="00EF089A" w:rsidP="00441716">
            <w:pPr>
              <w:jc w:val="both"/>
              <w:rPr>
                <w:rFonts w:ascii="Times New Roman" w:hAnsi="Times New Roman" w:cs="Times New Roman"/>
                <w:sz w:val="24"/>
                <w:szCs w:val="24"/>
              </w:rPr>
            </w:pPr>
          </w:p>
        </w:tc>
        <w:tc>
          <w:tcPr>
            <w:tcW w:w="985" w:type="pct"/>
          </w:tcPr>
          <w:p w14:paraId="4741FA2C" w14:textId="77777777" w:rsidR="00EF089A" w:rsidRPr="00437528" w:rsidRDefault="00EF089A" w:rsidP="00441716">
            <w:pPr>
              <w:jc w:val="both"/>
              <w:rPr>
                <w:rFonts w:ascii="Times New Roman" w:hAnsi="Times New Roman" w:cs="Times New Roman"/>
                <w:sz w:val="24"/>
                <w:szCs w:val="24"/>
              </w:rPr>
            </w:pPr>
          </w:p>
        </w:tc>
      </w:tr>
      <w:tr w:rsidR="00EF089A" w:rsidRPr="00437528" w14:paraId="1CEE0C62" w14:textId="77777777" w:rsidTr="00F478EA">
        <w:trPr>
          <w:jc w:val="center"/>
        </w:trPr>
        <w:tc>
          <w:tcPr>
            <w:tcW w:w="1834" w:type="pct"/>
          </w:tcPr>
          <w:p w14:paraId="7FD8248C"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eastAsia="Calibri" w:hAnsi="Times New Roman" w:cs="Times New Roman"/>
                <w:sz w:val="24"/>
                <w:szCs w:val="24"/>
              </w:rPr>
              <w:t>nAmb a1</w:t>
            </w:r>
            <w:r w:rsidRPr="00437528">
              <w:rPr>
                <w:rFonts w:ascii="Times New Roman" w:hAnsi="Times New Roman" w:cs="Times New Roman"/>
                <w:sz w:val="24"/>
                <w:szCs w:val="24"/>
              </w:rPr>
              <w:t>(Ед/мл) (Me+Q</w:t>
            </w:r>
            <w:r w:rsidRPr="00437528">
              <w:rPr>
                <w:rFonts w:ascii="Times New Roman" w:hAnsi="Times New Roman" w:cs="Times New Roman"/>
                <w:sz w:val="24"/>
                <w:szCs w:val="24"/>
                <w:vertAlign w:val="subscript"/>
              </w:rPr>
              <w:t>25-75</w:t>
            </w:r>
            <w:r w:rsidRPr="00437528">
              <w:rPr>
                <w:rFonts w:ascii="Times New Roman" w:hAnsi="Times New Roman" w:cs="Times New Roman"/>
                <w:sz w:val="24"/>
                <w:szCs w:val="24"/>
              </w:rPr>
              <w:t>) 2 визит</w:t>
            </w:r>
          </w:p>
        </w:tc>
        <w:tc>
          <w:tcPr>
            <w:tcW w:w="1112" w:type="pct"/>
          </w:tcPr>
          <w:p w14:paraId="21FF1941"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3,01 (0,54-5,38)</w:t>
            </w:r>
          </w:p>
        </w:tc>
        <w:tc>
          <w:tcPr>
            <w:tcW w:w="1069" w:type="pct"/>
          </w:tcPr>
          <w:p w14:paraId="527898F8" w14:textId="77777777" w:rsidR="00EF089A" w:rsidRPr="00437528" w:rsidRDefault="00EF089A" w:rsidP="00441716">
            <w:pPr>
              <w:jc w:val="both"/>
              <w:rPr>
                <w:rFonts w:ascii="Times New Roman" w:hAnsi="Times New Roman" w:cs="Times New Roman"/>
                <w:sz w:val="24"/>
                <w:szCs w:val="24"/>
              </w:rPr>
            </w:pPr>
            <w:r w:rsidRPr="00437528">
              <w:rPr>
                <w:rFonts w:ascii="Times New Roman" w:hAnsi="Times New Roman" w:cs="Times New Roman"/>
                <w:sz w:val="24"/>
                <w:szCs w:val="24"/>
              </w:rPr>
              <w:t>2,59 (0,62-7,31)</w:t>
            </w:r>
          </w:p>
        </w:tc>
        <w:tc>
          <w:tcPr>
            <w:tcW w:w="985" w:type="pct"/>
          </w:tcPr>
          <w:p w14:paraId="7791516F" w14:textId="77777777" w:rsidR="00EF089A" w:rsidRPr="00437528" w:rsidRDefault="00EF089A" w:rsidP="00441716">
            <w:pPr>
              <w:jc w:val="both"/>
              <w:rPr>
                <w:rFonts w:ascii="Times New Roman" w:hAnsi="Times New Roman" w:cs="Times New Roman"/>
                <w:sz w:val="24"/>
                <w:szCs w:val="24"/>
              </w:rPr>
            </w:pPr>
          </w:p>
        </w:tc>
      </w:tr>
      <w:tr w:rsidR="00EF089A" w:rsidRPr="00437528" w14:paraId="0E4120FC" w14:textId="77777777" w:rsidTr="00F478EA">
        <w:trPr>
          <w:jc w:val="center"/>
        </w:trPr>
        <w:tc>
          <w:tcPr>
            <w:tcW w:w="1834" w:type="pct"/>
          </w:tcPr>
          <w:p w14:paraId="735DC538" w14:textId="77777777" w:rsidR="00EF089A" w:rsidRPr="009F65CA" w:rsidRDefault="00EF089A" w:rsidP="00441716">
            <w:pPr>
              <w:jc w:val="both"/>
              <w:rPr>
                <w:rFonts w:ascii="Times New Roman" w:hAnsi="Times New Roman" w:cs="Times New Roman"/>
                <w:sz w:val="24"/>
                <w:szCs w:val="24"/>
                <w:lang w:val="ru-RU"/>
              </w:rPr>
            </w:pPr>
            <w:r w:rsidRPr="009F65CA">
              <w:rPr>
                <w:rFonts w:ascii="Times New Roman" w:hAnsi="Times New Roman" w:cs="Times New Roman"/>
                <w:sz w:val="24"/>
                <w:szCs w:val="24"/>
                <w:lang w:val="ru-RU"/>
              </w:rPr>
              <w:t>Динамика между визитами 1и 2</w:t>
            </w:r>
          </w:p>
          <w:p w14:paraId="6F63E955" w14:textId="77777777" w:rsidR="00EF089A" w:rsidRPr="009F65CA" w:rsidRDefault="00EF089A" w:rsidP="00441716">
            <w:pPr>
              <w:jc w:val="both"/>
              <w:rPr>
                <w:rFonts w:ascii="Times New Roman" w:hAnsi="Times New Roman" w:cs="Times New Roman"/>
                <w:sz w:val="24"/>
                <w:szCs w:val="24"/>
                <w:lang w:val="ru-RU"/>
              </w:rPr>
            </w:pPr>
            <w:r w:rsidRPr="00437528">
              <w:rPr>
                <w:rFonts w:ascii="Times New Roman" w:hAnsi="Times New Roman" w:cs="Times New Roman"/>
                <w:sz w:val="24"/>
                <w:szCs w:val="24"/>
              </w:rPr>
              <w:t>p</w:t>
            </w:r>
            <w:r w:rsidRPr="009F65CA">
              <w:rPr>
                <w:rFonts w:ascii="Times New Roman" w:hAnsi="Times New Roman" w:cs="Times New Roman"/>
                <w:sz w:val="24"/>
                <w:szCs w:val="24"/>
                <w:lang w:val="ru-RU"/>
              </w:rPr>
              <w:t>-</w:t>
            </w:r>
            <w:r w:rsidRPr="00437528">
              <w:rPr>
                <w:rFonts w:ascii="Times New Roman" w:hAnsi="Times New Roman" w:cs="Times New Roman"/>
                <w:sz w:val="24"/>
                <w:szCs w:val="24"/>
              </w:rPr>
              <w:t>value</w:t>
            </w:r>
            <w:r w:rsidRPr="009F65CA">
              <w:rPr>
                <w:rFonts w:ascii="Times New Roman" w:hAnsi="Times New Roman" w:cs="Times New Roman"/>
                <w:sz w:val="24"/>
                <w:szCs w:val="24"/>
                <w:lang w:val="ru-RU"/>
              </w:rPr>
              <w:t>*</w:t>
            </w:r>
          </w:p>
        </w:tc>
        <w:tc>
          <w:tcPr>
            <w:tcW w:w="1112" w:type="pct"/>
          </w:tcPr>
          <w:p w14:paraId="66FB429C"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eastAsia="Calibri" w:hAnsi="Times New Roman" w:cs="Times New Roman"/>
                <w:sz w:val="24"/>
                <w:szCs w:val="24"/>
              </w:rPr>
              <w:t>-3,09</w:t>
            </w:r>
          </w:p>
          <w:p w14:paraId="503747B1"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hAnsi="Times New Roman" w:cs="Times New Roman"/>
                <w:sz w:val="24"/>
                <w:szCs w:val="24"/>
              </w:rPr>
              <w:sym w:font="Symbol" w:char="F03C"/>
            </w:r>
            <w:r w:rsidRPr="00437528">
              <w:rPr>
                <w:rFonts w:ascii="Times New Roman" w:hAnsi="Times New Roman" w:cs="Times New Roman"/>
                <w:sz w:val="24"/>
                <w:szCs w:val="24"/>
              </w:rPr>
              <w:t>0,001</w:t>
            </w:r>
          </w:p>
        </w:tc>
        <w:tc>
          <w:tcPr>
            <w:tcW w:w="1069" w:type="pct"/>
          </w:tcPr>
          <w:p w14:paraId="73C63627"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eastAsia="Calibri" w:hAnsi="Times New Roman" w:cs="Times New Roman"/>
                <w:sz w:val="24"/>
                <w:szCs w:val="24"/>
              </w:rPr>
              <w:t>-0,79</w:t>
            </w:r>
          </w:p>
          <w:p w14:paraId="161862BE" w14:textId="77777777" w:rsidR="00EF089A" w:rsidRPr="00437528" w:rsidRDefault="00EF089A" w:rsidP="00441716">
            <w:pPr>
              <w:jc w:val="both"/>
              <w:rPr>
                <w:rFonts w:ascii="Times New Roman" w:eastAsia="Calibri" w:hAnsi="Times New Roman" w:cs="Times New Roman"/>
                <w:sz w:val="24"/>
                <w:szCs w:val="24"/>
              </w:rPr>
            </w:pPr>
            <w:r w:rsidRPr="00437528">
              <w:rPr>
                <w:rFonts w:ascii="Times New Roman" w:hAnsi="Times New Roman" w:cs="Times New Roman"/>
                <w:sz w:val="24"/>
                <w:szCs w:val="24"/>
              </w:rPr>
              <w:sym w:font="Symbol" w:char="F03C"/>
            </w:r>
            <w:r w:rsidRPr="00437528">
              <w:rPr>
                <w:rFonts w:ascii="Times New Roman" w:hAnsi="Times New Roman" w:cs="Times New Roman"/>
                <w:sz w:val="24"/>
                <w:szCs w:val="24"/>
              </w:rPr>
              <w:t>0,001</w:t>
            </w:r>
          </w:p>
        </w:tc>
        <w:tc>
          <w:tcPr>
            <w:tcW w:w="985" w:type="pct"/>
            <w:vAlign w:val="center"/>
          </w:tcPr>
          <w:p w14:paraId="4090CE24" w14:textId="77777777" w:rsidR="00EF089A" w:rsidRPr="00437528" w:rsidRDefault="00EF089A" w:rsidP="00441716">
            <w:pPr>
              <w:jc w:val="both"/>
              <w:rPr>
                <w:rFonts w:ascii="Times New Roman" w:hAnsi="Times New Roman" w:cs="Times New Roman"/>
                <w:sz w:val="24"/>
                <w:szCs w:val="24"/>
              </w:rPr>
            </w:pPr>
            <w:r w:rsidRPr="00437528">
              <w:rPr>
                <w:rFonts w:ascii="Times New Roman" w:eastAsia="Calibri" w:hAnsi="Times New Roman" w:cs="Times New Roman"/>
                <w:sz w:val="24"/>
                <w:szCs w:val="24"/>
              </w:rPr>
              <w:t>0,07</w:t>
            </w:r>
          </w:p>
        </w:tc>
      </w:tr>
      <w:tr w:rsidR="007B7121" w:rsidRPr="00437528" w14:paraId="2A2000C8" w14:textId="77777777" w:rsidTr="007B7121">
        <w:trPr>
          <w:jc w:val="center"/>
        </w:trPr>
        <w:tc>
          <w:tcPr>
            <w:tcW w:w="5000" w:type="pct"/>
            <w:gridSpan w:val="4"/>
          </w:tcPr>
          <w:p w14:paraId="5F5F9FD0" w14:textId="77777777" w:rsidR="007B7121" w:rsidRPr="007B7121" w:rsidRDefault="007B7121" w:rsidP="007B7121">
            <w:pPr>
              <w:spacing w:line="256" w:lineRule="auto"/>
              <w:ind w:firstLine="594"/>
              <w:jc w:val="both"/>
              <w:rPr>
                <w:rFonts w:ascii="Times New Roman" w:eastAsia="Times New Roman" w:hAnsi="Times New Roman" w:cs="Times New Roman"/>
                <w:color w:val="000000"/>
                <w:kern w:val="24"/>
                <w:sz w:val="24"/>
                <w:szCs w:val="24"/>
                <w:lang w:val="ru-RU" w:eastAsia="ru-RU"/>
              </w:rPr>
            </w:pPr>
            <w:r w:rsidRPr="007B7121">
              <w:rPr>
                <w:rFonts w:ascii="Times New Roman" w:eastAsia="Times New Roman" w:hAnsi="Times New Roman" w:cs="Times New Roman"/>
                <w:color w:val="000000"/>
                <w:kern w:val="24"/>
                <w:sz w:val="24"/>
                <w:szCs w:val="24"/>
                <w:lang w:val="ru-RU" w:eastAsia="ru-RU"/>
              </w:rPr>
              <w:t>Примечания:</w:t>
            </w:r>
          </w:p>
          <w:p w14:paraId="52A29138" w14:textId="77777777" w:rsidR="007B7121" w:rsidRPr="007B7121" w:rsidRDefault="007B7121" w:rsidP="007B7121">
            <w:pPr>
              <w:tabs>
                <w:tab w:val="left" w:pos="1454"/>
              </w:tabs>
              <w:jc w:val="both"/>
              <w:rPr>
                <w:rFonts w:ascii="Times New Roman" w:hAnsi="Times New Roman" w:cs="Times New Roman"/>
                <w:sz w:val="24"/>
                <w:szCs w:val="24"/>
                <w:lang w:val="ru-RU"/>
              </w:rPr>
            </w:pPr>
            <w:r w:rsidRPr="007B7121">
              <w:rPr>
                <w:rFonts w:ascii="Times New Roman" w:eastAsia="Calibri" w:hAnsi="Times New Roman" w:cs="Times New Roman"/>
                <w:sz w:val="24"/>
                <w:szCs w:val="24"/>
                <w:lang w:val="ru-RU"/>
              </w:rPr>
              <w:t xml:space="preserve">1 </w:t>
            </w:r>
            <w:r w:rsidRPr="007B7121">
              <w:rPr>
                <w:rFonts w:ascii="Times New Roman" w:hAnsi="Times New Roman" w:cs="Times New Roman"/>
                <w:sz w:val="24"/>
                <w:szCs w:val="24"/>
                <w:lang w:val="ru-RU"/>
              </w:rPr>
              <w:t>(</w:t>
            </w:r>
            <w:r w:rsidRPr="007B7121">
              <w:rPr>
                <w:rFonts w:ascii="Times New Roman" w:hAnsi="Times New Roman" w:cs="Times New Roman"/>
                <w:sz w:val="24"/>
                <w:szCs w:val="24"/>
              </w:rPr>
              <w:t>Me</w:t>
            </w:r>
            <w:r w:rsidRPr="007B7121">
              <w:rPr>
                <w:rFonts w:ascii="Times New Roman" w:hAnsi="Times New Roman" w:cs="Times New Roman"/>
                <w:sz w:val="24"/>
                <w:szCs w:val="24"/>
                <w:lang w:val="ru-RU"/>
              </w:rPr>
              <w:t>+</w:t>
            </w:r>
            <w:r w:rsidRPr="007B7121">
              <w:rPr>
                <w:rFonts w:ascii="Times New Roman" w:hAnsi="Times New Roman" w:cs="Times New Roman"/>
                <w:sz w:val="24"/>
                <w:szCs w:val="24"/>
              </w:rPr>
              <w:t>Q</w:t>
            </w:r>
            <w:r w:rsidRPr="007B7121">
              <w:rPr>
                <w:rFonts w:ascii="Times New Roman" w:hAnsi="Times New Roman" w:cs="Times New Roman"/>
                <w:sz w:val="24"/>
                <w:szCs w:val="24"/>
                <w:vertAlign w:val="subscript"/>
                <w:lang w:val="ru-RU"/>
              </w:rPr>
              <w:t>25-75</w:t>
            </w:r>
            <w:r w:rsidRPr="007B7121">
              <w:rPr>
                <w:rFonts w:ascii="Times New Roman" w:hAnsi="Times New Roman" w:cs="Times New Roman"/>
                <w:sz w:val="24"/>
                <w:szCs w:val="24"/>
                <w:lang w:val="ru-RU"/>
              </w:rPr>
              <w:t>) – медиана (нижний и верхний квартиль)</w:t>
            </w:r>
          </w:p>
          <w:p w14:paraId="41A9FD2B" w14:textId="22432A1C" w:rsidR="007B7121" w:rsidRPr="007B7121" w:rsidRDefault="007B7121" w:rsidP="007B7121">
            <w:pPr>
              <w:tabs>
                <w:tab w:val="left" w:pos="1454"/>
              </w:tabs>
              <w:jc w:val="both"/>
              <w:rPr>
                <w:rFonts w:ascii="Times New Roman" w:eastAsia="Calibri" w:hAnsi="Times New Roman" w:cs="Times New Roman"/>
                <w:sz w:val="24"/>
                <w:szCs w:val="24"/>
                <w:lang w:val="ru-RU"/>
              </w:rPr>
            </w:pPr>
            <w:r w:rsidRPr="007B7121">
              <w:rPr>
                <w:rFonts w:ascii="Times New Roman" w:hAnsi="Times New Roman" w:cs="Times New Roman"/>
                <w:sz w:val="24"/>
                <w:szCs w:val="24"/>
                <w:lang w:val="ru-RU"/>
              </w:rPr>
              <w:t xml:space="preserve">2 * </w:t>
            </w:r>
            <w:r w:rsidRPr="007B7121">
              <w:rPr>
                <w:rFonts w:ascii="Times New Roman" w:eastAsia="Calibri" w:hAnsi="Times New Roman" w:cs="Times New Roman"/>
                <w:sz w:val="24"/>
                <w:szCs w:val="24"/>
                <w:lang w:val="ru-RU"/>
              </w:rPr>
              <w:t>сравнение внутри групп статистический критерий Уилкоксона</w:t>
            </w:r>
          </w:p>
          <w:p w14:paraId="7069E917" w14:textId="70E4B725" w:rsidR="007B7121" w:rsidRPr="007B7121" w:rsidRDefault="007B7121" w:rsidP="007B7121">
            <w:pPr>
              <w:tabs>
                <w:tab w:val="left" w:pos="1454"/>
              </w:tabs>
              <w:jc w:val="both"/>
              <w:rPr>
                <w:rFonts w:ascii="Times New Roman" w:eastAsia="Calibri" w:hAnsi="Times New Roman" w:cs="Times New Roman"/>
                <w:lang w:val="ru-RU"/>
              </w:rPr>
            </w:pPr>
            <w:r w:rsidRPr="007B7121">
              <w:rPr>
                <w:rFonts w:ascii="Times New Roman" w:eastAsia="Calibri" w:hAnsi="Times New Roman" w:cs="Times New Roman"/>
                <w:sz w:val="24"/>
                <w:szCs w:val="24"/>
                <w:lang w:val="ru-RU"/>
              </w:rPr>
              <w:t>3 ** сравнение между группами статистический критерий Манна-Уитни</w:t>
            </w:r>
          </w:p>
        </w:tc>
      </w:tr>
    </w:tbl>
    <w:p w14:paraId="394D62DB" w14:textId="77777777" w:rsidR="00EF089A" w:rsidRPr="00437528" w:rsidRDefault="00EF089A" w:rsidP="00EE7215">
      <w:pPr>
        <w:spacing w:after="0" w:line="240" w:lineRule="auto"/>
        <w:ind w:firstLine="567"/>
        <w:jc w:val="both"/>
        <w:rPr>
          <w:rFonts w:ascii="Times New Roman" w:hAnsi="Times New Roman" w:cs="Times New Roman"/>
          <w:sz w:val="28"/>
          <w:szCs w:val="28"/>
        </w:rPr>
      </w:pPr>
    </w:p>
    <w:p w14:paraId="29F93442" w14:textId="5E71DC4C" w:rsidR="00437528" w:rsidRPr="006146D2" w:rsidRDefault="00437528" w:rsidP="004003C9">
      <w:pPr>
        <w:tabs>
          <w:tab w:val="left" w:pos="1454"/>
        </w:tabs>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 xml:space="preserve">Сравнительная характеристика пациентов по лабораторным показателям была </w:t>
      </w:r>
      <w:r w:rsidR="00757AD6">
        <w:rPr>
          <w:rFonts w:ascii="Times New Roman" w:eastAsia="Calibri" w:hAnsi="Times New Roman" w:cs="Times New Roman"/>
          <w:sz w:val="28"/>
          <w:szCs w:val="28"/>
        </w:rPr>
        <w:t>проведена с использованием</w:t>
      </w:r>
      <w:r w:rsidRPr="00437528">
        <w:rPr>
          <w:rFonts w:ascii="Times New Roman" w:eastAsia="Calibri" w:hAnsi="Times New Roman" w:cs="Times New Roman"/>
          <w:sz w:val="28"/>
          <w:szCs w:val="28"/>
        </w:rPr>
        <w:t xml:space="preserve"> мед</w:t>
      </w:r>
      <w:r w:rsidR="00757AD6">
        <w:rPr>
          <w:rFonts w:ascii="Times New Roman" w:eastAsia="Calibri" w:hAnsi="Times New Roman" w:cs="Times New Roman"/>
          <w:sz w:val="28"/>
          <w:szCs w:val="28"/>
        </w:rPr>
        <w:t>иани</w:t>
      </w:r>
      <w:r w:rsidRPr="00437528">
        <w:rPr>
          <w:rFonts w:ascii="Times New Roman" w:eastAsia="Calibri" w:hAnsi="Times New Roman" w:cs="Times New Roman"/>
          <w:sz w:val="28"/>
          <w:szCs w:val="28"/>
        </w:rPr>
        <w:t xml:space="preserve"> показателя </w:t>
      </w:r>
      <w:r w:rsidR="00757AD6">
        <w:rPr>
          <w:rFonts w:ascii="Times New Roman" w:eastAsia="Calibri" w:hAnsi="Times New Roman" w:cs="Times New Roman"/>
          <w:sz w:val="28"/>
          <w:szCs w:val="28"/>
        </w:rPr>
        <w:t>и</w:t>
      </w:r>
      <w:r w:rsidRPr="00437528">
        <w:rPr>
          <w:rFonts w:ascii="Times New Roman" w:eastAsia="Calibri" w:hAnsi="Times New Roman" w:cs="Times New Roman"/>
          <w:sz w:val="28"/>
          <w:szCs w:val="28"/>
        </w:rPr>
        <w:t xml:space="preserve"> критерия Манна-Уитни. </w:t>
      </w:r>
      <w:r w:rsidR="00FD23C1">
        <w:rPr>
          <w:rFonts w:ascii="Times New Roman" w:hAnsi="Times New Roman" w:cs="Times New Roman"/>
          <w:sz w:val="28"/>
          <w:szCs w:val="28"/>
        </w:rPr>
        <w:t>После проведённой</w:t>
      </w:r>
      <w:r w:rsidR="00FD23C1" w:rsidRPr="00437528">
        <w:rPr>
          <w:rFonts w:ascii="Times New Roman" w:hAnsi="Times New Roman" w:cs="Times New Roman"/>
          <w:sz w:val="28"/>
          <w:szCs w:val="28"/>
        </w:rPr>
        <w:t xml:space="preserve"> терапии </w:t>
      </w:r>
      <w:r w:rsidR="00FD23C1">
        <w:rPr>
          <w:rFonts w:ascii="Times New Roman" w:hAnsi="Times New Roman" w:cs="Times New Roman"/>
          <w:sz w:val="28"/>
          <w:szCs w:val="28"/>
        </w:rPr>
        <w:t xml:space="preserve">показатели общего ИГЕ (209,6 Ед/мл и 299,75 Ед/мл соответственно, </w:t>
      </w:r>
      <w:r w:rsidR="00FD23C1" w:rsidRPr="00437528">
        <w:rPr>
          <w:rFonts w:ascii="Times New Roman" w:hAnsi="Times New Roman" w:cs="Times New Roman"/>
          <w:sz w:val="28"/>
          <w:szCs w:val="28"/>
          <w:lang w:val="en-US"/>
        </w:rPr>
        <w:t>p</w:t>
      </w:r>
      <w:r w:rsidR="00011946">
        <w:rPr>
          <w:rFonts w:ascii="Times New Roman" w:hAnsi="Times New Roman" w:cs="Times New Roman"/>
          <w:sz w:val="28"/>
          <w:szCs w:val="28"/>
        </w:rPr>
        <w:t>=</w:t>
      </w:r>
      <w:r w:rsidR="00011946" w:rsidRPr="00011946">
        <w:rPr>
          <w:rFonts w:ascii="Times New Roman" w:hAnsi="Times New Roman" w:cs="Times New Roman"/>
          <w:sz w:val="28"/>
          <w:szCs w:val="28"/>
        </w:rPr>
        <w:t>0,004</w:t>
      </w:r>
      <w:r w:rsidR="00FD23C1">
        <w:rPr>
          <w:rFonts w:ascii="Times New Roman" w:hAnsi="Times New Roman" w:cs="Times New Roman"/>
          <w:sz w:val="28"/>
          <w:szCs w:val="28"/>
        </w:rPr>
        <w:t>), ЭКБ (</w:t>
      </w:r>
      <w:r w:rsidR="00FD23C1" w:rsidRPr="00437528">
        <w:rPr>
          <w:rFonts w:ascii="Times New Roman" w:hAnsi="Times New Roman" w:cs="Times New Roman"/>
          <w:sz w:val="28"/>
          <w:szCs w:val="28"/>
        </w:rPr>
        <w:t xml:space="preserve">32,61 нг/мл </w:t>
      </w:r>
      <w:r w:rsidR="00FD23C1">
        <w:rPr>
          <w:rFonts w:ascii="Times New Roman" w:hAnsi="Times New Roman" w:cs="Times New Roman"/>
          <w:sz w:val="28"/>
          <w:szCs w:val="28"/>
        </w:rPr>
        <w:t xml:space="preserve">и 40,28 нг/мл соответственно, </w:t>
      </w:r>
      <w:r w:rsidR="00FD23C1" w:rsidRPr="00437528">
        <w:rPr>
          <w:rFonts w:ascii="Times New Roman" w:hAnsi="Times New Roman" w:cs="Times New Roman"/>
          <w:sz w:val="28"/>
          <w:szCs w:val="28"/>
          <w:lang w:val="en-US"/>
        </w:rPr>
        <w:t>p</w:t>
      </w:r>
      <w:r w:rsidR="00011946">
        <w:rPr>
          <w:rFonts w:ascii="Times New Roman" w:hAnsi="Times New Roman" w:cs="Times New Roman"/>
          <w:sz w:val="28"/>
          <w:szCs w:val="28"/>
        </w:rPr>
        <w:t>=</w:t>
      </w:r>
      <w:r w:rsidR="00011946" w:rsidRPr="00011946">
        <w:rPr>
          <w:rFonts w:ascii="Times New Roman" w:hAnsi="Times New Roman" w:cs="Times New Roman"/>
          <w:sz w:val="28"/>
          <w:szCs w:val="28"/>
        </w:rPr>
        <w:t>0,006</w:t>
      </w:r>
      <w:r w:rsidR="00FD23C1" w:rsidRPr="00437528">
        <w:rPr>
          <w:rFonts w:ascii="Times New Roman" w:hAnsi="Times New Roman" w:cs="Times New Roman"/>
          <w:sz w:val="28"/>
          <w:szCs w:val="28"/>
        </w:rPr>
        <w:t>)</w:t>
      </w:r>
      <w:r w:rsidR="00FD23C1">
        <w:rPr>
          <w:rFonts w:ascii="Times New Roman" w:hAnsi="Times New Roman" w:cs="Times New Roman"/>
          <w:sz w:val="28"/>
          <w:szCs w:val="28"/>
        </w:rPr>
        <w:t xml:space="preserve"> были эффективно снижены в группе вмешательства относительно группы контроля.</w:t>
      </w:r>
      <w:r w:rsidR="00B01357">
        <w:rPr>
          <w:rFonts w:ascii="Times New Roman" w:hAnsi="Times New Roman" w:cs="Times New Roman"/>
          <w:sz w:val="28"/>
          <w:szCs w:val="28"/>
        </w:rPr>
        <w:t xml:space="preserve"> Эффективное повышение уровня витамина Д в крови наблюдалось в группе вмешательства относительно группы контроля (37,6 нг/мл и 13,4 нг/мл соответственно, </w:t>
      </w:r>
      <w:r w:rsidR="00B01357" w:rsidRPr="00437528">
        <w:rPr>
          <w:rFonts w:ascii="Times New Roman" w:hAnsi="Times New Roman" w:cs="Times New Roman"/>
          <w:sz w:val="28"/>
          <w:szCs w:val="28"/>
          <w:lang w:val="en-US"/>
        </w:rPr>
        <w:t>p</w:t>
      </w:r>
      <w:r w:rsidR="00B01357" w:rsidRPr="00437528">
        <w:rPr>
          <w:rFonts w:ascii="Times New Roman" w:hAnsi="Times New Roman" w:cs="Times New Roman"/>
          <w:sz w:val="28"/>
          <w:szCs w:val="28"/>
        </w:rPr>
        <w:sym w:font="Symbol" w:char="F03C"/>
      </w:r>
      <w:r w:rsidR="00B01357" w:rsidRPr="00437528">
        <w:rPr>
          <w:rFonts w:ascii="Times New Roman" w:hAnsi="Times New Roman" w:cs="Times New Roman"/>
          <w:sz w:val="28"/>
          <w:szCs w:val="28"/>
        </w:rPr>
        <w:t>0,001</w:t>
      </w:r>
      <w:r w:rsidR="00B01357">
        <w:rPr>
          <w:rFonts w:ascii="Times New Roman" w:hAnsi="Times New Roman" w:cs="Times New Roman"/>
          <w:sz w:val="28"/>
          <w:szCs w:val="28"/>
        </w:rPr>
        <w:t xml:space="preserve">). </w:t>
      </w:r>
      <w:r w:rsidR="00CC40E2">
        <w:rPr>
          <w:rFonts w:ascii="Times New Roman" w:hAnsi="Times New Roman" w:cs="Times New Roman"/>
          <w:sz w:val="28"/>
          <w:szCs w:val="28"/>
        </w:rPr>
        <w:t xml:space="preserve">Показатели специфических ИГЕ к тимофеевке </w:t>
      </w:r>
      <w:r w:rsidR="00CC40E2" w:rsidRPr="00437528">
        <w:rPr>
          <w:rFonts w:ascii="Times New Roman" w:eastAsia="Calibri" w:hAnsi="Times New Roman" w:cs="Times New Roman"/>
          <w:sz w:val="28"/>
          <w:szCs w:val="28"/>
        </w:rPr>
        <w:t>sIgE rPhlp1</w:t>
      </w:r>
      <w:r w:rsidR="00CC40E2">
        <w:rPr>
          <w:rFonts w:ascii="Times New Roman" w:hAnsi="Times New Roman" w:cs="Times New Roman"/>
          <w:sz w:val="28"/>
          <w:szCs w:val="28"/>
        </w:rPr>
        <w:t xml:space="preserve"> (</w:t>
      </w:r>
      <w:r w:rsidR="00CC40E2" w:rsidRPr="00437528">
        <w:rPr>
          <w:rFonts w:ascii="Times New Roman" w:eastAsia="Calibri" w:hAnsi="Times New Roman" w:cs="Times New Roman"/>
          <w:sz w:val="28"/>
          <w:szCs w:val="28"/>
        </w:rPr>
        <w:t xml:space="preserve">5,3 Ед/мл </w:t>
      </w:r>
      <w:r w:rsidR="00CC40E2" w:rsidRPr="00437528">
        <w:rPr>
          <w:rFonts w:ascii="Times New Roman" w:hAnsi="Times New Roman" w:cs="Times New Roman"/>
          <w:sz w:val="28"/>
          <w:szCs w:val="28"/>
        </w:rPr>
        <w:t xml:space="preserve">и </w:t>
      </w:r>
      <w:r w:rsidR="00CC40E2" w:rsidRPr="00437528">
        <w:rPr>
          <w:rFonts w:ascii="Times New Roman" w:eastAsia="Calibri" w:hAnsi="Times New Roman" w:cs="Times New Roman"/>
          <w:sz w:val="28"/>
          <w:szCs w:val="28"/>
        </w:rPr>
        <w:t>5,4 Ед/мл</w:t>
      </w:r>
      <w:r w:rsidR="00CC40E2">
        <w:rPr>
          <w:rFonts w:ascii="Times New Roman" w:hAnsi="Times New Roman" w:cs="Times New Roman"/>
          <w:sz w:val="28"/>
          <w:szCs w:val="28"/>
        </w:rPr>
        <w:t xml:space="preserve"> соответственно, </w:t>
      </w:r>
      <w:r w:rsidR="00CC40E2" w:rsidRPr="00437528">
        <w:rPr>
          <w:rFonts w:ascii="Times New Roman" w:hAnsi="Times New Roman" w:cs="Times New Roman"/>
          <w:sz w:val="28"/>
          <w:szCs w:val="28"/>
          <w:lang w:val="en-US"/>
        </w:rPr>
        <w:t>p</w:t>
      </w:r>
      <w:r w:rsidR="00CC40E2" w:rsidRPr="00437528">
        <w:rPr>
          <w:rFonts w:ascii="Times New Roman" w:hAnsi="Times New Roman" w:cs="Times New Roman"/>
          <w:sz w:val="28"/>
          <w:szCs w:val="28"/>
        </w:rPr>
        <w:t>=0,2</w:t>
      </w:r>
      <w:r w:rsidR="00CC40E2">
        <w:rPr>
          <w:rFonts w:ascii="Times New Roman" w:hAnsi="Times New Roman" w:cs="Times New Roman"/>
          <w:sz w:val="28"/>
          <w:szCs w:val="28"/>
        </w:rPr>
        <w:t xml:space="preserve">) и </w:t>
      </w:r>
      <w:r w:rsidR="00CC40E2" w:rsidRPr="00437528">
        <w:rPr>
          <w:rFonts w:ascii="Times New Roman" w:eastAsia="Calibri" w:hAnsi="Times New Roman" w:cs="Times New Roman"/>
          <w:sz w:val="28"/>
          <w:szCs w:val="28"/>
        </w:rPr>
        <w:t>sIgE rPhlp5</w:t>
      </w:r>
      <w:r w:rsidR="00CC40E2">
        <w:rPr>
          <w:rFonts w:ascii="Times New Roman" w:hAnsi="Times New Roman" w:cs="Times New Roman"/>
          <w:sz w:val="28"/>
          <w:szCs w:val="28"/>
        </w:rPr>
        <w:t xml:space="preserve"> </w:t>
      </w:r>
      <w:r w:rsidR="00CC40E2" w:rsidRPr="00437528">
        <w:rPr>
          <w:rFonts w:ascii="Times New Roman" w:hAnsi="Times New Roman" w:cs="Times New Roman"/>
          <w:sz w:val="28"/>
          <w:szCs w:val="28"/>
        </w:rPr>
        <w:t>(</w:t>
      </w:r>
      <w:r w:rsidR="00CC40E2" w:rsidRPr="00437528">
        <w:rPr>
          <w:rFonts w:ascii="Times New Roman" w:eastAsia="Calibri" w:hAnsi="Times New Roman" w:cs="Times New Roman"/>
          <w:sz w:val="28"/>
          <w:szCs w:val="28"/>
        </w:rPr>
        <w:t xml:space="preserve">7,3 ЕД/мл </w:t>
      </w:r>
      <w:r w:rsidR="00CC40E2" w:rsidRPr="00437528">
        <w:rPr>
          <w:rFonts w:ascii="Times New Roman" w:hAnsi="Times New Roman" w:cs="Times New Roman"/>
          <w:sz w:val="28"/>
          <w:szCs w:val="28"/>
        </w:rPr>
        <w:t xml:space="preserve">и </w:t>
      </w:r>
      <w:r w:rsidR="00CC40E2" w:rsidRPr="00437528">
        <w:rPr>
          <w:rFonts w:ascii="Times New Roman" w:eastAsia="Calibri" w:hAnsi="Times New Roman" w:cs="Times New Roman"/>
          <w:sz w:val="28"/>
          <w:szCs w:val="28"/>
        </w:rPr>
        <w:t>8,0 Ед/мл</w:t>
      </w:r>
      <w:r w:rsidR="00CC40E2">
        <w:rPr>
          <w:rFonts w:ascii="Times New Roman" w:hAnsi="Times New Roman" w:cs="Times New Roman"/>
          <w:sz w:val="28"/>
          <w:szCs w:val="28"/>
        </w:rPr>
        <w:t xml:space="preserve"> соответственно, </w:t>
      </w:r>
      <w:r w:rsidR="00CC40E2" w:rsidRPr="00437528">
        <w:rPr>
          <w:rFonts w:ascii="Times New Roman" w:hAnsi="Times New Roman" w:cs="Times New Roman"/>
          <w:sz w:val="28"/>
          <w:szCs w:val="28"/>
          <w:lang w:val="en-US"/>
        </w:rPr>
        <w:t>p</w:t>
      </w:r>
      <w:r w:rsidR="00CC40E2" w:rsidRPr="00437528">
        <w:rPr>
          <w:rFonts w:ascii="Times New Roman" w:hAnsi="Times New Roman" w:cs="Times New Roman"/>
          <w:sz w:val="28"/>
          <w:szCs w:val="28"/>
        </w:rPr>
        <w:t>=0,8)</w:t>
      </w:r>
      <w:r w:rsidR="004003C9">
        <w:rPr>
          <w:rFonts w:ascii="Times New Roman" w:hAnsi="Times New Roman" w:cs="Times New Roman"/>
          <w:sz w:val="28"/>
          <w:szCs w:val="28"/>
        </w:rPr>
        <w:t xml:space="preserve">, березе </w:t>
      </w:r>
      <w:r w:rsidR="004003C9" w:rsidRPr="00437528">
        <w:rPr>
          <w:rFonts w:ascii="Times New Roman" w:eastAsia="Calibri" w:hAnsi="Times New Roman" w:cs="Times New Roman"/>
          <w:sz w:val="28"/>
          <w:szCs w:val="28"/>
        </w:rPr>
        <w:t>sIgE rBet v1</w:t>
      </w:r>
      <w:r w:rsidR="004003C9">
        <w:rPr>
          <w:rFonts w:ascii="Times New Roman" w:eastAsia="Calibri" w:hAnsi="Times New Roman" w:cs="Times New Roman"/>
          <w:sz w:val="28"/>
          <w:szCs w:val="28"/>
        </w:rPr>
        <w:t xml:space="preserve"> </w:t>
      </w:r>
      <w:r w:rsidR="004003C9" w:rsidRPr="00437528">
        <w:rPr>
          <w:rFonts w:ascii="Times New Roman" w:hAnsi="Times New Roman" w:cs="Times New Roman"/>
          <w:sz w:val="28"/>
          <w:szCs w:val="28"/>
        </w:rPr>
        <w:t>(</w:t>
      </w:r>
      <w:r w:rsidR="004003C9" w:rsidRPr="00437528">
        <w:rPr>
          <w:rFonts w:ascii="Times New Roman" w:eastAsia="Calibri" w:hAnsi="Times New Roman" w:cs="Times New Roman"/>
          <w:sz w:val="28"/>
          <w:szCs w:val="28"/>
        </w:rPr>
        <w:t xml:space="preserve">2,16 ЕД/мл </w:t>
      </w:r>
      <w:r w:rsidR="004003C9" w:rsidRPr="00437528">
        <w:rPr>
          <w:rFonts w:ascii="Times New Roman" w:hAnsi="Times New Roman" w:cs="Times New Roman"/>
          <w:sz w:val="28"/>
          <w:szCs w:val="28"/>
        </w:rPr>
        <w:t xml:space="preserve">и </w:t>
      </w:r>
      <w:r w:rsidR="004003C9" w:rsidRPr="00437528">
        <w:rPr>
          <w:rFonts w:ascii="Times New Roman" w:eastAsia="Calibri" w:hAnsi="Times New Roman" w:cs="Times New Roman"/>
          <w:sz w:val="28"/>
          <w:szCs w:val="28"/>
        </w:rPr>
        <w:t>2,96 Ед/мл</w:t>
      </w:r>
      <w:r w:rsidR="004003C9">
        <w:rPr>
          <w:rFonts w:ascii="Times New Roman" w:hAnsi="Times New Roman" w:cs="Times New Roman"/>
          <w:sz w:val="28"/>
          <w:szCs w:val="28"/>
        </w:rPr>
        <w:t xml:space="preserve"> соответственно, </w:t>
      </w:r>
      <w:r w:rsidR="004003C9" w:rsidRPr="00437528">
        <w:rPr>
          <w:rFonts w:ascii="Times New Roman" w:hAnsi="Times New Roman" w:cs="Times New Roman"/>
          <w:sz w:val="28"/>
          <w:szCs w:val="28"/>
          <w:lang w:val="en-US"/>
        </w:rPr>
        <w:t>p</w:t>
      </w:r>
      <w:r w:rsidR="004003C9" w:rsidRPr="00437528">
        <w:rPr>
          <w:rFonts w:ascii="Times New Roman" w:hAnsi="Times New Roman" w:cs="Times New Roman"/>
          <w:sz w:val="28"/>
          <w:szCs w:val="28"/>
        </w:rPr>
        <w:t>=0,06)</w:t>
      </w:r>
      <w:r w:rsidR="004003C9">
        <w:rPr>
          <w:rFonts w:ascii="Times New Roman" w:hAnsi="Times New Roman" w:cs="Times New Roman"/>
          <w:sz w:val="28"/>
          <w:szCs w:val="28"/>
        </w:rPr>
        <w:t xml:space="preserve">, полыни </w:t>
      </w:r>
      <w:r w:rsidR="004003C9" w:rsidRPr="00437528">
        <w:rPr>
          <w:rFonts w:ascii="Times New Roman" w:eastAsia="Calibri" w:hAnsi="Times New Roman" w:cs="Times New Roman"/>
          <w:sz w:val="28"/>
          <w:szCs w:val="28"/>
        </w:rPr>
        <w:t>sIgE nArt v1</w:t>
      </w:r>
      <w:r w:rsidR="004003C9">
        <w:rPr>
          <w:rFonts w:ascii="Times New Roman" w:eastAsia="Calibri" w:hAnsi="Times New Roman" w:cs="Times New Roman"/>
          <w:sz w:val="28"/>
          <w:szCs w:val="28"/>
        </w:rPr>
        <w:t xml:space="preserve"> </w:t>
      </w:r>
      <w:r w:rsidR="004003C9" w:rsidRPr="00437528">
        <w:rPr>
          <w:rFonts w:ascii="Times New Roman" w:hAnsi="Times New Roman" w:cs="Times New Roman"/>
          <w:sz w:val="28"/>
          <w:szCs w:val="28"/>
        </w:rPr>
        <w:t>(</w:t>
      </w:r>
      <w:r w:rsidR="004003C9" w:rsidRPr="00437528">
        <w:rPr>
          <w:rFonts w:ascii="Times New Roman" w:eastAsia="Calibri" w:hAnsi="Times New Roman" w:cs="Times New Roman"/>
          <w:sz w:val="28"/>
          <w:szCs w:val="28"/>
        </w:rPr>
        <w:t xml:space="preserve">2,03 ЕД/мл </w:t>
      </w:r>
      <w:r w:rsidR="004003C9" w:rsidRPr="00437528">
        <w:rPr>
          <w:rFonts w:ascii="Times New Roman" w:hAnsi="Times New Roman" w:cs="Times New Roman"/>
          <w:sz w:val="28"/>
          <w:szCs w:val="28"/>
        </w:rPr>
        <w:t xml:space="preserve">и </w:t>
      </w:r>
      <w:r w:rsidR="004003C9" w:rsidRPr="00437528">
        <w:rPr>
          <w:rFonts w:ascii="Times New Roman" w:eastAsia="Calibri" w:hAnsi="Times New Roman" w:cs="Times New Roman"/>
          <w:sz w:val="28"/>
          <w:szCs w:val="28"/>
        </w:rPr>
        <w:t>6,87 Ед/мл</w:t>
      </w:r>
      <w:r w:rsidR="004003C9">
        <w:rPr>
          <w:rFonts w:ascii="Times New Roman" w:hAnsi="Times New Roman" w:cs="Times New Roman"/>
          <w:sz w:val="28"/>
          <w:szCs w:val="28"/>
        </w:rPr>
        <w:t xml:space="preserve"> соответственно, </w:t>
      </w:r>
      <w:r w:rsidR="004003C9" w:rsidRPr="00437528">
        <w:rPr>
          <w:rFonts w:ascii="Times New Roman" w:hAnsi="Times New Roman" w:cs="Times New Roman"/>
          <w:sz w:val="28"/>
          <w:szCs w:val="28"/>
          <w:lang w:val="en-US"/>
        </w:rPr>
        <w:t>p</w:t>
      </w:r>
      <w:r w:rsidR="004003C9" w:rsidRPr="00437528">
        <w:rPr>
          <w:rFonts w:ascii="Times New Roman" w:hAnsi="Times New Roman" w:cs="Times New Roman"/>
          <w:sz w:val="28"/>
          <w:szCs w:val="28"/>
        </w:rPr>
        <w:t>=0,5)</w:t>
      </w:r>
      <w:r w:rsidR="004003C9">
        <w:rPr>
          <w:rFonts w:ascii="Times New Roman" w:hAnsi="Times New Roman" w:cs="Times New Roman"/>
          <w:sz w:val="28"/>
          <w:szCs w:val="28"/>
        </w:rPr>
        <w:t xml:space="preserve"> </w:t>
      </w:r>
      <w:r w:rsidR="00CC40E2">
        <w:rPr>
          <w:rFonts w:ascii="Times New Roman" w:hAnsi="Times New Roman" w:cs="Times New Roman"/>
          <w:sz w:val="28"/>
          <w:szCs w:val="28"/>
        </w:rPr>
        <w:t>были эффективно снижены в группе вмешательст</w:t>
      </w:r>
      <w:r w:rsidR="004003C9">
        <w:rPr>
          <w:rFonts w:ascii="Times New Roman" w:hAnsi="Times New Roman" w:cs="Times New Roman"/>
          <w:sz w:val="28"/>
          <w:szCs w:val="28"/>
        </w:rPr>
        <w:t>ва относительно группы контроля</w:t>
      </w:r>
      <w:r w:rsidRPr="006146D2">
        <w:rPr>
          <w:rFonts w:ascii="Times New Roman" w:hAnsi="Times New Roman" w:cs="Times New Roman"/>
          <w:sz w:val="28"/>
          <w:szCs w:val="28"/>
        </w:rPr>
        <w:t xml:space="preserve"> </w:t>
      </w:r>
      <w:r w:rsidR="00226F66">
        <w:rPr>
          <w:rFonts w:ascii="Times New Roman" w:eastAsia="Calibri" w:hAnsi="Times New Roman" w:cs="Times New Roman"/>
          <w:sz w:val="28"/>
          <w:szCs w:val="28"/>
        </w:rPr>
        <w:t>(Т</w:t>
      </w:r>
      <w:r w:rsidR="00EF089A" w:rsidRPr="006146D2">
        <w:rPr>
          <w:rFonts w:ascii="Times New Roman" w:eastAsia="Calibri" w:hAnsi="Times New Roman" w:cs="Times New Roman"/>
          <w:sz w:val="28"/>
          <w:szCs w:val="28"/>
        </w:rPr>
        <w:t>абл</w:t>
      </w:r>
      <w:r w:rsidR="00226F66">
        <w:rPr>
          <w:rFonts w:ascii="Times New Roman" w:eastAsia="Calibri" w:hAnsi="Times New Roman" w:cs="Times New Roman"/>
          <w:sz w:val="28"/>
          <w:szCs w:val="28"/>
        </w:rPr>
        <w:t>ица</w:t>
      </w:r>
      <w:r w:rsidR="00EF089A" w:rsidRPr="006146D2">
        <w:rPr>
          <w:rFonts w:ascii="Times New Roman" w:eastAsia="Calibri" w:hAnsi="Times New Roman" w:cs="Times New Roman"/>
          <w:sz w:val="28"/>
          <w:szCs w:val="28"/>
        </w:rPr>
        <w:t xml:space="preserve"> </w:t>
      </w:r>
      <w:r w:rsidR="00226F66" w:rsidRPr="006146D2">
        <w:rPr>
          <w:rFonts w:ascii="Times New Roman" w:eastAsia="Calibri" w:hAnsi="Times New Roman" w:cs="Times New Roman"/>
          <w:sz w:val="28"/>
          <w:szCs w:val="28"/>
        </w:rPr>
        <w:t>1</w:t>
      </w:r>
      <w:r w:rsidR="00226F66">
        <w:rPr>
          <w:rFonts w:ascii="Times New Roman" w:eastAsia="Calibri" w:hAnsi="Times New Roman" w:cs="Times New Roman"/>
          <w:sz w:val="28"/>
          <w:szCs w:val="28"/>
        </w:rPr>
        <w:t>3</w:t>
      </w:r>
      <w:r w:rsidRPr="006146D2">
        <w:rPr>
          <w:rFonts w:ascii="Times New Roman" w:eastAsia="Calibri" w:hAnsi="Times New Roman" w:cs="Times New Roman"/>
          <w:sz w:val="28"/>
          <w:szCs w:val="28"/>
        </w:rPr>
        <w:t>)</w:t>
      </w:r>
      <w:r w:rsidR="00812101" w:rsidRPr="006146D2">
        <w:rPr>
          <w:rFonts w:ascii="Times New Roman" w:eastAsia="Calibri" w:hAnsi="Times New Roman" w:cs="Times New Roman"/>
          <w:sz w:val="28"/>
          <w:szCs w:val="28"/>
        </w:rPr>
        <w:t xml:space="preserve"> </w:t>
      </w:r>
      <w:r w:rsidR="00812101" w:rsidRPr="006146D2">
        <w:rPr>
          <w:rFonts w:ascii="Times New Roman" w:eastAsia="Calibri" w:hAnsi="Times New Roman" w:cs="Times New Roman"/>
          <w:sz w:val="28"/>
          <w:szCs w:val="28"/>
        </w:rPr>
        <w:fldChar w:fldCharType="begin" w:fldLock="1"/>
      </w:r>
      <w:r w:rsidR="006B2D4C">
        <w:rPr>
          <w:rFonts w:ascii="Times New Roman" w:eastAsia="Calibri" w:hAnsi="Times New Roman" w:cs="Times New Roman"/>
          <w:sz w:val="28"/>
          <w:szCs w:val="28"/>
        </w:rPr>
        <w:instrText>ADDIN CSL_CITATION {"citationItems":[{"id":"ITEM-1","itemData":{"DOI":"10.15275/rusomj.2022.0205","author":[{"dropping-particle":"","family":"Izmailovich","given":"Marina R","non-dropping-particle":"","parse-names":false,"suffix":""},{"dropping-particle":"","family":"Gazalieva","given":"Meruert A","non-dropping-particle":"","parse-names":false,"suffix":""},{"dropping-particle":"","family":"Glushkova","given":"Natalya Ye","non-dropping-particle":"","parse-names":false,"suffix":""},{"dropping-particle":"","family":"Suleimenov","given":"Erlan M","non-dropping-particle":"","parse-names":false,"suffix":""},{"dropping-particle":"","family":"Suleimenov","given":"Yerzhan A","non-dropping-particle":"","parse-names":false,"suffix":""}],"container-title":"Russian Open Medical Journal","id":"ITEM-1","issue":"2","issued":{"date-parts":[["2022"]]},"page":"1-7","title":"Allergen-specific immunotherapy in combination with vitamin D in patients with seasonal allergic rhinitis","type":"article-journal","volume":"11"},"uris":["http://www.mendeley.com/documents/?uuid=02a1bc23-53e5-4c64-8901-5824eda823a1"]}],"mendeley":{"formattedCitation":"[152]","plainTextFormattedCitation":"[152]","previouslyFormattedCitation":"[152]"},"properties":{"noteIndex":0},"schema":"https://github.com/citation-style-language/schema/raw/master/csl-citation.json"}</w:instrText>
      </w:r>
      <w:r w:rsidR="00812101" w:rsidRPr="006146D2">
        <w:rPr>
          <w:rFonts w:ascii="Times New Roman" w:eastAsia="Calibri" w:hAnsi="Times New Roman" w:cs="Times New Roman"/>
          <w:sz w:val="28"/>
          <w:szCs w:val="28"/>
        </w:rPr>
        <w:fldChar w:fldCharType="separate"/>
      </w:r>
      <w:r w:rsidR="004028FD" w:rsidRPr="004028FD">
        <w:rPr>
          <w:rFonts w:ascii="Times New Roman" w:eastAsia="Calibri" w:hAnsi="Times New Roman" w:cs="Times New Roman"/>
          <w:noProof/>
          <w:sz w:val="28"/>
          <w:szCs w:val="28"/>
        </w:rPr>
        <w:t>[152]</w:t>
      </w:r>
      <w:r w:rsidR="00812101" w:rsidRPr="006146D2">
        <w:rPr>
          <w:rFonts w:ascii="Times New Roman" w:eastAsia="Calibri" w:hAnsi="Times New Roman" w:cs="Times New Roman"/>
          <w:sz w:val="28"/>
          <w:szCs w:val="28"/>
        </w:rPr>
        <w:fldChar w:fldCharType="end"/>
      </w:r>
      <w:r w:rsidRPr="006146D2">
        <w:rPr>
          <w:rFonts w:ascii="Times New Roman" w:hAnsi="Times New Roman" w:cs="Times New Roman"/>
          <w:sz w:val="28"/>
          <w:szCs w:val="28"/>
        </w:rPr>
        <w:t xml:space="preserve">. </w:t>
      </w:r>
    </w:p>
    <w:p w14:paraId="7B6B066B" w14:textId="52C0DC6C" w:rsidR="00437528" w:rsidRPr="002A5F7A" w:rsidRDefault="004312D5" w:rsidP="00EE7215">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Динамическая оценка э</w:t>
      </w:r>
      <w:r w:rsidR="00437528" w:rsidRPr="006146D2">
        <w:rPr>
          <w:rFonts w:ascii="Times New Roman" w:eastAsia="Calibri" w:hAnsi="Times New Roman" w:cs="Times New Roman"/>
          <w:sz w:val="28"/>
          <w:szCs w:val="28"/>
        </w:rPr>
        <w:t xml:space="preserve">ффективность АСИТ </w:t>
      </w:r>
      <w:r>
        <w:rPr>
          <w:rFonts w:ascii="Times New Roman" w:eastAsia="Calibri" w:hAnsi="Times New Roman" w:cs="Times New Roman"/>
          <w:sz w:val="28"/>
          <w:szCs w:val="28"/>
        </w:rPr>
        <w:t>внутри групп исследования была</w:t>
      </w:r>
      <w:r w:rsidR="00437528" w:rsidRPr="00437528">
        <w:rPr>
          <w:rFonts w:ascii="Times New Roman" w:eastAsia="Calibri" w:hAnsi="Times New Roman" w:cs="Times New Roman"/>
          <w:sz w:val="28"/>
          <w:szCs w:val="28"/>
        </w:rPr>
        <w:t xml:space="preserve"> проведена </w:t>
      </w:r>
      <w:r>
        <w:rPr>
          <w:rFonts w:ascii="Times New Roman" w:eastAsia="Calibri" w:hAnsi="Times New Roman" w:cs="Times New Roman"/>
          <w:sz w:val="28"/>
          <w:szCs w:val="28"/>
        </w:rPr>
        <w:t>с использованием медианы</w:t>
      </w:r>
      <w:r w:rsidR="00437528" w:rsidRPr="00437528">
        <w:rPr>
          <w:rFonts w:ascii="Times New Roman" w:eastAsia="Calibri" w:hAnsi="Times New Roman" w:cs="Times New Roman"/>
          <w:sz w:val="28"/>
          <w:szCs w:val="28"/>
        </w:rPr>
        <w:t xml:space="preserve"> показателя </w:t>
      </w:r>
      <w:r>
        <w:rPr>
          <w:rFonts w:ascii="Times New Roman" w:eastAsia="Calibri" w:hAnsi="Times New Roman" w:cs="Times New Roman"/>
          <w:sz w:val="28"/>
          <w:szCs w:val="28"/>
        </w:rPr>
        <w:t>и</w:t>
      </w:r>
      <w:r w:rsidR="00437528" w:rsidRPr="00437528">
        <w:rPr>
          <w:rFonts w:ascii="Times New Roman" w:eastAsia="Calibri" w:hAnsi="Times New Roman" w:cs="Times New Roman"/>
          <w:sz w:val="28"/>
          <w:szCs w:val="28"/>
        </w:rPr>
        <w:t xml:space="preserve"> критерия Уилкоксона.</w:t>
      </w:r>
      <w:r w:rsidR="0007459B">
        <w:rPr>
          <w:rFonts w:ascii="Times New Roman" w:eastAsia="Calibri" w:hAnsi="Times New Roman" w:cs="Times New Roman"/>
          <w:sz w:val="28"/>
          <w:szCs w:val="28"/>
        </w:rPr>
        <w:t xml:space="preserve"> </w:t>
      </w:r>
      <w:r w:rsidR="00437528" w:rsidRPr="00437528">
        <w:rPr>
          <w:rFonts w:ascii="Times New Roman" w:eastAsia="Calibri" w:hAnsi="Times New Roman" w:cs="Times New Roman"/>
          <w:sz w:val="28"/>
          <w:szCs w:val="28"/>
        </w:rPr>
        <w:t xml:space="preserve">В группе вмешательства наблюдалась </w:t>
      </w:r>
      <w:r w:rsidR="00E17822">
        <w:rPr>
          <w:rFonts w:ascii="Times New Roman" w:eastAsia="Calibri" w:hAnsi="Times New Roman" w:cs="Times New Roman"/>
          <w:sz w:val="28"/>
          <w:szCs w:val="28"/>
        </w:rPr>
        <w:t>эффективная</w:t>
      </w:r>
      <w:r w:rsidR="00437528" w:rsidRPr="00437528">
        <w:rPr>
          <w:rFonts w:ascii="Times New Roman" w:eastAsia="Calibri" w:hAnsi="Times New Roman" w:cs="Times New Roman"/>
          <w:sz w:val="28"/>
          <w:szCs w:val="28"/>
        </w:rPr>
        <w:t xml:space="preserve"> динамика снижения ЭКБ с </w:t>
      </w:r>
      <w:r w:rsidR="00437528" w:rsidRPr="00437528">
        <w:rPr>
          <w:rFonts w:ascii="Times New Roman" w:hAnsi="Times New Roman" w:cs="Times New Roman"/>
          <w:sz w:val="28"/>
          <w:szCs w:val="28"/>
        </w:rPr>
        <w:t>46,2 нг/мл до 32,61 нг/мл</w:t>
      </w:r>
      <w:r w:rsidR="00437528" w:rsidRPr="00437528">
        <w:rPr>
          <w:rFonts w:ascii="Times New Roman" w:hAnsi="Times New Roman" w:cs="Times New Roman"/>
          <w:sz w:val="24"/>
          <w:szCs w:val="24"/>
        </w:rPr>
        <w:t xml:space="preserve"> </w:t>
      </w:r>
      <w:r w:rsidR="00437528" w:rsidRPr="00437528">
        <w:rPr>
          <w:rFonts w:ascii="Times New Roman" w:eastAsia="Calibri" w:hAnsi="Times New Roman" w:cs="Times New Roman"/>
          <w:sz w:val="28"/>
          <w:szCs w:val="28"/>
        </w:rPr>
        <w:t>(</w:t>
      </w:r>
      <w:r w:rsidR="00437528" w:rsidRPr="00437528">
        <w:rPr>
          <w:rFonts w:ascii="Times New Roman" w:eastAsia="Calibri" w:hAnsi="Times New Roman" w:cs="Times New Roman"/>
          <w:sz w:val="28"/>
          <w:szCs w:val="28"/>
          <w:lang w:val="en-US"/>
        </w:rPr>
        <w:t>p</w:t>
      </w:r>
      <w:r w:rsidR="00437528" w:rsidRPr="00437528">
        <w:rPr>
          <w:rFonts w:ascii="Times New Roman" w:eastAsia="Calibri" w:hAnsi="Times New Roman" w:cs="Times New Roman"/>
          <w:sz w:val="28"/>
          <w:szCs w:val="28"/>
        </w:rPr>
        <w:t>&lt;0,001), общего ИГЕ с 387,2 Ед/мл до 209,6 Ед/мл (</w:t>
      </w:r>
      <w:r w:rsidR="00437528" w:rsidRPr="00437528">
        <w:rPr>
          <w:rFonts w:ascii="Times New Roman" w:eastAsia="Calibri" w:hAnsi="Times New Roman" w:cs="Times New Roman"/>
          <w:sz w:val="28"/>
          <w:szCs w:val="28"/>
          <w:lang w:val="en-US"/>
        </w:rPr>
        <w:t>p</w:t>
      </w:r>
      <w:r w:rsidR="00437528" w:rsidRPr="00437528">
        <w:rPr>
          <w:rFonts w:ascii="Times New Roman" w:eastAsia="Calibri" w:hAnsi="Times New Roman" w:cs="Times New Roman"/>
          <w:sz w:val="28"/>
          <w:szCs w:val="28"/>
        </w:rPr>
        <w:t>&lt;0,005),</w:t>
      </w:r>
      <w:r w:rsidR="0007459B">
        <w:rPr>
          <w:rFonts w:ascii="Times New Roman" w:eastAsia="Calibri" w:hAnsi="Times New Roman" w:cs="Times New Roman"/>
          <w:sz w:val="28"/>
          <w:szCs w:val="28"/>
        </w:rPr>
        <w:t xml:space="preserve"> </w:t>
      </w:r>
      <w:r w:rsidR="00437528" w:rsidRPr="00437528">
        <w:rPr>
          <w:rFonts w:ascii="Times New Roman" w:eastAsia="Calibri" w:hAnsi="Times New Roman" w:cs="Times New Roman"/>
          <w:sz w:val="28"/>
          <w:szCs w:val="28"/>
        </w:rPr>
        <w:t>а также специфического ИГЕ к аллергенам: sIgE rPhlp1 с 9,9 Ед/мл до 5,3 Ед/мл (p&lt;0,001), sIgE rPhlp5 с 14,7 Ед/мл до 7,3 ЕД/мл (p&lt;0,05), sIgE rBet v1с 5,06 Ед/мл до 2,16 Ед/мл (p&lt;0,05), sIgE nArt v1 с 4,47 Ед/мл до 2,03 Ед/мл (p&lt;0,001), sIgE nAmb a1 с 5,99 Ед/мл до 3,01 Ед/мл (p&lt;0,001). Уровень витамина Д показал прирост показателя с 16,</w:t>
      </w:r>
      <w:r w:rsidR="00812101">
        <w:rPr>
          <w:rFonts w:ascii="Times New Roman" w:eastAsia="Calibri" w:hAnsi="Times New Roman" w:cs="Times New Roman"/>
          <w:sz w:val="28"/>
          <w:szCs w:val="28"/>
        </w:rPr>
        <w:t xml:space="preserve">32 нг/мл до 37,6 нг/л (p&lt;0,001). </w:t>
      </w:r>
      <w:r w:rsidR="00437528" w:rsidRPr="00437528">
        <w:rPr>
          <w:rFonts w:ascii="Times New Roman" w:eastAsia="Calibri" w:hAnsi="Times New Roman" w:cs="Times New Roman"/>
          <w:sz w:val="28"/>
          <w:szCs w:val="28"/>
        </w:rPr>
        <w:t xml:space="preserve">В группе контроля </w:t>
      </w:r>
      <w:r w:rsidR="00E17822">
        <w:rPr>
          <w:rFonts w:ascii="Times New Roman" w:eastAsia="Calibri" w:hAnsi="Times New Roman" w:cs="Times New Roman"/>
          <w:sz w:val="28"/>
          <w:szCs w:val="28"/>
        </w:rPr>
        <w:t>была также отмечена</w:t>
      </w:r>
      <w:r w:rsidR="00437528" w:rsidRPr="00437528">
        <w:rPr>
          <w:rFonts w:ascii="Times New Roman" w:eastAsia="Calibri" w:hAnsi="Times New Roman" w:cs="Times New Roman"/>
          <w:sz w:val="28"/>
          <w:szCs w:val="28"/>
        </w:rPr>
        <w:t xml:space="preserve"> динамика снижения</w:t>
      </w:r>
      <w:r w:rsidR="00E17822">
        <w:rPr>
          <w:rFonts w:ascii="Times New Roman" w:eastAsia="Calibri" w:hAnsi="Times New Roman" w:cs="Times New Roman"/>
          <w:sz w:val="28"/>
          <w:szCs w:val="28"/>
        </w:rPr>
        <w:t xml:space="preserve"> показателей</w:t>
      </w:r>
      <w:r w:rsidR="00437528" w:rsidRPr="00437528">
        <w:rPr>
          <w:rFonts w:ascii="Times New Roman" w:eastAsia="Calibri" w:hAnsi="Times New Roman" w:cs="Times New Roman"/>
          <w:sz w:val="28"/>
          <w:szCs w:val="28"/>
        </w:rPr>
        <w:t xml:space="preserve"> ЭКБ с </w:t>
      </w:r>
      <w:r w:rsidR="00437528" w:rsidRPr="00437528">
        <w:rPr>
          <w:rFonts w:ascii="Times New Roman" w:hAnsi="Times New Roman" w:cs="Times New Roman"/>
          <w:sz w:val="28"/>
          <w:szCs w:val="28"/>
        </w:rPr>
        <w:t>47,4 нг/мл до 40,28 нг/мл</w:t>
      </w:r>
      <w:r w:rsidR="00437528" w:rsidRPr="00437528">
        <w:rPr>
          <w:rFonts w:ascii="Times New Roman" w:hAnsi="Times New Roman" w:cs="Times New Roman"/>
          <w:sz w:val="24"/>
          <w:szCs w:val="24"/>
        </w:rPr>
        <w:t xml:space="preserve"> </w:t>
      </w:r>
      <w:r w:rsidR="00437528" w:rsidRPr="00437528">
        <w:rPr>
          <w:rFonts w:ascii="Times New Roman" w:eastAsia="Calibri" w:hAnsi="Times New Roman" w:cs="Times New Roman"/>
          <w:sz w:val="28"/>
          <w:szCs w:val="28"/>
        </w:rPr>
        <w:t>(</w:t>
      </w:r>
      <w:r w:rsidR="00437528" w:rsidRPr="00437528">
        <w:rPr>
          <w:rFonts w:ascii="Times New Roman" w:eastAsia="Calibri" w:hAnsi="Times New Roman" w:cs="Times New Roman"/>
          <w:sz w:val="28"/>
          <w:szCs w:val="28"/>
          <w:lang w:val="en-US"/>
        </w:rPr>
        <w:t>p</w:t>
      </w:r>
      <w:r w:rsidR="00437528" w:rsidRPr="00437528">
        <w:rPr>
          <w:rFonts w:ascii="Times New Roman" w:eastAsia="Calibri" w:hAnsi="Times New Roman" w:cs="Times New Roman"/>
          <w:sz w:val="28"/>
          <w:szCs w:val="28"/>
        </w:rPr>
        <w:t>&lt;0,001), общего ИГЕ с 365,3 Ед/мл до 299,75 Ед/мл (</w:t>
      </w:r>
      <w:r w:rsidR="00437528" w:rsidRPr="00437528">
        <w:rPr>
          <w:rFonts w:ascii="Times New Roman" w:eastAsia="Calibri" w:hAnsi="Times New Roman" w:cs="Times New Roman"/>
          <w:sz w:val="28"/>
          <w:szCs w:val="28"/>
          <w:lang w:val="en-US"/>
        </w:rPr>
        <w:t>p</w:t>
      </w:r>
      <w:r w:rsidR="00437528" w:rsidRPr="00437528">
        <w:rPr>
          <w:rFonts w:ascii="Times New Roman" w:eastAsia="Calibri" w:hAnsi="Times New Roman" w:cs="Times New Roman"/>
          <w:sz w:val="28"/>
          <w:szCs w:val="28"/>
        </w:rPr>
        <w:t>&lt;0,001),</w:t>
      </w:r>
      <w:r w:rsidR="0007459B">
        <w:rPr>
          <w:rFonts w:ascii="Times New Roman" w:eastAsia="Calibri" w:hAnsi="Times New Roman" w:cs="Times New Roman"/>
          <w:sz w:val="28"/>
          <w:szCs w:val="28"/>
        </w:rPr>
        <w:t xml:space="preserve"> </w:t>
      </w:r>
      <w:r w:rsidR="00437528" w:rsidRPr="00437528">
        <w:rPr>
          <w:rFonts w:ascii="Times New Roman" w:eastAsia="Calibri" w:hAnsi="Times New Roman" w:cs="Times New Roman"/>
          <w:sz w:val="28"/>
          <w:szCs w:val="28"/>
        </w:rPr>
        <w:t>а также специфического ИГЕ к аллергенам: sIgE rPhlp1 с 6,7 Ед/мл до 5,4 Ед/мл (p&lt;0,001), sIgE rPhlp5 с 10,2 Ед/мл до 8,0 ЕД/мл (p&gt;0,05), sIgE rBet v1с 3,68 Ед/мл до 2,96 Ед/мл (p=0,01), sIgE nArt v1 с 9</w:t>
      </w:r>
      <w:r w:rsidR="00437528" w:rsidRPr="002A5F7A">
        <w:rPr>
          <w:rFonts w:ascii="Times New Roman" w:eastAsia="Calibri" w:hAnsi="Times New Roman" w:cs="Times New Roman"/>
          <w:sz w:val="28"/>
          <w:szCs w:val="28"/>
        </w:rPr>
        <w:t xml:space="preserve">,45 Ед/мл до 6,87 Ед/мл (p&lt;0,001), sIgE nAmb a1 с 3,38 </w:t>
      </w:r>
      <w:r w:rsidR="00E17822">
        <w:rPr>
          <w:rFonts w:ascii="Times New Roman" w:eastAsia="Calibri" w:hAnsi="Times New Roman" w:cs="Times New Roman"/>
          <w:sz w:val="28"/>
          <w:szCs w:val="28"/>
        </w:rPr>
        <w:t>Ед/мл до 2,59 Ед/мл (p&lt;0,001). Однако, у</w:t>
      </w:r>
      <w:r w:rsidR="00437528" w:rsidRPr="002A5F7A">
        <w:rPr>
          <w:rFonts w:ascii="Times New Roman" w:eastAsia="Calibri" w:hAnsi="Times New Roman" w:cs="Times New Roman"/>
          <w:sz w:val="28"/>
          <w:szCs w:val="28"/>
        </w:rPr>
        <w:t xml:space="preserve">ровень витамина Д </w:t>
      </w:r>
      <w:r w:rsidR="00E17822">
        <w:rPr>
          <w:rFonts w:ascii="Times New Roman" w:eastAsia="Calibri" w:hAnsi="Times New Roman" w:cs="Times New Roman"/>
          <w:sz w:val="28"/>
          <w:szCs w:val="28"/>
        </w:rPr>
        <w:t>продолжал</w:t>
      </w:r>
      <w:r w:rsidR="00437528" w:rsidRPr="002A5F7A">
        <w:rPr>
          <w:rFonts w:ascii="Times New Roman" w:eastAsia="Calibri" w:hAnsi="Times New Roman" w:cs="Times New Roman"/>
          <w:sz w:val="28"/>
          <w:szCs w:val="28"/>
        </w:rPr>
        <w:t xml:space="preserve"> </w:t>
      </w:r>
      <w:r w:rsidR="00E17822">
        <w:rPr>
          <w:rFonts w:ascii="Times New Roman" w:eastAsia="Calibri" w:hAnsi="Times New Roman" w:cs="Times New Roman"/>
          <w:sz w:val="28"/>
          <w:szCs w:val="28"/>
        </w:rPr>
        <w:t>снижаться</w:t>
      </w:r>
      <w:r w:rsidR="00437528" w:rsidRPr="002A5F7A">
        <w:rPr>
          <w:rFonts w:ascii="Times New Roman" w:eastAsia="Calibri" w:hAnsi="Times New Roman" w:cs="Times New Roman"/>
          <w:sz w:val="28"/>
          <w:szCs w:val="28"/>
        </w:rPr>
        <w:t xml:space="preserve"> с 15,65 нг/мл до 13,4 нг/л (p&lt;0,001) </w:t>
      </w:r>
      <w:r w:rsidR="00EF089A" w:rsidRPr="002A5F7A">
        <w:rPr>
          <w:rFonts w:ascii="Times New Roman" w:eastAsia="Calibri" w:hAnsi="Times New Roman" w:cs="Times New Roman"/>
          <w:sz w:val="28"/>
          <w:szCs w:val="28"/>
        </w:rPr>
        <w:t>(</w:t>
      </w:r>
      <w:r w:rsidR="00226F66">
        <w:rPr>
          <w:rFonts w:ascii="Times New Roman" w:eastAsia="Calibri" w:hAnsi="Times New Roman" w:cs="Times New Roman"/>
          <w:sz w:val="28"/>
          <w:szCs w:val="28"/>
        </w:rPr>
        <w:t>Т</w:t>
      </w:r>
      <w:r w:rsidR="00226F66" w:rsidRPr="006146D2">
        <w:rPr>
          <w:rFonts w:ascii="Times New Roman" w:eastAsia="Calibri" w:hAnsi="Times New Roman" w:cs="Times New Roman"/>
          <w:sz w:val="28"/>
          <w:szCs w:val="28"/>
        </w:rPr>
        <w:t>абл</w:t>
      </w:r>
      <w:r w:rsidR="00226F66">
        <w:rPr>
          <w:rFonts w:ascii="Times New Roman" w:eastAsia="Calibri" w:hAnsi="Times New Roman" w:cs="Times New Roman"/>
          <w:sz w:val="28"/>
          <w:szCs w:val="28"/>
        </w:rPr>
        <w:t>ица</w:t>
      </w:r>
      <w:r w:rsidR="00226F66" w:rsidRPr="006146D2">
        <w:rPr>
          <w:rFonts w:ascii="Times New Roman" w:eastAsia="Calibri" w:hAnsi="Times New Roman" w:cs="Times New Roman"/>
          <w:sz w:val="28"/>
          <w:szCs w:val="28"/>
        </w:rPr>
        <w:t xml:space="preserve"> 1</w:t>
      </w:r>
      <w:r w:rsidR="00226F66">
        <w:rPr>
          <w:rFonts w:ascii="Times New Roman" w:eastAsia="Calibri" w:hAnsi="Times New Roman" w:cs="Times New Roman"/>
          <w:sz w:val="28"/>
          <w:szCs w:val="28"/>
        </w:rPr>
        <w:t>3</w:t>
      </w:r>
      <w:r w:rsidR="00437528" w:rsidRPr="002A5F7A">
        <w:rPr>
          <w:rFonts w:ascii="Times New Roman" w:eastAsia="Calibri" w:hAnsi="Times New Roman" w:cs="Times New Roman"/>
          <w:sz w:val="28"/>
          <w:szCs w:val="28"/>
        </w:rPr>
        <w:t>)</w:t>
      </w:r>
      <w:r w:rsidR="00812101" w:rsidRPr="002A5F7A">
        <w:rPr>
          <w:rFonts w:ascii="Times New Roman" w:eastAsia="Calibri" w:hAnsi="Times New Roman" w:cs="Times New Roman"/>
          <w:sz w:val="28"/>
          <w:szCs w:val="28"/>
        </w:rPr>
        <w:t xml:space="preserve"> </w:t>
      </w:r>
      <w:r w:rsidR="00812101" w:rsidRPr="002A5F7A">
        <w:rPr>
          <w:rFonts w:ascii="Times New Roman" w:eastAsia="Calibri" w:hAnsi="Times New Roman" w:cs="Times New Roman"/>
          <w:sz w:val="28"/>
          <w:szCs w:val="28"/>
        </w:rPr>
        <w:fldChar w:fldCharType="begin" w:fldLock="1"/>
      </w:r>
      <w:r w:rsidR="006B2D4C">
        <w:rPr>
          <w:rFonts w:ascii="Times New Roman" w:eastAsia="Calibri" w:hAnsi="Times New Roman" w:cs="Times New Roman"/>
          <w:sz w:val="28"/>
          <w:szCs w:val="28"/>
        </w:rPr>
        <w:instrText>ADDIN CSL_CITATION {"citationItems":[{"id":"ITEM-1","itemData":{"DOI":"10.15275/rusomj.2022.0205","author":[{"dropping-particle":"","family":"Izmailovich","given":"Marina R","non-dropping-particle":"","parse-names":false,"suffix":""},{"dropping-particle":"","family":"Gazalieva","given":"Meruert A","non-dropping-particle":"","parse-names":false,"suffix":""},{"dropping-particle":"","family":"Glushkova","given":"Natalya Ye","non-dropping-particle":"","parse-names":false,"suffix":""},{"dropping-particle":"","family":"Suleimenov","given":"Erlan M","non-dropping-particle":"","parse-names":false,"suffix":""},{"dropping-particle":"","family":"Suleimenov","given":"Yerzhan A","non-dropping-particle":"","parse-names":false,"suffix":""}],"container-title":"Russian Open Medical Journal","id":"ITEM-1","issue":"2","issued":{"date-parts":[["2022"]]},"page":"1-7","title":"Allergen-specific immunotherapy in combination with vitamin D in patients with seasonal allergic rhinitis","type":"article-journal","volume":"11"},"uris":["http://www.mendeley.com/documents/?uuid=02a1bc23-53e5-4c64-8901-5824eda823a1"]}],"mendeley":{"formattedCitation":"[152]","plainTextFormattedCitation":"[152]","previouslyFormattedCitation":"[152]"},"properties":{"noteIndex":0},"schema":"https://github.com/citation-style-language/schema/raw/master/csl-citation.json"}</w:instrText>
      </w:r>
      <w:r w:rsidR="00812101" w:rsidRPr="002A5F7A">
        <w:rPr>
          <w:rFonts w:ascii="Times New Roman" w:eastAsia="Calibri" w:hAnsi="Times New Roman" w:cs="Times New Roman"/>
          <w:sz w:val="28"/>
          <w:szCs w:val="28"/>
        </w:rPr>
        <w:fldChar w:fldCharType="separate"/>
      </w:r>
      <w:r w:rsidR="004028FD" w:rsidRPr="004028FD">
        <w:rPr>
          <w:rFonts w:ascii="Times New Roman" w:eastAsia="Calibri" w:hAnsi="Times New Roman" w:cs="Times New Roman"/>
          <w:noProof/>
          <w:sz w:val="28"/>
          <w:szCs w:val="28"/>
        </w:rPr>
        <w:t>[152]</w:t>
      </w:r>
      <w:r w:rsidR="00812101" w:rsidRPr="002A5F7A">
        <w:rPr>
          <w:rFonts w:ascii="Times New Roman" w:eastAsia="Calibri" w:hAnsi="Times New Roman" w:cs="Times New Roman"/>
          <w:sz w:val="28"/>
          <w:szCs w:val="28"/>
        </w:rPr>
        <w:fldChar w:fldCharType="end"/>
      </w:r>
      <w:r w:rsidR="00437528" w:rsidRPr="002A5F7A">
        <w:rPr>
          <w:rFonts w:ascii="Times New Roman" w:eastAsia="Calibri" w:hAnsi="Times New Roman" w:cs="Times New Roman"/>
          <w:sz w:val="28"/>
          <w:szCs w:val="28"/>
        </w:rPr>
        <w:t>.</w:t>
      </w:r>
    </w:p>
    <w:p w14:paraId="13D0CBF4" w14:textId="3E27D01B" w:rsidR="00437528" w:rsidRPr="00437528" w:rsidRDefault="00437528" w:rsidP="007D35BD">
      <w:pPr>
        <w:spacing w:after="0" w:line="240" w:lineRule="auto"/>
        <w:ind w:firstLine="567"/>
        <w:jc w:val="both"/>
        <w:rPr>
          <w:rFonts w:ascii="Times New Roman" w:hAnsi="Times New Roman" w:cs="Times New Roman"/>
          <w:sz w:val="28"/>
          <w:szCs w:val="28"/>
        </w:rPr>
      </w:pPr>
      <w:r w:rsidRPr="002A5F7A">
        <w:rPr>
          <w:rFonts w:ascii="Times New Roman" w:eastAsia="Calibri" w:hAnsi="Times New Roman" w:cs="Times New Roman"/>
          <w:sz w:val="28"/>
          <w:szCs w:val="28"/>
        </w:rPr>
        <w:t>Резюмируя раздел</w:t>
      </w:r>
      <w:r w:rsidRPr="00437528">
        <w:rPr>
          <w:rFonts w:ascii="Times New Roman" w:eastAsia="Calibri" w:hAnsi="Times New Roman" w:cs="Times New Roman"/>
          <w:sz w:val="28"/>
          <w:szCs w:val="28"/>
        </w:rPr>
        <w:t xml:space="preserve"> результатов лабораторного исследования, мы выявили, что в группе вмешательства (АСИТ + витамин Д) после лечения была достигнута </w:t>
      </w:r>
      <w:r w:rsidRPr="00437528">
        <w:rPr>
          <w:rFonts w:ascii="Times New Roman" w:hAnsi="Times New Roman" w:cs="Times New Roman"/>
          <w:sz w:val="28"/>
          <w:szCs w:val="28"/>
        </w:rPr>
        <w:t xml:space="preserve">высокая эффективность снижения </w:t>
      </w:r>
      <w:r w:rsidR="00354D36">
        <w:rPr>
          <w:rFonts w:ascii="Times New Roman" w:eastAsia="Calibri" w:hAnsi="Times New Roman" w:cs="Times New Roman"/>
          <w:sz w:val="28"/>
          <w:szCs w:val="28"/>
        </w:rPr>
        <w:t>показателей ЭКБ</w:t>
      </w:r>
      <w:r w:rsidR="00285359">
        <w:rPr>
          <w:rFonts w:ascii="Times New Roman" w:eastAsia="Calibri" w:hAnsi="Times New Roman" w:cs="Times New Roman"/>
          <w:sz w:val="28"/>
          <w:szCs w:val="28"/>
        </w:rPr>
        <w:t xml:space="preserve"> (</w:t>
      </w:r>
      <w:r w:rsidR="00285359" w:rsidRPr="00437528">
        <w:rPr>
          <w:rFonts w:ascii="Times New Roman" w:hAnsi="Times New Roman" w:cs="Times New Roman"/>
          <w:sz w:val="28"/>
          <w:szCs w:val="28"/>
        </w:rPr>
        <w:t>32,61</w:t>
      </w:r>
      <w:r w:rsidR="00285359">
        <w:rPr>
          <w:rFonts w:ascii="Times New Roman" w:hAnsi="Times New Roman" w:cs="Times New Roman"/>
          <w:sz w:val="28"/>
          <w:szCs w:val="28"/>
        </w:rPr>
        <w:t xml:space="preserve"> нг/мл и </w:t>
      </w:r>
      <w:r w:rsidR="00285359" w:rsidRPr="00437528">
        <w:rPr>
          <w:rFonts w:ascii="Times New Roman" w:hAnsi="Times New Roman" w:cs="Times New Roman"/>
          <w:sz w:val="28"/>
          <w:szCs w:val="28"/>
        </w:rPr>
        <w:t>40,28 нг/мл</w:t>
      </w:r>
      <w:r w:rsidR="00285359">
        <w:rPr>
          <w:rFonts w:ascii="Times New Roman" w:hAnsi="Times New Roman" w:cs="Times New Roman"/>
          <w:sz w:val="28"/>
          <w:szCs w:val="28"/>
        </w:rPr>
        <w:t xml:space="preserve"> соответственно, р=</w:t>
      </w:r>
      <w:r w:rsidR="00855A90" w:rsidRPr="00855A90">
        <w:rPr>
          <w:rFonts w:ascii="Times New Roman" w:hAnsi="Times New Roman" w:cs="Times New Roman"/>
          <w:sz w:val="28"/>
          <w:szCs w:val="28"/>
        </w:rPr>
        <w:t>0,006</w:t>
      </w:r>
      <w:r w:rsidR="00285359">
        <w:rPr>
          <w:rFonts w:ascii="Times New Roman" w:eastAsia="Calibri" w:hAnsi="Times New Roman" w:cs="Times New Roman"/>
          <w:sz w:val="28"/>
          <w:szCs w:val="28"/>
        </w:rPr>
        <w:t>)</w:t>
      </w:r>
      <w:r w:rsidR="00354D36">
        <w:rPr>
          <w:rFonts w:ascii="Times New Roman" w:eastAsia="Calibri" w:hAnsi="Times New Roman" w:cs="Times New Roman"/>
          <w:sz w:val="28"/>
          <w:szCs w:val="28"/>
        </w:rPr>
        <w:t>,</w:t>
      </w:r>
      <w:r w:rsidRPr="00437528">
        <w:rPr>
          <w:rFonts w:ascii="Times New Roman" w:eastAsia="Calibri" w:hAnsi="Times New Roman" w:cs="Times New Roman"/>
          <w:sz w:val="28"/>
          <w:szCs w:val="28"/>
        </w:rPr>
        <w:t xml:space="preserve"> общего</w:t>
      </w:r>
      <w:r w:rsidR="00285359">
        <w:rPr>
          <w:rFonts w:ascii="Times New Roman" w:eastAsia="Calibri" w:hAnsi="Times New Roman" w:cs="Times New Roman"/>
          <w:sz w:val="28"/>
          <w:szCs w:val="28"/>
        </w:rPr>
        <w:t xml:space="preserve"> ИГЕ (</w:t>
      </w:r>
      <w:r w:rsidR="00285359" w:rsidRPr="00437528">
        <w:rPr>
          <w:rFonts w:ascii="Times New Roman" w:eastAsia="Calibri" w:hAnsi="Times New Roman" w:cs="Times New Roman"/>
          <w:sz w:val="28"/>
          <w:szCs w:val="28"/>
        </w:rPr>
        <w:t>209,6 Ед/мл</w:t>
      </w:r>
      <w:r w:rsidR="00285359">
        <w:rPr>
          <w:rFonts w:ascii="Times New Roman" w:eastAsia="Calibri" w:hAnsi="Times New Roman" w:cs="Times New Roman"/>
          <w:sz w:val="28"/>
          <w:szCs w:val="28"/>
        </w:rPr>
        <w:t xml:space="preserve"> и </w:t>
      </w:r>
      <w:r w:rsidR="00285359" w:rsidRPr="00437528">
        <w:rPr>
          <w:rFonts w:ascii="Times New Roman" w:eastAsia="Calibri" w:hAnsi="Times New Roman" w:cs="Times New Roman"/>
          <w:sz w:val="28"/>
          <w:szCs w:val="28"/>
        </w:rPr>
        <w:t>299,75 Ед/мл</w:t>
      </w:r>
      <w:r w:rsidR="00285359">
        <w:rPr>
          <w:rFonts w:ascii="Times New Roman" w:eastAsia="Calibri" w:hAnsi="Times New Roman" w:cs="Times New Roman"/>
          <w:sz w:val="28"/>
          <w:szCs w:val="28"/>
        </w:rPr>
        <w:t xml:space="preserve"> соответственно, р=</w:t>
      </w:r>
      <w:r w:rsidR="00855A90" w:rsidRPr="00855A90">
        <w:rPr>
          <w:rFonts w:ascii="Times New Roman" w:eastAsia="Calibri" w:hAnsi="Times New Roman" w:cs="Times New Roman"/>
          <w:sz w:val="28"/>
          <w:szCs w:val="28"/>
        </w:rPr>
        <w:t>0,004</w:t>
      </w:r>
      <w:r w:rsidR="00285359">
        <w:rPr>
          <w:rFonts w:ascii="Times New Roman" w:eastAsia="Calibri" w:hAnsi="Times New Roman" w:cs="Times New Roman"/>
          <w:sz w:val="28"/>
          <w:szCs w:val="28"/>
        </w:rPr>
        <w:t>)</w:t>
      </w:r>
      <w:r w:rsidR="00A72231">
        <w:rPr>
          <w:rFonts w:ascii="Times New Roman" w:eastAsia="Calibri" w:hAnsi="Times New Roman" w:cs="Times New Roman"/>
          <w:sz w:val="28"/>
          <w:szCs w:val="28"/>
        </w:rPr>
        <w:t xml:space="preserve">, </w:t>
      </w:r>
      <w:r w:rsidRPr="00437528">
        <w:rPr>
          <w:rFonts w:ascii="Times New Roman" w:eastAsia="Calibri" w:hAnsi="Times New Roman" w:cs="Times New Roman"/>
          <w:sz w:val="28"/>
          <w:szCs w:val="28"/>
        </w:rPr>
        <w:t>относительно группы контроля. Уровень витамина Д в группе вмешательства был повышен после проведенного лечения, в группе контроля уровень витамина Д в крови продолжал снижаться</w:t>
      </w:r>
      <w:r w:rsidR="00CE4C17">
        <w:rPr>
          <w:rFonts w:ascii="Times New Roman" w:eastAsia="Calibri" w:hAnsi="Times New Roman" w:cs="Times New Roman"/>
          <w:sz w:val="28"/>
          <w:szCs w:val="28"/>
        </w:rPr>
        <w:t xml:space="preserve"> (</w:t>
      </w:r>
      <w:r w:rsidR="00CE4C17" w:rsidRPr="00437528">
        <w:rPr>
          <w:rFonts w:ascii="Times New Roman" w:eastAsia="Calibri" w:hAnsi="Times New Roman" w:cs="Times New Roman"/>
          <w:sz w:val="28"/>
          <w:szCs w:val="28"/>
        </w:rPr>
        <w:t>37,6 нг/л</w:t>
      </w:r>
      <w:r w:rsidR="00CE4C17">
        <w:rPr>
          <w:rFonts w:ascii="Times New Roman" w:eastAsia="Calibri" w:hAnsi="Times New Roman" w:cs="Times New Roman"/>
          <w:sz w:val="28"/>
          <w:szCs w:val="28"/>
        </w:rPr>
        <w:t xml:space="preserve"> и </w:t>
      </w:r>
      <w:r w:rsidR="00CE4C17" w:rsidRPr="002A5F7A">
        <w:rPr>
          <w:rFonts w:ascii="Times New Roman" w:eastAsia="Calibri" w:hAnsi="Times New Roman" w:cs="Times New Roman"/>
          <w:sz w:val="28"/>
          <w:szCs w:val="28"/>
        </w:rPr>
        <w:t>13,4 нг/л</w:t>
      </w:r>
      <w:r w:rsidR="00CE4C17">
        <w:rPr>
          <w:rFonts w:ascii="Times New Roman" w:eastAsia="Calibri" w:hAnsi="Times New Roman" w:cs="Times New Roman"/>
          <w:sz w:val="28"/>
          <w:szCs w:val="28"/>
        </w:rPr>
        <w:t xml:space="preserve"> соответственно, </w:t>
      </w:r>
      <w:r w:rsidR="002F0078" w:rsidRPr="00437528">
        <w:rPr>
          <w:rFonts w:ascii="Times New Roman" w:hAnsi="Times New Roman" w:cs="Times New Roman"/>
          <w:sz w:val="28"/>
          <w:szCs w:val="28"/>
          <w:lang w:val="en-US"/>
        </w:rPr>
        <w:t>p</w:t>
      </w:r>
      <w:r w:rsidR="002F0078" w:rsidRPr="00437528">
        <w:rPr>
          <w:rFonts w:ascii="Times New Roman" w:hAnsi="Times New Roman" w:cs="Times New Roman"/>
          <w:sz w:val="28"/>
          <w:szCs w:val="28"/>
        </w:rPr>
        <w:sym w:font="Symbol" w:char="F03C"/>
      </w:r>
      <w:r w:rsidR="002F0078" w:rsidRPr="00437528">
        <w:rPr>
          <w:rFonts w:ascii="Times New Roman" w:hAnsi="Times New Roman" w:cs="Times New Roman"/>
          <w:sz w:val="28"/>
          <w:szCs w:val="28"/>
        </w:rPr>
        <w:t>0,001</w:t>
      </w:r>
      <w:r w:rsidR="00CE4C17">
        <w:rPr>
          <w:rFonts w:ascii="Times New Roman" w:eastAsia="Calibri" w:hAnsi="Times New Roman" w:cs="Times New Roman"/>
          <w:sz w:val="28"/>
          <w:szCs w:val="28"/>
        </w:rPr>
        <w:t>)</w:t>
      </w:r>
      <w:r w:rsidRPr="00437528">
        <w:rPr>
          <w:rFonts w:ascii="Times New Roman" w:eastAsia="Calibri" w:hAnsi="Times New Roman" w:cs="Times New Roman"/>
          <w:sz w:val="28"/>
          <w:szCs w:val="28"/>
        </w:rPr>
        <w:t xml:space="preserve">. </w:t>
      </w:r>
    </w:p>
    <w:p w14:paraId="1E6D77DE" w14:textId="79DD0975" w:rsidR="007D35BD" w:rsidRDefault="007D35BD" w:rsidP="007D35BD">
      <w:pPr>
        <w:spacing w:after="0" w:line="240" w:lineRule="auto"/>
        <w:ind w:firstLine="567"/>
        <w:jc w:val="both"/>
        <w:rPr>
          <w:rFonts w:ascii="Times New Roman" w:eastAsia="Calibri" w:hAnsi="Times New Roman" w:cs="Times New Roman"/>
          <w:sz w:val="28"/>
          <w:szCs w:val="28"/>
        </w:rPr>
      </w:pPr>
    </w:p>
    <w:p w14:paraId="305DA7CD" w14:textId="77777777" w:rsidR="00437528" w:rsidRPr="00375094" w:rsidRDefault="00437528" w:rsidP="007D35BD">
      <w:pPr>
        <w:keepNext/>
        <w:keepLines/>
        <w:spacing w:after="0" w:line="240" w:lineRule="auto"/>
        <w:ind w:firstLine="567"/>
        <w:jc w:val="both"/>
        <w:outlineLvl w:val="1"/>
        <w:rPr>
          <w:rFonts w:ascii="Times New Roman" w:eastAsiaTheme="majorEastAsia" w:hAnsi="Times New Roman" w:cs="Times New Roman"/>
          <w:i/>
          <w:sz w:val="28"/>
          <w:szCs w:val="28"/>
        </w:rPr>
      </w:pPr>
      <w:bookmarkStart w:id="45" w:name="_Toc121590254"/>
      <w:bookmarkStart w:id="46" w:name="_Toc137904361"/>
      <w:r w:rsidRPr="00375094">
        <w:rPr>
          <w:rFonts w:ascii="Times New Roman" w:hAnsi="Times New Roman" w:cs="Times New Roman"/>
          <w:i/>
          <w:sz w:val="28"/>
          <w:szCs w:val="28"/>
        </w:rPr>
        <w:t xml:space="preserve">3.2.4 Сравнительная </w:t>
      </w:r>
      <w:r w:rsidRPr="00375094">
        <w:rPr>
          <w:rFonts w:ascii="Times New Roman" w:eastAsiaTheme="majorEastAsia" w:hAnsi="Times New Roman" w:cs="Times New Roman"/>
          <w:i/>
          <w:sz w:val="28"/>
          <w:szCs w:val="28"/>
        </w:rPr>
        <w:t>характеристика группы вмешательства и группы контроля по статусу витамина Д на фоне проведения аллерген-специфической иммунотерапии</w:t>
      </w:r>
      <w:bookmarkEnd w:id="45"/>
      <w:bookmarkEnd w:id="46"/>
    </w:p>
    <w:p w14:paraId="23F10B56" w14:textId="1EBD2765" w:rsidR="00437528" w:rsidRPr="00437528" w:rsidRDefault="00437528" w:rsidP="007D35BD">
      <w:pPr>
        <w:spacing w:after="0" w:line="240" w:lineRule="auto"/>
        <w:ind w:firstLine="567"/>
        <w:jc w:val="both"/>
        <w:rPr>
          <w:rFonts w:ascii="Times New Roman" w:hAnsi="Times New Roman" w:cs="Times New Roman"/>
          <w:sz w:val="28"/>
          <w:szCs w:val="28"/>
        </w:rPr>
      </w:pPr>
      <w:r w:rsidRPr="00437528">
        <w:rPr>
          <w:rFonts w:ascii="Times New Roman" w:eastAsia="Calibri" w:hAnsi="Times New Roman" w:cs="Times New Roman"/>
          <w:sz w:val="28"/>
          <w:szCs w:val="28"/>
        </w:rPr>
        <w:t xml:space="preserve">Базовый уровень витамина Д в крови был исследован в группе вмешательства (АСИТ + витамин Д) и группе контроля (АСИТ) до АСИТ для оценки его влияния на тяжесть сезонного аллергического ринита. Характеристика пациентов по статусу витамина Д свидетельствует о наличии дефицита витамина Д (≤20 нг/мл) в крови у 54% пациентов с сезонным аллергическим ринитом в группе вмешательства и у 63% в группе контроля. Недостаточность витамина Д (21-29 нг/мл) выявлена у 25% пациентов в группе вмешательства и у 22% в группе контроля. Адекватный уровень витамина Д (≥30 нг/мл) </w:t>
      </w:r>
      <w:r w:rsidRPr="002A5F7A">
        <w:rPr>
          <w:rFonts w:ascii="Times New Roman" w:eastAsia="Calibri" w:hAnsi="Times New Roman" w:cs="Times New Roman"/>
          <w:sz w:val="28"/>
          <w:szCs w:val="28"/>
        </w:rPr>
        <w:t xml:space="preserve">имели </w:t>
      </w:r>
      <w:r w:rsidR="00937604">
        <w:rPr>
          <w:rFonts w:ascii="Times New Roman" w:eastAsia="Calibri" w:hAnsi="Times New Roman" w:cs="Times New Roman"/>
          <w:sz w:val="28"/>
          <w:szCs w:val="28"/>
        </w:rPr>
        <w:t xml:space="preserve">лишь </w:t>
      </w:r>
      <w:r w:rsidRPr="002A5F7A">
        <w:rPr>
          <w:rFonts w:ascii="Times New Roman" w:eastAsia="Calibri" w:hAnsi="Times New Roman" w:cs="Times New Roman"/>
          <w:sz w:val="28"/>
          <w:szCs w:val="28"/>
        </w:rPr>
        <w:t>21% пациентов в группе вмешательства и 15% в группе контроля (таблица</w:t>
      </w:r>
      <w:r w:rsidR="00A26A65">
        <w:rPr>
          <w:rFonts w:ascii="Times New Roman" w:eastAsia="Calibri" w:hAnsi="Times New Roman" w:cs="Times New Roman"/>
          <w:sz w:val="28"/>
          <w:szCs w:val="28"/>
        </w:rPr>
        <w:t xml:space="preserve"> 14</w:t>
      </w:r>
      <w:r w:rsidRPr="002A5F7A">
        <w:rPr>
          <w:rFonts w:ascii="Times New Roman" w:eastAsia="Calibri" w:hAnsi="Times New Roman" w:cs="Times New Roman"/>
          <w:sz w:val="28"/>
          <w:szCs w:val="28"/>
        </w:rPr>
        <w:t>).</w:t>
      </w:r>
      <w:r w:rsidRPr="00437528">
        <w:rPr>
          <w:rFonts w:ascii="Times New Roman" w:hAnsi="Times New Roman" w:cs="Times New Roman"/>
          <w:sz w:val="28"/>
          <w:szCs w:val="28"/>
        </w:rPr>
        <w:t xml:space="preserve"> </w:t>
      </w:r>
    </w:p>
    <w:p w14:paraId="714CB64F" w14:textId="77777777" w:rsidR="00437528" w:rsidRPr="00437528" w:rsidRDefault="00437528" w:rsidP="007D35BD">
      <w:pPr>
        <w:spacing w:after="0" w:line="240" w:lineRule="auto"/>
        <w:contextualSpacing/>
        <w:jc w:val="both"/>
        <w:rPr>
          <w:rFonts w:ascii="Times New Roman" w:hAnsi="Times New Roman" w:cs="Times New Roman"/>
          <w:sz w:val="28"/>
          <w:szCs w:val="28"/>
        </w:rPr>
      </w:pPr>
    </w:p>
    <w:p w14:paraId="26FAED43" w14:textId="5B7056CC" w:rsidR="00437528" w:rsidRPr="00437528" w:rsidRDefault="00274966" w:rsidP="003E7AF4">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Таблица 1</w:t>
      </w:r>
      <w:r w:rsidR="00A26A65">
        <w:rPr>
          <w:rFonts w:ascii="Times New Roman" w:hAnsi="Times New Roman" w:cs="Times New Roman"/>
          <w:sz w:val="28"/>
          <w:szCs w:val="28"/>
        </w:rPr>
        <w:t>4</w:t>
      </w:r>
      <w:r w:rsidR="00437528" w:rsidRPr="00437528">
        <w:rPr>
          <w:rFonts w:ascii="Times New Roman" w:hAnsi="Times New Roman" w:cs="Times New Roman"/>
          <w:sz w:val="28"/>
          <w:szCs w:val="28"/>
        </w:rPr>
        <w:t xml:space="preserve"> - Характеристика статуса витамина Д в группах исследования у взрослого населения Карагандинской области Республики Казахстан</w:t>
      </w:r>
    </w:p>
    <w:p w14:paraId="036CE0DC" w14:textId="77777777" w:rsidR="00437528" w:rsidRPr="00437528" w:rsidRDefault="00437528" w:rsidP="007D35BD">
      <w:pPr>
        <w:spacing w:after="0" w:line="240" w:lineRule="auto"/>
        <w:contextualSpacing/>
        <w:jc w:val="both"/>
        <w:rPr>
          <w:rFonts w:ascii="Times New Roman" w:hAnsi="Times New Roman" w:cs="Times New Roman"/>
          <w:sz w:val="28"/>
          <w:szCs w:val="28"/>
        </w:rPr>
      </w:pPr>
    </w:p>
    <w:tbl>
      <w:tblPr>
        <w:tblStyle w:val="41"/>
        <w:tblW w:w="5000" w:type="pct"/>
        <w:jc w:val="center"/>
        <w:tblInd w:w="0" w:type="dxa"/>
        <w:tblLook w:val="04A0" w:firstRow="1" w:lastRow="0" w:firstColumn="1" w:lastColumn="0" w:noHBand="0" w:noVBand="1"/>
      </w:tblPr>
      <w:tblGrid>
        <w:gridCol w:w="1418"/>
        <w:gridCol w:w="2655"/>
        <w:gridCol w:w="3123"/>
        <w:gridCol w:w="2432"/>
      </w:tblGrid>
      <w:tr w:rsidR="00437528" w:rsidRPr="00437528" w14:paraId="096E98DB" w14:textId="77777777" w:rsidTr="00CD01B7">
        <w:trPr>
          <w:jc w:val="center"/>
        </w:trPr>
        <w:tc>
          <w:tcPr>
            <w:tcW w:w="2115" w:type="pct"/>
            <w:gridSpan w:val="2"/>
            <w:vMerge w:val="restart"/>
            <w:vAlign w:val="center"/>
          </w:tcPr>
          <w:p w14:paraId="02FB1046" w14:textId="77777777" w:rsidR="00437528" w:rsidRPr="00437528" w:rsidRDefault="00437528" w:rsidP="007D35BD">
            <w:pPr>
              <w:jc w:val="both"/>
              <w:rPr>
                <w:rFonts w:ascii="Times New Roman" w:hAnsi="Times New Roman"/>
                <w:sz w:val="28"/>
                <w:szCs w:val="28"/>
              </w:rPr>
            </w:pPr>
            <w:r w:rsidRPr="00437528">
              <w:rPr>
                <w:rFonts w:ascii="Times New Roman" w:hAnsi="Times New Roman"/>
                <w:sz w:val="28"/>
                <w:szCs w:val="28"/>
              </w:rPr>
              <w:t>Показатель</w:t>
            </w:r>
          </w:p>
        </w:tc>
        <w:tc>
          <w:tcPr>
            <w:tcW w:w="1622" w:type="pct"/>
            <w:vAlign w:val="center"/>
          </w:tcPr>
          <w:p w14:paraId="74ABF151" w14:textId="77777777" w:rsidR="00437528" w:rsidRPr="00437528" w:rsidRDefault="00437528" w:rsidP="007D35BD">
            <w:pPr>
              <w:jc w:val="both"/>
              <w:rPr>
                <w:rFonts w:ascii="Times New Roman" w:hAnsi="Times New Roman"/>
                <w:sz w:val="28"/>
                <w:szCs w:val="28"/>
              </w:rPr>
            </w:pPr>
            <w:r w:rsidRPr="00437528">
              <w:rPr>
                <w:rFonts w:ascii="Times New Roman" w:hAnsi="Times New Roman"/>
                <w:sz w:val="28"/>
                <w:szCs w:val="28"/>
              </w:rPr>
              <w:t>Группа вмешательства (АСИТ+витаминД)</w:t>
            </w:r>
          </w:p>
        </w:tc>
        <w:tc>
          <w:tcPr>
            <w:tcW w:w="1263" w:type="pct"/>
            <w:vAlign w:val="center"/>
          </w:tcPr>
          <w:p w14:paraId="0355B0DC" w14:textId="77777777" w:rsidR="00437528" w:rsidRPr="00437528" w:rsidRDefault="00437528" w:rsidP="007D35BD">
            <w:pPr>
              <w:jc w:val="both"/>
              <w:rPr>
                <w:rFonts w:ascii="Times New Roman" w:hAnsi="Times New Roman"/>
                <w:sz w:val="28"/>
                <w:szCs w:val="28"/>
              </w:rPr>
            </w:pPr>
            <w:r w:rsidRPr="00437528">
              <w:rPr>
                <w:rFonts w:ascii="Times New Roman" w:hAnsi="Times New Roman"/>
                <w:bCs/>
                <w:sz w:val="28"/>
                <w:szCs w:val="28"/>
              </w:rPr>
              <w:t>Группа контроля (АСИТ)</w:t>
            </w:r>
          </w:p>
        </w:tc>
      </w:tr>
      <w:tr w:rsidR="00437528" w:rsidRPr="00437528" w14:paraId="5BAD4DC6" w14:textId="77777777" w:rsidTr="00CD01B7">
        <w:trPr>
          <w:jc w:val="center"/>
        </w:trPr>
        <w:tc>
          <w:tcPr>
            <w:tcW w:w="2115" w:type="pct"/>
            <w:gridSpan w:val="2"/>
            <w:vMerge/>
            <w:vAlign w:val="center"/>
          </w:tcPr>
          <w:p w14:paraId="72EAAE1F" w14:textId="77777777" w:rsidR="00437528" w:rsidRPr="00437528" w:rsidRDefault="00437528" w:rsidP="007D35BD">
            <w:pPr>
              <w:jc w:val="both"/>
              <w:rPr>
                <w:rFonts w:ascii="Times New Roman" w:hAnsi="Times New Roman"/>
                <w:sz w:val="28"/>
                <w:szCs w:val="28"/>
              </w:rPr>
            </w:pPr>
          </w:p>
        </w:tc>
        <w:tc>
          <w:tcPr>
            <w:tcW w:w="2885" w:type="pct"/>
            <w:gridSpan w:val="2"/>
            <w:vAlign w:val="center"/>
          </w:tcPr>
          <w:p w14:paraId="3026CDAE" w14:textId="77777777" w:rsidR="00437528" w:rsidRPr="00437528" w:rsidRDefault="00437528" w:rsidP="007D35BD">
            <w:pPr>
              <w:jc w:val="center"/>
              <w:rPr>
                <w:rFonts w:ascii="Times New Roman" w:hAnsi="Times New Roman"/>
                <w:sz w:val="28"/>
                <w:szCs w:val="28"/>
              </w:rPr>
            </w:pPr>
            <w:r w:rsidRPr="00437528">
              <w:rPr>
                <w:rFonts w:ascii="Times New Roman" w:hAnsi="Times New Roman"/>
                <w:sz w:val="28"/>
                <w:szCs w:val="28"/>
              </w:rPr>
              <w:t>Абс, (%)</w:t>
            </w:r>
          </w:p>
        </w:tc>
      </w:tr>
      <w:tr w:rsidR="00437528" w:rsidRPr="00437528" w14:paraId="1C3E4D5B" w14:textId="77777777" w:rsidTr="00CD01B7">
        <w:trPr>
          <w:jc w:val="center"/>
        </w:trPr>
        <w:tc>
          <w:tcPr>
            <w:tcW w:w="736" w:type="pct"/>
            <w:vMerge w:val="restart"/>
            <w:vAlign w:val="center"/>
          </w:tcPr>
          <w:p w14:paraId="228D7C4C" w14:textId="77777777" w:rsidR="00437528" w:rsidRPr="00437528" w:rsidRDefault="00437528" w:rsidP="007D35BD">
            <w:pPr>
              <w:jc w:val="both"/>
              <w:rPr>
                <w:rFonts w:ascii="Times New Roman" w:hAnsi="Times New Roman"/>
                <w:sz w:val="28"/>
                <w:szCs w:val="28"/>
              </w:rPr>
            </w:pPr>
            <w:r w:rsidRPr="00437528">
              <w:rPr>
                <w:rFonts w:ascii="Times New Roman" w:hAnsi="Times New Roman"/>
                <w:sz w:val="28"/>
                <w:szCs w:val="28"/>
              </w:rPr>
              <w:t>вит Д</w:t>
            </w:r>
          </w:p>
        </w:tc>
        <w:tc>
          <w:tcPr>
            <w:tcW w:w="1379" w:type="pct"/>
            <w:vAlign w:val="center"/>
          </w:tcPr>
          <w:p w14:paraId="28E64182" w14:textId="77777777" w:rsidR="00437528" w:rsidRPr="00437528" w:rsidRDefault="00437528" w:rsidP="007D35BD">
            <w:pPr>
              <w:jc w:val="both"/>
              <w:rPr>
                <w:rFonts w:ascii="Times New Roman" w:hAnsi="Times New Roman"/>
                <w:sz w:val="28"/>
                <w:szCs w:val="28"/>
              </w:rPr>
            </w:pPr>
            <w:r w:rsidRPr="00437528">
              <w:rPr>
                <w:rFonts w:ascii="Times New Roman" w:hAnsi="Times New Roman"/>
                <w:sz w:val="28"/>
                <w:szCs w:val="28"/>
                <w:lang w:val="en-US"/>
              </w:rPr>
              <w:t>≤</w:t>
            </w:r>
            <w:r w:rsidRPr="00437528">
              <w:rPr>
                <w:rFonts w:ascii="Times New Roman" w:hAnsi="Times New Roman"/>
                <w:sz w:val="28"/>
                <w:szCs w:val="28"/>
              </w:rPr>
              <w:t>20 нг/мл</w:t>
            </w:r>
          </w:p>
        </w:tc>
        <w:tc>
          <w:tcPr>
            <w:tcW w:w="1622" w:type="pct"/>
            <w:vAlign w:val="center"/>
          </w:tcPr>
          <w:p w14:paraId="246BE029" w14:textId="77777777" w:rsidR="00437528" w:rsidRPr="00437528" w:rsidRDefault="00437528" w:rsidP="007D35BD">
            <w:pPr>
              <w:jc w:val="both"/>
              <w:rPr>
                <w:rFonts w:ascii="Times New Roman" w:hAnsi="Times New Roman"/>
                <w:sz w:val="28"/>
                <w:szCs w:val="28"/>
              </w:rPr>
            </w:pPr>
            <w:r w:rsidRPr="00437528">
              <w:rPr>
                <w:rFonts w:ascii="Times New Roman" w:hAnsi="Times New Roman"/>
                <w:sz w:val="28"/>
                <w:szCs w:val="28"/>
              </w:rPr>
              <w:t>15 (54%)</w:t>
            </w:r>
          </w:p>
        </w:tc>
        <w:tc>
          <w:tcPr>
            <w:tcW w:w="1263" w:type="pct"/>
            <w:vAlign w:val="center"/>
          </w:tcPr>
          <w:p w14:paraId="598346C1" w14:textId="77777777" w:rsidR="00437528" w:rsidRPr="00437528" w:rsidRDefault="00437528" w:rsidP="007D35BD">
            <w:pPr>
              <w:jc w:val="both"/>
              <w:rPr>
                <w:rFonts w:ascii="Times New Roman" w:hAnsi="Times New Roman"/>
                <w:sz w:val="28"/>
                <w:szCs w:val="28"/>
                <w:lang w:val="en-US"/>
              </w:rPr>
            </w:pPr>
            <w:r w:rsidRPr="00437528">
              <w:rPr>
                <w:rFonts w:ascii="Times New Roman" w:hAnsi="Times New Roman"/>
                <w:sz w:val="28"/>
                <w:szCs w:val="28"/>
              </w:rPr>
              <w:t>17</w:t>
            </w:r>
            <w:r w:rsidRPr="00437528">
              <w:rPr>
                <w:rFonts w:ascii="Times New Roman" w:hAnsi="Times New Roman"/>
                <w:sz w:val="28"/>
                <w:szCs w:val="28"/>
                <w:lang w:val="en-US"/>
              </w:rPr>
              <w:t xml:space="preserve"> (</w:t>
            </w:r>
            <w:r w:rsidRPr="00437528">
              <w:rPr>
                <w:rFonts w:ascii="Times New Roman" w:hAnsi="Times New Roman"/>
                <w:sz w:val="28"/>
                <w:szCs w:val="28"/>
              </w:rPr>
              <w:t>63%</w:t>
            </w:r>
            <w:r w:rsidRPr="00437528">
              <w:rPr>
                <w:rFonts w:ascii="Times New Roman" w:hAnsi="Times New Roman"/>
                <w:sz w:val="28"/>
                <w:szCs w:val="28"/>
                <w:lang w:val="en-US"/>
              </w:rPr>
              <w:t>)</w:t>
            </w:r>
          </w:p>
        </w:tc>
      </w:tr>
      <w:tr w:rsidR="00437528" w:rsidRPr="00437528" w14:paraId="545EB70C" w14:textId="77777777" w:rsidTr="00CD01B7">
        <w:trPr>
          <w:jc w:val="center"/>
        </w:trPr>
        <w:tc>
          <w:tcPr>
            <w:tcW w:w="736" w:type="pct"/>
            <w:vMerge/>
            <w:vAlign w:val="center"/>
          </w:tcPr>
          <w:p w14:paraId="1D2A5D79" w14:textId="77777777" w:rsidR="00437528" w:rsidRPr="00437528" w:rsidRDefault="00437528" w:rsidP="007D35BD">
            <w:pPr>
              <w:jc w:val="both"/>
              <w:rPr>
                <w:rFonts w:ascii="Times New Roman" w:hAnsi="Times New Roman"/>
                <w:sz w:val="28"/>
                <w:szCs w:val="28"/>
              </w:rPr>
            </w:pPr>
          </w:p>
        </w:tc>
        <w:tc>
          <w:tcPr>
            <w:tcW w:w="1379" w:type="pct"/>
            <w:vAlign w:val="center"/>
          </w:tcPr>
          <w:p w14:paraId="7D50B462" w14:textId="77777777" w:rsidR="00437528" w:rsidRPr="00437528" w:rsidRDefault="00437528" w:rsidP="007D35BD">
            <w:pPr>
              <w:jc w:val="both"/>
              <w:rPr>
                <w:rFonts w:ascii="Times New Roman" w:hAnsi="Times New Roman"/>
                <w:sz w:val="28"/>
                <w:szCs w:val="28"/>
              </w:rPr>
            </w:pPr>
            <w:r w:rsidRPr="00437528">
              <w:rPr>
                <w:rFonts w:ascii="Times New Roman" w:hAnsi="Times New Roman"/>
                <w:sz w:val="28"/>
                <w:szCs w:val="28"/>
              </w:rPr>
              <w:t>21-29 нг/мл</w:t>
            </w:r>
          </w:p>
        </w:tc>
        <w:tc>
          <w:tcPr>
            <w:tcW w:w="1622" w:type="pct"/>
            <w:vAlign w:val="center"/>
          </w:tcPr>
          <w:p w14:paraId="1C25141B" w14:textId="77777777" w:rsidR="00437528" w:rsidRPr="00437528" w:rsidRDefault="00437528" w:rsidP="007D35BD">
            <w:pPr>
              <w:jc w:val="both"/>
              <w:rPr>
                <w:rFonts w:ascii="Times New Roman" w:hAnsi="Times New Roman"/>
                <w:sz w:val="28"/>
                <w:szCs w:val="28"/>
              </w:rPr>
            </w:pPr>
            <w:r w:rsidRPr="00437528">
              <w:rPr>
                <w:rFonts w:ascii="Times New Roman" w:hAnsi="Times New Roman"/>
                <w:sz w:val="28"/>
                <w:szCs w:val="28"/>
              </w:rPr>
              <w:t>7 (25%)</w:t>
            </w:r>
          </w:p>
        </w:tc>
        <w:tc>
          <w:tcPr>
            <w:tcW w:w="1263" w:type="pct"/>
            <w:vAlign w:val="center"/>
          </w:tcPr>
          <w:p w14:paraId="55811710" w14:textId="77777777" w:rsidR="00437528" w:rsidRPr="00437528" w:rsidRDefault="00437528" w:rsidP="007D35BD">
            <w:pPr>
              <w:jc w:val="both"/>
              <w:rPr>
                <w:rFonts w:ascii="Times New Roman" w:hAnsi="Times New Roman"/>
                <w:sz w:val="28"/>
                <w:szCs w:val="28"/>
              </w:rPr>
            </w:pPr>
            <w:r w:rsidRPr="00437528">
              <w:rPr>
                <w:rFonts w:ascii="Times New Roman" w:hAnsi="Times New Roman"/>
                <w:sz w:val="28"/>
                <w:szCs w:val="28"/>
              </w:rPr>
              <w:t>6</w:t>
            </w:r>
            <w:r w:rsidRPr="00437528">
              <w:rPr>
                <w:rFonts w:ascii="Times New Roman" w:hAnsi="Times New Roman"/>
                <w:sz w:val="28"/>
                <w:szCs w:val="28"/>
                <w:lang w:val="en-US"/>
              </w:rPr>
              <w:t xml:space="preserve"> (</w:t>
            </w:r>
            <w:r w:rsidRPr="00437528">
              <w:rPr>
                <w:rFonts w:ascii="Times New Roman" w:hAnsi="Times New Roman"/>
                <w:sz w:val="28"/>
                <w:szCs w:val="28"/>
              </w:rPr>
              <w:t>22%</w:t>
            </w:r>
            <w:r w:rsidRPr="00437528">
              <w:rPr>
                <w:rFonts w:ascii="Times New Roman" w:hAnsi="Times New Roman"/>
                <w:sz w:val="28"/>
                <w:szCs w:val="28"/>
                <w:lang w:val="en-US"/>
              </w:rPr>
              <w:t>)</w:t>
            </w:r>
            <w:r w:rsidRPr="00437528">
              <w:rPr>
                <w:rFonts w:ascii="Times New Roman" w:hAnsi="Times New Roman"/>
                <w:sz w:val="28"/>
                <w:szCs w:val="28"/>
              </w:rPr>
              <w:t xml:space="preserve"> </w:t>
            </w:r>
          </w:p>
        </w:tc>
      </w:tr>
      <w:tr w:rsidR="00437528" w:rsidRPr="00437528" w14:paraId="266AD327" w14:textId="77777777" w:rsidTr="00CD01B7">
        <w:trPr>
          <w:jc w:val="center"/>
        </w:trPr>
        <w:tc>
          <w:tcPr>
            <w:tcW w:w="736" w:type="pct"/>
            <w:vMerge/>
            <w:vAlign w:val="center"/>
          </w:tcPr>
          <w:p w14:paraId="50A13953" w14:textId="77777777" w:rsidR="00437528" w:rsidRPr="00437528" w:rsidRDefault="00437528" w:rsidP="007D35BD">
            <w:pPr>
              <w:jc w:val="both"/>
              <w:rPr>
                <w:rFonts w:ascii="Times New Roman" w:hAnsi="Times New Roman"/>
                <w:sz w:val="28"/>
                <w:szCs w:val="28"/>
              </w:rPr>
            </w:pPr>
          </w:p>
        </w:tc>
        <w:tc>
          <w:tcPr>
            <w:tcW w:w="1379" w:type="pct"/>
            <w:vAlign w:val="center"/>
          </w:tcPr>
          <w:p w14:paraId="5421098E" w14:textId="77777777" w:rsidR="00437528" w:rsidRPr="00437528" w:rsidRDefault="00437528" w:rsidP="007D35BD">
            <w:pPr>
              <w:jc w:val="both"/>
              <w:rPr>
                <w:rFonts w:ascii="Times New Roman" w:hAnsi="Times New Roman"/>
                <w:sz w:val="28"/>
                <w:szCs w:val="28"/>
              </w:rPr>
            </w:pPr>
            <w:r w:rsidRPr="00437528">
              <w:rPr>
                <w:rFonts w:ascii="Times New Roman" w:hAnsi="Times New Roman"/>
                <w:sz w:val="28"/>
                <w:szCs w:val="28"/>
              </w:rPr>
              <w:t>≥30 нг/мл</w:t>
            </w:r>
          </w:p>
        </w:tc>
        <w:tc>
          <w:tcPr>
            <w:tcW w:w="1622" w:type="pct"/>
            <w:vAlign w:val="center"/>
          </w:tcPr>
          <w:p w14:paraId="127875B7" w14:textId="77777777" w:rsidR="00437528" w:rsidRPr="00437528" w:rsidRDefault="00437528" w:rsidP="007D35BD">
            <w:pPr>
              <w:jc w:val="both"/>
              <w:rPr>
                <w:rFonts w:ascii="Times New Roman" w:hAnsi="Times New Roman"/>
                <w:sz w:val="28"/>
                <w:szCs w:val="28"/>
              </w:rPr>
            </w:pPr>
            <w:r w:rsidRPr="00437528">
              <w:rPr>
                <w:rFonts w:ascii="Times New Roman" w:hAnsi="Times New Roman"/>
                <w:sz w:val="28"/>
                <w:szCs w:val="28"/>
              </w:rPr>
              <w:t>6</w:t>
            </w:r>
            <w:r w:rsidRPr="00437528">
              <w:rPr>
                <w:rFonts w:ascii="Times New Roman" w:hAnsi="Times New Roman"/>
                <w:sz w:val="28"/>
                <w:szCs w:val="28"/>
                <w:lang w:val="en-US"/>
              </w:rPr>
              <w:t xml:space="preserve"> </w:t>
            </w:r>
            <w:r w:rsidRPr="00437528">
              <w:rPr>
                <w:rFonts w:ascii="Times New Roman" w:hAnsi="Times New Roman"/>
                <w:sz w:val="28"/>
                <w:szCs w:val="28"/>
              </w:rPr>
              <w:t>(21%)</w:t>
            </w:r>
          </w:p>
        </w:tc>
        <w:tc>
          <w:tcPr>
            <w:tcW w:w="1263" w:type="pct"/>
            <w:vAlign w:val="center"/>
          </w:tcPr>
          <w:p w14:paraId="32489AE3" w14:textId="77777777" w:rsidR="00437528" w:rsidRPr="00437528" w:rsidRDefault="00437528" w:rsidP="007D35BD">
            <w:pPr>
              <w:jc w:val="both"/>
              <w:rPr>
                <w:rFonts w:ascii="Times New Roman" w:hAnsi="Times New Roman"/>
                <w:sz w:val="28"/>
                <w:szCs w:val="28"/>
                <w:lang w:val="en-US"/>
              </w:rPr>
            </w:pPr>
            <w:r w:rsidRPr="00437528">
              <w:rPr>
                <w:rFonts w:ascii="Times New Roman" w:hAnsi="Times New Roman"/>
                <w:sz w:val="28"/>
                <w:szCs w:val="28"/>
              </w:rPr>
              <w:t>4</w:t>
            </w:r>
            <w:r w:rsidRPr="00437528">
              <w:rPr>
                <w:rFonts w:ascii="Times New Roman" w:hAnsi="Times New Roman"/>
                <w:sz w:val="28"/>
                <w:szCs w:val="28"/>
                <w:lang w:val="en-US"/>
              </w:rPr>
              <w:t xml:space="preserve"> (</w:t>
            </w:r>
            <w:r w:rsidRPr="00437528">
              <w:rPr>
                <w:rFonts w:ascii="Times New Roman" w:hAnsi="Times New Roman"/>
                <w:sz w:val="28"/>
                <w:szCs w:val="28"/>
              </w:rPr>
              <w:t>15%</w:t>
            </w:r>
            <w:r w:rsidRPr="00437528">
              <w:rPr>
                <w:rFonts w:ascii="Times New Roman" w:hAnsi="Times New Roman"/>
                <w:sz w:val="28"/>
                <w:szCs w:val="28"/>
                <w:lang w:val="en-US"/>
              </w:rPr>
              <w:t>)</w:t>
            </w:r>
          </w:p>
        </w:tc>
      </w:tr>
      <w:tr w:rsidR="00437528" w:rsidRPr="00437528" w14:paraId="73FA9844" w14:textId="77777777" w:rsidTr="00CD01B7">
        <w:trPr>
          <w:jc w:val="center"/>
        </w:trPr>
        <w:tc>
          <w:tcPr>
            <w:tcW w:w="2115" w:type="pct"/>
            <w:gridSpan w:val="2"/>
            <w:vAlign w:val="center"/>
          </w:tcPr>
          <w:p w14:paraId="6B334D17" w14:textId="77777777" w:rsidR="00437528" w:rsidRPr="00437528" w:rsidRDefault="00437528" w:rsidP="007D35BD">
            <w:pPr>
              <w:jc w:val="both"/>
              <w:rPr>
                <w:rFonts w:ascii="Times New Roman" w:hAnsi="Times New Roman"/>
                <w:sz w:val="28"/>
                <w:szCs w:val="28"/>
              </w:rPr>
            </w:pPr>
            <w:r w:rsidRPr="00437528">
              <w:rPr>
                <w:rFonts w:ascii="Times New Roman" w:hAnsi="Times New Roman"/>
                <w:sz w:val="28"/>
                <w:szCs w:val="28"/>
              </w:rPr>
              <w:t>Общее количество</w:t>
            </w:r>
          </w:p>
        </w:tc>
        <w:tc>
          <w:tcPr>
            <w:tcW w:w="1622" w:type="pct"/>
            <w:vAlign w:val="center"/>
          </w:tcPr>
          <w:p w14:paraId="2A2167F6" w14:textId="77777777" w:rsidR="00437528" w:rsidRPr="00437528" w:rsidRDefault="00437528" w:rsidP="007D35BD">
            <w:pPr>
              <w:jc w:val="both"/>
              <w:rPr>
                <w:rFonts w:ascii="Times New Roman" w:hAnsi="Times New Roman"/>
                <w:sz w:val="28"/>
                <w:szCs w:val="28"/>
              </w:rPr>
            </w:pPr>
            <w:r w:rsidRPr="00437528">
              <w:rPr>
                <w:rFonts w:ascii="Times New Roman" w:hAnsi="Times New Roman"/>
                <w:sz w:val="28"/>
                <w:szCs w:val="28"/>
              </w:rPr>
              <w:t>28</w:t>
            </w:r>
            <w:r w:rsidRPr="00437528">
              <w:rPr>
                <w:rFonts w:ascii="Times New Roman" w:hAnsi="Times New Roman"/>
                <w:sz w:val="28"/>
                <w:szCs w:val="28"/>
                <w:lang w:val="en-US"/>
              </w:rPr>
              <w:t xml:space="preserve"> </w:t>
            </w:r>
            <w:r w:rsidRPr="00437528">
              <w:rPr>
                <w:rFonts w:ascii="Times New Roman" w:hAnsi="Times New Roman"/>
                <w:sz w:val="28"/>
                <w:szCs w:val="28"/>
              </w:rPr>
              <w:t xml:space="preserve">(100%) </w:t>
            </w:r>
          </w:p>
        </w:tc>
        <w:tc>
          <w:tcPr>
            <w:tcW w:w="1263" w:type="pct"/>
            <w:vAlign w:val="center"/>
          </w:tcPr>
          <w:p w14:paraId="5E9E24E7" w14:textId="77777777" w:rsidR="00437528" w:rsidRPr="00437528" w:rsidRDefault="00437528" w:rsidP="007D35BD">
            <w:pPr>
              <w:jc w:val="both"/>
              <w:rPr>
                <w:rFonts w:ascii="Times New Roman" w:hAnsi="Times New Roman"/>
                <w:sz w:val="28"/>
                <w:szCs w:val="28"/>
              </w:rPr>
            </w:pPr>
            <w:r w:rsidRPr="00437528">
              <w:rPr>
                <w:rFonts w:ascii="Times New Roman" w:hAnsi="Times New Roman"/>
                <w:sz w:val="28"/>
                <w:szCs w:val="28"/>
              </w:rPr>
              <w:t>27</w:t>
            </w:r>
            <w:r w:rsidRPr="00437528">
              <w:rPr>
                <w:rFonts w:ascii="Times New Roman" w:hAnsi="Times New Roman"/>
                <w:sz w:val="28"/>
                <w:szCs w:val="28"/>
                <w:lang w:val="en-US"/>
              </w:rPr>
              <w:t xml:space="preserve"> </w:t>
            </w:r>
            <w:r w:rsidRPr="00437528">
              <w:rPr>
                <w:rFonts w:ascii="Times New Roman" w:hAnsi="Times New Roman"/>
                <w:sz w:val="28"/>
                <w:szCs w:val="28"/>
              </w:rPr>
              <w:t xml:space="preserve">(100%) </w:t>
            </w:r>
          </w:p>
        </w:tc>
      </w:tr>
    </w:tbl>
    <w:p w14:paraId="6FB06D8C" w14:textId="77777777" w:rsidR="00437528" w:rsidRPr="00437528" w:rsidRDefault="00437528" w:rsidP="007D35BD">
      <w:pPr>
        <w:spacing w:after="0" w:line="240" w:lineRule="auto"/>
        <w:jc w:val="both"/>
        <w:rPr>
          <w:rFonts w:ascii="Times New Roman" w:hAnsi="Times New Roman" w:cs="Times New Roman"/>
          <w:sz w:val="28"/>
          <w:szCs w:val="28"/>
        </w:rPr>
      </w:pPr>
    </w:p>
    <w:p w14:paraId="5E679602" w14:textId="7B500A80" w:rsidR="00437528" w:rsidRDefault="00437528" w:rsidP="007D35BD">
      <w:pPr>
        <w:spacing w:after="0" w:line="240" w:lineRule="auto"/>
        <w:ind w:firstLine="567"/>
        <w:jc w:val="both"/>
        <w:rPr>
          <w:rFonts w:ascii="Times New Roman" w:eastAsia="Calibri" w:hAnsi="Times New Roman" w:cs="Times New Roman"/>
          <w:sz w:val="28"/>
          <w:szCs w:val="28"/>
        </w:rPr>
      </w:pPr>
      <w:r w:rsidRPr="00437528">
        <w:rPr>
          <w:rFonts w:ascii="Times New Roman" w:hAnsi="Times New Roman" w:cs="Times New Roman"/>
          <w:sz w:val="28"/>
          <w:szCs w:val="28"/>
        </w:rPr>
        <w:t xml:space="preserve">Базовый уровень витамина Д в крови </w:t>
      </w:r>
      <w:r w:rsidR="00A451CD">
        <w:rPr>
          <w:rFonts w:ascii="Times New Roman" w:hAnsi="Times New Roman" w:cs="Times New Roman"/>
          <w:sz w:val="28"/>
          <w:szCs w:val="28"/>
        </w:rPr>
        <w:t>состав</w:t>
      </w:r>
      <w:r w:rsidRPr="00437528">
        <w:rPr>
          <w:rFonts w:ascii="Times New Roman" w:hAnsi="Times New Roman" w:cs="Times New Roman"/>
          <w:sz w:val="28"/>
          <w:szCs w:val="28"/>
        </w:rPr>
        <w:t>л</w:t>
      </w:r>
      <w:r w:rsidR="00A451CD">
        <w:rPr>
          <w:rFonts w:ascii="Times New Roman" w:hAnsi="Times New Roman" w:cs="Times New Roman"/>
          <w:sz w:val="28"/>
          <w:szCs w:val="28"/>
        </w:rPr>
        <w:t>ял</w:t>
      </w:r>
      <w:r w:rsidRPr="00437528">
        <w:rPr>
          <w:rFonts w:ascii="Times New Roman" w:hAnsi="Times New Roman" w:cs="Times New Roman"/>
          <w:sz w:val="28"/>
          <w:szCs w:val="28"/>
        </w:rPr>
        <w:t xml:space="preserve"> 16,32 </w:t>
      </w:r>
      <w:r w:rsidRPr="00437528">
        <w:rPr>
          <w:rFonts w:ascii="Times New Roman" w:eastAsia="Calibri" w:hAnsi="Times New Roman" w:cs="Times New Roman"/>
          <w:sz w:val="28"/>
          <w:szCs w:val="28"/>
        </w:rPr>
        <w:t>нг/мл</w:t>
      </w:r>
      <w:r w:rsidRPr="00437528">
        <w:rPr>
          <w:rFonts w:ascii="Times New Roman" w:hAnsi="Times New Roman" w:cs="Times New Roman"/>
          <w:sz w:val="28"/>
          <w:szCs w:val="28"/>
        </w:rPr>
        <w:t xml:space="preserve"> (13,21-24,33 </w:t>
      </w:r>
      <w:r w:rsidRPr="00437528">
        <w:rPr>
          <w:rFonts w:ascii="Times New Roman" w:eastAsia="Calibri" w:hAnsi="Times New Roman" w:cs="Times New Roman"/>
          <w:sz w:val="28"/>
          <w:szCs w:val="28"/>
        </w:rPr>
        <w:t>нг/мл</w:t>
      </w:r>
      <w:r w:rsidRPr="00437528">
        <w:rPr>
          <w:rFonts w:ascii="Times New Roman" w:hAnsi="Times New Roman" w:cs="Times New Roman"/>
          <w:sz w:val="28"/>
          <w:szCs w:val="28"/>
        </w:rPr>
        <w:t xml:space="preserve">) в группе </w:t>
      </w:r>
      <w:r w:rsidRPr="00437528">
        <w:rPr>
          <w:rFonts w:ascii="Times New Roman" w:eastAsia="Calibri" w:hAnsi="Times New Roman" w:cs="Times New Roman"/>
          <w:sz w:val="28"/>
          <w:szCs w:val="28"/>
        </w:rPr>
        <w:t xml:space="preserve">вмешательства (АСИТ + витамин Д) </w:t>
      </w:r>
      <w:r w:rsidRPr="00437528">
        <w:rPr>
          <w:rFonts w:ascii="Times New Roman" w:hAnsi="Times New Roman" w:cs="Times New Roman"/>
          <w:sz w:val="28"/>
          <w:szCs w:val="28"/>
        </w:rPr>
        <w:t xml:space="preserve">и 15,65 </w:t>
      </w:r>
      <w:r w:rsidRPr="00437528">
        <w:rPr>
          <w:rFonts w:ascii="Times New Roman" w:eastAsia="Calibri" w:hAnsi="Times New Roman" w:cs="Times New Roman"/>
          <w:sz w:val="28"/>
          <w:szCs w:val="28"/>
        </w:rPr>
        <w:t>нг/мл</w:t>
      </w:r>
      <w:r w:rsidRPr="00437528">
        <w:rPr>
          <w:rFonts w:ascii="Times New Roman" w:hAnsi="Times New Roman" w:cs="Times New Roman"/>
          <w:sz w:val="28"/>
          <w:szCs w:val="28"/>
        </w:rPr>
        <w:t xml:space="preserve"> (13,6-23,8 </w:t>
      </w:r>
      <w:r w:rsidRPr="00437528">
        <w:rPr>
          <w:rFonts w:ascii="Times New Roman" w:eastAsia="Calibri" w:hAnsi="Times New Roman" w:cs="Times New Roman"/>
          <w:sz w:val="28"/>
          <w:szCs w:val="28"/>
        </w:rPr>
        <w:t>нг/мл</w:t>
      </w:r>
      <w:r w:rsidRPr="00437528">
        <w:rPr>
          <w:rFonts w:ascii="Times New Roman" w:hAnsi="Times New Roman" w:cs="Times New Roman"/>
          <w:sz w:val="28"/>
          <w:szCs w:val="28"/>
        </w:rPr>
        <w:t xml:space="preserve">) в группе </w:t>
      </w:r>
      <w:r w:rsidRPr="00437528">
        <w:rPr>
          <w:rFonts w:ascii="Times New Roman" w:eastAsia="Calibri" w:hAnsi="Times New Roman" w:cs="Times New Roman"/>
          <w:bCs/>
          <w:sz w:val="28"/>
          <w:szCs w:val="28"/>
        </w:rPr>
        <w:t xml:space="preserve">контроля (АСИТ) </w:t>
      </w:r>
      <w:r w:rsidRPr="00437528">
        <w:rPr>
          <w:rFonts w:ascii="Times New Roman" w:hAnsi="Times New Roman" w:cs="Times New Roman"/>
          <w:sz w:val="28"/>
          <w:szCs w:val="28"/>
        </w:rPr>
        <w:t>(р&gt;0,05). Средний дефицитный уровень витамина Д (</w:t>
      </w:r>
      <w:r w:rsidRPr="00437528">
        <w:rPr>
          <w:rFonts w:ascii="Times New Roman" w:eastAsia="Calibri" w:hAnsi="Times New Roman" w:cs="Times New Roman"/>
          <w:sz w:val="28"/>
          <w:szCs w:val="28"/>
        </w:rPr>
        <w:t>≤20 нг/мл)</w:t>
      </w:r>
      <w:r w:rsidRPr="00437528">
        <w:rPr>
          <w:rFonts w:ascii="Times New Roman" w:hAnsi="Times New Roman" w:cs="Times New Roman"/>
          <w:sz w:val="28"/>
          <w:szCs w:val="28"/>
        </w:rPr>
        <w:t xml:space="preserve"> в группе </w:t>
      </w:r>
      <w:r w:rsidRPr="00437528">
        <w:rPr>
          <w:rFonts w:ascii="Times New Roman" w:eastAsia="Calibri" w:hAnsi="Times New Roman" w:cs="Times New Roman"/>
          <w:sz w:val="28"/>
          <w:szCs w:val="28"/>
        </w:rPr>
        <w:t xml:space="preserve">вмешательства </w:t>
      </w:r>
      <w:r w:rsidRPr="00437528">
        <w:rPr>
          <w:rFonts w:ascii="Times New Roman" w:hAnsi="Times New Roman" w:cs="Times New Roman"/>
          <w:sz w:val="28"/>
          <w:szCs w:val="28"/>
        </w:rPr>
        <w:t xml:space="preserve">составил 13,4 нг/мл и 14,3 нг/мл в группе </w:t>
      </w:r>
      <w:r w:rsidRPr="00437528">
        <w:rPr>
          <w:rFonts w:ascii="Times New Roman" w:eastAsia="Calibri" w:hAnsi="Times New Roman" w:cs="Times New Roman"/>
          <w:bCs/>
          <w:sz w:val="28"/>
          <w:szCs w:val="28"/>
        </w:rPr>
        <w:t xml:space="preserve">контроля </w:t>
      </w:r>
      <w:r w:rsidRPr="00437528">
        <w:rPr>
          <w:rFonts w:ascii="Times New Roman" w:hAnsi="Times New Roman" w:cs="Times New Roman"/>
          <w:sz w:val="28"/>
          <w:szCs w:val="28"/>
        </w:rPr>
        <w:t>(р&gt;0,05). Недостаточность витамина Д (</w:t>
      </w:r>
      <w:r w:rsidRPr="00437528">
        <w:rPr>
          <w:rFonts w:ascii="Times New Roman" w:eastAsia="Calibri" w:hAnsi="Times New Roman" w:cs="Times New Roman"/>
          <w:sz w:val="28"/>
          <w:szCs w:val="28"/>
        </w:rPr>
        <w:t>21-29 нг/мл)</w:t>
      </w:r>
      <w:r w:rsidRPr="00437528">
        <w:rPr>
          <w:rFonts w:ascii="Times New Roman" w:hAnsi="Times New Roman" w:cs="Times New Roman"/>
          <w:sz w:val="28"/>
          <w:szCs w:val="28"/>
        </w:rPr>
        <w:t xml:space="preserve"> в среднем составила 23,1 нг/мл в группе </w:t>
      </w:r>
      <w:r w:rsidRPr="00437528">
        <w:rPr>
          <w:rFonts w:ascii="Times New Roman" w:eastAsia="Calibri" w:hAnsi="Times New Roman" w:cs="Times New Roman"/>
          <w:sz w:val="28"/>
          <w:szCs w:val="28"/>
        </w:rPr>
        <w:t xml:space="preserve">вмешательства </w:t>
      </w:r>
      <w:r w:rsidRPr="00437528">
        <w:rPr>
          <w:rFonts w:ascii="Times New Roman" w:hAnsi="Times New Roman" w:cs="Times New Roman"/>
          <w:sz w:val="28"/>
          <w:szCs w:val="28"/>
        </w:rPr>
        <w:t xml:space="preserve">и 23,8 нг/мл в группе </w:t>
      </w:r>
      <w:r w:rsidRPr="00437528">
        <w:rPr>
          <w:rFonts w:ascii="Times New Roman" w:eastAsia="Calibri" w:hAnsi="Times New Roman" w:cs="Times New Roman"/>
          <w:bCs/>
          <w:sz w:val="28"/>
          <w:szCs w:val="28"/>
        </w:rPr>
        <w:t xml:space="preserve">контроля </w:t>
      </w:r>
      <w:r w:rsidRPr="00437528">
        <w:rPr>
          <w:rFonts w:ascii="Times New Roman" w:hAnsi="Times New Roman" w:cs="Times New Roman"/>
          <w:sz w:val="28"/>
          <w:szCs w:val="28"/>
        </w:rPr>
        <w:t xml:space="preserve">(р&gt;0,05). </w:t>
      </w:r>
      <w:r w:rsidRPr="002A5F7A">
        <w:rPr>
          <w:rFonts w:ascii="Times New Roman" w:hAnsi="Times New Roman" w:cs="Times New Roman"/>
          <w:sz w:val="28"/>
          <w:szCs w:val="28"/>
        </w:rPr>
        <w:t>Среднее значение адекватного уровня витамина Д (</w:t>
      </w:r>
      <w:r w:rsidRPr="002A5F7A">
        <w:rPr>
          <w:rFonts w:ascii="Times New Roman" w:eastAsia="Calibri" w:hAnsi="Times New Roman" w:cs="Times New Roman"/>
          <w:sz w:val="28"/>
          <w:szCs w:val="28"/>
        </w:rPr>
        <w:t>≥30 нг/мл)</w:t>
      </w:r>
      <w:r w:rsidRPr="002A5F7A">
        <w:rPr>
          <w:rFonts w:ascii="Times New Roman" w:hAnsi="Times New Roman" w:cs="Times New Roman"/>
          <w:sz w:val="28"/>
          <w:szCs w:val="28"/>
        </w:rPr>
        <w:t xml:space="preserve"> в группе </w:t>
      </w:r>
      <w:r w:rsidRPr="002A5F7A">
        <w:rPr>
          <w:rFonts w:ascii="Times New Roman" w:eastAsia="Calibri" w:hAnsi="Times New Roman" w:cs="Times New Roman"/>
          <w:sz w:val="28"/>
          <w:szCs w:val="28"/>
        </w:rPr>
        <w:t xml:space="preserve">вмешательства </w:t>
      </w:r>
      <w:r w:rsidRPr="002A5F7A">
        <w:rPr>
          <w:rFonts w:ascii="Times New Roman" w:hAnsi="Times New Roman" w:cs="Times New Roman"/>
          <w:sz w:val="28"/>
          <w:szCs w:val="28"/>
        </w:rPr>
        <w:t xml:space="preserve">составило 34,5 нг/мл и 39,5 нг/мл в группе </w:t>
      </w:r>
      <w:r w:rsidRPr="002A5F7A">
        <w:rPr>
          <w:rFonts w:ascii="Times New Roman" w:eastAsia="Calibri" w:hAnsi="Times New Roman" w:cs="Times New Roman"/>
          <w:bCs/>
          <w:sz w:val="28"/>
          <w:szCs w:val="28"/>
        </w:rPr>
        <w:t xml:space="preserve">контроля </w:t>
      </w:r>
      <w:r w:rsidRPr="002A5F7A">
        <w:rPr>
          <w:rFonts w:ascii="Times New Roman" w:hAnsi="Times New Roman" w:cs="Times New Roman"/>
          <w:sz w:val="28"/>
          <w:szCs w:val="28"/>
        </w:rPr>
        <w:t>(</w:t>
      </w:r>
      <w:r w:rsidRPr="002A5F7A">
        <w:rPr>
          <w:rFonts w:ascii="Times New Roman" w:eastAsia="Calibri" w:hAnsi="Times New Roman" w:cs="Times New Roman"/>
          <w:sz w:val="28"/>
          <w:szCs w:val="28"/>
          <w:lang w:val="en-US"/>
        </w:rPr>
        <w:t>p</w:t>
      </w:r>
      <w:r w:rsidRPr="002A5F7A">
        <w:rPr>
          <w:rFonts w:ascii="Times New Roman" w:eastAsia="Calibri" w:hAnsi="Times New Roman" w:cs="Times New Roman"/>
          <w:sz w:val="28"/>
          <w:szCs w:val="28"/>
        </w:rPr>
        <w:t>&lt;0,05) (</w:t>
      </w:r>
      <w:r w:rsidR="00274966" w:rsidRPr="002A5F7A">
        <w:rPr>
          <w:rFonts w:ascii="Times New Roman" w:eastAsia="Calibri" w:hAnsi="Times New Roman" w:cs="Times New Roman"/>
          <w:sz w:val="28"/>
          <w:szCs w:val="28"/>
        </w:rPr>
        <w:t>таблица 1</w:t>
      </w:r>
      <w:r w:rsidR="00A26A65">
        <w:rPr>
          <w:rFonts w:ascii="Times New Roman" w:eastAsia="Calibri" w:hAnsi="Times New Roman" w:cs="Times New Roman"/>
          <w:sz w:val="28"/>
          <w:szCs w:val="28"/>
        </w:rPr>
        <w:t>5</w:t>
      </w:r>
      <w:r w:rsidRPr="002A5F7A">
        <w:rPr>
          <w:rFonts w:ascii="Times New Roman" w:eastAsia="Calibri" w:hAnsi="Times New Roman" w:cs="Times New Roman"/>
          <w:sz w:val="28"/>
          <w:szCs w:val="28"/>
        </w:rPr>
        <w:t>).</w:t>
      </w:r>
      <w:r w:rsidRPr="00437528">
        <w:rPr>
          <w:rFonts w:ascii="Times New Roman" w:eastAsia="Calibri" w:hAnsi="Times New Roman" w:cs="Times New Roman"/>
          <w:sz w:val="28"/>
          <w:szCs w:val="28"/>
        </w:rPr>
        <w:t xml:space="preserve"> </w:t>
      </w:r>
    </w:p>
    <w:p w14:paraId="746EAAF2" w14:textId="08B435FB" w:rsidR="00274966" w:rsidRDefault="00274966" w:rsidP="007D35BD">
      <w:pPr>
        <w:spacing w:after="0" w:line="240" w:lineRule="auto"/>
        <w:ind w:firstLine="567"/>
        <w:jc w:val="both"/>
        <w:rPr>
          <w:rFonts w:ascii="Times New Roman" w:eastAsia="Calibri" w:hAnsi="Times New Roman" w:cs="Times New Roman"/>
          <w:sz w:val="28"/>
          <w:szCs w:val="28"/>
        </w:rPr>
      </w:pPr>
    </w:p>
    <w:p w14:paraId="5BD508DD" w14:textId="52943D98" w:rsidR="00274966" w:rsidRPr="00437528" w:rsidRDefault="00274966" w:rsidP="003E7AF4">
      <w:pPr>
        <w:tabs>
          <w:tab w:val="left" w:pos="1454"/>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w:t>
      </w:r>
      <w:r w:rsidR="00A26A65">
        <w:rPr>
          <w:rFonts w:ascii="Times New Roman" w:hAnsi="Times New Roman" w:cs="Times New Roman"/>
          <w:sz w:val="28"/>
          <w:szCs w:val="28"/>
        </w:rPr>
        <w:t>5</w:t>
      </w:r>
      <w:r w:rsidRPr="00437528">
        <w:rPr>
          <w:rFonts w:ascii="Times New Roman" w:hAnsi="Times New Roman" w:cs="Times New Roman"/>
          <w:sz w:val="28"/>
          <w:szCs w:val="28"/>
        </w:rPr>
        <w:t xml:space="preserve"> - Динамика уровня витамина Д в группах исследования завершения курса АСИТ </w:t>
      </w:r>
    </w:p>
    <w:p w14:paraId="16C1FA5A" w14:textId="77777777" w:rsidR="00274966" w:rsidRPr="00437528" w:rsidRDefault="00274966" w:rsidP="00274966">
      <w:pPr>
        <w:tabs>
          <w:tab w:val="left" w:pos="1454"/>
        </w:tabs>
        <w:spacing w:after="0" w:line="240" w:lineRule="auto"/>
        <w:jc w:val="both"/>
        <w:rPr>
          <w:rFonts w:ascii="Times New Roman" w:hAnsi="Times New Roman" w:cs="Times New Roman"/>
          <w:sz w:val="28"/>
          <w:szCs w:val="28"/>
        </w:rPr>
      </w:pPr>
    </w:p>
    <w:tbl>
      <w:tblPr>
        <w:tblStyle w:val="41"/>
        <w:tblW w:w="5000" w:type="pct"/>
        <w:tblInd w:w="-5" w:type="dxa"/>
        <w:tblLook w:val="04A0" w:firstRow="1" w:lastRow="0" w:firstColumn="1" w:lastColumn="0" w:noHBand="0" w:noVBand="1"/>
      </w:tblPr>
      <w:tblGrid>
        <w:gridCol w:w="3795"/>
        <w:gridCol w:w="2280"/>
        <w:gridCol w:w="1976"/>
        <w:gridCol w:w="1577"/>
      </w:tblGrid>
      <w:tr w:rsidR="00274966" w:rsidRPr="00437528" w14:paraId="41052BB3" w14:textId="77777777" w:rsidTr="00441716">
        <w:trPr>
          <w:trHeight w:val="398"/>
        </w:trPr>
        <w:tc>
          <w:tcPr>
            <w:tcW w:w="1971" w:type="pct"/>
            <w:hideMark/>
          </w:tcPr>
          <w:p w14:paraId="2AAE1009"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Параметр*</w:t>
            </w:r>
          </w:p>
        </w:tc>
        <w:tc>
          <w:tcPr>
            <w:tcW w:w="1184" w:type="pct"/>
            <w:vAlign w:val="center"/>
            <w:hideMark/>
          </w:tcPr>
          <w:p w14:paraId="72A9EBBA"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Группа вмешательства (АСИТ+витаминД)</w:t>
            </w:r>
          </w:p>
        </w:tc>
        <w:tc>
          <w:tcPr>
            <w:tcW w:w="1026" w:type="pct"/>
            <w:vAlign w:val="center"/>
            <w:hideMark/>
          </w:tcPr>
          <w:p w14:paraId="7BC54331" w14:textId="77777777" w:rsidR="00274966" w:rsidRPr="00437528" w:rsidRDefault="00274966" w:rsidP="00441716">
            <w:pPr>
              <w:jc w:val="both"/>
              <w:rPr>
                <w:rFonts w:ascii="Times New Roman" w:hAnsi="Times New Roman"/>
                <w:sz w:val="24"/>
                <w:szCs w:val="24"/>
              </w:rPr>
            </w:pPr>
            <w:r w:rsidRPr="00437528">
              <w:rPr>
                <w:rFonts w:ascii="Times New Roman" w:hAnsi="Times New Roman"/>
                <w:bCs/>
                <w:sz w:val="24"/>
                <w:szCs w:val="24"/>
              </w:rPr>
              <w:t>Группа контроля (АСИТ)</w:t>
            </w:r>
          </w:p>
        </w:tc>
        <w:tc>
          <w:tcPr>
            <w:tcW w:w="819" w:type="pct"/>
            <w:hideMark/>
          </w:tcPr>
          <w:p w14:paraId="59AF9C1F"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lang w:val="en-US"/>
              </w:rPr>
              <w:t>p</w:t>
            </w:r>
            <w:r w:rsidRPr="00437528">
              <w:rPr>
                <w:rFonts w:ascii="Times New Roman" w:hAnsi="Times New Roman"/>
                <w:sz w:val="24"/>
                <w:szCs w:val="24"/>
              </w:rPr>
              <w:t>-</w:t>
            </w:r>
            <w:r w:rsidRPr="00437528">
              <w:rPr>
                <w:rFonts w:ascii="Times New Roman" w:hAnsi="Times New Roman"/>
                <w:sz w:val="24"/>
                <w:szCs w:val="24"/>
                <w:lang w:val="en-US"/>
              </w:rPr>
              <w:t>value</w:t>
            </w:r>
            <w:r w:rsidRPr="00437528">
              <w:rPr>
                <w:rFonts w:ascii="Times New Roman" w:hAnsi="Times New Roman"/>
                <w:sz w:val="28"/>
                <w:szCs w:val="28"/>
              </w:rPr>
              <w:sym w:font="Symbol" w:char="F0A2"/>
            </w:r>
          </w:p>
        </w:tc>
      </w:tr>
      <w:tr w:rsidR="00274966" w:rsidRPr="00437528" w14:paraId="71F07537" w14:textId="77777777" w:rsidTr="00441716">
        <w:tc>
          <w:tcPr>
            <w:tcW w:w="1971" w:type="pct"/>
            <w:hideMark/>
          </w:tcPr>
          <w:p w14:paraId="7E6A5514"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Витамин Д (нг/мл), 1 визит</w:t>
            </w:r>
          </w:p>
        </w:tc>
        <w:tc>
          <w:tcPr>
            <w:tcW w:w="1184" w:type="pct"/>
            <w:hideMark/>
          </w:tcPr>
          <w:p w14:paraId="504EE56A" w14:textId="77777777" w:rsidR="00274966" w:rsidRPr="00437528" w:rsidRDefault="00274966" w:rsidP="00441716">
            <w:pPr>
              <w:jc w:val="both"/>
              <w:rPr>
                <w:rFonts w:ascii="Times New Roman" w:hAnsi="Times New Roman"/>
                <w:sz w:val="24"/>
                <w:szCs w:val="24"/>
                <w:highlight w:val="yellow"/>
              </w:rPr>
            </w:pPr>
            <w:r w:rsidRPr="00437528">
              <w:rPr>
                <w:rFonts w:ascii="Times New Roman" w:hAnsi="Times New Roman"/>
                <w:sz w:val="24"/>
                <w:szCs w:val="24"/>
              </w:rPr>
              <w:t>16,32 (13,21-24,33)</w:t>
            </w:r>
          </w:p>
        </w:tc>
        <w:tc>
          <w:tcPr>
            <w:tcW w:w="1026" w:type="pct"/>
            <w:hideMark/>
          </w:tcPr>
          <w:p w14:paraId="7DC3E4CD" w14:textId="77777777" w:rsidR="00274966" w:rsidRPr="00437528" w:rsidRDefault="00274966" w:rsidP="00441716">
            <w:pPr>
              <w:jc w:val="both"/>
              <w:rPr>
                <w:rFonts w:ascii="Times New Roman" w:hAnsi="Times New Roman"/>
                <w:sz w:val="24"/>
                <w:szCs w:val="24"/>
                <w:lang w:val="en-US"/>
              </w:rPr>
            </w:pPr>
            <w:r w:rsidRPr="00437528">
              <w:rPr>
                <w:rFonts w:ascii="Times New Roman" w:hAnsi="Times New Roman"/>
                <w:sz w:val="24"/>
                <w:szCs w:val="24"/>
              </w:rPr>
              <w:t>15,65 (13,6-23,8)</w:t>
            </w:r>
          </w:p>
        </w:tc>
        <w:tc>
          <w:tcPr>
            <w:tcW w:w="819" w:type="pct"/>
            <w:hideMark/>
          </w:tcPr>
          <w:p w14:paraId="5F2D8FBF" w14:textId="77777777" w:rsidR="00274966" w:rsidRPr="00437528" w:rsidRDefault="00274966" w:rsidP="00441716">
            <w:pPr>
              <w:jc w:val="both"/>
              <w:rPr>
                <w:rFonts w:ascii="Times New Roman" w:hAnsi="Times New Roman"/>
                <w:sz w:val="24"/>
                <w:szCs w:val="24"/>
                <w:lang w:val="en-US"/>
              </w:rPr>
            </w:pPr>
            <w:r w:rsidRPr="00437528">
              <w:rPr>
                <w:rFonts w:ascii="Times New Roman" w:hAnsi="Times New Roman"/>
                <w:sz w:val="24"/>
                <w:szCs w:val="24"/>
              </w:rPr>
              <w:t>0,8</w:t>
            </w:r>
          </w:p>
        </w:tc>
      </w:tr>
      <w:tr w:rsidR="00274966" w:rsidRPr="00437528" w14:paraId="285EBBE1" w14:textId="77777777" w:rsidTr="00441716">
        <w:tc>
          <w:tcPr>
            <w:tcW w:w="1971" w:type="pct"/>
            <w:hideMark/>
          </w:tcPr>
          <w:p w14:paraId="30CDAF39"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Витамин Д (нг/мл), 2 визит</w:t>
            </w:r>
          </w:p>
        </w:tc>
        <w:tc>
          <w:tcPr>
            <w:tcW w:w="1184" w:type="pct"/>
            <w:hideMark/>
          </w:tcPr>
          <w:p w14:paraId="5DC7FB71" w14:textId="77777777" w:rsidR="00274966" w:rsidRPr="00437528" w:rsidRDefault="00274966" w:rsidP="00441716">
            <w:pPr>
              <w:jc w:val="both"/>
              <w:rPr>
                <w:rFonts w:ascii="Times New Roman" w:hAnsi="Times New Roman"/>
                <w:sz w:val="24"/>
                <w:szCs w:val="24"/>
                <w:lang w:val="en-US"/>
              </w:rPr>
            </w:pPr>
            <w:r w:rsidRPr="00437528">
              <w:rPr>
                <w:rFonts w:ascii="Times New Roman" w:hAnsi="Times New Roman"/>
                <w:sz w:val="24"/>
                <w:szCs w:val="24"/>
              </w:rPr>
              <w:t>37,6 (32,4-41,06)</w:t>
            </w:r>
          </w:p>
        </w:tc>
        <w:tc>
          <w:tcPr>
            <w:tcW w:w="1026" w:type="pct"/>
            <w:hideMark/>
          </w:tcPr>
          <w:p w14:paraId="5C0600CE" w14:textId="77777777" w:rsidR="00274966" w:rsidRPr="00437528" w:rsidRDefault="00274966" w:rsidP="00441716">
            <w:pPr>
              <w:jc w:val="both"/>
              <w:rPr>
                <w:rFonts w:ascii="Times New Roman" w:hAnsi="Times New Roman"/>
                <w:sz w:val="24"/>
                <w:szCs w:val="24"/>
                <w:lang w:val="en-US"/>
              </w:rPr>
            </w:pPr>
            <w:r w:rsidRPr="00437528">
              <w:rPr>
                <w:rFonts w:ascii="Times New Roman" w:hAnsi="Times New Roman"/>
                <w:sz w:val="24"/>
                <w:szCs w:val="24"/>
              </w:rPr>
              <w:t>13,4 (11,9-18)</w:t>
            </w:r>
          </w:p>
        </w:tc>
        <w:tc>
          <w:tcPr>
            <w:tcW w:w="819" w:type="pct"/>
          </w:tcPr>
          <w:p w14:paraId="6D59C81C"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r>
      <w:tr w:rsidR="00274966" w:rsidRPr="00437528" w14:paraId="29A1C329" w14:textId="77777777" w:rsidTr="00441716">
        <w:tc>
          <w:tcPr>
            <w:tcW w:w="1971" w:type="pct"/>
            <w:hideMark/>
          </w:tcPr>
          <w:p w14:paraId="555A7B2E"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Динамика между визитами 1и 2</w:t>
            </w:r>
          </w:p>
          <w:p w14:paraId="0B3488C1"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lang w:val="en-US"/>
              </w:rPr>
              <w:t>p</w:t>
            </w:r>
            <w:r w:rsidRPr="00437528">
              <w:rPr>
                <w:rFonts w:ascii="Times New Roman" w:hAnsi="Times New Roman"/>
                <w:sz w:val="24"/>
                <w:szCs w:val="24"/>
              </w:rPr>
              <w:t>-</w:t>
            </w:r>
            <w:r w:rsidRPr="00437528">
              <w:rPr>
                <w:rFonts w:ascii="Times New Roman" w:hAnsi="Times New Roman"/>
                <w:sz w:val="24"/>
                <w:szCs w:val="24"/>
                <w:lang w:val="en-US"/>
              </w:rPr>
              <w:t>value</w:t>
            </w:r>
            <w:r w:rsidRPr="00437528">
              <w:rPr>
                <w:rFonts w:ascii="Times New Roman" w:hAnsi="Times New Roman"/>
                <w:sz w:val="28"/>
                <w:szCs w:val="28"/>
              </w:rPr>
              <w:sym w:font="Symbol" w:char="F0B0"/>
            </w:r>
          </w:p>
        </w:tc>
        <w:tc>
          <w:tcPr>
            <w:tcW w:w="1184" w:type="pct"/>
            <w:hideMark/>
          </w:tcPr>
          <w:p w14:paraId="796EFCF2" w14:textId="77777777" w:rsidR="00274966" w:rsidRPr="00437528" w:rsidRDefault="00274966" w:rsidP="00441716">
            <w:pPr>
              <w:jc w:val="both"/>
              <w:rPr>
                <w:rFonts w:ascii="Times New Roman" w:hAnsi="Times New Roman"/>
                <w:sz w:val="24"/>
                <w:szCs w:val="24"/>
                <w:lang w:val="en-US"/>
              </w:rPr>
            </w:pPr>
            <w:r w:rsidRPr="00437528">
              <w:rPr>
                <w:rFonts w:ascii="Times New Roman" w:hAnsi="Times New Roman"/>
                <w:sz w:val="24"/>
                <w:szCs w:val="24"/>
                <w:lang w:val="en-US"/>
              </w:rPr>
              <w:t>21,8</w:t>
            </w:r>
          </w:p>
          <w:p w14:paraId="31EACFE5"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1026" w:type="pct"/>
            <w:hideMark/>
          </w:tcPr>
          <w:p w14:paraId="183640F6" w14:textId="77777777" w:rsidR="00274966" w:rsidRPr="00437528" w:rsidRDefault="00274966" w:rsidP="00441716">
            <w:pPr>
              <w:jc w:val="both"/>
              <w:rPr>
                <w:rFonts w:ascii="Times New Roman" w:hAnsi="Times New Roman"/>
                <w:sz w:val="24"/>
                <w:szCs w:val="24"/>
                <w:lang w:val="en-US"/>
              </w:rPr>
            </w:pPr>
            <w:r w:rsidRPr="00437528">
              <w:rPr>
                <w:rFonts w:ascii="Times New Roman" w:hAnsi="Times New Roman"/>
                <w:sz w:val="24"/>
                <w:szCs w:val="24"/>
                <w:lang w:val="en-US"/>
              </w:rPr>
              <w:t>-2,7</w:t>
            </w:r>
          </w:p>
          <w:p w14:paraId="7466DCC1"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819" w:type="pct"/>
          </w:tcPr>
          <w:p w14:paraId="292FCB94" w14:textId="77777777" w:rsidR="00274966" w:rsidRPr="00437528" w:rsidRDefault="00274966" w:rsidP="00441716">
            <w:pPr>
              <w:jc w:val="both"/>
              <w:rPr>
                <w:rFonts w:ascii="Times New Roman" w:hAnsi="Times New Roman"/>
                <w:sz w:val="24"/>
                <w:szCs w:val="24"/>
              </w:rPr>
            </w:pPr>
          </w:p>
        </w:tc>
      </w:tr>
      <w:tr w:rsidR="00274966" w:rsidRPr="00437528" w14:paraId="0BF4A0CF" w14:textId="77777777" w:rsidTr="00441716">
        <w:tc>
          <w:tcPr>
            <w:tcW w:w="1971" w:type="pct"/>
            <w:hideMark/>
          </w:tcPr>
          <w:p w14:paraId="3DC8BFEE"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Дефицит (&lt; 20 нг/мл), 1 визит</w:t>
            </w:r>
          </w:p>
        </w:tc>
        <w:tc>
          <w:tcPr>
            <w:tcW w:w="1184" w:type="pct"/>
            <w:hideMark/>
          </w:tcPr>
          <w:p w14:paraId="5977E49A" w14:textId="77777777" w:rsidR="00274966" w:rsidRPr="00437528" w:rsidRDefault="00274966" w:rsidP="00441716">
            <w:pPr>
              <w:ind w:right="-103"/>
              <w:jc w:val="both"/>
              <w:rPr>
                <w:rFonts w:ascii="Times New Roman" w:hAnsi="Times New Roman"/>
                <w:sz w:val="24"/>
                <w:szCs w:val="24"/>
                <w:lang w:val="en-US"/>
              </w:rPr>
            </w:pPr>
            <w:r w:rsidRPr="00437528">
              <w:rPr>
                <w:rFonts w:ascii="Times New Roman" w:hAnsi="Times New Roman"/>
                <w:sz w:val="24"/>
                <w:szCs w:val="24"/>
                <w:lang w:val="en-US"/>
              </w:rPr>
              <w:t>13,4 (8,6-14,8)</w:t>
            </w:r>
          </w:p>
        </w:tc>
        <w:tc>
          <w:tcPr>
            <w:tcW w:w="1026" w:type="pct"/>
            <w:hideMark/>
          </w:tcPr>
          <w:p w14:paraId="6789CB4C" w14:textId="77777777" w:rsidR="00274966" w:rsidRPr="00437528" w:rsidRDefault="00274966" w:rsidP="00441716">
            <w:pPr>
              <w:ind w:right="-201"/>
              <w:jc w:val="both"/>
              <w:rPr>
                <w:rFonts w:ascii="Times New Roman" w:hAnsi="Times New Roman"/>
                <w:sz w:val="24"/>
                <w:szCs w:val="24"/>
                <w:lang w:val="en-US"/>
              </w:rPr>
            </w:pPr>
            <w:r w:rsidRPr="00437528">
              <w:rPr>
                <w:rFonts w:ascii="Times New Roman" w:hAnsi="Times New Roman"/>
                <w:sz w:val="24"/>
                <w:szCs w:val="24"/>
                <w:lang w:val="en-US"/>
              </w:rPr>
              <w:t>14,3 (12,2-15,3)</w:t>
            </w:r>
          </w:p>
        </w:tc>
        <w:tc>
          <w:tcPr>
            <w:tcW w:w="819" w:type="pct"/>
          </w:tcPr>
          <w:p w14:paraId="2C491D45"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0,3</w:t>
            </w:r>
          </w:p>
        </w:tc>
      </w:tr>
      <w:tr w:rsidR="00274966" w:rsidRPr="00437528" w14:paraId="2D50E321" w14:textId="77777777" w:rsidTr="00441716">
        <w:tc>
          <w:tcPr>
            <w:tcW w:w="1971" w:type="pct"/>
            <w:hideMark/>
          </w:tcPr>
          <w:p w14:paraId="42C9D647"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 xml:space="preserve">Дефицит (&lt; 20 нг/мл), </w:t>
            </w:r>
            <w:r w:rsidRPr="00437528">
              <w:rPr>
                <w:rFonts w:ascii="Times New Roman" w:hAnsi="Times New Roman"/>
                <w:sz w:val="24"/>
                <w:szCs w:val="24"/>
                <w:lang w:val="en-US"/>
              </w:rPr>
              <w:t xml:space="preserve">2 </w:t>
            </w:r>
            <w:r w:rsidRPr="00437528">
              <w:rPr>
                <w:rFonts w:ascii="Times New Roman" w:hAnsi="Times New Roman"/>
                <w:sz w:val="24"/>
                <w:szCs w:val="24"/>
              </w:rPr>
              <w:t>визит</w:t>
            </w:r>
          </w:p>
        </w:tc>
        <w:tc>
          <w:tcPr>
            <w:tcW w:w="1184" w:type="pct"/>
            <w:hideMark/>
          </w:tcPr>
          <w:p w14:paraId="542E3AA8" w14:textId="77777777" w:rsidR="00274966" w:rsidRPr="00437528" w:rsidRDefault="00274966" w:rsidP="00441716">
            <w:pPr>
              <w:jc w:val="both"/>
              <w:rPr>
                <w:rFonts w:ascii="Times New Roman" w:hAnsi="Times New Roman"/>
                <w:sz w:val="24"/>
                <w:szCs w:val="24"/>
                <w:lang w:val="en-US"/>
              </w:rPr>
            </w:pPr>
            <w:r w:rsidRPr="00437528">
              <w:rPr>
                <w:rFonts w:ascii="Times New Roman" w:hAnsi="Times New Roman"/>
                <w:sz w:val="24"/>
                <w:szCs w:val="24"/>
                <w:lang w:val="en-US"/>
              </w:rPr>
              <w:t>16,2 (14-18,4)</w:t>
            </w:r>
          </w:p>
        </w:tc>
        <w:tc>
          <w:tcPr>
            <w:tcW w:w="1026" w:type="pct"/>
            <w:hideMark/>
          </w:tcPr>
          <w:p w14:paraId="0C8D2935" w14:textId="77777777" w:rsidR="00274966" w:rsidRPr="00437528" w:rsidRDefault="00274966" w:rsidP="00441716">
            <w:pPr>
              <w:ind w:right="-201"/>
              <w:jc w:val="both"/>
              <w:rPr>
                <w:rFonts w:ascii="Times New Roman" w:hAnsi="Times New Roman"/>
                <w:sz w:val="24"/>
                <w:szCs w:val="24"/>
                <w:lang w:val="en-US"/>
              </w:rPr>
            </w:pPr>
            <w:r w:rsidRPr="00437528">
              <w:rPr>
                <w:rFonts w:ascii="Times New Roman" w:hAnsi="Times New Roman"/>
                <w:sz w:val="24"/>
                <w:szCs w:val="24"/>
                <w:lang w:val="en-US"/>
              </w:rPr>
              <w:t>12,6 (9,2-15,3)</w:t>
            </w:r>
          </w:p>
        </w:tc>
        <w:tc>
          <w:tcPr>
            <w:tcW w:w="819" w:type="pct"/>
          </w:tcPr>
          <w:p w14:paraId="1E72987E"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0,1</w:t>
            </w:r>
          </w:p>
        </w:tc>
      </w:tr>
      <w:tr w:rsidR="00274966" w:rsidRPr="00437528" w14:paraId="5CCFAA4A" w14:textId="77777777" w:rsidTr="00441716">
        <w:tc>
          <w:tcPr>
            <w:tcW w:w="1971" w:type="pct"/>
            <w:hideMark/>
          </w:tcPr>
          <w:p w14:paraId="13263C29"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Динамика между визитами 1и 2</w:t>
            </w:r>
          </w:p>
          <w:p w14:paraId="3CDEBC33"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lang w:val="en-US"/>
              </w:rPr>
              <w:t>p</w:t>
            </w:r>
            <w:r w:rsidRPr="00437528">
              <w:rPr>
                <w:rFonts w:ascii="Times New Roman" w:hAnsi="Times New Roman"/>
                <w:sz w:val="24"/>
                <w:szCs w:val="24"/>
              </w:rPr>
              <w:t>-</w:t>
            </w:r>
            <w:r w:rsidRPr="00437528">
              <w:rPr>
                <w:rFonts w:ascii="Times New Roman" w:hAnsi="Times New Roman"/>
                <w:sz w:val="24"/>
                <w:szCs w:val="24"/>
                <w:lang w:val="en-US"/>
              </w:rPr>
              <w:t>value</w:t>
            </w:r>
            <w:r w:rsidRPr="00437528">
              <w:rPr>
                <w:rFonts w:ascii="Times New Roman" w:hAnsi="Times New Roman"/>
                <w:sz w:val="28"/>
                <w:szCs w:val="28"/>
              </w:rPr>
              <w:sym w:font="Symbol" w:char="F0B0"/>
            </w:r>
          </w:p>
        </w:tc>
        <w:tc>
          <w:tcPr>
            <w:tcW w:w="1184" w:type="pct"/>
            <w:hideMark/>
          </w:tcPr>
          <w:p w14:paraId="47E6B90F" w14:textId="77777777" w:rsidR="00274966" w:rsidRPr="00437528" w:rsidRDefault="00274966" w:rsidP="00441716">
            <w:pPr>
              <w:jc w:val="both"/>
              <w:rPr>
                <w:rFonts w:ascii="Times New Roman" w:hAnsi="Times New Roman"/>
                <w:sz w:val="24"/>
                <w:szCs w:val="24"/>
                <w:lang w:val="en-US"/>
              </w:rPr>
            </w:pPr>
            <w:r w:rsidRPr="00437528">
              <w:rPr>
                <w:rFonts w:ascii="Times New Roman" w:hAnsi="Times New Roman"/>
                <w:sz w:val="24"/>
                <w:szCs w:val="24"/>
                <w:lang w:val="en-US"/>
              </w:rPr>
              <w:t>2,8</w:t>
            </w:r>
          </w:p>
          <w:p w14:paraId="795647B1"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0,001</w:t>
            </w:r>
          </w:p>
        </w:tc>
        <w:tc>
          <w:tcPr>
            <w:tcW w:w="1026" w:type="pct"/>
            <w:hideMark/>
          </w:tcPr>
          <w:p w14:paraId="7E0949EF" w14:textId="77777777" w:rsidR="00274966" w:rsidRPr="00437528" w:rsidRDefault="00274966" w:rsidP="00441716">
            <w:pPr>
              <w:ind w:right="-201"/>
              <w:jc w:val="both"/>
              <w:rPr>
                <w:rFonts w:ascii="Times New Roman" w:hAnsi="Times New Roman"/>
                <w:sz w:val="24"/>
                <w:szCs w:val="24"/>
                <w:lang w:val="en-US"/>
              </w:rPr>
            </w:pPr>
            <w:r w:rsidRPr="00437528">
              <w:rPr>
                <w:rFonts w:ascii="Times New Roman" w:hAnsi="Times New Roman"/>
                <w:sz w:val="24"/>
                <w:szCs w:val="24"/>
                <w:lang w:val="en-US"/>
              </w:rPr>
              <w:t>-1,7</w:t>
            </w:r>
          </w:p>
          <w:p w14:paraId="456640BF"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sym w:font="Symbol" w:char="F03C"/>
            </w:r>
            <w:r w:rsidRPr="00437528">
              <w:rPr>
                <w:rFonts w:ascii="Times New Roman" w:hAnsi="Times New Roman"/>
                <w:sz w:val="24"/>
                <w:szCs w:val="24"/>
              </w:rPr>
              <w:t>0,001</w:t>
            </w:r>
          </w:p>
        </w:tc>
        <w:tc>
          <w:tcPr>
            <w:tcW w:w="819" w:type="pct"/>
          </w:tcPr>
          <w:p w14:paraId="7ECEC104" w14:textId="77777777" w:rsidR="00274966" w:rsidRPr="00437528" w:rsidRDefault="00274966" w:rsidP="00441716">
            <w:pPr>
              <w:jc w:val="both"/>
              <w:rPr>
                <w:rFonts w:ascii="Times New Roman" w:hAnsi="Times New Roman"/>
                <w:sz w:val="24"/>
                <w:szCs w:val="24"/>
              </w:rPr>
            </w:pPr>
          </w:p>
        </w:tc>
      </w:tr>
      <w:tr w:rsidR="00274966" w:rsidRPr="00437528" w14:paraId="02390AFC" w14:textId="77777777" w:rsidTr="00441716">
        <w:tc>
          <w:tcPr>
            <w:tcW w:w="1971" w:type="pct"/>
            <w:hideMark/>
          </w:tcPr>
          <w:p w14:paraId="25C4D232"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Недостаточность (21-29 нг/мл), 1 визит</w:t>
            </w:r>
          </w:p>
        </w:tc>
        <w:tc>
          <w:tcPr>
            <w:tcW w:w="1184" w:type="pct"/>
            <w:hideMark/>
          </w:tcPr>
          <w:p w14:paraId="0AC07E91" w14:textId="77777777" w:rsidR="00274966" w:rsidRPr="00437528" w:rsidRDefault="00274966" w:rsidP="00441716">
            <w:pPr>
              <w:jc w:val="both"/>
              <w:rPr>
                <w:rFonts w:ascii="Times New Roman" w:hAnsi="Times New Roman"/>
                <w:sz w:val="24"/>
                <w:szCs w:val="24"/>
                <w:lang w:val="en-US"/>
              </w:rPr>
            </w:pPr>
            <w:r w:rsidRPr="00437528">
              <w:rPr>
                <w:rFonts w:ascii="Times New Roman" w:hAnsi="Times New Roman"/>
                <w:sz w:val="24"/>
                <w:szCs w:val="24"/>
                <w:lang w:val="en-US"/>
              </w:rPr>
              <w:t>23,1 (21,6-23,4)</w:t>
            </w:r>
          </w:p>
        </w:tc>
        <w:tc>
          <w:tcPr>
            <w:tcW w:w="1026" w:type="pct"/>
            <w:hideMark/>
          </w:tcPr>
          <w:p w14:paraId="15C42F36" w14:textId="77777777" w:rsidR="00274966" w:rsidRPr="00437528" w:rsidRDefault="00274966" w:rsidP="00441716">
            <w:pPr>
              <w:jc w:val="both"/>
              <w:rPr>
                <w:rFonts w:ascii="Times New Roman" w:hAnsi="Times New Roman"/>
                <w:sz w:val="24"/>
                <w:szCs w:val="24"/>
                <w:lang w:val="en-US"/>
              </w:rPr>
            </w:pPr>
            <w:r w:rsidRPr="00437528">
              <w:rPr>
                <w:rFonts w:ascii="Times New Roman" w:hAnsi="Times New Roman"/>
                <w:sz w:val="24"/>
                <w:szCs w:val="24"/>
                <w:lang w:val="en-US"/>
              </w:rPr>
              <w:t>23,8 (22,1-25,3)</w:t>
            </w:r>
          </w:p>
        </w:tc>
        <w:tc>
          <w:tcPr>
            <w:tcW w:w="819" w:type="pct"/>
          </w:tcPr>
          <w:p w14:paraId="2253D661"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0,2</w:t>
            </w:r>
          </w:p>
          <w:p w14:paraId="0553FDB7" w14:textId="77777777" w:rsidR="00274966" w:rsidRPr="00437528" w:rsidRDefault="00274966" w:rsidP="00441716">
            <w:pPr>
              <w:jc w:val="both"/>
              <w:rPr>
                <w:rFonts w:ascii="Times New Roman" w:hAnsi="Times New Roman"/>
                <w:sz w:val="24"/>
                <w:szCs w:val="24"/>
              </w:rPr>
            </w:pPr>
          </w:p>
        </w:tc>
      </w:tr>
      <w:tr w:rsidR="00274966" w:rsidRPr="00437528" w14:paraId="7B7D36BA" w14:textId="77777777" w:rsidTr="00441716">
        <w:tc>
          <w:tcPr>
            <w:tcW w:w="1971" w:type="pct"/>
            <w:hideMark/>
          </w:tcPr>
          <w:p w14:paraId="61670D2F"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 xml:space="preserve">Недостаточность (21-29 нг/мл), </w:t>
            </w:r>
            <w:r w:rsidRPr="00437528">
              <w:rPr>
                <w:rFonts w:ascii="Times New Roman" w:hAnsi="Times New Roman"/>
                <w:sz w:val="24"/>
                <w:szCs w:val="24"/>
                <w:lang w:val="en-US"/>
              </w:rPr>
              <w:t xml:space="preserve">2 </w:t>
            </w:r>
            <w:r w:rsidRPr="00437528">
              <w:rPr>
                <w:rFonts w:ascii="Times New Roman" w:hAnsi="Times New Roman"/>
                <w:sz w:val="24"/>
                <w:szCs w:val="24"/>
              </w:rPr>
              <w:t>визит</w:t>
            </w:r>
          </w:p>
        </w:tc>
        <w:tc>
          <w:tcPr>
            <w:tcW w:w="1184" w:type="pct"/>
            <w:hideMark/>
          </w:tcPr>
          <w:p w14:paraId="4971A149" w14:textId="77777777" w:rsidR="00274966" w:rsidRPr="00437528" w:rsidRDefault="00274966" w:rsidP="00441716">
            <w:pPr>
              <w:jc w:val="both"/>
              <w:rPr>
                <w:rFonts w:ascii="Times New Roman" w:hAnsi="Times New Roman"/>
                <w:sz w:val="24"/>
                <w:szCs w:val="24"/>
                <w:lang w:val="en-US"/>
              </w:rPr>
            </w:pPr>
            <w:r w:rsidRPr="00437528">
              <w:rPr>
                <w:rFonts w:ascii="Times New Roman" w:hAnsi="Times New Roman"/>
                <w:sz w:val="24"/>
                <w:szCs w:val="24"/>
                <w:lang w:val="en-US"/>
              </w:rPr>
              <w:t>28,3 (28,3-28,3)</w:t>
            </w:r>
          </w:p>
        </w:tc>
        <w:tc>
          <w:tcPr>
            <w:tcW w:w="1026" w:type="pct"/>
            <w:hideMark/>
          </w:tcPr>
          <w:p w14:paraId="27455CDD" w14:textId="77777777" w:rsidR="00274966" w:rsidRPr="00437528" w:rsidRDefault="00274966" w:rsidP="00441716">
            <w:pPr>
              <w:jc w:val="both"/>
              <w:rPr>
                <w:rFonts w:ascii="Times New Roman" w:hAnsi="Times New Roman"/>
                <w:sz w:val="24"/>
                <w:szCs w:val="24"/>
                <w:lang w:val="en-US"/>
              </w:rPr>
            </w:pPr>
            <w:r w:rsidRPr="00437528">
              <w:rPr>
                <w:rFonts w:ascii="Times New Roman" w:hAnsi="Times New Roman"/>
                <w:sz w:val="24"/>
                <w:szCs w:val="24"/>
                <w:lang w:val="en-US"/>
              </w:rPr>
              <w:t>22,1</w:t>
            </w:r>
          </w:p>
        </w:tc>
        <w:tc>
          <w:tcPr>
            <w:tcW w:w="819" w:type="pct"/>
          </w:tcPr>
          <w:p w14:paraId="2B0860FB"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1,0</w:t>
            </w:r>
          </w:p>
        </w:tc>
      </w:tr>
      <w:tr w:rsidR="00274966" w:rsidRPr="00437528" w14:paraId="4B0F6C7D" w14:textId="77777777" w:rsidTr="00441716">
        <w:tc>
          <w:tcPr>
            <w:tcW w:w="1971" w:type="pct"/>
            <w:hideMark/>
          </w:tcPr>
          <w:p w14:paraId="0DA96A98"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Динамика между визитами 1и 2</w:t>
            </w:r>
          </w:p>
          <w:p w14:paraId="376B07C9"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lang w:val="en-US"/>
              </w:rPr>
              <w:t>p</w:t>
            </w:r>
            <w:r w:rsidRPr="00437528">
              <w:rPr>
                <w:rFonts w:ascii="Times New Roman" w:hAnsi="Times New Roman"/>
                <w:sz w:val="24"/>
                <w:szCs w:val="24"/>
              </w:rPr>
              <w:t>-</w:t>
            </w:r>
            <w:r w:rsidRPr="00437528">
              <w:rPr>
                <w:rFonts w:ascii="Times New Roman" w:hAnsi="Times New Roman"/>
                <w:sz w:val="24"/>
                <w:szCs w:val="24"/>
                <w:lang w:val="en-US"/>
              </w:rPr>
              <w:t>value</w:t>
            </w:r>
            <w:r w:rsidRPr="00437528">
              <w:rPr>
                <w:rFonts w:ascii="Times New Roman" w:hAnsi="Times New Roman"/>
                <w:sz w:val="28"/>
                <w:szCs w:val="28"/>
              </w:rPr>
              <w:sym w:font="Symbol" w:char="F0B0"/>
            </w:r>
          </w:p>
        </w:tc>
        <w:tc>
          <w:tcPr>
            <w:tcW w:w="1184" w:type="pct"/>
            <w:hideMark/>
          </w:tcPr>
          <w:p w14:paraId="20167733" w14:textId="77777777" w:rsidR="00274966" w:rsidRPr="00437528" w:rsidRDefault="00274966" w:rsidP="00441716">
            <w:pPr>
              <w:jc w:val="both"/>
              <w:rPr>
                <w:rFonts w:ascii="Times New Roman" w:hAnsi="Times New Roman"/>
                <w:sz w:val="24"/>
                <w:szCs w:val="24"/>
                <w:lang w:val="en-US"/>
              </w:rPr>
            </w:pPr>
            <w:r w:rsidRPr="00437528">
              <w:rPr>
                <w:rFonts w:ascii="Times New Roman" w:hAnsi="Times New Roman"/>
                <w:sz w:val="24"/>
                <w:szCs w:val="24"/>
                <w:lang w:val="en-US"/>
              </w:rPr>
              <w:t>5,2</w:t>
            </w:r>
          </w:p>
          <w:p w14:paraId="18E79674"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0,07</w:t>
            </w:r>
          </w:p>
        </w:tc>
        <w:tc>
          <w:tcPr>
            <w:tcW w:w="1026" w:type="pct"/>
            <w:hideMark/>
          </w:tcPr>
          <w:p w14:paraId="07839917" w14:textId="77777777" w:rsidR="00274966" w:rsidRPr="00437528" w:rsidRDefault="00274966" w:rsidP="00441716">
            <w:pPr>
              <w:jc w:val="both"/>
              <w:rPr>
                <w:rFonts w:ascii="Times New Roman" w:hAnsi="Times New Roman"/>
                <w:sz w:val="24"/>
                <w:szCs w:val="24"/>
                <w:lang w:val="en-US"/>
              </w:rPr>
            </w:pPr>
            <w:r w:rsidRPr="00437528">
              <w:rPr>
                <w:rFonts w:ascii="Times New Roman" w:hAnsi="Times New Roman"/>
                <w:sz w:val="24"/>
                <w:szCs w:val="24"/>
                <w:lang w:val="en-US"/>
              </w:rPr>
              <w:t>-1,7</w:t>
            </w:r>
          </w:p>
          <w:p w14:paraId="5E94BCA1"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0,04</w:t>
            </w:r>
          </w:p>
        </w:tc>
        <w:tc>
          <w:tcPr>
            <w:tcW w:w="819" w:type="pct"/>
          </w:tcPr>
          <w:p w14:paraId="0B154BF3" w14:textId="77777777" w:rsidR="00274966" w:rsidRPr="00437528" w:rsidRDefault="00274966" w:rsidP="00441716">
            <w:pPr>
              <w:jc w:val="both"/>
              <w:rPr>
                <w:rFonts w:ascii="Times New Roman" w:hAnsi="Times New Roman"/>
                <w:sz w:val="24"/>
                <w:szCs w:val="24"/>
              </w:rPr>
            </w:pPr>
          </w:p>
        </w:tc>
      </w:tr>
      <w:tr w:rsidR="00274966" w:rsidRPr="00437528" w14:paraId="12C3720A" w14:textId="77777777" w:rsidTr="00441716">
        <w:tc>
          <w:tcPr>
            <w:tcW w:w="1971" w:type="pct"/>
            <w:hideMark/>
          </w:tcPr>
          <w:p w14:paraId="29C1CEA1"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Адекватный уровень (&gt;30 нг/мл), 1 визит</w:t>
            </w:r>
          </w:p>
        </w:tc>
        <w:tc>
          <w:tcPr>
            <w:tcW w:w="1184" w:type="pct"/>
            <w:hideMark/>
          </w:tcPr>
          <w:p w14:paraId="0B20BA74" w14:textId="77777777" w:rsidR="00274966" w:rsidRPr="00437528" w:rsidRDefault="00274966" w:rsidP="00441716">
            <w:pPr>
              <w:ind w:right="-106"/>
              <w:jc w:val="both"/>
              <w:rPr>
                <w:rFonts w:ascii="Times New Roman" w:hAnsi="Times New Roman"/>
                <w:sz w:val="24"/>
                <w:szCs w:val="24"/>
                <w:lang w:val="en-US"/>
              </w:rPr>
            </w:pPr>
            <w:r w:rsidRPr="00437528">
              <w:rPr>
                <w:rFonts w:ascii="Times New Roman" w:hAnsi="Times New Roman"/>
                <w:sz w:val="24"/>
                <w:szCs w:val="24"/>
                <w:lang w:val="en-US"/>
              </w:rPr>
              <w:t>34,5 (33,1-36,4)</w:t>
            </w:r>
          </w:p>
        </w:tc>
        <w:tc>
          <w:tcPr>
            <w:tcW w:w="1026" w:type="pct"/>
            <w:hideMark/>
          </w:tcPr>
          <w:p w14:paraId="019D9DF4" w14:textId="77777777" w:rsidR="00274966" w:rsidRPr="00437528" w:rsidRDefault="00274966" w:rsidP="00441716">
            <w:pPr>
              <w:jc w:val="both"/>
              <w:rPr>
                <w:rFonts w:ascii="Times New Roman" w:hAnsi="Times New Roman"/>
                <w:sz w:val="24"/>
                <w:szCs w:val="24"/>
                <w:lang w:val="en-US"/>
              </w:rPr>
            </w:pPr>
            <w:r w:rsidRPr="00437528">
              <w:rPr>
                <w:rFonts w:ascii="Times New Roman" w:hAnsi="Times New Roman"/>
                <w:sz w:val="24"/>
                <w:szCs w:val="24"/>
                <w:lang w:val="en-US"/>
              </w:rPr>
              <w:t>39,5 (37,1-40,7)</w:t>
            </w:r>
          </w:p>
        </w:tc>
        <w:tc>
          <w:tcPr>
            <w:tcW w:w="819" w:type="pct"/>
          </w:tcPr>
          <w:p w14:paraId="16C15AC2"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0,04</w:t>
            </w:r>
          </w:p>
        </w:tc>
      </w:tr>
      <w:tr w:rsidR="00274966" w:rsidRPr="00437528" w14:paraId="1D46E460" w14:textId="77777777" w:rsidTr="00441716">
        <w:tc>
          <w:tcPr>
            <w:tcW w:w="1971" w:type="pct"/>
            <w:hideMark/>
          </w:tcPr>
          <w:p w14:paraId="6EFA9307"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Адекватный уровень (&gt;30 нг/мл), 2 визит</w:t>
            </w:r>
          </w:p>
        </w:tc>
        <w:tc>
          <w:tcPr>
            <w:tcW w:w="1184" w:type="pct"/>
            <w:hideMark/>
          </w:tcPr>
          <w:p w14:paraId="1DE76E3E" w14:textId="77777777" w:rsidR="00274966" w:rsidRPr="00437528" w:rsidRDefault="00274966" w:rsidP="00441716">
            <w:pPr>
              <w:ind w:right="-126"/>
              <w:jc w:val="both"/>
              <w:rPr>
                <w:rFonts w:ascii="Times New Roman" w:hAnsi="Times New Roman"/>
                <w:sz w:val="24"/>
                <w:szCs w:val="24"/>
                <w:lang w:val="en-US"/>
              </w:rPr>
            </w:pPr>
            <w:r w:rsidRPr="00437528">
              <w:rPr>
                <w:rFonts w:ascii="Times New Roman" w:hAnsi="Times New Roman"/>
                <w:sz w:val="24"/>
                <w:szCs w:val="24"/>
                <w:lang w:val="en-US"/>
              </w:rPr>
              <w:t>38,4 (34,6-42,1)</w:t>
            </w:r>
          </w:p>
        </w:tc>
        <w:tc>
          <w:tcPr>
            <w:tcW w:w="1026" w:type="pct"/>
            <w:hideMark/>
          </w:tcPr>
          <w:p w14:paraId="527CF19A" w14:textId="77777777" w:rsidR="00274966" w:rsidRPr="00437528" w:rsidRDefault="00274966" w:rsidP="00441716">
            <w:pPr>
              <w:jc w:val="both"/>
              <w:rPr>
                <w:rFonts w:ascii="Times New Roman" w:hAnsi="Times New Roman"/>
                <w:sz w:val="24"/>
                <w:szCs w:val="24"/>
                <w:lang w:val="en-US"/>
              </w:rPr>
            </w:pPr>
            <w:r w:rsidRPr="00437528">
              <w:rPr>
                <w:rFonts w:ascii="Times New Roman" w:hAnsi="Times New Roman"/>
                <w:sz w:val="24"/>
                <w:szCs w:val="24"/>
                <w:lang w:val="en-US"/>
              </w:rPr>
              <w:t>37,3 (33,3-38,2)</w:t>
            </w:r>
          </w:p>
        </w:tc>
        <w:tc>
          <w:tcPr>
            <w:tcW w:w="819" w:type="pct"/>
          </w:tcPr>
          <w:p w14:paraId="1E4D79D0"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0,3</w:t>
            </w:r>
          </w:p>
        </w:tc>
      </w:tr>
      <w:tr w:rsidR="00274966" w:rsidRPr="00437528" w14:paraId="47143EA4" w14:textId="77777777" w:rsidTr="00441716">
        <w:tc>
          <w:tcPr>
            <w:tcW w:w="1971" w:type="pct"/>
            <w:hideMark/>
          </w:tcPr>
          <w:p w14:paraId="43B3F91D"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Динамика между визитами 1и 2</w:t>
            </w:r>
          </w:p>
          <w:p w14:paraId="6A6896E3"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lang w:val="en-US"/>
              </w:rPr>
              <w:t>p</w:t>
            </w:r>
            <w:r w:rsidRPr="00437528">
              <w:rPr>
                <w:rFonts w:ascii="Times New Roman" w:hAnsi="Times New Roman"/>
                <w:sz w:val="24"/>
                <w:szCs w:val="24"/>
              </w:rPr>
              <w:t>-</w:t>
            </w:r>
            <w:r w:rsidRPr="00437528">
              <w:rPr>
                <w:rFonts w:ascii="Times New Roman" w:hAnsi="Times New Roman"/>
                <w:sz w:val="24"/>
                <w:szCs w:val="24"/>
                <w:lang w:val="en-US"/>
              </w:rPr>
              <w:t>value</w:t>
            </w:r>
            <w:r w:rsidRPr="00437528">
              <w:rPr>
                <w:rFonts w:ascii="Times New Roman" w:hAnsi="Times New Roman"/>
                <w:sz w:val="28"/>
                <w:szCs w:val="28"/>
              </w:rPr>
              <w:sym w:font="Symbol" w:char="F0B0"/>
            </w:r>
          </w:p>
        </w:tc>
        <w:tc>
          <w:tcPr>
            <w:tcW w:w="1184" w:type="pct"/>
            <w:hideMark/>
          </w:tcPr>
          <w:p w14:paraId="49717C00" w14:textId="77777777" w:rsidR="00274966" w:rsidRPr="00437528" w:rsidRDefault="00274966" w:rsidP="00441716">
            <w:pPr>
              <w:jc w:val="both"/>
              <w:rPr>
                <w:rFonts w:ascii="Times New Roman" w:hAnsi="Times New Roman"/>
                <w:sz w:val="24"/>
                <w:szCs w:val="24"/>
                <w:lang w:val="en-US"/>
              </w:rPr>
            </w:pPr>
            <w:r w:rsidRPr="00437528">
              <w:rPr>
                <w:rFonts w:ascii="Times New Roman" w:hAnsi="Times New Roman"/>
                <w:sz w:val="24"/>
                <w:szCs w:val="24"/>
                <w:lang w:val="en-US"/>
              </w:rPr>
              <w:t>3,9</w:t>
            </w:r>
          </w:p>
          <w:p w14:paraId="21AED74E"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0,02</w:t>
            </w:r>
          </w:p>
        </w:tc>
        <w:tc>
          <w:tcPr>
            <w:tcW w:w="1026" w:type="pct"/>
            <w:hideMark/>
          </w:tcPr>
          <w:p w14:paraId="4B8693DE" w14:textId="77777777" w:rsidR="00274966" w:rsidRPr="00437528" w:rsidRDefault="00274966" w:rsidP="00441716">
            <w:pPr>
              <w:jc w:val="both"/>
              <w:rPr>
                <w:rFonts w:ascii="Times New Roman" w:hAnsi="Times New Roman"/>
                <w:sz w:val="24"/>
                <w:szCs w:val="24"/>
                <w:lang w:val="en-US"/>
              </w:rPr>
            </w:pPr>
            <w:r w:rsidRPr="00437528">
              <w:rPr>
                <w:rFonts w:ascii="Times New Roman" w:hAnsi="Times New Roman"/>
                <w:sz w:val="24"/>
                <w:szCs w:val="24"/>
                <w:lang w:val="en-US"/>
              </w:rPr>
              <w:t>-2,2</w:t>
            </w:r>
          </w:p>
          <w:p w14:paraId="04E37EE6" w14:textId="77777777" w:rsidR="00274966" w:rsidRPr="00437528" w:rsidRDefault="00274966" w:rsidP="00441716">
            <w:pPr>
              <w:jc w:val="both"/>
              <w:rPr>
                <w:rFonts w:ascii="Times New Roman" w:hAnsi="Times New Roman"/>
                <w:sz w:val="24"/>
                <w:szCs w:val="24"/>
              </w:rPr>
            </w:pPr>
            <w:r w:rsidRPr="00437528">
              <w:rPr>
                <w:rFonts w:ascii="Times New Roman" w:hAnsi="Times New Roman"/>
                <w:sz w:val="24"/>
                <w:szCs w:val="24"/>
              </w:rPr>
              <w:t>0,06</w:t>
            </w:r>
          </w:p>
        </w:tc>
        <w:tc>
          <w:tcPr>
            <w:tcW w:w="819" w:type="pct"/>
          </w:tcPr>
          <w:p w14:paraId="2687E977" w14:textId="77777777" w:rsidR="00274966" w:rsidRPr="00437528" w:rsidRDefault="00274966" w:rsidP="00441716">
            <w:pPr>
              <w:jc w:val="both"/>
              <w:rPr>
                <w:rFonts w:ascii="Times New Roman" w:hAnsi="Times New Roman"/>
                <w:sz w:val="24"/>
                <w:szCs w:val="24"/>
              </w:rPr>
            </w:pPr>
          </w:p>
        </w:tc>
      </w:tr>
      <w:tr w:rsidR="006D0562" w:rsidRPr="00437528" w14:paraId="0A0AD5EE" w14:textId="77777777" w:rsidTr="006D0562">
        <w:tc>
          <w:tcPr>
            <w:tcW w:w="5000" w:type="pct"/>
            <w:gridSpan w:val="4"/>
          </w:tcPr>
          <w:p w14:paraId="7CC5C280" w14:textId="77777777" w:rsidR="006D0562" w:rsidRPr="006D0562" w:rsidRDefault="006D0562" w:rsidP="006D0562">
            <w:pPr>
              <w:spacing w:line="256" w:lineRule="auto"/>
              <w:ind w:firstLine="594"/>
              <w:jc w:val="both"/>
              <w:rPr>
                <w:rFonts w:ascii="Times New Roman" w:eastAsia="Times New Roman" w:hAnsi="Times New Roman"/>
                <w:color w:val="000000"/>
                <w:kern w:val="24"/>
                <w:sz w:val="24"/>
                <w:szCs w:val="24"/>
                <w:lang w:eastAsia="ru-RU"/>
              </w:rPr>
            </w:pPr>
            <w:r w:rsidRPr="006D0562">
              <w:rPr>
                <w:rFonts w:ascii="Times New Roman" w:eastAsia="Times New Roman" w:hAnsi="Times New Roman"/>
                <w:color w:val="000000"/>
                <w:kern w:val="24"/>
                <w:sz w:val="24"/>
                <w:szCs w:val="24"/>
                <w:lang w:eastAsia="ru-RU"/>
              </w:rPr>
              <w:t>Примечания:</w:t>
            </w:r>
          </w:p>
          <w:p w14:paraId="3C33E98A" w14:textId="77777777" w:rsidR="006D0562" w:rsidRPr="006D0562" w:rsidRDefault="006D0562" w:rsidP="006D0562">
            <w:pPr>
              <w:tabs>
                <w:tab w:val="left" w:pos="1454"/>
              </w:tabs>
              <w:jc w:val="both"/>
              <w:rPr>
                <w:rFonts w:ascii="Times New Roman" w:hAnsi="Times New Roman"/>
                <w:sz w:val="24"/>
                <w:szCs w:val="24"/>
              </w:rPr>
            </w:pPr>
            <w:r w:rsidRPr="006D0562">
              <w:rPr>
                <w:rFonts w:ascii="Times New Roman" w:hAnsi="Times New Roman"/>
                <w:sz w:val="24"/>
                <w:szCs w:val="24"/>
              </w:rPr>
              <w:t xml:space="preserve">1 </w:t>
            </w:r>
            <w:r w:rsidRPr="006D0562">
              <w:rPr>
                <w:rFonts w:ascii="Times New Roman" w:hAnsi="Times New Roman"/>
                <w:i/>
                <w:sz w:val="24"/>
                <w:szCs w:val="24"/>
              </w:rPr>
              <w:t xml:space="preserve">* </w:t>
            </w:r>
            <w:r w:rsidRPr="006D0562">
              <w:rPr>
                <w:rFonts w:ascii="Times New Roman" w:hAnsi="Times New Roman"/>
                <w:sz w:val="24"/>
                <w:szCs w:val="24"/>
              </w:rPr>
              <w:t>(</w:t>
            </w:r>
            <w:r w:rsidRPr="006D0562">
              <w:rPr>
                <w:rFonts w:ascii="Times New Roman" w:hAnsi="Times New Roman"/>
                <w:sz w:val="24"/>
                <w:szCs w:val="24"/>
                <w:lang w:val="en-US"/>
              </w:rPr>
              <w:t>Me</w:t>
            </w:r>
            <w:r w:rsidRPr="006D0562">
              <w:rPr>
                <w:rFonts w:ascii="Times New Roman" w:hAnsi="Times New Roman"/>
                <w:sz w:val="24"/>
                <w:szCs w:val="24"/>
              </w:rPr>
              <w:t>+</w:t>
            </w:r>
            <w:r w:rsidRPr="006D0562">
              <w:rPr>
                <w:rFonts w:ascii="Times New Roman" w:hAnsi="Times New Roman"/>
                <w:sz w:val="24"/>
                <w:szCs w:val="24"/>
                <w:lang w:val="en-US"/>
              </w:rPr>
              <w:t>Q</w:t>
            </w:r>
            <w:r w:rsidRPr="006D0562">
              <w:rPr>
                <w:rFonts w:ascii="Times New Roman" w:hAnsi="Times New Roman"/>
                <w:sz w:val="24"/>
                <w:szCs w:val="24"/>
                <w:vertAlign w:val="subscript"/>
              </w:rPr>
              <w:t>25-75</w:t>
            </w:r>
            <w:r w:rsidRPr="006D0562">
              <w:rPr>
                <w:rFonts w:ascii="Times New Roman" w:hAnsi="Times New Roman"/>
                <w:sz w:val="24"/>
                <w:szCs w:val="24"/>
              </w:rPr>
              <w:t>) – медиана (нижний и верхний квартиль)</w:t>
            </w:r>
          </w:p>
          <w:p w14:paraId="2E93307F" w14:textId="2067563E" w:rsidR="006D0562" w:rsidRPr="006D0562" w:rsidRDefault="006D0562" w:rsidP="006D0562">
            <w:pPr>
              <w:tabs>
                <w:tab w:val="left" w:pos="1454"/>
              </w:tabs>
              <w:jc w:val="both"/>
              <w:rPr>
                <w:rFonts w:ascii="Times New Roman" w:hAnsi="Times New Roman"/>
                <w:sz w:val="24"/>
                <w:szCs w:val="24"/>
              </w:rPr>
            </w:pPr>
            <w:r w:rsidRPr="006D0562">
              <w:rPr>
                <w:rFonts w:ascii="Times New Roman" w:hAnsi="Times New Roman"/>
                <w:sz w:val="24"/>
                <w:szCs w:val="24"/>
              </w:rPr>
              <w:t xml:space="preserve">2 </w:t>
            </w:r>
            <w:r w:rsidRPr="006D0562">
              <w:rPr>
                <w:rFonts w:ascii="Times New Roman" w:hAnsi="Times New Roman"/>
                <w:sz w:val="24"/>
                <w:szCs w:val="24"/>
              </w:rPr>
              <w:sym w:font="Symbol" w:char="F0B0"/>
            </w:r>
            <w:r w:rsidRPr="006D0562">
              <w:rPr>
                <w:rFonts w:ascii="Times New Roman" w:hAnsi="Times New Roman"/>
                <w:sz w:val="24"/>
                <w:szCs w:val="24"/>
              </w:rPr>
              <w:t xml:space="preserve"> сравнение внутри групп статистический критерий Уилкоксона</w:t>
            </w:r>
          </w:p>
          <w:p w14:paraId="1EED20AA" w14:textId="464BAE21" w:rsidR="006D0562" w:rsidRPr="006D0562" w:rsidRDefault="006D0562" w:rsidP="006D0562">
            <w:pPr>
              <w:tabs>
                <w:tab w:val="left" w:pos="1454"/>
              </w:tabs>
              <w:jc w:val="both"/>
              <w:rPr>
                <w:rFonts w:ascii="Times New Roman" w:hAnsi="Times New Roman"/>
              </w:rPr>
            </w:pPr>
            <w:r w:rsidRPr="006D0562">
              <w:rPr>
                <w:rFonts w:ascii="Times New Roman" w:hAnsi="Times New Roman"/>
                <w:sz w:val="24"/>
                <w:szCs w:val="24"/>
              </w:rPr>
              <w:t xml:space="preserve">3 </w:t>
            </w:r>
            <w:r w:rsidRPr="006D0562">
              <w:rPr>
                <w:rFonts w:ascii="Times New Roman" w:hAnsi="Times New Roman"/>
                <w:sz w:val="24"/>
                <w:szCs w:val="24"/>
              </w:rPr>
              <w:sym w:font="Symbol" w:char="F0A2"/>
            </w:r>
            <w:r w:rsidRPr="006D0562">
              <w:rPr>
                <w:rFonts w:ascii="Times New Roman" w:hAnsi="Times New Roman"/>
                <w:sz w:val="24"/>
                <w:szCs w:val="24"/>
              </w:rPr>
              <w:t xml:space="preserve"> сравнение между группами статистический критерий Манна-Уитни</w:t>
            </w:r>
          </w:p>
        </w:tc>
      </w:tr>
    </w:tbl>
    <w:p w14:paraId="04879A35" w14:textId="77777777" w:rsidR="00274966" w:rsidRPr="00437528" w:rsidRDefault="00274966" w:rsidP="007D35BD">
      <w:pPr>
        <w:spacing w:after="0" w:line="240" w:lineRule="auto"/>
        <w:ind w:firstLine="567"/>
        <w:jc w:val="both"/>
        <w:rPr>
          <w:rFonts w:ascii="Times New Roman" w:eastAsia="Calibri" w:hAnsi="Times New Roman" w:cs="Times New Roman"/>
          <w:sz w:val="28"/>
          <w:szCs w:val="28"/>
        </w:rPr>
      </w:pPr>
    </w:p>
    <w:p w14:paraId="46F2B832" w14:textId="47400FAF" w:rsidR="00437528" w:rsidRPr="002A5F7A" w:rsidRDefault="00437528" w:rsidP="007D35BD">
      <w:pPr>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 xml:space="preserve">Сравнительная характеристика пациентов по статусу витамина Д после АСИТ была </w:t>
      </w:r>
      <w:r w:rsidR="00A451CD">
        <w:rPr>
          <w:rFonts w:ascii="Times New Roman" w:eastAsia="Calibri" w:hAnsi="Times New Roman" w:cs="Times New Roman"/>
          <w:sz w:val="28"/>
          <w:szCs w:val="28"/>
        </w:rPr>
        <w:t>проведена</w:t>
      </w:r>
      <w:r w:rsidR="00F34204">
        <w:rPr>
          <w:rFonts w:ascii="Times New Roman" w:eastAsia="Calibri" w:hAnsi="Times New Roman" w:cs="Times New Roman"/>
          <w:sz w:val="28"/>
          <w:szCs w:val="28"/>
        </w:rPr>
        <w:t xml:space="preserve"> в группах исследования</w:t>
      </w:r>
      <w:r w:rsidR="00A451CD">
        <w:rPr>
          <w:rFonts w:ascii="Times New Roman" w:eastAsia="Calibri" w:hAnsi="Times New Roman" w:cs="Times New Roman"/>
          <w:sz w:val="28"/>
          <w:szCs w:val="28"/>
        </w:rPr>
        <w:t xml:space="preserve"> с использованием</w:t>
      </w:r>
      <w:r w:rsidRPr="00437528">
        <w:rPr>
          <w:rFonts w:ascii="Times New Roman" w:eastAsia="Calibri" w:hAnsi="Times New Roman" w:cs="Times New Roman"/>
          <w:sz w:val="28"/>
          <w:szCs w:val="28"/>
        </w:rPr>
        <w:t xml:space="preserve"> </w:t>
      </w:r>
      <w:r w:rsidR="00A451CD">
        <w:rPr>
          <w:rFonts w:ascii="Times New Roman" w:eastAsia="Calibri" w:hAnsi="Times New Roman" w:cs="Times New Roman"/>
          <w:sz w:val="28"/>
          <w:szCs w:val="28"/>
        </w:rPr>
        <w:t>медианы</w:t>
      </w:r>
      <w:r w:rsidRPr="00437528">
        <w:rPr>
          <w:rFonts w:ascii="Times New Roman" w:eastAsia="Calibri" w:hAnsi="Times New Roman" w:cs="Times New Roman"/>
          <w:sz w:val="28"/>
          <w:szCs w:val="28"/>
        </w:rPr>
        <w:t xml:space="preserve"> показателя </w:t>
      </w:r>
      <w:r w:rsidR="00A451CD">
        <w:rPr>
          <w:rFonts w:ascii="Times New Roman" w:eastAsia="Calibri" w:hAnsi="Times New Roman" w:cs="Times New Roman"/>
          <w:sz w:val="28"/>
          <w:szCs w:val="28"/>
        </w:rPr>
        <w:t>и</w:t>
      </w:r>
      <w:r w:rsidRPr="00437528">
        <w:rPr>
          <w:rFonts w:ascii="Times New Roman" w:eastAsia="Calibri" w:hAnsi="Times New Roman" w:cs="Times New Roman"/>
          <w:sz w:val="28"/>
          <w:szCs w:val="28"/>
        </w:rPr>
        <w:t xml:space="preserve"> критерия Манна-Уитни. В группе</w:t>
      </w:r>
      <w:r w:rsidRPr="00437528">
        <w:rPr>
          <w:rFonts w:ascii="Times New Roman" w:eastAsia="Calibri" w:hAnsi="Times New Roman" w:cs="Times New Roman"/>
          <w:sz w:val="28"/>
          <w:szCs w:val="28"/>
          <w:lang w:val="kk-KZ"/>
        </w:rPr>
        <w:t xml:space="preserve"> вмешательства</w:t>
      </w:r>
      <w:r w:rsidRPr="00437528">
        <w:rPr>
          <w:rFonts w:ascii="Times New Roman" w:eastAsia="Calibri" w:hAnsi="Times New Roman" w:cs="Times New Roman"/>
          <w:sz w:val="28"/>
          <w:szCs w:val="28"/>
        </w:rPr>
        <w:t xml:space="preserve"> было значительное повышение уровня витамина Д до 37,6 нг/мл, в сравнении с группой</w:t>
      </w:r>
      <w:r w:rsidRPr="00437528">
        <w:rPr>
          <w:rFonts w:ascii="Times New Roman" w:eastAsia="Calibri" w:hAnsi="Times New Roman" w:cs="Times New Roman"/>
          <w:sz w:val="28"/>
          <w:szCs w:val="28"/>
          <w:lang w:val="kk-KZ"/>
        </w:rPr>
        <w:t xml:space="preserve"> контроля</w:t>
      </w:r>
      <w:r w:rsidRPr="00437528">
        <w:rPr>
          <w:rFonts w:ascii="Times New Roman" w:eastAsia="Calibri" w:hAnsi="Times New Roman" w:cs="Times New Roman"/>
          <w:sz w:val="28"/>
          <w:szCs w:val="28"/>
        </w:rPr>
        <w:t>, где уровень витамина Д в крови снизился до 13,4 нг/мл (</w:t>
      </w:r>
      <w:r w:rsidRPr="00437528">
        <w:rPr>
          <w:rFonts w:ascii="Times New Roman" w:eastAsia="Calibri" w:hAnsi="Times New Roman" w:cs="Times New Roman"/>
          <w:sz w:val="28"/>
          <w:szCs w:val="28"/>
          <w:lang w:val="en-US"/>
        </w:rPr>
        <w:t>p</w:t>
      </w:r>
      <w:r w:rsidRPr="00437528">
        <w:rPr>
          <w:rFonts w:ascii="Times New Roman" w:eastAsia="Calibri" w:hAnsi="Times New Roman" w:cs="Times New Roman"/>
          <w:sz w:val="28"/>
          <w:szCs w:val="28"/>
        </w:rPr>
        <w:t xml:space="preserve">&lt;0,001). </w:t>
      </w:r>
      <w:r w:rsidR="002E2411">
        <w:rPr>
          <w:rFonts w:ascii="Times New Roman" w:eastAsia="Calibri" w:hAnsi="Times New Roman" w:cs="Times New Roman"/>
          <w:sz w:val="28"/>
          <w:szCs w:val="28"/>
        </w:rPr>
        <w:t>Медиана показателя дефицитного уровня</w:t>
      </w:r>
      <w:r w:rsidRPr="00437528">
        <w:rPr>
          <w:rFonts w:ascii="Times New Roman" w:eastAsia="Calibri" w:hAnsi="Times New Roman" w:cs="Times New Roman"/>
          <w:sz w:val="28"/>
          <w:szCs w:val="28"/>
        </w:rPr>
        <w:t xml:space="preserve"> витамина Д в сыворотке крови </w:t>
      </w:r>
      <w:r w:rsidR="002E2411">
        <w:rPr>
          <w:rFonts w:ascii="Times New Roman" w:eastAsia="Calibri" w:hAnsi="Times New Roman" w:cs="Times New Roman"/>
          <w:sz w:val="28"/>
          <w:szCs w:val="28"/>
        </w:rPr>
        <w:t>в группе вмешательства повысилась</w:t>
      </w:r>
      <w:r w:rsidRPr="00437528">
        <w:rPr>
          <w:rFonts w:ascii="Times New Roman" w:eastAsia="Calibri" w:hAnsi="Times New Roman" w:cs="Times New Roman"/>
          <w:sz w:val="28"/>
          <w:szCs w:val="28"/>
        </w:rPr>
        <w:t xml:space="preserve"> относительно группы контроля (16,2 нг/мл</w:t>
      </w:r>
      <w:r w:rsidR="002E2411">
        <w:rPr>
          <w:rFonts w:ascii="Times New Roman" w:eastAsia="Calibri" w:hAnsi="Times New Roman" w:cs="Times New Roman"/>
          <w:sz w:val="28"/>
          <w:szCs w:val="28"/>
        </w:rPr>
        <w:t xml:space="preserve"> и 12,6 нг/мл соответственно, </w:t>
      </w:r>
      <w:r w:rsidRPr="00437528">
        <w:rPr>
          <w:rFonts w:ascii="Times New Roman" w:eastAsia="Calibri" w:hAnsi="Times New Roman" w:cs="Times New Roman"/>
          <w:sz w:val="28"/>
          <w:szCs w:val="28"/>
        </w:rPr>
        <w:t xml:space="preserve">р=0,1). </w:t>
      </w:r>
      <w:r w:rsidR="0025296B">
        <w:rPr>
          <w:rFonts w:ascii="Times New Roman" w:eastAsia="Calibri" w:hAnsi="Times New Roman" w:cs="Times New Roman"/>
          <w:sz w:val="28"/>
          <w:szCs w:val="28"/>
        </w:rPr>
        <w:t>Уровень недостаточного</w:t>
      </w:r>
      <w:r w:rsidRPr="00437528">
        <w:rPr>
          <w:rFonts w:ascii="Times New Roman" w:eastAsia="Calibri" w:hAnsi="Times New Roman" w:cs="Times New Roman"/>
          <w:sz w:val="28"/>
          <w:szCs w:val="28"/>
        </w:rPr>
        <w:t xml:space="preserve"> витамина Д </w:t>
      </w:r>
      <w:r w:rsidR="0025296B">
        <w:rPr>
          <w:rFonts w:ascii="Times New Roman" w:eastAsia="Calibri" w:hAnsi="Times New Roman" w:cs="Times New Roman"/>
          <w:sz w:val="28"/>
          <w:szCs w:val="28"/>
        </w:rPr>
        <w:t>повысился в гр</w:t>
      </w:r>
      <w:r w:rsidRPr="00437528">
        <w:rPr>
          <w:rFonts w:ascii="Times New Roman" w:eastAsia="Calibri" w:hAnsi="Times New Roman" w:cs="Times New Roman"/>
          <w:sz w:val="28"/>
          <w:szCs w:val="28"/>
        </w:rPr>
        <w:t>уппе вмешательства относительно группы ко</w:t>
      </w:r>
      <w:r w:rsidR="0025296B">
        <w:rPr>
          <w:rFonts w:ascii="Times New Roman" w:eastAsia="Calibri" w:hAnsi="Times New Roman" w:cs="Times New Roman"/>
          <w:sz w:val="28"/>
          <w:szCs w:val="28"/>
        </w:rPr>
        <w:t xml:space="preserve">нтроля (28,3 нг/мл и 22,1 нг/мл соответственно, </w:t>
      </w:r>
      <w:r w:rsidRPr="00437528">
        <w:rPr>
          <w:rFonts w:ascii="Times New Roman" w:eastAsia="Calibri" w:hAnsi="Times New Roman" w:cs="Times New Roman"/>
          <w:sz w:val="28"/>
          <w:szCs w:val="28"/>
        </w:rPr>
        <w:t xml:space="preserve">р=1,0). Адекватный уровень витамина Д </w:t>
      </w:r>
      <w:r w:rsidR="001D22BC">
        <w:rPr>
          <w:rFonts w:ascii="Times New Roman" w:eastAsia="Calibri" w:hAnsi="Times New Roman" w:cs="Times New Roman"/>
          <w:sz w:val="28"/>
          <w:szCs w:val="28"/>
        </w:rPr>
        <w:t>был повышен</w:t>
      </w:r>
      <w:r w:rsidRPr="00437528">
        <w:rPr>
          <w:rFonts w:ascii="Times New Roman" w:eastAsia="Calibri" w:hAnsi="Times New Roman" w:cs="Times New Roman"/>
          <w:sz w:val="28"/>
          <w:szCs w:val="28"/>
        </w:rPr>
        <w:t xml:space="preserve"> в группе </w:t>
      </w:r>
      <w:r w:rsidRPr="002A5F7A">
        <w:rPr>
          <w:rFonts w:ascii="Times New Roman" w:eastAsia="Calibri" w:hAnsi="Times New Roman" w:cs="Times New Roman"/>
          <w:sz w:val="28"/>
          <w:szCs w:val="28"/>
        </w:rPr>
        <w:t>вмешательства относительно группы контроля (38,4 нг/мл и 37</w:t>
      </w:r>
      <w:r w:rsidR="001D22BC">
        <w:rPr>
          <w:rFonts w:ascii="Times New Roman" w:eastAsia="Calibri" w:hAnsi="Times New Roman" w:cs="Times New Roman"/>
          <w:sz w:val="28"/>
          <w:szCs w:val="28"/>
        </w:rPr>
        <w:t xml:space="preserve">,3 нг/мл соответственно, </w:t>
      </w:r>
      <w:r w:rsidRPr="002A5F7A">
        <w:rPr>
          <w:rFonts w:ascii="Times New Roman" w:eastAsia="Calibri" w:hAnsi="Times New Roman" w:cs="Times New Roman"/>
          <w:sz w:val="28"/>
          <w:szCs w:val="28"/>
        </w:rPr>
        <w:t>р=0,3) (</w:t>
      </w:r>
      <w:r w:rsidR="00274966" w:rsidRPr="002A5F7A">
        <w:rPr>
          <w:rFonts w:ascii="Times New Roman" w:eastAsia="Calibri" w:hAnsi="Times New Roman" w:cs="Times New Roman"/>
          <w:sz w:val="28"/>
          <w:szCs w:val="28"/>
        </w:rPr>
        <w:t>таблица 1</w:t>
      </w:r>
      <w:r w:rsidR="00A26A65">
        <w:rPr>
          <w:rFonts w:ascii="Times New Roman" w:eastAsia="Calibri" w:hAnsi="Times New Roman" w:cs="Times New Roman"/>
          <w:sz w:val="28"/>
          <w:szCs w:val="28"/>
        </w:rPr>
        <w:t>5</w:t>
      </w:r>
      <w:r w:rsidRPr="002A5F7A">
        <w:rPr>
          <w:rFonts w:ascii="Times New Roman" w:eastAsia="Calibri" w:hAnsi="Times New Roman" w:cs="Times New Roman"/>
          <w:sz w:val="28"/>
          <w:szCs w:val="28"/>
        </w:rPr>
        <w:t>).</w:t>
      </w:r>
    </w:p>
    <w:p w14:paraId="27162F14" w14:textId="71EBC523" w:rsidR="00437528" w:rsidRPr="00437528" w:rsidRDefault="00437528" w:rsidP="00AC7D4D">
      <w:pPr>
        <w:spacing w:after="0" w:line="240" w:lineRule="auto"/>
        <w:ind w:firstLine="567"/>
        <w:jc w:val="both"/>
        <w:rPr>
          <w:rFonts w:ascii="Times New Roman" w:eastAsia="Calibri" w:hAnsi="Times New Roman" w:cs="Times New Roman"/>
          <w:sz w:val="28"/>
          <w:szCs w:val="28"/>
        </w:rPr>
      </w:pPr>
      <w:r w:rsidRPr="002A5F7A">
        <w:rPr>
          <w:rFonts w:ascii="Times New Roman" w:eastAsia="Calibri" w:hAnsi="Times New Roman" w:cs="Times New Roman"/>
          <w:sz w:val="28"/>
          <w:szCs w:val="28"/>
        </w:rPr>
        <w:t>Динамическая оц</w:t>
      </w:r>
      <w:r w:rsidR="00BF0178">
        <w:rPr>
          <w:rFonts w:ascii="Times New Roman" w:eastAsia="Calibri" w:hAnsi="Times New Roman" w:cs="Times New Roman"/>
          <w:sz w:val="28"/>
          <w:szCs w:val="28"/>
        </w:rPr>
        <w:t xml:space="preserve">енка уровня витамина Д в группах исследования были проведена </w:t>
      </w:r>
      <w:r w:rsidRPr="002A5F7A">
        <w:rPr>
          <w:rFonts w:ascii="Times New Roman" w:eastAsia="Calibri" w:hAnsi="Times New Roman" w:cs="Times New Roman"/>
          <w:sz w:val="28"/>
          <w:szCs w:val="28"/>
        </w:rPr>
        <w:t xml:space="preserve">между 1 и 2 визитом </w:t>
      </w:r>
      <w:r w:rsidR="00BF0178">
        <w:rPr>
          <w:rFonts w:ascii="Times New Roman" w:eastAsia="Calibri" w:hAnsi="Times New Roman" w:cs="Times New Roman"/>
          <w:sz w:val="28"/>
          <w:szCs w:val="28"/>
        </w:rPr>
        <w:t>с использованием медианы</w:t>
      </w:r>
      <w:r w:rsidRPr="002A5F7A">
        <w:rPr>
          <w:rFonts w:ascii="Times New Roman" w:eastAsia="Calibri" w:hAnsi="Times New Roman" w:cs="Times New Roman"/>
          <w:sz w:val="28"/>
          <w:szCs w:val="28"/>
        </w:rPr>
        <w:t xml:space="preserve"> показателя </w:t>
      </w:r>
      <w:r w:rsidR="00BF0178">
        <w:rPr>
          <w:rFonts w:ascii="Times New Roman" w:eastAsia="Calibri" w:hAnsi="Times New Roman" w:cs="Times New Roman"/>
          <w:sz w:val="28"/>
          <w:szCs w:val="28"/>
        </w:rPr>
        <w:t>и</w:t>
      </w:r>
      <w:r w:rsidRPr="002A5F7A">
        <w:rPr>
          <w:rFonts w:ascii="Times New Roman" w:eastAsia="Calibri" w:hAnsi="Times New Roman" w:cs="Times New Roman"/>
          <w:sz w:val="28"/>
          <w:szCs w:val="28"/>
        </w:rPr>
        <w:t xml:space="preserve"> критерия Уилкоксона. </w:t>
      </w:r>
      <w:r w:rsidR="00AC7D4D">
        <w:rPr>
          <w:rFonts w:ascii="Times New Roman" w:eastAsia="Calibri" w:hAnsi="Times New Roman" w:cs="Times New Roman"/>
          <w:sz w:val="28"/>
          <w:szCs w:val="28"/>
        </w:rPr>
        <w:t>Эффективное повышение уровня витамина Д в крови наблюдалось в</w:t>
      </w:r>
      <w:r w:rsidRPr="002A5F7A">
        <w:rPr>
          <w:rFonts w:ascii="Times New Roman" w:eastAsia="Calibri" w:hAnsi="Times New Roman" w:cs="Times New Roman"/>
          <w:sz w:val="28"/>
          <w:szCs w:val="28"/>
        </w:rPr>
        <w:t xml:space="preserve"> группе вмешательства, получающей </w:t>
      </w:r>
      <w:r w:rsidR="00AC7D4D">
        <w:rPr>
          <w:rFonts w:ascii="Times New Roman" w:eastAsia="Calibri" w:hAnsi="Times New Roman" w:cs="Times New Roman"/>
          <w:sz w:val="28"/>
          <w:szCs w:val="28"/>
        </w:rPr>
        <w:t xml:space="preserve">АСИТ в комплексе с витамином Д </w:t>
      </w:r>
      <w:r w:rsidRPr="002A5F7A">
        <w:rPr>
          <w:rFonts w:ascii="Times New Roman" w:eastAsia="Calibri" w:hAnsi="Times New Roman" w:cs="Times New Roman"/>
          <w:sz w:val="28"/>
          <w:szCs w:val="28"/>
        </w:rPr>
        <w:t>(</w:t>
      </w:r>
      <w:r w:rsidRPr="002A5F7A">
        <w:rPr>
          <w:rFonts w:ascii="Times New Roman" w:eastAsia="Calibri" w:hAnsi="Times New Roman" w:cs="Times New Roman"/>
          <w:sz w:val="28"/>
          <w:szCs w:val="28"/>
          <w:lang w:val="en-US"/>
        </w:rPr>
        <w:t>p</w:t>
      </w:r>
      <w:r w:rsidRPr="002A5F7A">
        <w:rPr>
          <w:rFonts w:ascii="Times New Roman" w:eastAsia="Calibri" w:hAnsi="Times New Roman" w:cs="Times New Roman"/>
          <w:sz w:val="28"/>
          <w:szCs w:val="28"/>
        </w:rPr>
        <w:t>&lt;0,001). В группе контроля, получающей</w:t>
      </w:r>
      <w:r w:rsidR="004F7A9D">
        <w:rPr>
          <w:rFonts w:ascii="Times New Roman" w:eastAsia="Calibri" w:hAnsi="Times New Roman" w:cs="Times New Roman"/>
          <w:sz w:val="28"/>
          <w:szCs w:val="28"/>
        </w:rPr>
        <w:t xml:space="preserve"> классическую схему</w:t>
      </w:r>
      <w:r w:rsidRPr="002A5F7A">
        <w:rPr>
          <w:rFonts w:ascii="Times New Roman" w:eastAsia="Calibri" w:hAnsi="Times New Roman" w:cs="Times New Roman"/>
          <w:sz w:val="28"/>
          <w:szCs w:val="28"/>
        </w:rPr>
        <w:t xml:space="preserve"> АСИТ, уровень витамина Д в крови продолжал снижаться по сравнению с визитом 1 (</w:t>
      </w:r>
      <w:r w:rsidRPr="002A5F7A">
        <w:rPr>
          <w:rFonts w:ascii="Times New Roman" w:eastAsia="Calibri" w:hAnsi="Times New Roman" w:cs="Times New Roman"/>
          <w:sz w:val="28"/>
          <w:szCs w:val="28"/>
          <w:lang w:val="en-US"/>
        </w:rPr>
        <w:t>p</w:t>
      </w:r>
      <w:r w:rsidRPr="002A5F7A">
        <w:rPr>
          <w:rFonts w:ascii="Times New Roman" w:eastAsia="Calibri" w:hAnsi="Times New Roman" w:cs="Times New Roman"/>
          <w:sz w:val="28"/>
          <w:szCs w:val="28"/>
        </w:rPr>
        <w:t>&lt;0,001). Стоит заметить, что на визите 2 наблюдалось статистически значимое увеличение прироста уровня витамина Д в группах с дефицитным (</w:t>
      </w:r>
      <w:r w:rsidRPr="002A5F7A">
        <w:rPr>
          <w:rFonts w:ascii="Times New Roman" w:eastAsia="Calibri" w:hAnsi="Times New Roman" w:cs="Times New Roman"/>
          <w:sz w:val="28"/>
          <w:szCs w:val="28"/>
          <w:lang w:val="en-US"/>
        </w:rPr>
        <w:t>p</w:t>
      </w:r>
      <w:r w:rsidRPr="002A5F7A">
        <w:rPr>
          <w:rFonts w:ascii="Times New Roman" w:eastAsia="Calibri" w:hAnsi="Times New Roman" w:cs="Times New Roman"/>
          <w:sz w:val="28"/>
          <w:szCs w:val="28"/>
        </w:rPr>
        <w:t>=0,001), недостаточным (</w:t>
      </w:r>
      <w:r w:rsidRPr="002A5F7A">
        <w:rPr>
          <w:rFonts w:ascii="Times New Roman" w:eastAsia="Calibri" w:hAnsi="Times New Roman" w:cs="Times New Roman"/>
          <w:sz w:val="28"/>
          <w:szCs w:val="28"/>
          <w:lang w:val="en-US"/>
        </w:rPr>
        <w:t>p</w:t>
      </w:r>
      <w:r w:rsidRPr="002A5F7A">
        <w:rPr>
          <w:rFonts w:ascii="Times New Roman" w:eastAsia="Calibri" w:hAnsi="Times New Roman" w:cs="Times New Roman"/>
          <w:sz w:val="28"/>
          <w:szCs w:val="28"/>
        </w:rPr>
        <w:t>&lt;0,05) и адекватным (</w:t>
      </w:r>
      <w:r w:rsidRPr="002A5F7A">
        <w:rPr>
          <w:rFonts w:ascii="Times New Roman" w:eastAsia="Calibri" w:hAnsi="Times New Roman" w:cs="Times New Roman"/>
          <w:sz w:val="28"/>
          <w:szCs w:val="28"/>
          <w:lang w:val="en-US"/>
        </w:rPr>
        <w:t>p</w:t>
      </w:r>
      <w:r w:rsidRPr="002A5F7A">
        <w:rPr>
          <w:rFonts w:ascii="Times New Roman" w:eastAsia="Calibri" w:hAnsi="Times New Roman" w:cs="Times New Roman"/>
          <w:sz w:val="28"/>
          <w:szCs w:val="28"/>
        </w:rPr>
        <w:t>&lt;0,05) уровнями витамина Д в крови у пациентов, получающих адаптированную схему АСИТ в комплексе с витамином Д. Однако, для группы контроля были характерны результаты с отрицательной динамикой прироста уровня витамина Д в крови у пациентов с дефицитным (</w:t>
      </w:r>
      <w:r w:rsidRPr="002A5F7A">
        <w:rPr>
          <w:rFonts w:ascii="Times New Roman" w:eastAsia="Calibri" w:hAnsi="Times New Roman" w:cs="Times New Roman"/>
          <w:sz w:val="28"/>
          <w:szCs w:val="28"/>
          <w:lang w:val="en-US"/>
        </w:rPr>
        <w:t>p</w:t>
      </w:r>
      <w:r w:rsidRPr="002A5F7A">
        <w:rPr>
          <w:rFonts w:ascii="Times New Roman" w:eastAsia="Calibri" w:hAnsi="Times New Roman" w:cs="Times New Roman"/>
          <w:sz w:val="28"/>
          <w:szCs w:val="28"/>
        </w:rPr>
        <w:t>&lt;0,001), недостаточным (</w:t>
      </w:r>
      <w:r w:rsidRPr="002A5F7A">
        <w:rPr>
          <w:rFonts w:ascii="Times New Roman" w:eastAsia="Calibri" w:hAnsi="Times New Roman" w:cs="Times New Roman"/>
          <w:sz w:val="28"/>
          <w:szCs w:val="28"/>
          <w:lang w:val="en-US"/>
        </w:rPr>
        <w:t>p</w:t>
      </w:r>
      <w:r w:rsidRPr="002A5F7A">
        <w:rPr>
          <w:rFonts w:ascii="Times New Roman" w:eastAsia="Calibri" w:hAnsi="Times New Roman" w:cs="Times New Roman"/>
          <w:sz w:val="28"/>
          <w:szCs w:val="28"/>
        </w:rPr>
        <w:t>&lt;0,05) и адекватным (</w:t>
      </w:r>
      <w:r w:rsidRPr="002A5F7A">
        <w:rPr>
          <w:rFonts w:ascii="Times New Roman" w:eastAsia="Calibri" w:hAnsi="Times New Roman" w:cs="Times New Roman"/>
          <w:sz w:val="28"/>
          <w:szCs w:val="28"/>
          <w:lang w:val="en-US"/>
        </w:rPr>
        <w:t>p</w:t>
      </w:r>
      <w:r w:rsidRPr="002A5F7A">
        <w:rPr>
          <w:rFonts w:ascii="Times New Roman" w:eastAsia="Calibri" w:hAnsi="Times New Roman" w:cs="Times New Roman"/>
          <w:sz w:val="28"/>
          <w:szCs w:val="28"/>
        </w:rPr>
        <w:t>&gt;0,05) уровнями витамина Д в крови (</w:t>
      </w:r>
      <w:r w:rsidR="00274966" w:rsidRPr="002A5F7A">
        <w:rPr>
          <w:rFonts w:ascii="Times New Roman" w:eastAsia="Calibri" w:hAnsi="Times New Roman" w:cs="Times New Roman"/>
          <w:sz w:val="28"/>
          <w:szCs w:val="28"/>
        </w:rPr>
        <w:t>таблица 1</w:t>
      </w:r>
      <w:r w:rsidR="00A26A65">
        <w:rPr>
          <w:rFonts w:ascii="Times New Roman" w:eastAsia="Calibri" w:hAnsi="Times New Roman" w:cs="Times New Roman"/>
          <w:sz w:val="28"/>
          <w:szCs w:val="28"/>
        </w:rPr>
        <w:t>5</w:t>
      </w:r>
      <w:r w:rsidRPr="002A5F7A">
        <w:rPr>
          <w:rFonts w:ascii="Times New Roman" w:eastAsia="Calibri" w:hAnsi="Times New Roman" w:cs="Times New Roman"/>
          <w:sz w:val="28"/>
          <w:szCs w:val="28"/>
        </w:rPr>
        <w:t>).</w:t>
      </w:r>
    </w:p>
    <w:p w14:paraId="72D7E42C" w14:textId="0C3E9ED1" w:rsidR="00CD01B7" w:rsidRPr="002159C3" w:rsidRDefault="00437528" w:rsidP="002159C3">
      <w:pPr>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Резюмируя данный раздел лабораторного исследования, в ходе изучения базового уровня витамина Д в крови, мы обнаружили наличие дефицита витамина Д (≤20 нг/мл) в крови у 54% пациентов с сезонным аллергическим ринитом в группе вмешательства (АСИТ + витамин Д) и у 63% в группе контроля (АСИТ). Анализ динамики уровня витамина Д после проведенного лечения показал положительный прирост в группе вмешательства с 16,32 нг/мл до 37,6 нг/мл (р</w:t>
      </w:r>
      <w:r w:rsidRPr="00437528">
        <w:rPr>
          <w:rFonts w:ascii="Times New Roman" w:eastAsia="Calibri" w:hAnsi="Times New Roman" w:cs="Times New Roman"/>
          <w:sz w:val="28"/>
          <w:szCs w:val="28"/>
        </w:rPr>
        <w:sym w:font="Symbol" w:char="F03C"/>
      </w:r>
      <w:r w:rsidR="004E4C9D">
        <w:rPr>
          <w:rFonts w:ascii="Times New Roman" w:eastAsia="Calibri" w:hAnsi="Times New Roman" w:cs="Times New Roman"/>
          <w:sz w:val="28"/>
          <w:szCs w:val="28"/>
        </w:rPr>
        <w:t xml:space="preserve">0,001) и отрицательный прирост в группе контроля </w:t>
      </w:r>
      <w:r w:rsidRPr="00437528">
        <w:rPr>
          <w:rFonts w:ascii="Times New Roman" w:eastAsia="Calibri" w:hAnsi="Times New Roman" w:cs="Times New Roman"/>
          <w:sz w:val="28"/>
          <w:szCs w:val="28"/>
        </w:rPr>
        <w:t>с 15,65 нг/мл до 13,4 нг/мл (р</w:t>
      </w:r>
      <w:r w:rsidRPr="00437528">
        <w:rPr>
          <w:rFonts w:ascii="Times New Roman" w:eastAsia="Calibri" w:hAnsi="Times New Roman" w:cs="Times New Roman"/>
          <w:sz w:val="28"/>
          <w:szCs w:val="28"/>
        </w:rPr>
        <w:sym w:font="Symbol" w:char="F03C"/>
      </w:r>
      <w:r w:rsidRPr="00437528">
        <w:rPr>
          <w:rFonts w:ascii="Times New Roman" w:eastAsia="Calibri" w:hAnsi="Times New Roman" w:cs="Times New Roman"/>
          <w:sz w:val="28"/>
          <w:szCs w:val="28"/>
        </w:rPr>
        <w:t>0,001).</w:t>
      </w:r>
      <w:r w:rsidR="002159C3">
        <w:rPr>
          <w:rFonts w:ascii="Times New Roman" w:eastAsia="Calibri" w:hAnsi="Times New Roman" w:cs="Times New Roman"/>
          <w:sz w:val="28"/>
          <w:szCs w:val="28"/>
        </w:rPr>
        <w:t xml:space="preserve"> </w:t>
      </w:r>
      <w:r w:rsidRPr="00415C56">
        <w:rPr>
          <w:rFonts w:ascii="Times New Roman" w:eastAsia="Calibri" w:hAnsi="Times New Roman" w:cs="Times New Roman"/>
          <w:sz w:val="28"/>
          <w:szCs w:val="28"/>
        </w:rPr>
        <w:t xml:space="preserve">Следует отметить, что </w:t>
      </w:r>
      <w:r w:rsidRPr="00415C56">
        <w:rPr>
          <w:rFonts w:ascii="Times New Roman" w:hAnsi="Times New Roman" w:cs="Times New Roman"/>
          <w:sz w:val="28"/>
          <w:szCs w:val="28"/>
        </w:rPr>
        <w:t xml:space="preserve">в </w:t>
      </w:r>
      <w:r w:rsidRPr="00415C56">
        <w:rPr>
          <w:rFonts w:ascii="Times New Roman" w:eastAsia="Calibri" w:hAnsi="Times New Roman" w:cs="Times New Roman"/>
          <w:sz w:val="28"/>
          <w:szCs w:val="28"/>
        </w:rPr>
        <w:t>группе вмешательства содержание витамина Д в крови повысилось почти</w:t>
      </w:r>
      <w:r w:rsidRPr="00415C56">
        <w:rPr>
          <w:rFonts w:ascii="Times New Roman" w:hAnsi="Times New Roman" w:cs="Times New Roman"/>
          <w:sz w:val="28"/>
          <w:szCs w:val="28"/>
        </w:rPr>
        <w:t xml:space="preserve"> в 2 раза в результате проведенной терапии</w:t>
      </w:r>
      <w:r w:rsidR="00AC75C2" w:rsidRPr="00415C56">
        <w:rPr>
          <w:rFonts w:ascii="Times New Roman" w:hAnsi="Times New Roman" w:cs="Times New Roman"/>
          <w:sz w:val="28"/>
          <w:szCs w:val="28"/>
        </w:rPr>
        <w:t xml:space="preserve"> на фоне исходно низкого уровня в обеих группах. </w:t>
      </w:r>
      <w:r w:rsidR="00645E8C" w:rsidRPr="00415C56">
        <w:rPr>
          <w:rFonts w:ascii="Times New Roman" w:hAnsi="Times New Roman" w:cs="Times New Roman"/>
          <w:sz w:val="28"/>
          <w:szCs w:val="28"/>
        </w:rPr>
        <w:t xml:space="preserve">Назначение витамина Д пациентам с аллергическими заболеваниями часто игнорируется, а также не обследуется и базовый уровень витамина Д в крови. </w:t>
      </w:r>
      <w:r w:rsidR="001066D0" w:rsidRPr="00415C56">
        <w:rPr>
          <w:rFonts w:ascii="Times New Roman" w:hAnsi="Times New Roman" w:cs="Times New Roman"/>
          <w:sz w:val="28"/>
          <w:szCs w:val="28"/>
        </w:rPr>
        <w:t>По литературным данным низкий уровень витамина Д в крови имеет отягчающее влияние на тяжесть аллергических заболеваний</w:t>
      </w:r>
      <w:r w:rsidR="004305FB" w:rsidRPr="00415C56">
        <w:rPr>
          <w:rFonts w:ascii="Times New Roman" w:hAnsi="Times New Roman" w:cs="Times New Roman"/>
          <w:sz w:val="28"/>
          <w:szCs w:val="28"/>
        </w:rPr>
        <w:t xml:space="preserve"> и даже может способствовать развитию аллергических заболеваний </w:t>
      </w:r>
      <w:r w:rsidR="00226421" w:rsidRPr="00415C56">
        <w:rPr>
          <w:rFonts w:ascii="Times New Roman" w:hAnsi="Times New Roman" w:cs="Times New Roman"/>
          <w:sz w:val="28"/>
          <w:szCs w:val="28"/>
        </w:rPr>
        <w:fldChar w:fldCharType="begin" w:fldLock="1"/>
      </w:r>
      <w:r w:rsidR="006B2D4C">
        <w:rPr>
          <w:rFonts w:ascii="Times New Roman" w:hAnsi="Times New Roman" w:cs="Times New Roman"/>
          <w:sz w:val="28"/>
          <w:szCs w:val="28"/>
        </w:rPr>
        <w:instrText>ADDIN CSL_CITATION {"citationItems":[{"id":"ITEM-1","itemData":{"DOI":"10.3390/nu12061801","ISBN":"4871328120","ISSN":"20726643","PMID":"32560403","abstract":"Asthma and allergic rhinitis are the most common chronic childhood diseases with an increasing prevalence worldwide. There is an urgent need to look for methods of preventing allergic diseases from an early age. The relationship between vitamin D status and allergic diseases has been discussed in several studies recently. 25-hydroxyvitamin D (25(OH)D) is suggested to affect the development and/or severity of asthma and allergic rhinitis. Observational studies have seemed to confirm that vitamin D deficiency may contribute to an increase in allergy and asthma. Following interventional studies, however, have yielded ambiguous results. In this review, we describe recent findings regarding 25(OH)D impact on allergic diseases and provide a systematic analysis of the causes of great variability of the achieved results in different studies.","author":[{"dropping-particle":"","family":"Sikorska-Szaflik","given":"Hanna","non-dropping-particle":"","parse-names":false,"suffix":""},{"dropping-particle":"","family":"Sozańska","given":"Barbara","non-dropping-particle":"","parse-names":false,"suffix":""}],"container-title":"Nutrients","id":"ITEM-1","issue":"6","issued":{"date-parts":[["2020"]]},"page":"1-9","title":"The role of vitamin D in respiratory allergies prevention. Why the effect is so difficult to disentangle?","type":"article-journal","volume":"12"},"uris":["http://www.mendeley.com/documents/?uuid=5bd537a7-6249-4c0d-a291-15075f6396b1"]},{"id":"ITEM-2","itemData":{"DOI":"10.7759/cureus.9762","abstract":"License CC-BY 4.0., which permits unrestricted use, distribution, and reproduction in any medium, provided the original author and source are credited. Abstract Introduction","author":[{"dropping-particle":"","family":"Bukhari","given":"Afnan F","non-dropping-particle":"","parse-names":false,"suffix":""},{"dropping-particle":"","family":"Felemban","given":"Mohammed J","non-dropping-particle":"","parse-names":false,"suffix":""},{"dropping-particle":"","family":"Alem","given":"Hesham","non-dropping-particle":"","parse-names":false,"suffix":""}],"id":"ITEM-2","issued":{"date-parts":[["2020"]]},"title":"The Association Between Serum 25-Hydroxyvitamin D Levels and Patients With Allergic Rhinitis","type":"article-journal"},"uris":["http://www.mendeley.com/documents/?uuid=d719cecd-c76f-3c45-8f26-53aa42037c79"]},{"id":"ITEM-3","itemData":{"DOI":"10.1111/imr.12555","ISSN":"1600065X","PMID":"28658547","abstract":"Allergy is a major public health problem with a high socio-economic impact. The number of allergic patients is expected to reach to four billion within two decades when the World's population reaches to 10 billion. Our knowledge on the molecular mechanisms underlying allergic diseases and allergen tolerance induction had significant advances during the last years. Nowadays, it is well accepted that the generation and maintenance of allergen-specific regulatory T cells (Tregs) and regulatory B cells (Bregs) and the involvement of their suppressive cytokines and surface molecules are essential for the induction of allergen tolerance. These mechanisms play essential roles for the restoration of healthy immune responses to allergens in allergen-specific immunotherapy (AIT) and healthy immune response during high-dose antigen exposure in beekeepers and cat owners. AIT remains as the only disease-modifying and curative treatment for allergic diseases and represents a perfect model to investigate the antigen-specific immune responses in humans. A large number of clinical trials demonstrated AIT as an effective treatment in many patients, but it still faces several drawbacks in relation to efficacy, safety, long duration, and patient adherence. Novel strategies to overcome these inconveniences, such as the development of novel adjuvants and alternative routes of administration are being developed. The better understanding of the molecular mechanism governing the generation of Treg and Breg cells during allergen tolerance might well open new avenues for alternative therapeutic interventions in allergic diseases and help better understanding of other immune-tolerance-related diseases.","author":[{"dropping-particle":"","family":"Palomares","given":"Oscar","non-dropping-particle":"","parse-names":false,"suffix":""},{"dropping-particle":"","family":"Akdis","given":"Mübeccel","non-dropping-particle":"","parse-names":false,"suffix":""},{"dropping-particle":"","family":"Martín-Fontecha","given":"Mar","non-dropping-particle":"","parse-names":false,"suffix":""},{"dropping-particle":"","family":"Akdis","given":"Cezmi A.","non-dropping-particle":"","parse-names":false,"suffix":""}],"container-title":"Immunological Reviews","id":"ITEM-3","issue":"1","issued":{"date-parts":[["2017"]]},"page":"219-236","title":"Mechanisms of immune regulation in allergic diseases: the role of regulatory T and B cells","type":"article-journal","volume":"278"},"uris":["http://www.mendeley.com/documents/?uuid=80915866-1417-4ee3-ad51-aa2c37069d9a"]}],"mendeley":{"formattedCitation":"[90,168,169]","plainTextFormattedCitation":"[90,168,169]","previouslyFormattedCitation":"[90,168,169]"},"properties":{"noteIndex":0},"schema":"https://github.com/citation-style-language/schema/raw/master/csl-citation.json"}</w:instrText>
      </w:r>
      <w:r w:rsidR="00226421" w:rsidRPr="00415C56">
        <w:rPr>
          <w:rFonts w:ascii="Times New Roman" w:hAnsi="Times New Roman" w:cs="Times New Roman"/>
          <w:sz w:val="28"/>
          <w:szCs w:val="28"/>
        </w:rPr>
        <w:fldChar w:fldCharType="separate"/>
      </w:r>
      <w:r w:rsidR="004028FD" w:rsidRPr="004028FD">
        <w:rPr>
          <w:rFonts w:ascii="Times New Roman" w:hAnsi="Times New Roman" w:cs="Times New Roman"/>
          <w:noProof/>
          <w:sz w:val="28"/>
          <w:szCs w:val="28"/>
        </w:rPr>
        <w:t>[90,168,169]</w:t>
      </w:r>
      <w:r w:rsidR="00226421" w:rsidRPr="00415C56">
        <w:rPr>
          <w:rFonts w:ascii="Times New Roman" w:hAnsi="Times New Roman" w:cs="Times New Roman"/>
          <w:sz w:val="28"/>
          <w:szCs w:val="28"/>
        </w:rPr>
        <w:fldChar w:fldCharType="end"/>
      </w:r>
      <w:r w:rsidR="004305FB" w:rsidRPr="00415C56">
        <w:rPr>
          <w:rFonts w:ascii="Times New Roman" w:hAnsi="Times New Roman" w:cs="Times New Roman"/>
          <w:sz w:val="28"/>
          <w:szCs w:val="28"/>
        </w:rPr>
        <w:t>.</w:t>
      </w:r>
    </w:p>
    <w:p w14:paraId="035A81A2" w14:textId="325E6E14" w:rsidR="007D35BD" w:rsidRDefault="007D35BD" w:rsidP="00437528">
      <w:pPr>
        <w:tabs>
          <w:tab w:val="left" w:pos="1454"/>
        </w:tabs>
        <w:spacing w:after="0" w:line="240" w:lineRule="auto"/>
        <w:ind w:firstLine="567"/>
        <w:jc w:val="both"/>
        <w:rPr>
          <w:rFonts w:ascii="Times New Roman" w:hAnsi="Times New Roman" w:cs="Times New Roman"/>
          <w:sz w:val="28"/>
          <w:szCs w:val="28"/>
        </w:rPr>
      </w:pPr>
    </w:p>
    <w:p w14:paraId="0CEBAA96" w14:textId="777FF489" w:rsidR="00437528" w:rsidRPr="002F0E9E" w:rsidRDefault="00437528" w:rsidP="00F73B2B">
      <w:pPr>
        <w:keepNext/>
        <w:keepLines/>
        <w:spacing w:after="0" w:line="240" w:lineRule="auto"/>
        <w:ind w:firstLine="567"/>
        <w:jc w:val="both"/>
        <w:outlineLvl w:val="1"/>
        <w:rPr>
          <w:rFonts w:ascii="Times New Roman" w:eastAsiaTheme="majorEastAsia" w:hAnsi="Times New Roman" w:cs="Times New Roman"/>
          <w:i/>
          <w:sz w:val="28"/>
          <w:szCs w:val="28"/>
        </w:rPr>
      </w:pPr>
      <w:bookmarkStart w:id="47" w:name="_Toc121590255"/>
      <w:bookmarkStart w:id="48" w:name="_Toc137904362"/>
      <w:r w:rsidRPr="00B66FCC">
        <w:rPr>
          <w:rFonts w:ascii="Times New Roman" w:eastAsiaTheme="majorEastAsia" w:hAnsi="Times New Roman" w:cs="Times New Roman"/>
          <w:i/>
          <w:sz w:val="28"/>
          <w:szCs w:val="28"/>
        </w:rPr>
        <w:t xml:space="preserve">3.2.5 Оценка безопасности (побочных реакций) аллерген-специфической </w:t>
      </w:r>
      <w:r w:rsidRPr="002F0E9E">
        <w:rPr>
          <w:rFonts w:ascii="Times New Roman" w:eastAsiaTheme="majorEastAsia" w:hAnsi="Times New Roman" w:cs="Times New Roman"/>
          <w:i/>
          <w:sz w:val="28"/>
          <w:szCs w:val="28"/>
        </w:rPr>
        <w:t>иммунотерапии</w:t>
      </w:r>
      <w:bookmarkEnd w:id="47"/>
      <w:r w:rsidR="00AC75C2" w:rsidRPr="002F0E9E">
        <w:rPr>
          <w:rFonts w:ascii="Times New Roman" w:eastAsiaTheme="majorEastAsia" w:hAnsi="Times New Roman" w:cs="Times New Roman"/>
          <w:i/>
          <w:sz w:val="28"/>
          <w:szCs w:val="28"/>
        </w:rPr>
        <w:t xml:space="preserve"> в классической схеме и в комбинации с витамином </w:t>
      </w:r>
      <w:r w:rsidR="002F0E9E">
        <w:rPr>
          <w:rFonts w:ascii="Times New Roman" w:eastAsiaTheme="majorEastAsia" w:hAnsi="Times New Roman" w:cs="Times New Roman"/>
          <w:i/>
          <w:sz w:val="28"/>
          <w:szCs w:val="28"/>
        </w:rPr>
        <w:t>Д</w:t>
      </w:r>
      <w:bookmarkEnd w:id="48"/>
    </w:p>
    <w:p w14:paraId="29BB718A" w14:textId="77777777" w:rsidR="00437528" w:rsidRPr="002F0E9E" w:rsidRDefault="00437528" w:rsidP="00F73B2B">
      <w:pPr>
        <w:spacing w:after="0" w:line="240" w:lineRule="auto"/>
        <w:ind w:firstLine="567"/>
        <w:jc w:val="both"/>
        <w:rPr>
          <w:rFonts w:ascii="Times New Roman" w:eastAsia="Calibri" w:hAnsi="Times New Roman" w:cs="Times New Roman"/>
          <w:sz w:val="28"/>
          <w:szCs w:val="28"/>
        </w:rPr>
      </w:pPr>
      <w:r w:rsidRPr="002F0E9E">
        <w:rPr>
          <w:rFonts w:ascii="Times New Roman" w:eastAsia="Calibri" w:hAnsi="Times New Roman" w:cs="Times New Roman"/>
          <w:sz w:val="28"/>
          <w:szCs w:val="28"/>
        </w:rPr>
        <w:t xml:space="preserve">Оценка безопасности АСИТ проводилась по возникновению субъективных ощущений у пациентов в течение нескольких часов после непосредственного применения препарата. В дневнике самоконтроля отмечались такие симптомы, как зуд, жжение, отечность в ротовой полости и першение в горле. </w:t>
      </w:r>
    </w:p>
    <w:p w14:paraId="16FF89E3" w14:textId="08926A74" w:rsidR="00437528" w:rsidRPr="00437528" w:rsidRDefault="00437528" w:rsidP="00F73B2B">
      <w:pPr>
        <w:spacing w:after="0" w:line="240" w:lineRule="auto"/>
        <w:ind w:firstLine="567"/>
        <w:jc w:val="both"/>
        <w:rPr>
          <w:rFonts w:ascii="Times New Roman" w:eastAsia="Calibri" w:hAnsi="Times New Roman" w:cs="Times New Roman"/>
          <w:sz w:val="28"/>
          <w:szCs w:val="28"/>
        </w:rPr>
      </w:pPr>
      <w:r w:rsidRPr="002F0E9E">
        <w:rPr>
          <w:rFonts w:ascii="Times New Roman" w:eastAsia="Calibri" w:hAnsi="Times New Roman" w:cs="Times New Roman"/>
          <w:sz w:val="28"/>
          <w:szCs w:val="28"/>
        </w:rPr>
        <w:t>Мы обнаружили, что в группе вмешательства (АСИТ + витамин Д) в 4 % случаев были отмечены зуд, жжение в ротовой полости и першение в горле. Отечности во рту пациенты в группе вмешательства не испытывали. В группе контроля (АСИТ) пациенты чаще всего отмечали жжение в ротовой полости (12%), а также зуд и отечность в ротовой полости в 4% случаев. Однако, першения в горле пациенты в группе контроля не отмечали. Суммарное количество побочных реакций составило 12 % в группе вмешательства и 19 % в группе контроля (</w:t>
      </w:r>
      <w:r w:rsidR="00E63147" w:rsidRPr="002F0E9E">
        <w:rPr>
          <w:rFonts w:ascii="Times New Roman" w:eastAsia="Calibri" w:hAnsi="Times New Roman" w:cs="Times New Roman"/>
          <w:sz w:val="28"/>
          <w:szCs w:val="28"/>
        </w:rPr>
        <w:t>таблица 1</w:t>
      </w:r>
      <w:r w:rsidR="004B10A7">
        <w:rPr>
          <w:rFonts w:ascii="Times New Roman" w:eastAsia="Calibri" w:hAnsi="Times New Roman" w:cs="Times New Roman"/>
          <w:sz w:val="28"/>
          <w:szCs w:val="28"/>
        </w:rPr>
        <w:t>6</w:t>
      </w:r>
      <w:r w:rsidRPr="002F0E9E">
        <w:rPr>
          <w:rFonts w:ascii="Times New Roman" w:eastAsia="Calibri" w:hAnsi="Times New Roman" w:cs="Times New Roman"/>
          <w:sz w:val="28"/>
          <w:szCs w:val="28"/>
        </w:rPr>
        <w:t>).</w:t>
      </w:r>
    </w:p>
    <w:p w14:paraId="64597944" w14:textId="77777777" w:rsidR="00437528" w:rsidRPr="00437528" w:rsidRDefault="00437528" w:rsidP="00F73B2B">
      <w:pPr>
        <w:spacing w:after="0" w:line="240" w:lineRule="auto"/>
        <w:ind w:firstLine="567"/>
        <w:jc w:val="both"/>
        <w:rPr>
          <w:rFonts w:ascii="Times New Roman" w:eastAsia="Calibri" w:hAnsi="Times New Roman" w:cs="Times New Roman"/>
          <w:b/>
          <w:sz w:val="28"/>
          <w:szCs w:val="28"/>
        </w:rPr>
      </w:pPr>
    </w:p>
    <w:p w14:paraId="578E218F" w14:textId="71276C90" w:rsidR="00437528" w:rsidRPr="00437528" w:rsidRDefault="00E63147" w:rsidP="003E7AF4">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Таблица 1</w:t>
      </w:r>
      <w:r w:rsidR="004B10A7">
        <w:rPr>
          <w:rFonts w:ascii="Times New Roman" w:eastAsia="Calibri" w:hAnsi="Times New Roman" w:cs="Times New Roman"/>
          <w:sz w:val="28"/>
          <w:szCs w:val="28"/>
        </w:rPr>
        <w:t>6</w:t>
      </w:r>
      <w:r w:rsidR="00437528" w:rsidRPr="00437528">
        <w:rPr>
          <w:rFonts w:ascii="Times New Roman" w:eastAsia="Calibri" w:hAnsi="Times New Roman" w:cs="Times New Roman"/>
          <w:sz w:val="28"/>
          <w:szCs w:val="28"/>
        </w:rPr>
        <w:t xml:space="preserve"> -</w:t>
      </w:r>
      <w:r w:rsidR="0007459B">
        <w:rPr>
          <w:rFonts w:ascii="Times New Roman" w:eastAsia="Calibri" w:hAnsi="Times New Roman" w:cs="Times New Roman"/>
          <w:sz w:val="28"/>
          <w:szCs w:val="28"/>
        </w:rPr>
        <w:t xml:space="preserve"> </w:t>
      </w:r>
      <w:r w:rsidR="00437528" w:rsidRPr="00437528">
        <w:rPr>
          <w:rFonts w:ascii="Times New Roman" w:eastAsia="Calibri" w:hAnsi="Times New Roman" w:cs="Times New Roman"/>
          <w:sz w:val="28"/>
          <w:szCs w:val="28"/>
        </w:rPr>
        <w:t>Побочные эффекты, оценка безопасности</w:t>
      </w:r>
    </w:p>
    <w:p w14:paraId="02AA4E75" w14:textId="77777777" w:rsidR="00437528" w:rsidRPr="00437528" w:rsidRDefault="00437528" w:rsidP="00F73B2B">
      <w:pPr>
        <w:spacing w:after="0" w:line="240" w:lineRule="auto"/>
        <w:jc w:val="both"/>
        <w:rPr>
          <w:rFonts w:ascii="Times New Roman" w:eastAsia="Calibri" w:hAnsi="Times New Roman" w:cs="Times New Roman"/>
          <w:sz w:val="28"/>
          <w:szCs w:val="28"/>
        </w:rPr>
      </w:pPr>
    </w:p>
    <w:tbl>
      <w:tblPr>
        <w:tblStyle w:val="41"/>
        <w:tblW w:w="5000" w:type="pct"/>
        <w:tblInd w:w="0" w:type="dxa"/>
        <w:tblLook w:val="04A0" w:firstRow="1" w:lastRow="0" w:firstColumn="1" w:lastColumn="0" w:noHBand="0" w:noVBand="1"/>
      </w:tblPr>
      <w:tblGrid>
        <w:gridCol w:w="2971"/>
        <w:gridCol w:w="3403"/>
        <w:gridCol w:w="3254"/>
      </w:tblGrid>
      <w:tr w:rsidR="00437528" w:rsidRPr="00F73B2B" w14:paraId="17C2BC83" w14:textId="77777777" w:rsidTr="009F65CA">
        <w:tc>
          <w:tcPr>
            <w:tcW w:w="1543" w:type="pct"/>
            <w:vAlign w:val="center"/>
          </w:tcPr>
          <w:p w14:paraId="5A909A5F" w14:textId="77777777" w:rsidR="00437528" w:rsidRPr="00F73B2B" w:rsidRDefault="00437528" w:rsidP="00F73B2B">
            <w:pPr>
              <w:jc w:val="both"/>
              <w:rPr>
                <w:rFonts w:ascii="Times New Roman" w:hAnsi="Times New Roman"/>
                <w:sz w:val="24"/>
                <w:szCs w:val="24"/>
              </w:rPr>
            </w:pPr>
            <w:r w:rsidRPr="00F73B2B">
              <w:rPr>
                <w:rFonts w:ascii="Times New Roman" w:hAnsi="Times New Roman"/>
                <w:sz w:val="24"/>
                <w:szCs w:val="24"/>
              </w:rPr>
              <w:t>Симптом</w:t>
            </w:r>
          </w:p>
        </w:tc>
        <w:tc>
          <w:tcPr>
            <w:tcW w:w="1767" w:type="pct"/>
            <w:vAlign w:val="center"/>
          </w:tcPr>
          <w:p w14:paraId="787F0D5F" w14:textId="77777777" w:rsidR="00437528" w:rsidRPr="00F73B2B" w:rsidRDefault="00437528" w:rsidP="00F73B2B">
            <w:pPr>
              <w:jc w:val="both"/>
              <w:rPr>
                <w:rFonts w:ascii="Times New Roman" w:hAnsi="Times New Roman"/>
                <w:sz w:val="24"/>
                <w:szCs w:val="24"/>
              </w:rPr>
            </w:pPr>
            <w:r w:rsidRPr="00F73B2B">
              <w:rPr>
                <w:rFonts w:ascii="Times New Roman" w:hAnsi="Times New Roman"/>
                <w:sz w:val="24"/>
                <w:szCs w:val="24"/>
              </w:rPr>
              <w:t xml:space="preserve">Группа вмешательства (АСИТ+витаминД), </w:t>
            </w:r>
            <w:r w:rsidRPr="00F73B2B">
              <w:rPr>
                <w:rFonts w:ascii="Times New Roman" w:hAnsi="Times New Roman"/>
                <w:sz w:val="24"/>
                <w:szCs w:val="24"/>
                <w:lang w:val="en-US"/>
              </w:rPr>
              <w:t>n</w:t>
            </w:r>
            <w:r w:rsidRPr="00F73B2B">
              <w:rPr>
                <w:rFonts w:ascii="Times New Roman" w:hAnsi="Times New Roman"/>
                <w:sz w:val="24"/>
                <w:szCs w:val="24"/>
              </w:rPr>
              <w:t>=25</w:t>
            </w:r>
          </w:p>
        </w:tc>
        <w:tc>
          <w:tcPr>
            <w:tcW w:w="1690" w:type="pct"/>
            <w:vAlign w:val="center"/>
          </w:tcPr>
          <w:p w14:paraId="3D30E4B5" w14:textId="77777777" w:rsidR="00437528" w:rsidRPr="00F73B2B" w:rsidRDefault="00437528" w:rsidP="00F73B2B">
            <w:pPr>
              <w:jc w:val="both"/>
              <w:rPr>
                <w:rFonts w:ascii="Times New Roman" w:hAnsi="Times New Roman"/>
                <w:sz w:val="24"/>
                <w:szCs w:val="24"/>
              </w:rPr>
            </w:pPr>
            <w:r w:rsidRPr="00F73B2B">
              <w:rPr>
                <w:rFonts w:ascii="Times New Roman" w:hAnsi="Times New Roman"/>
                <w:bCs/>
                <w:sz w:val="24"/>
                <w:szCs w:val="24"/>
              </w:rPr>
              <w:t xml:space="preserve">Группа контроля (АСИТ), </w:t>
            </w:r>
            <w:r w:rsidRPr="00F73B2B">
              <w:rPr>
                <w:rFonts w:ascii="Times New Roman" w:hAnsi="Times New Roman"/>
                <w:bCs/>
                <w:sz w:val="24"/>
                <w:szCs w:val="24"/>
                <w:lang w:val="en-US"/>
              </w:rPr>
              <w:t>n</w:t>
            </w:r>
            <w:r w:rsidRPr="00F73B2B">
              <w:rPr>
                <w:rFonts w:ascii="Times New Roman" w:hAnsi="Times New Roman"/>
                <w:bCs/>
                <w:sz w:val="24"/>
                <w:szCs w:val="24"/>
              </w:rPr>
              <w:t>=26</w:t>
            </w:r>
          </w:p>
        </w:tc>
      </w:tr>
      <w:tr w:rsidR="00437528" w:rsidRPr="00F73B2B" w14:paraId="3ED67FA9" w14:textId="77777777" w:rsidTr="009F65CA">
        <w:tc>
          <w:tcPr>
            <w:tcW w:w="1543" w:type="pct"/>
            <w:vAlign w:val="center"/>
          </w:tcPr>
          <w:p w14:paraId="24C6AF61" w14:textId="77777777" w:rsidR="00437528" w:rsidRPr="00F73B2B" w:rsidRDefault="00437528" w:rsidP="00F73B2B">
            <w:pPr>
              <w:jc w:val="both"/>
              <w:rPr>
                <w:rFonts w:ascii="Times New Roman" w:hAnsi="Times New Roman"/>
                <w:sz w:val="24"/>
                <w:szCs w:val="24"/>
              </w:rPr>
            </w:pPr>
            <w:r w:rsidRPr="00F73B2B">
              <w:rPr>
                <w:rFonts w:ascii="Times New Roman" w:hAnsi="Times New Roman"/>
                <w:sz w:val="24"/>
                <w:szCs w:val="24"/>
              </w:rPr>
              <w:t>Зуд в ротовой полости</w:t>
            </w:r>
          </w:p>
        </w:tc>
        <w:tc>
          <w:tcPr>
            <w:tcW w:w="1767" w:type="pct"/>
            <w:vAlign w:val="center"/>
          </w:tcPr>
          <w:p w14:paraId="7542E225" w14:textId="77777777" w:rsidR="00437528" w:rsidRPr="00F73B2B" w:rsidRDefault="00437528" w:rsidP="00F73B2B">
            <w:pPr>
              <w:jc w:val="center"/>
              <w:rPr>
                <w:rFonts w:ascii="Times New Roman" w:hAnsi="Times New Roman"/>
                <w:sz w:val="24"/>
                <w:szCs w:val="24"/>
              </w:rPr>
            </w:pPr>
            <w:r w:rsidRPr="00F73B2B">
              <w:rPr>
                <w:rFonts w:ascii="Times New Roman" w:hAnsi="Times New Roman"/>
                <w:sz w:val="24"/>
                <w:szCs w:val="24"/>
              </w:rPr>
              <w:t>1 (4%)</w:t>
            </w:r>
          </w:p>
        </w:tc>
        <w:tc>
          <w:tcPr>
            <w:tcW w:w="1690" w:type="pct"/>
            <w:vAlign w:val="center"/>
          </w:tcPr>
          <w:p w14:paraId="21EA9157" w14:textId="77777777" w:rsidR="00437528" w:rsidRPr="00F73B2B" w:rsidRDefault="00437528" w:rsidP="00F73B2B">
            <w:pPr>
              <w:jc w:val="center"/>
              <w:rPr>
                <w:rFonts w:ascii="Times New Roman" w:hAnsi="Times New Roman"/>
                <w:sz w:val="24"/>
                <w:szCs w:val="24"/>
              </w:rPr>
            </w:pPr>
            <w:r w:rsidRPr="00F73B2B">
              <w:rPr>
                <w:rFonts w:ascii="Times New Roman" w:hAnsi="Times New Roman"/>
                <w:sz w:val="24"/>
                <w:szCs w:val="24"/>
              </w:rPr>
              <w:t>1 (4%)</w:t>
            </w:r>
          </w:p>
        </w:tc>
      </w:tr>
      <w:tr w:rsidR="00437528" w:rsidRPr="00F73B2B" w14:paraId="6C21A71C" w14:textId="77777777" w:rsidTr="009F65CA">
        <w:tc>
          <w:tcPr>
            <w:tcW w:w="1543" w:type="pct"/>
            <w:vAlign w:val="center"/>
          </w:tcPr>
          <w:p w14:paraId="45EC540E" w14:textId="77777777" w:rsidR="00437528" w:rsidRPr="00F73B2B" w:rsidRDefault="00437528" w:rsidP="00F73B2B">
            <w:pPr>
              <w:jc w:val="both"/>
              <w:rPr>
                <w:rFonts w:ascii="Times New Roman" w:hAnsi="Times New Roman"/>
                <w:sz w:val="24"/>
                <w:szCs w:val="24"/>
              </w:rPr>
            </w:pPr>
            <w:r w:rsidRPr="00F73B2B">
              <w:rPr>
                <w:rFonts w:ascii="Times New Roman" w:hAnsi="Times New Roman"/>
                <w:sz w:val="24"/>
                <w:szCs w:val="24"/>
              </w:rPr>
              <w:t>Жжение в ротовой полости</w:t>
            </w:r>
          </w:p>
        </w:tc>
        <w:tc>
          <w:tcPr>
            <w:tcW w:w="1767" w:type="pct"/>
            <w:vAlign w:val="center"/>
          </w:tcPr>
          <w:p w14:paraId="166178E0" w14:textId="77777777" w:rsidR="00437528" w:rsidRPr="00F73B2B" w:rsidRDefault="00437528" w:rsidP="00F73B2B">
            <w:pPr>
              <w:jc w:val="center"/>
              <w:rPr>
                <w:rFonts w:ascii="Times New Roman" w:hAnsi="Times New Roman"/>
                <w:sz w:val="24"/>
                <w:szCs w:val="24"/>
              </w:rPr>
            </w:pPr>
            <w:r w:rsidRPr="00F73B2B">
              <w:rPr>
                <w:rFonts w:ascii="Times New Roman" w:hAnsi="Times New Roman"/>
                <w:sz w:val="24"/>
                <w:szCs w:val="24"/>
              </w:rPr>
              <w:t>1 (4%)</w:t>
            </w:r>
          </w:p>
        </w:tc>
        <w:tc>
          <w:tcPr>
            <w:tcW w:w="1690" w:type="pct"/>
            <w:vAlign w:val="center"/>
          </w:tcPr>
          <w:p w14:paraId="3466F068" w14:textId="77777777" w:rsidR="00437528" w:rsidRPr="00F73B2B" w:rsidRDefault="00437528" w:rsidP="00F73B2B">
            <w:pPr>
              <w:jc w:val="center"/>
              <w:rPr>
                <w:rFonts w:ascii="Times New Roman" w:hAnsi="Times New Roman"/>
                <w:sz w:val="24"/>
                <w:szCs w:val="24"/>
              </w:rPr>
            </w:pPr>
            <w:r w:rsidRPr="00F73B2B">
              <w:rPr>
                <w:rFonts w:ascii="Times New Roman" w:hAnsi="Times New Roman"/>
                <w:sz w:val="24"/>
                <w:szCs w:val="24"/>
              </w:rPr>
              <w:t>3 (12%)</w:t>
            </w:r>
          </w:p>
        </w:tc>
      </w:tr>
      <w:tr w:rsidR="00437528" w:rsidRPr="00F73B2B" w14:paraId="0DC18D31" w14:textId="77777777" w:rsidTr="009F65CA">
        <w:tc>
          <w:tcPr>
            <w:tcW w:w="1543" w:type="pct"/>
            <w:vAlign w:val="center"/>
          </w:tcPr>
          <w:p w14:paraId="6214DB80" w14:textId="77777777" w:rsidR="00437528" w:rsidRPr="00F73B2B" w:rsidRDefault="00437528" w:rsidP="00F73B2B">
            <w:pPr>
              <w:jc w:val="both"/>
              <w:rPr>
                <w:rFonts w:ascii="Times New Roman" w:hAnsi="Times New Roman"/>
                <w:sz w:val="24"/>
                <w:szCs w:val="24"/>
              </w:rPr>
            </w:pPr>
            <w:r w:rsidRPr="00F73B2B">
              <w:rPr>
                <w:rFonts w:ascii="Times New Roman" w:hAnsi="Times New Roman"/>
                <w:sz w:val="24"/>
                <w:szCs w:val="24"/>
              </w:rPr>
              <w:t>Отечность в ротовой полости</w:t>
            </w:r>
          </w:p>
        </w:tc>
        <w:tc>
          <w:tcPr>
            <w:tcW w:w="1767" w:type="pct"/>
            <w:vAlign w:val="center"/>
          </w:tcPr>
          <w:p w14:paraId="5535A0EE" w14:textId="77777777" w:rsidR="00437528" w:rsidRPr="00F73B2B" w:rsidRDefault="00437528" w:rsidP="00F73B2B">
            <w:pPr>
              <w:jc w:val="center"/>
              <w:rPr>
                <w:rFonts w:ascii="Times New Roman" w:hAnsi="Times New Roman"/>
                <w:sz w:val="24"/>
                <w:szCs w:val="24"/>
              </w:rPr>
            </w:pPr>
            <w:r w:rsidRPr="00F73B2B">
              <w:rPr>
                <w:rFonts w:ascii="Times New Roman" w:hAnsi="Times New Roman"/>
                <w:sz w:val="24"/>
                <w:szCs w:val="24"/>
              </w:rPr>
              <w:t>0</w:t>
            </w:r>
          </w:p>
        </w:tc>
        <w:tc>
          <w:tcPr>
            <w:tcW w:w="1690" w:type="pct"/>
            <w:vAlign w:val="center"/>
          </w:tcPr>
          <w:p w14:paraId="056BA5BA" w14:textId="77777777" w:rsidR="00437528" w:rsidRPr="00F73B2B" w:rsidRDefault="00437528" w:rsidP="00F73B2B">
            <w:pPr>
              <w:jc w:val="center"/>
              <w:rPr>
                <w:rFonts w:ascii="Times New Roman" w:hAnsi="Times New Roman"/>
                <w:sz w:val="24"/>
                <w:szCs w:val="24"/>
              </w:rPr>
            </w:pPr>
            <w:r w:rsidRPr="00F73B2B">
              <w:rPr>
                <w:rFonts w:ascii="Times New Roman" w:hAnsi="Times New Roman"/>
                <w:sz w:val="24"/>
                <w:szCs w:val="24"/>
              </w:rPr>
              <w:t>1 (4%)</w:t>
            </w:r>
          </w:p>
        </w:tc>
      </w:tr>
      <w:tr w:rsidR="00437528" w:rsidRPr="00F73B2B" w14:paraId="07989384" w14:textId="77777777" w:rsidTr="009F65CA">
        <w:tc>
          <w:tcPr>
            <w:tcW w:w="1543" w:type="pct"/>
            <w:vAlign w:val="center"/>
          </w:tcPr>
          <w:p w14:paraId="55524241" w14:textId="77777777" w:rsidR="00437528" w:rsidRPr="00F73B2B" w:rsidRDefault="00437528" w:rsidP="00F73B2B">
            <w:pPr>
              <w:jc w:val="both"/>
              <w:rPr>
                <w:rFonts w:ascii="Times New Roman" w:hAnsi="Times New Roman"/>
                <w:sz w:val="24"/>
                <w:szCs w:val="24"/>
              </w:rPr>
            </w:pPr>
            <w:r w:rsidRPr="00F73B2B">
              <w:rPr>
                <w:rFonts w:ascii="Times New Roman" w:hAnsi="Times New Roman"/>
                <w:sz w:val="24"/>
                <w:szCs w:val="24"/>
              </w:rPr>
              <w:t>Першение в горле</w:t>
            </w:r>
          </w:p>
        </w:tc>
        <w:tc>
          <w:tcPr>
            <w:tcW w:w="1767" w:type="pct"/>
            <w:vAlign w:val="center"/>
          </w:tcPr>
          <w:p w14:paraId="4FC48CF5" w14:textId="77777777" w:rsidR="00437528" w:rsidRPr="00F73B2B" w:rsidRDefault="00437528" w:rsidP="00F73B2B">
            <w:pPr>
              <w:jc w:val="center"/>
              <w:rPr>
                <w:rFonts w:ascii="Times New Roman" w:hAnsi="Times New Roman"/>
                <w:sz w:val="24"/>
                <w:szCs w:val="24"/>
              </w:rPr>
            </w:pPr>
            <w:r w:rsidRPr="00F73B2B">
              <w:rPr>
                <w:rFonts w:ascii="Times New Roman" w:hAnsi="Times New Roman"/>
                <w:sz w:val="24"/>
                <w:szCs w:val="24"/>
              </w:rPr>
              <w:t>1 (4%)</w:t>
            </w:r>
          </w:p>
        </w:tc>
        <w:tc>
          <w:tcPr>
            <w:tcW w:w="1690" w:type="pct"/>
            <w:vAlign w:val="center"/>
          </w:tcPr>
          <w:p w14:paraId="42606892" w14:textId="77777777" w:rsidR="00437528" w:rsidRPr="00F73B2B" w:rsidRDefault="00437528" w:rsidP="00F73B2B">
            <w:pPr>
              <w:jc w:val="center"/>
              <w:rPr>
                <w:rFonts w:ascii="Times New Roman" w:hAnsi="Times New Roman"/>
                <w:sz w:val="24"/>
                <w:szCs w:val="24"/>
              </w:rPr>
            </w:pPr>
            <w:r w:rsidRPr="00F73B2B">
              <w:rPr>
                <w:rFonts w:ascii="Times New Roman" w:hAnsi="Times New Roman"/>
                <w:sz w:val="24"/>
                <w:szCs w:val="24"/>
              </w:rPr>
              <w:t>0</w:t>
            </w:r>
          </w:p>
        </w:tc>
      </w:tr>
      <w:tr w:rsidR="00437528" w:rsidRPr="00F73B2B" w14:paraId="549A734E" w14:textId="77777777" w:rsidTr="009F65CA">
        <w:tc>
          <w:tcPr>
            <w:tcW w:w="1543" w:type="pct"/>
            <w:vAlign w:val="center"/>
          </w:tcPr>
          <w:p w14:paraId="035FE6B4" w14:textId="77777777" w:rsidR="00437528" w:rsidRPr="00F73B2B" w:rsidRDefault="00437528" w:rsidP="00F73B2B">
            <w:pPr>
              <w:jc w:val="both"/>
              <w:rPr>
                <w:rFonts w:ascii="Times New Roman" w:hAnsi="Times New Roman"/>
                <w:sz w:val="24"/>
                <w:szCs w:val="24"/>
              </w:rPr>
            </w:pPr>
            <w:r w:rsidRPr="00F73B2B">
              <w:rPr>
                <w:rFonts w:ascii="Times New Roman" w:hAnsi="Times New Roman"/>
                <w:sz w:val="24"/>
                <w:szCs w:val="24"/>
              </w:rPr>
              <w:t xml:space="preserve">Итого </w:t>
            </w:r>
          </w:p>
        </w:tc>
        <w:tc>
          <w:tcPr>
            <w:tcW w:w="1767" w:type="pct"/>
            <w:vAlign w:val="center"/>
          </w:tcPr>
          <w:p w14:paraId="11224044" w14:textId="77777777" w:rsidR="00437528" w:rsidRPr="00F73B2B" w:rsidRDefault="00437528" w:rsidP="00F73B2B">
            <w:pPr>
              <w:jc w:val="center"/>
              <w:rPr>
                <w:rFonts w:ascii="Times New Roman" w:hAnsi="Times New Roman"/>
                <w:sz w:val="24"/>
                <w:szCs w:val="24"/>
              </w:rPr>
            </w:pPr>
            <w:r w:rsidRPr="00F73B2B">
              <w:rPr>
                <w:rFonts w:ascii="Times New Roman" w:hAnsi="Times New Roman"/>
                <w:sz w:val="24"/>
                <w:szCs w:val="24"/>
              </w:rPr>
              <w:t>3 (12%)</w:t>
            </w:r>
          </w:p>
        </w:tc>
        <w:tc>
          <w:tcPr>
            <w:tcW w:w="1690" w:type="pct"/>
            <w:vAlign w:val="center"/>
          </w:tcPr>
          <w:p w14:paraId="6A081F02" w14:textId="77777777" w:rsidR="00437528" w:rsidRPr="00F73B2B" w:rsidRDefault="00437528" w:rsidP="00F73B2B">
            <w:pPr>
              <w:jc w:val="center"/>
              <w:rPr>
                <w:rFonts w:ascii="Times New Roman" w:hAnsi="Times New Roman"/>
                <w:sz w:val="24"/>
                <w:szCs w:val="24"/>
              </w:rPr>
            </w:pPr>
            <w:r w:rsidRPr="00F73B2B">
              <w:rPr>
                <w:rFonts w:ascii="Times New Roman" w:hAnsi="Times New Roman"/>
                <w:sz w:val="24"/>
                <w:szCs w:val="24"/>
              </w:rPr>
              <w:t>5 (19%)</w:t>
            </w:r>
          </w:p>
        </w:tc>
      </w:tr>
      <w:tr w:rsidR="00437528" w:rsidRPr="00F73B2B" w14:paraId="1AEE4DCB" w14:textId="77777777" w:rsidTr="009F65CA">
        <w:tc>
          <w:tcPr>
            <w:tcW w:w="1543" w:type="pct"/>
            <w:vAlign w:val="center"/>
          </w:tcPr>
          <w:p w14:paraId="44466089" w14:textId="77777777" w:rsidR="00437528" w:rsidRPr="00F73B2B" w:rsidRDefault="00437528" w:rsidP="00F73B2B">
            <w:pPr>
              <w:jc w:val="both"/>
              <w:rPr>
                <w:rFonts w:ascii="Times New Roman" w:hAnsi="Times New Roman"/>
                <w:sz w:val="24"/>
                <w:szCs w:val="24"/>
              </w:rPr>
            </w:pPr>
            <w:r w:rsidRPr="00F73B2B">
              <w:rPr>
                <w:rFonts w:ascii="Times New Roman" w:hAnsi="Times New Roman"/>
                <w:sz w:val="24"/>
                <w:szCs w:val="24"/>
              </w:rPr>
              <w:t>В обеих группах (</w:t>
            </w:r>
            <w:r w:rsidRPr="00F73B2B">
              <w:rPr>
                <w:rFonts w:ascii="Times New Roman" w:hAnsi="Times New Roman"/>
                <w:sz w:val="24"/>
                <w:szCs w:val="24"/>
                <w:lang w:val="en-US"/>
              </w:rPr>
              <w:t>n=</w:t>
            </w:r>
            <w:r w:rsidRPr="00F73B2B">
              <w:rPr>
                <w:rFonts w:ascii="Times New Roman" w:hAnsi="Times New Roman"/>
                <w:sz w:val="24"/>
                <w:szCs w:val="24"/>
              </w:rPr>
              <w:t>51)</w:t>
            </w:r>
          </w:p>
        </w:tc>
        <w:tc>
          <w:tcPr>
            <w:tcW w:w="3457" w:type="pct"/>
            <w:gridSpan w:val="2"/>
            <w:vAlign w:val="center"/>
          </w:tcPr>
          <w:p w14:paraId="5AF24282" w14:textId="77777777" w:rsidR="00437528" w:rsidRPr="00F73B2B" w:rsidRDefault="00437528" w:rsidP="00F73B2B">
            <w:pPr>
              <w:jc w:val="center"/>
              <w:rPr>
                <w:rFonts w:ascii="Times New Roman" w:hAnsi="Times New Roman"/>
                <w:sz w:val="24"/>
                <w:szCs w:val="24"/>
              </w:rPr>
            </w:pPr>
            <w:r w:rsidRPr="00F73B2B">
              <w:rPr>
                <w:rFonts w:ascii="Times New Roman" w:hAnsi="Times New Roman"/>
                <w:sz w:val="24"/>
                <w:szCs w:val="24"/>
              </w:rPr>
              <w:t>15%</w:t>
            </w:r>
          </w:p>
        </w:tc>
      </w:tr>
    </w:tbl>
    <w:p w14:paraId="432B330C" w14:textId="77777777" w:rsidR="00437528" w:rsidRPr="00437528" w:rsidRDefault="00437528" w:rsidP="00F73B2B">
      <w:pPr>
        <w:spacing w:after="0" w:line="240" w:lineRule="auto"/>
        <w:ind w:firstLine="567"/>
        <w:jc w:val="both"/>
        <w:rPr>
          <w:rFonts w:ascii="Times New Roman" w:eastAsia="Calibri" w:hAnsi="Times New Roman" w:cs="Times New Roman"/>
          <w:sz w:val="28"/>
          <w:szCs w:val="28"/>
        </w:rPr>
      </w:pPr>
    </w:p>
    <w:p w14:paraId="6B522614" w14:textId="77777777" w:rsidR="00437528" w:rsidRPr="00437528" w:rsidRDefault="00437528" w:rsidP="00F73B2B">
      <w:pPr>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 xml:space="preserve">Следует отметить, что тяжелых аллергических реакций не наблюдалось в обеих группах. Все возникшие проявления на фоне лечения относятся к легким аллергическим реакциям, которые не требуют специальной терапии, прерывания лечения и купируются самостоятельно, либо применением антигистаминного препарата (таблетки цетиризин 10 мг). </w:t>
      </w:r>
    </w:p>
    <w:p w14:paraId="498BBB7C" w14:textId="622D52A1" w:rsidR="00437528" w:rsidRPr="00437528" w:rsidRDefault="00437528" w:rsidP="00F73B2B">
      <w:pPr>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Частота развития побочных реакций составила в обеих группах составила 15 %.</w:t>
      </w:r>
      <w:r w:rsidR="0007459B">
        <w:rPr>
          <w:rFonts w:ascii="Times New Roman" w:eastAsia="Calibri" w:hAnsi="Times New Roman" w:cs="Times New Roman"/>
          <w:sz w:val="28"/>
          <w:szCs w:val="28"/>
        </w:rPr>
        <w:t xml:space="preserve"> </w:t>
      </w:r>
      <w:r w:rsidRPr="00437528">
        <w:rPr>
          <w:rFonts w:ascii="Times New Roman" w:eastAsia="Calibri" w:hAnsi="Times New Roman" w:cs="Times New Roman"/>
          <w:sz w:val="28"/>
          <w:szCs w:val="28"/>
        </w:rPr>
        <w:t xml:space="preserve">Для выявления факторов риска довольно небольшой процент, поскольку это равнозначно </w:t>
      </w:r>
      <w:r w:rsidR="0068346F">
        <w:rPr>
          <w:rFonts w:ascii="Times New Roman" w:eastAsia="Calibri" w:hAnsi="Times New Roman" w:cs="Times New Roman"/>
          <w:sz w:val="28"/>
          <w:szCs w:val="28"/>
        </w:rPr>
        <w:t xml:space="preserve">количеству </w:t>
      </w:r>
      <w:r w:rsidRPr="00437528">
        <w:rPr>
          <w:rFonts w:ascii="Times New Roman" w:eastAsia="Calibri" w:hAnsi="Times New Roman" w:cs="Times New Roman"/>
          <w:sz w:val="28"/>
          <w:szCs w:val="28"/>
        </w:rPr>
        <w:t xml:space="preserve">8 человек из 51. Однако, имеются данные о том, что развитие побочных реакций может быть связано с дозой препарата </w:t>
      </w:r>
      <w:r w:rsidRPr="00437528">
        <w:rPr>
          <w:rFonts w:ascii="Times New Roman" w:eastAsia="Calibri" w:hAnsi="Times New Roman" w:cs="Times New Roman"/>
          <w:sz w:val="28"/>
          <w:szCs w:val="28"/>
        </w:rPr>
        <w:fldChar w:fldCharType="begin" w:fldLock="1"/>
      </w:r>
      <w:r w:rsidR="00765C06">
        <w:rPr>
          <w:rFonts w:ascii="Times New Roman" w:eastAsia="Calibri" w:hAnsi="Times New Roman" w:cs="Times New Roman"/>
          <w:sz w:val="28"/>
          <w:szCs w:val="28"/>
        </w:rPr>
        <w:instrText>ADDIN CSL_CITATION {"citationItems":[{"id":"ITEM-1","itemData":{"DOI":"10.1186/1939-4551-7-6","ISSN":"19394551","abstract":"We have prepared this document, \"Sublingual Immunotherapy: World Allergy Organization Position Paper 2013 Update\", according to the evidence-based criteria, revising and updating chapters of the originally published paper, \"Sublingual Immunotherapy: World Allergy Organization Position Paper 2009\", available at. Namely, these comprise: \"Mechanisms of sublingual immunotherapy;\" \"Clinical efficacy of sublingual immunotherapy\" - reporting all the data of all controlled trials published after 2009; \"Safety of sublingual immunotherapy\" - with the recently published Grading System for adverse reactions; \"Impact of sublingual immunotherapy on the natural history of respiratory allergy\" - with the relevant evidences published since 2009; \"Efficacy of SLIT in children\" - with detailed analysis of all the studies; \"Definition of SLIT patient selection\" - reporting the criteria for eligibility to sublingual immunotherapy; \"The future of immunotherapy in the community care setting\"; \"Methodology of clinical trials according to the current scientific and regulatory standards\"; and \"Guideline development: from evidence-based medicine to patients' views\" - including the evolution of the methods to make clinical recommendations. Additionally, we have added new chapters to cover a few emerging crucial topics: \"Practical aspects of schedules and dosages and counseling for adherence\" - which is crucial in clinical practice for all treatments; \"Perspectives and new approaches\" - including recombinant allergens, adjuvants, modified allergens, and the concept of validity of the single products. Furthermore, \"Raising public awareness about sublingual immunotherapy\", as a need for our patients, and strategies to increase awareness of allergen immunotherapy (AIT) among patients, the medical community, all healthcare stakeholders, and public opinion, are also reported in detail.","author":[{"dropping-particle":"","family":"Canonica","given":"Giorgio Walter","non-dropping-particle":"","parse-names":false,"suffix":""},{"dropping-particle":"","family":"Cox","given":"Linda","non-dropping-particle":"","parse-names":false,"suffix":""},{"dropping-particle":"","family":"Pawankar","given":"Ruby","non-dropping-particle":"","parse-names":false,"suffix":""},{"dropping-particle":"","family":"Baena-Cagnani","given":"Carlos E.","non-dropping-particle":"","parse-names":false,"suffix":""},{"dropping-particle":"","family":"Blaiss","given":"Michael","non-dropping-particle":"","parse-names":false,"suffix":""},{"dropping-particle":"","family":"Bonini","given":"Sergio","non-dropping-particle":"","parse-names":false,"suffix":""},{"dropping-particle":"","family":"Bousquet","given":"Jean","non-dropping-particle":"","parse-names":false,"suffix":""},{"dropping-particle":"","family":"Calderón","given":"Moises","non-dropping-particle":"","parse-names":false,"suffix":""},{"dropping-particle":"","family":"Compalati","given":"Enrico","non-dropping-particle":"","parse-names":false,"suffix":""},{"dropping-particle":"","family":"Durham","given":"Stephen R.","non-dropping-particle":"","parse-names":false,"suffix":""},{"dropping-particle":"","family":"Wijk","given":"Roy Gerth","non-dropping-particle":"Van","parse-names":false,"suffix":""},{"dropping-particle":"","family":"Larenas-Linnemann","given":"Désirée","non-dropping-particle":"","parse-names":false,"suffix":""},{"dropping-particle":"","family":"Nelson","given":"Harold","non-dropping-particle":"","parse-names":false,"suffix":""},{"dropping-particle":"","family":"Passalacqua","given":"Giovanni","non-dropping-particle":"","parse-names":false,"suffix":""},{"dropping-particle":"","family":"Pfaar","given":"Oliver","non-dropping-particle":"","parse-names":false,"suffix":""},{"dropping-particle":"","family":"Rosário","given":"Nelson","non-dropping-particle":"","parse-names":false,"suffix":""},{"dropping-particle":"","family":"Ryan","given":"Dermot","non-dropping-particle":"","parse-names":false,"suffix":""},{"dropping-particle":"","family":"Rosenwasser","given":"Lanny","non-dropping-particle":"","parse-names":false,"suffix":""},{"dropping-particle":"","family":"Schmid-Grendelmeier","given":"Peter","non-dropping-particle":"","parse-names":false,"suffix":""},{"dropping-particle":"","family":"Senna","given":"Gianenrico","non-dropping-particle":"","parse-names":false,"suffix":""},{"dropping-particle":"","family":"Valovirta","given":"Erkka","non-dropping-particle":"","parse-names":false,"suffix":""},{"dropping-particle":"","family":"Bever","given":"Hugo","non-dropping-particle":"Van","parse-names":false,"suffix":""},{"dropping-particle":"","family":"Vichyanond","given":"Pakit","non-dropping-particle":"","parse-names":false,"suffix":""},{"dropping-particle":"","family":"Wahn","given":"Ulrich","non-dropping-particle":"","parse-names":false,"suffix":""},{"dropping-particle":"","family":"Yusuf","given":"Osman","non-dropping-particle":"","parse-names":false,"suffix":""}],"container-title":"World Allergy Organization Journal","id":"ITEM-1","issue":"1","issued":{"date-parts":[["2014"]]},"note":"From Duplicate 2 (Sublingual immunotherapy: World Allergy Organization position paper 2013 update - Canonica, Giorgio Walter; Cox, Linda; Pawankar, Ruby; Baena-Cagnani, Carlos E.; Blaiss, Michael; Bonini, Sergio; Bousquet, Jean; Calderón, Moises; Compalati, Enrico; Durham, Stephen R.; Van Wijk, Roy Gerth; Larenas-Linnemann, Désirée; Nelson, Harold; Passalacqua, Giovanni; Pfaar, Oliver; Rosário, Nelson; Ryan, Dermot; Rosenwasser, Lanny; Schmid-Grendelmeier, Peter; Senna, Gianenrico; Valovirta, Erkka; Van Bever, Hugo; Vichyanond, Pakit; Wahn, Ulrich; Yusuf, Osman)\n\nBiomarkers","title":"Sublingual immunotherapy: World Allergy Organization position paper 2013 update","type":"article-journal","volume":"7"},"uris":["http://www.mendeley.com/documents/?uuid=9046e1a1-88eb-4b17-b246-73d0541321b5"]}],"mendeley":{"formattedCitation":"[35]","plainTextFormattedCitation":"[35]","previouslyFormattedCitation":"[35]"},"properties":{"noteIndex":0},"schema":"https://github.com/citation-style-language/schema/raw/master/csl-citation.json"}</w:instrText>
      </w:r>
      <w:r w:rsidRPr="00437528">
        <w:rPr>
          <w:rFonts w:ascii="Times New Roman" w:eastAsia="Calibri" w:hAnsi="Times New Roman" w:cs="Times New Roman"/>
          <w:sz w:val="28"/>
          <w:szCs w:val="28"/>
        </w:rPr>
        <w:fldChar w:fldCharType="separate"/>
      </w:r>
      <w:r w:rsidR="00877069" w:rsidRPr="00877069">
        <w:rPr>
          <w:rFonts w:ascii="Times New Roman" w:eastAsia="Calibri" w:hAnsi="Times New Roman" w:cs="Times New Roman"/>
          <w:noProof/>
          <w:sz w:val="28"/>
          <w:szCs w:val="28"/>
        </w:rPr>
        <w:t>[35]</w:t>
      </w:r>
      <w:r w:rsidRPr="00437528">
        <w:rPr>
          <w:rFonts w:ascii="Times New Roman" w:eastAsia="Calibri" w:hAnsi="Times New Roman" w:cs="Times New Roman"/>
          <w:sz w:val="28"/>
          <w:szCs w:val="28"/>
        </w:rPr>
        <w:fldChar w:fldCharType="end"/>
      </w:r>
      <w:r w:rsidRPr="00437528">
        <w:rPr>
          <w:rFonts w:ascii="Times New Roman" w:eastAsia="Calibri" w:hAnsi="Times New Roman" w:cs="Times New Roman"/>
          <w:sz w:val="28"/>
          <w:szCs w:val="28"/>
        </w:rPr>
        <w:t>. В исследованиях была продемонстрирована взаимосвязь частоты и тяжести побочных реакций в зависимости от дозы и свойств аллергена</w:t>
      </w:r>
      <w:r w:rsidR="0007459B">
        <w:rPr>
          <w:rFonts w:ascii="Times New Roman" w:eastAsia="Calibri" w:hAnsi="Times New Roman" w:cs="Times New Roman"/>
          <w:sz w:val="28"/>
          <w:szCs w:val="28"/>
        </w:rPr>
        <w:t xml:space="preserve"> </w:t>
      </w:r>
      <w:r w:rsidRPr="00437528">
        <w:rPr>
          <w:rFonts w:ascii="Times New Roman" w:eastAsia="Calibri" w:hAnsi="Times New Roman" w:cs="Times New Roman"/>
          <w:sz w:val="28"/>
          <w:szCs w:val="28"/>
        </w:rPr>
        <w:fldChar w:fldCharType="begin" w:fldLock="1"/>
      </w:r>
      <w:r w:rsidR="006B2D4C">
        <w:rPr>
          <w:rFonts w:ascii="Times New Roman" w:eastAsia="Calibri" w:hAnsi="Times New Roman" w:cs="Times New Roman"/>
          <w:sz w:val="28"/>
          <w:szCs w:val="28"/>
        </w:rPr>
        <w:instrText>ADDIN CSL_CITATION {"citationItems":[{"id":"ITEM-1","itemData":{"DOI":"10.2500/aap.2012.33.3605","ISSN":"15396304","PMID":"23026182","abstract":"A sublingually administered allergy immunotherapy tablet (AIT) is under development to treat ragweed (Ambrosia artemisiifolia)-induced allergic rhinoconjunctivitis (ARC). This study investigates the optimal tolerable dose of oncedaily ragweed pollen AIT. Subjects 18-50 years old with ragweed-induced ARC were enrolled at two U.S. centers in a double-blind, placebo-controlled, dose-escalation study outside ragweed season. Groups (12 subjects each) were to be randomized 3:1 to 28 days of active treatment (groups assigned in sequence to 3, 6, 12, 24, 50, or 100 Amb a 1 U, without dose buildup at any level) or matching placebo. Recruitment to 50 Amb a 1-U was discontinued because of adverse events (AEs) after four AIT subjects were enrolled; 100 1 unit of ambrosia artemislifolia major allergen 1 was not initiated. Fifty-three subjects were randomized (AIT, n = 40; placebo, n = 13); four discontinued, all because of AEs (AIT, n = 3; placebo, n = 1). Treatment-related AEs (TRAEs) were more frequent with AIT (73%) than placebo (31%), increasing with dose level. AIT TRAEs were mostly mild (94%) or moderate (5%). No serious TRAEs or anaphylactic shock occurred. The most common TRAEs with AIT were localized pruritus, nasal irritation, and throat irritation. Median onset for common AIT application site reactions was ≤24 hours after first treatment (median duration, 15-50 minutes). AIT increased immunoglobulin (Ig) significantly more than placebo (ragweed-specific IgE [6, 12, and 24 Amb a 1-U]; IgG4 [all doses]; p &lt; 0.05). Three subjects in dose groups ≥24 Amb a 1-U experienced symptoms suggestive of systemic reaction. Of tested doses, ragweed AIT &lt;24 Amb a 1-U once-daily was well tolerated in subjects with ragweed-induced ARC. Clinical trial registration URL and registration number: www.clinicaltrials.gov/ct2/show/ NCT01134705. Copyright © 2012, OceanSide Publications, Inc., U.S.A.","author":[{"dropping-particle":"","family":"Nayak","given":"Anjuli S.","non-dropping-particle":"","parse-names":false,"suffix":""},{"dropping-particle":"","family":"Atiee","given":"George J.","non-dropping-particle":"","parse-names":false,"suffix":""},{"dropping-particle":"","family":"Dige","given":"Ea","non-dropping-particle":"","parse-names":false,"suffix":""},{"dropping-particle":"","family":"Maloney","given":"Jennifer","non-dropping-particle":"","parse-names":false,"suffix":""},{"dropping-particle":"","family":"Nolte","given":"Hendrik","non-dropping-particle":"","parse-names":false,"suffix":""}],"container-title":"Allergy and Asthma Proceedings","id":"ITEM-1","issue":"5","issued":{"date-parts":[["2012"]]},"page":"404-410","title":"Safety of ragweed sublingual allergy immunotherapy tablets in adults with allergic rhinoconjunctivitis","type":"article-journal","volume":"33"},"uris":["http://www.mendeley.com/documents/?uuid=b4cf2b67-d981-43ed-8d3b-19d279cd9a58"]}],"mendeley":{"formattedCitation":"[170]","plainTextFormattedCitation":"[170]","previouslyFormattedCitation":"[170]"},"properties":{"noteIndex":0},"schema":"https://github.com/citation-style-language/schema/raw/master/csl-citation.json"}</w:instrText>
      </w:r>
      <w:r w:rsidRPr="00437528">
        <w:rPr>
          <w:rFonts w:ascii="Times New Roman" w:eastAsia="Calibri" w:hAnsi="Times New Roman" w:cs="Times New Roman"/>
          <w:sz w:val="28"/>
          <w:szCs w:val="28"/>
        </w:rPr>
        <w:fldChar w:fldCharType="separate"/>
      </w:r>
      <w:r w:rsidR="004028FD" w:rsidRPr="004028FD">
        <w:rPr>
          <w:rFonts w:ascii="Times New Roman" w:eastAsia="Calibri" w:hAnsi="Times New Roman" w:cs="Times New Roman"/>
          <w:noProof/>
          <w:sz w:val="28"/>
          <w:szCs w:val="28"/>
        </w:rPr>
        <w:t>[170]</w:t>
      </w:r>
      <w:r w:rsidRPr="00437528">
        <w:rPr>
          <w:rFonts w:ascii="Times New Roman" w:eastAsia="Calibri" w:hAnsi="Times New Roman" w:cs="Times New Roman"/>
          <w:sz w:val="28"/>
          <w:szCs w:val="28"/>
        </w:rPr>
        <w:fldChar w:fldCharType="end"/>
      </w:r>
      <w:r w:rsidRPr="00437528">
        <w:rPr>
          <w:rFonts w:ascii="Times New Roman" w:eastAsia="Calibri" w:hAnsi="Times New Roman" w:cs="Times New Roman"/>
          <w:sz w:val="28"/>
          <w:szCs w:val="28"/>
        </w:rPr>
        <w:t xml:space="preserve">. Так и в нашем исследовании все побочные реакции у пациентов развивались на поддерживающем этапе </w:t>
      </w:r>
      <w:r w:rsidRPr="008A465C">
        <w:rPr>
          <w:rFonts w:ascii="Times New Roman" w:eastAsia="Calibri" w:hAnsi="Times New Roman" w:cs="Times New Roman"/>
          <w:sz w:val="28"/>
          <w:szCs w:val="28"/>
        </w:rPr>
        <w:t xml:space="preserve">лечения, когда они получали максимальную дозу препарата. К тому же </w:t>
      </w:r>
      <w:r w:rsidR="0068346F" w:rsidRPr="008A465C">
        <w:rPr>
          <w:rFonts w:ascii="Times New Roman" w:eastAsia="Calibri" w:hAnsi="Times New Roman" w:cs="Times New Roman"/>
          <w:sz w:val="28"/>
          <w:szCs w:val="28"/>
        </w:rPr>
        <w:t>препарат, который был применен в исследовании</w:t>
      </w:r>
      <w:r w:rsidRPr="008A465C">
        <w:rPr>
          <w:rFonts w:ascii="Times New Roman" w:eastAsia="Calibri" w:hAnsi="Times New Roman" w:cs="Times New Roman"/>
          <w:sz w:val="28"/>
          <w:szCs w:val="28"/>
        </w:rPr>
        <w:t xml:space="preserve"> изготовлен на основе цельных</w:t>
      </w:r>
      <w:r w:rsidRPr="00437528">
        <w:rPr>
          <w:rFonts w:ascii="Times New Roman" w:eastAsia="Calibri" w:hAnsi="Times New Roman" w:cs="Times New Roman"/>
          <w:sz w:val="28"/>
          <w:szCs w:val="28"/>
        </w:rPr>
        <w:t xml:space="preserve"> нерекомбинантных аллергенов, что также взаимосвязано с повышенным риском побочных реакций. Важным моментом остается комплаентность пациентов, что довольно сложно оценить поскольку они получали препарат самостоятельно на дому с ежемесячным контролем лечения. </w:t>
      </w:r>
    </w:p>
    <w:p w14:paraId="14833BF8" w14:textId="77777777" w:rsidR="00502BF3" w:rsidRDefault="00437528" w:rsidP="00F73B2B">
      <w:pPr>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 xml:space="preserve"> </w:t>
      </w:r>
      <w:r w:rsidRPr="00A922D3">
        <w:rPr>
          <w:rFonts w:ascii="Times New Roman" w:eastAsia="Calibri" w:hAnsi="Times New Roman" w:cs="Times New Roman"/>
          <w:sz w:val="28"/>
          <w:szCs w:val="28"/>
        </w:rPr>
        <w:t xml:space="preserve">Таким образом, </w:t>
      </w:r>
      <w:r w:rsidR="00F97CFD" w:rsidRPr="00A922D3">
        <w:rPr>
          <w:rFonts w:ascii="Times New Roman" w:eastAsia="Calibri" w:hAnsi="Times New Roman" w:cs="Times New Roman"/>
          <w:sz w:val="28"/>
          <w:szCs w:val="28"/>
        </w:rPr>
        <w:t>использование витамина Д в качестве адъюванта аллерген-специфической иммунотерапии помогает снизить процент развития побочных реакций</w:t>
      </w:r>
      <w:r w:rsidRPr="00A922D3">
        <w:rPr>
          <w:rFonts w:ascii="Times New Roman" w:eastAsia="Calibri" w:hAnsi="Times New Roman" w:cs="Times New Roman"/>
          <w:sz w:val="28"/>
          <w:szCs w:val="28"/>
        </w:rPr>
        <w:t>, что указывает на безопасный профиль сублингвальной формы аллерген-специфической иммунотерапии</w:t>
      </w:r>
      <w:r w:rsidR="00F97CFD" w:rsidRPr="00A922D3">
        <w:rPr>
          <w:rFonts w:ascii="Times New Roman" w:eastAsia="Calibri" w:hAnsi="Times New Roman" w:cs="Times New Roman"/>
          <w:sz w:val="28"/>
          <w:szCs w:val="28"/>
        </w:rPr>
        <w:t xml:space="preserve"> в комплексе с витамином Д</w:t>
      </w:r>
      <w:r w:rsidRPr="00A922D3">
        <w:rPr>
          <w:rFonts w:ascii="Times New Roman" w:eastAsia="Calibri" w:hAnsi="Times New Roman" w:cs="Times New Roman"/>
          <w:sz w:val="28"/>
          <w:szCs w:val="28"/>
        </w:rPr>
        <w:t xml:space="preserve">. </w:t>
      </w:r>
    </w:p>
    <w:p w14:paraId="59EF618B" w14:textId="68F9D8EE" w:rsidR="00F73B2B" w:rsidRDefault="00F73B2B" w:rsidP="00F73B2B">
      <w:pPr>
        <w:spacing w:after="0" w:line="240" w:lineRule="auto"/>
        <w:ind w:firstLine="567"/>
        <w:jc w:val="both"/>
        <w:rPr>
          <w:rFonts w:ascii="Times New Roman" w:eastAsia="Calibri" w:hAnsi="Times New Roman" w:cs="Times New Roman"/>
          <w:sz w:val="28"/>
          <w:szCs w:val="28"/>
        </w:rPr>
      </w:pPr>
    </w:p>
    <w:p w14:paraId="35B5B6CD" w14:textId="0591A646" w:rsidR="00437528" w:rsidRDefault="00437528" w:rsidP="00E53683">
      <w:pPr>
        <w:keepNext/>
        <w:keepLines/>
        <w:spacing w:after="0" w:line="240" w:lineRule="auto"/>
        <w:ind w:firstLine="567"/>
        <w:jc w:val="both"/>
        <w:outlineLvl w:val="0"/>
        <w:rPr>
          <w:rFonts w:ascii="Times New Roman" w:eastAsiaTheme="majorEastAsia" w:hAnsi="Times New Roman" w:cs="Times New Roman"/>
          <w:b/>
          <w:sz w:val="28"/>
          <w:szCs w:val="28"/>
        </w:rPr>
      </w:pPr>
      <w:bookmarkStart w:id="49" w:name="_Toc121590256"/>
      <w:bookmarkStart w:id="50" w:name="_Toc137904363"/>
      <w:r w:rsidRPr="00437528">
        <w:rPr>
          <w:rFonts w:ascii="Times New Roman" w:eastAsiaTheme="majorEastAsia" w:hAnsi="Times New Roman" w:cs="Times New Roman"/>
          <w:b/>
          <w:sz w:val="28"/>
          <w:szCs w:val="28"/>
        </w:rPr>
        <w:t>3.3</w:t>
      </w:r>
      <w:r w:rsidRPr="00437528">
        <w:rPr>
          <w:rFonts w:ascii="Times New Roman" w:eastAsiaTheme="majorEastAsia" w:hAnsi="Times New Roman" w:cs="Times New Roman"/>
          <w:b/>
          <w:sz w:val="28"/>
          <w:szCs w:val="28"/>
        </w:rPr>
        <w:tab/>
        <w:t>Лабораторные маркеры эффективности аллерген-специфической иммунотерапии в комплексе с витамином Д с наибольшей прогностической значимостью</w:t>
      </w:r>
      <w:bookmarkEnd w:id="49"/>
      <w:bookmarkEnd w:id="50"/>
    </w:p>
    <w:p w14:paraId="3FA489FF" w14:textId="77777777" w:rsidR="004F3B83" w:rsidRPr="00437528" w:rsidRDefault="004F3B83" w:rsidP="00E53683">
      <w:pPr>
        <w:keepNext/>
        <w:keepLines/>
        <w:spacing w:after="0" w:line="240" w:lineRule="auto"/>
        <w:ind w:firstLine="567"/>
        <w:jc w:val="both"/>
        <w:outlineLvl w:val="0"/>
        <w:rPr>
          <w:rFonts w:ascii="Times New Roman" w:eastAsiaTheme="majorEastAsia" w:hAnsi="Times New Roman" w:cs="Times New Roman"/>
          <w:b/>
          <w:sz w:val="28"/>
          <w:szCs w:val="28"/>
        </w:rPr>
      </w:pPr>
    </w:p>
    <w:p w14:paraId="0F047A57" w14:textId="645AE3F2" w:rsidR="00437528" w:rsidRPr="00437528" w:rsidRDefault="00437528" w:rsidP="00E53683">
      <w:pPr>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Для выявления лабораторных маркеров эффективности АСИТ в комплексе с витамином Д с наибольшей прогностической значимостью нами были проведены корреляционный анализ</w:t>
      </w:r>
      <w:r w:rsidRPr="00437528">
        <w:rPr>
          <w:rFonts w:ascii="Calibri" w:eastAsia="Calibri" w:hAnsi="Calibri" w:cs="Times New Roman"/>
        </w:rPr>
        <w:t xml:space="preserve"> </w:t>
      </w:r>
      <w:r w:rsidRPr="00437528">
        <w:rPr>
          <w:rFonts w:ascii="Times New Roman" w:eastAsia="Calibri" w:hAnsi="Times New Roman" w:cs="Times New Roman"/>
          <w:sz w:val="28"/>
          <w:szCs w:val="28"/>
        </w:rPr>
        <w:t xml:space="preserve">и </w:t>
      </w:r>
      <w:r w:rsidR="008A465C" w:rsidRPr="008A465C">
        <w:rPr>
          <w:rFonts w:ascii="Times New Roman" w:eastAsia="Calibri" w:hAnsi="Times New Roman" w:cs="Times New Roman"/>
          <w:sz w:val="28"/>
          <w:szCs w:val="28"/>
        </w:rPr>
        <w:t xml:space="preserve">множественный логистический регрессионный </w:t>
      </w:r>
      <w:r w:rsidRPr="008A465C">
        <w:rPr>
          <w:rFonts w:ascii="Times New Roman" w:eastAsia="Calibri" w:hAnsi="Times New Roman" w:cs="Times New Roman"/>
          <w:sz w:val="28"/>
          <w:szCs w:val="28"/>
        </w:rPr>
        <w:t>анализ факторов</w:t>
      </w:r>
      <w:r w:rsidRPr="00437528">
        <w:rPr>
          <w:rFonts w:ascii="Times New Roman" w:eastAsia="Calibri" w:hAnsi="Times New Roman" w:cs="Times New Roman"/>
          <w:sz w:val="28"/>
          <w:szCs w:val="28"/>
        </w:rPr>
        <w:t>, влияющих на эффективность терапии.</w:t>
      </w:r>
    </w:p>
    <w:p w14:paraId="39D61BF8" w14:textId="77777777" w:rsidR="00437528" w:rsidRPr="00437528" w:rsidRDefault="00437528" w:rsidP="00E53683">
      <w:pPr>
        <w:spacing w:after="0" w:line="240" w:lineRule="auto"/>
        <w:ind w:firstLine="567"/>
        <w:jc w:val="both"/>
        <w:rPr>
          <w:rFonts w:ascii="Calibri" w:eastAsia="Calibri" w:hAnsi="Calibri" w:cs="Times New Roman"/>
        </w:rPr>
      </w:pPr>
    </w:p>
    <w:p w14:paraId="65FBD40E" w14:textId="77777777" w:rsidR="00437528" w:rsidRPr="00AC51CB" w:rsidRDefault="00437528" w:rsidP="00E53683">
      <w:pPr>
        <w:keepNext/>
        <w:keepLines/>
        <w:spacing w:after="0" w:line="240" w:lineRule="auto"/>
        <w:ind w:firstLine="567"/>
        <w:jc w:val="both"/>
        <w:outlineLvl w:val="1"/>
        <w:rPr>
          <w:rFonts w:ascii="Times New Roman" w:eastAsiaTheme="majorEastAsia" w:hAnsi="Times New Roman" w:cs="Times New Roman"/>
          <w:i/>
          <w:sz w:val="28"/>
          <w:szCs w:val="28"/>
        </w:rPr>
      </w:pPr>
      <w:bookmarkStart w:id="51" w:name="_Toc121590257"/>
      <w:bookmarkStart w:id="52" w:name="_Toc137904364"/>
      <w:r w:rsidRPr="00AC51CB">
        <w:rPr>
          <w:rFonts w:ascii="Times New Roman" w:eastAsiaTheme="majorEastAsia" w:hAnsi="Times New Roman" w:cs="Times New Roman"/>
          <w:i/>
          <w:sz w:val="28"/>
          <w:szCs w:val="28"/>
        </w:rPr>
        <w:t xml:space="preserve">3.3.1 </w:t>
      </w:r>
      <w:bookmarkStart w:id="53" w:name="_Toc101629907"/>
      <w:r w:rsidRPr="00AC51CB">
        <w:rPr>
          <w:rFonts w:ascii="Times New Roman" w:eastAsiaTheme="majorEastAsia" w:hAnsi="Times New Roman" w:cs="Times New Roman"/>
          <w:i/>
          <w:sz w:val="28"/>
          <w:szCs w:val="28"/>
        </w:rPr>
        <w:t>Корреляционный анализ клинических и лабораторных показателей</w:t>
      </w:r>
      <w:bookmarkEnd w:id="51"/>
      <w:bookmarkEnd w:id="52"/>
    </w:p>
    <w:p w14:paraId="2B8FBEA4" w14:textId="77777777" w:rsidR="00A50362" w:rsidRDefault="00437528" w:rsidP="00E53683">
      <w:pPr>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 xml:space="preserve">Для выявления лабораторных маркеров </w:t>
      </w:r>
      <w:r w:rsidRPr="00875616">
        <w:rPr>
          <w:rFonts w:ascii="Times New Roman" w:eastAsia="Calibri" w:hAnsi="Times New Roman" w:cs="Times New Roman"/>
          <w:sz w:val="28"/>
          <w:szCs w:val="28"/>
        </w:rPr>
        <w:t>эффективности АСИТ в комплексе с витамином Д с наибольшей прогностической значимостью</w:t>
      </w:r>
      <w:r w:rsidR="00A50362" w:rsidRPr="00875616">
        <w:rPr>
          <w:rFonts w:ascii="Times New Roman" w:eastAsia="Calibri" w:hAnsi="Times New Roman" w:cs="Times New Roman"/>
          <w:sz w:val="28"/>
          <w:szCs w:val="28"/>
        </w:rPr>
        <w:t xml:space="preserve"> первым этапом</w:t>
      </w:r>
      <w:r w:rsidRPr="00875616">
        <w:rPr>
          <w:rFonts w:ascii="Times New Roman" w:eastAsia="Calibri" w:hAnsi="Times New Roman" w:cs="Times New Roman"/>
          <w:sz w:val="28"/>
          <w:szCs w:val="28"/>
        </w:rPr>
        <w:t xml:space="preserve"> нами был проведен корреляционный анализ</w:t>
      </w:r>
      <w:r w:rsidR="00A50362" w:rsidRPr="00875616">
        <w:rPr>
          <w:rFonts w:ascii="Times New Roman" w:eastAsia="Calibri" w:hAnsi="Times New Roman" w:cs="Times New Roman"/>
          <w:sz w:val="28"/>
          <w:szCs w:val="28"/>
        </w:rPr>
        <w:t xml:space="preserve"> для поиска взаимосвязанных факторов</w:t>
      </w:r>
      <w:r w:rsidRPr="00875616">
        <w:rPr>
          <w:rFonts w:ascii="Times New Roman" w:eastAsia="Calibri" w:hAnsi="Times New Roman" w:cs="Times New Roman"/>
          <w:sz w:val="28"/>
          <w:szCs w:val="28"/>
        </w:rPr>
        <w:t>.</w:t>
      </w:r>
      <w:r w:rsidRPr="00437528">
        <w:rPr>
          <w:rFonts w:ascii="Times New Roman" w:eastAsia="Calibri" w:hAnsi="Times New Roman" w:cs="Times New Roman"/>
          <w:sz w:val="28"/>
          <w:szCs w:val="28"/>
        </w:rPr>
        <w:t xml:space="preserve"> </w:t>
      </w:r>
    </w:p>
    <w:p w14:paraId="5158C54F" w14:textId="4AC686F8" w:rsidR="00437528" w:rsidRPr="00437528" w:rsidRDefault="00437528" w:rsidP="00E53683">
      <w:pPr>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 xml:space="preserve">Мы обнаружили, что общий балл тяжести симптомов заболевания имел сильную отрицательную корреляцию с </w:t>
      </w:r>
      <w:r w:rsidRPr="00F70486">
        <w:rPr>
          <w:rFonts w:ascii="Times New Roman" w:eastAsia="Calibri" w:hAnsi="Times New Roman" w:cs="Times New Roman"/>
          <w:sz w:val="28"/>
          <w:szCs w:val="28"/>
        </w:rPr>
        <w:t>базовым уровнем витамина Д в крови (</w:t>
      </w:r>
      <w:r w:rsidRPr="00F70486">
        <w:rPr>
          <w:rFonts w:ascii="Times New Roman" w:eastAsia="Calibri" w:hAnsi="Times New Roman" w:cs="Times New Roman"/>
          <w:sz w:val="28"/>
          <w:szCs w:val="28"/>
          <w:lang w:val="en-US"/>
        </w:rPr>
        <w:t>r</w:t>
      </w:r>
      <w:r w:rsidR="00C87C03" w:rsidRPr="00F70486">
        <w:rPr>
          <w:rFonts w:ascii="Times New Roman" w:eastAsia="Calibri" w:hAnsi="Times New Roman" w:cs="Times New Roman"/>
          <w:sz w:val="28"/>
          <w:szCs w:val="28"/>
        </w:rPr>
        <w:t>=-0,8</w:t>
      </w:r>
      <w:r w:rsidRPr="00F70486">
        <w:rPr>
          <w:rFonts w:ascii="Times New Roman" w:eastAsia="Calibri" w:hAnsi="Times New Roman" w:cs="Times New Roman"/>
          <w:sz w:val="28"/>
          <w:szCs w:val="28"/>
        </w:rPr>
        <w:t xml:space="preserve">; </w:t>
      </w:r>
      <w:r w:rsidRPr="00F70486">
        <w:rPr>
          <w:rFonts w:ascii="Times New Roman" w:eastAsia="Calibri" w:hAnsi="Times New Roman" w:cs="Times New Roman"/>
          <w:sz w:val="28"/>
          <w:szCs w:val="28"/>
          <w:lang w:val="en-US"/>
        </w:rPr>
        <w:t>p</w:t>
      </w:r>
      <w:r w:rsidR="008F7EC7">
        <w:rPr>
          <w:rFonts w:ascii="Times New Roman" w:eastAsia="Calibri" w:hAnsi="Times New Roman" w:cs="Times New Roman"/>
          <w:sz w:val="28"/>
          <w:szCs w:val="28"/>
        </w:rPr>
        <w:t>=</w:t>
      </w:r>
      <w:r w:rsidR="008F7EC7" w:rsidRPr="008F7EC7">
        <w:rPr>
          <w:rFonts w:ascii="Times New Roman" w:eastAsia="Calibri" w:hAnsi="Times New Roman" w:cs="Times New Roman"/>
          <w:sz w:val="28"/>
          <w:szCs w:val="28"/>
        </w:rPr>
        <w:t>0,00000</w:t>
      </w:r>
      <w:r w:rsidRPr="00F70486">
        <w:rPr>
          <w:rFonts w:ascii="Times New Roman" w:eastAsia="Calibri" w:hAnsi="Times New Roman" w:cs="Times New Roman"/>
          <w:sz w:val="28"/>
          <w:szCs w:val="28"/>
        </w:rPr>
        <w:t xml:space="preserve">). Сильную </w:t>
      </w:r>
      <w:r w:rsidRPr="003C78DF">
        <w:rPr>
          <w:rFonts w:ascii="Times New Roman" w:eastAsia="Calibri" w:hAnsi="Times New Roman" w:cs="Times New Roman"/>
          <w:sz w:val="28"/>
          <w:szCs w:val="28"/>
        </w:rPr>
        <w:t>положительную корреляционную связь общий балл тяжести симптомов имел с показателями общего иммуноглобулина Е (</w:t>
      </w:r>
      <w:r w:rsidRPr="003C78DF">
        <w:rPr>
          <w:rFonts w:ascii="Times New Roman" w:eastAsia="Calibri" w:hAnsi="Times New Roman" w:cs="Times New Roman"/>
          <w:sz w:val="28"/>
          <w:szCs w:val="28"/>
          <w:lang w:val="en-US"/>
        </w:rPr>
        <w:t>r</w:t>
      </w:r>
      <w:r w:rsidR="00C87C03" w:rsidRPr="003C78DF">
        <w:rPr>
          <w:rFonts w:ascii="Times New Roman" w:eastAsia="Calibri" w:hAnsi="Times New Roman" w:cs="Times New Roman"/>
          <w:sz w:val="28"/>
          <w:szCs w:val="28"/>
        </w:rPr>
        <w:t>=0,9</w:t>
      </w:r>
      <w:r w:rsidRPr="003C78DF">
        <w:rPr>
          <w:rFonts w:ascii="Times New Roman" w:eastAsia="Calibri" w:hAnsi="Times New Roman" w:cs="Times New Roman"/>
          <w:sz w:val="28"/>
          <w:szCs w:val="28"/>
        </w:rPr>
        <w:t xml:space="preserve">; </w:t>
      </w:r>
      <w:r w:rsidRPr="003C78DF">
        <w:rPr>
          <w:rFonts w:ascii="Times New Roman" w:eastAsia="Calibri" w:hAnsi="Times New Roman" w:cs="Times New Roman"/>
          <w:sz w:val="28"/>
          <w:szCs w:val="28"/>
          <w:lang w:val="en-US"/>
        </w:rPr>
        <w:t>p</w:t>
      </w:r>
      <w:r w:rsidR="0009013F" w:rsidRPr="003C78DF">
        <w:rPr>
          <w:rFonts w:ascii="Times New Roman" w:eastAsia="Calibri" w:hAnsi="Times New Roman" w:cs="Times New Roman"/>
          <w:sz w:val="28"/>
          <w:szCs w:val="28"/>
        </w:rPr>
        <w:t>=0,00000</w:t>
      </w:r>
      <w:r w:rsidRPr="003C78DF">
        <w:rPr>
          <w:rFonts w:ascii="Times New Roman" w:eastAsia="Calibri" w:hAnsi="Times New Roman" w:cs="Times New Roman"/>
          <w:sz w:val="28"/>
          <w:szCs w:val="28"/>
        </w:rPr>
        <w:t>), эозинофильного катионного белка (</w:t>
      </w:r>
      <w:r w:rsidRPr="003C78DF">
        <w:rPr>
          <w:rFonts w:ascii="Times New Roman" w:eastAsia="Calibri" w:hAnsi="Times New Roman" w:cs="Times New Roman"/>
          <w:sz w:val="28"/>
          <w:szCs w:val="28"/>
          <w:lang w:val="en-US"/>
        </w:rPr>
        <w:t>r</w:t>
      </w:r>
      <w:r w:rsidR="00F70486" w:rsidRPr="003C78DF">
        <w:rPr>
          <w:rFonts w:ascii="Times New Roman" w:eastAsia="Calibri" w:hAnsi="Times New Roman" w:cs="Times New Roman"/>
          <w:sz w:val="28"/>
          <w:szCs w:val="28"/>
        </w:rPr>
        <w:t>=0,8</w:t>
      </w:r>
      <w:r w:rsidRPr="003C78DF">
        <w:rPr>
          <w:rFonts w:ascii="Times New Roman" w:eastAsia="Calibri" w:hAnsi="Times New Roman" w:cs="Times New Roman"/>
          <w:sz w:val="28"/>
          <w:szCs w:val="28"/>
        </w:rPr>
        <w:t xml:space="preserve">; </w:t>
      </w:r>
      <w:r w:rsidRPr="003C78DF">
        <w:rPr>
          <w:rFonts w:ascii="Times New Roman" w:eastAsia="Calibri" w:hAnsi="Times New Roman" w:cs="Times New Roman"/>
          <w:sz w:val="28"/>
          <w:szCs w:val="28"/>
          <w:lang w:val="en-US"/>
        </w:rPr>
        <w:t>p</w:t>
      </w:r>
      <w:r w:rsidRPr="003C78DF">
        <w:rPr>
          <w:rFonts w:ascii="Times New Roman" w:eastAsia="Calibri" w:hAnsi="Times New Roman" w:cs="Times New Roman"/>
          <w:sz w:val="28"/>
          <w:szCs w:val="28"/>
        </w:rPr>
        <w:t>&lt;0,001), sIgE rPhlp1 (</w:t>
      </w:r>
      <w:r w:rsidRPr="003C78DF">
        <w:rPr>
          <w:rFonts w:ascii="Times New Roman" w:eastAsia="Calibri" w:hAnsi="Times New Roman" w:cs="Times New Roman"/>
          <w:sz w:val="28"/>
          <w:szCs w:val="28"/>
          <w:lang w:val="en-US"/>
        </w:rPr>
        <w:t>r</w:t>
      </w:r>
      <w:r w:rsidRPr="003C78DF">
        <w:rPr>
          <w:rFonts w:ascii="Times New Roman" w:eastAsia="Calibri" w:hAnsi="Times New Roman" w:cs="Times New Roman"/>
          <w:sz w:val="28"/>
          <w:szCs w:val="28"/>
        </w:rPr>
        <w:t xml:space="preserve">=0,7; </w:t>
      </w:r>
      <w:r w:rsidRPr="003C78DF">
        <w:rPr>
          <w:rFonts w:ascii="Times New Roman" w:eastAsia="Calibri" w:hAnsi="Times New Roman" w:cs="Times New Roman"/>
          <w:sz w:val="28"/>
          <w:szCs w:val="28"/>
          <w:lang w:val="en-US"/>
        </w:rPr>
        <w:t>p</w:t>
      </w:r>
      <w:r w:rsidR="00352116" w:rsidRPr="003C78DF">
        <w:rPr>
          <w:rFonts w:ascii="Times New Roman" w:eastAsia="Calibri" w:hAnsi="Times New Roman" w:cs="Times New Roman"/>
          <w:sz w:val="28"/>
          <w:szCs w:val="28"/>
        </w:rPr>
        <w:t>&lt;0,0008</w:t>
      </w:r>
      <w:r w:rsidRPr="003C78DF">
        <w:rPr>
          <w:rFonts w:ascii="Times New Roman" w:eastAsia="Calibri" w:hAnsi="Times New Roman" w:cs="Times New Roman"/>
          <w:sz w:val="28"/>
          <w:szCs w:val="28"/>
        </w:rPr>
        <w:t xml:space="preserve">), </w:t>
      </w:r>
      <w:r w:rsidRPr="003C78DF">
        <w:rPr>
          <w:rFonts w:ascii="Times New Roman" w:eastAsia="Calibri" w:hAnsi="Times New Roman" w:cs="Times New Roman"/>
          <w:sz w:val="28"/>
          <w:szCs w:val="28"/>
          <w:lang w:val="en-US"/>
        </w:rPr>
        <w:t>sIgE</w:t>
      </w:r>
      <w:r w:rsidRPr="003C78DF">
        <w:rPr>
          <w:rFonts w:ascii="Times New Roman" w:eastAsia="Calibri" w:hAnsi="Times New Roman" w:cs="Times New Roman"/>
          <w:sz w:val="28"/>
          <w:szCs w:val="28"/>
        </w:rPr>
        <w:t xml:space="preserve"> </w:t>
      </w:r>
      <w:r w:rsidRPr="003C78DF">
        <w:rPr>
          <w:rFonts w:ascii="Times New Roman" w:eastAsia="Calibri" w:hAnsi="Times New Roman" w:cs="Times New Roman"/>
          <w:sz w:val="28"/>
          <w:szCs w:val="28"/>
          <w:lang w:val="en-US"/>
        </w:rPr>
        <w:t>rPhlp</w:t>
      </w:r>
      <w:r w:rsidRPr="003C78DF">
        <w:rPr>
          <w:rFonts w:ascii="Times New Roman" w:eastAsia="Calibri" w:hAnsi="Times New Roman" w:cs="Times New Roman"/>
          <w:sz w:val="28"/>
          <w:szCs w:val="28"/>
        </w:rPr>
        <w:t>5 (</w:t>
      </w:r>
      <w:r w:rsidRPr="003C78DF">
        <w:rPr>
          <w:rFonts w:ascii="Times New Roman" w:eastAsia="Calibri" w:hAnsi="Times New Roman" w:cs="Times New Roman"/>
          <w:sz w:val="28"/>
          <w:szCs w:val="28"/>
          <w:lang w:val="en-US"/>
        </w:rPr>
        <w:t>r</w:t>
      </w:r>
      <w:r w:rsidRPr="003C78DF">
        <w:rPr>
          <w:rFonts w:ascii="Times New Roman" w:eastAsia="Calibri" w:hAnsi="Times New Roman" w:cs="Times New Roman"/>
          <w:sz w:val="28"/>
          <w:szCs w:val="28"/>
        </w:rPr>
        <w:t xml:space="preserve">=0,7; </w:t>
      </w:r>
      <w:r w:rsidRPr="003C78DF">
        <w:rPr>
          <w:rFonts w:ascii="Times New Roman" w:eastAsia="Calibri" w:hAnsi="Times New Roman" w:cs="Times New Roman"/>
          <w:sz w:val="28"/>
          <w:szCs w:val="28"/>
          <w:lang w:val="en-US"/>
        </w:rPr>
        <w:t>p</w:t>
      </w:r>
      <w:r w:rsidRPr="003C78DF">
        <w:rPr>
          <w:rFonts w:ascii="Times New Roman" w:eastAsia="Calibri" w:hAnsi="Times New Roman" w:cs="Times New Roman"/>
          <w:sz w:val="28"/>
          <w:szCs w:val="28"/>
        </w:rPr>
        <w:t>=</w:t>
      </w:r>
      <w:r w:rsidR="00352116" w:rsidRPr="003C78DF">
        <w:rPr>
          <w:rFonts w:ascii="Times New Roman" w:eastAsia="Calibri" w:hAnsi="Times New Roman" w:cs="Times New Roman"/>
          <w:sz w:val="28"/>
          <w:szCs w:val="28"/>
        </w:rPr>
        <w:t>0,1428</w:t>
      </w:r>
      <w:r w:rsidRPr="003C78DF">
        <w:rPr>
          <w:rFonts w:ascii="Times New Roman" w:eastAsia="Calibri" w:hAnsi="Times New Roman" w:cs="Times New Roman"/>
          <w:sz w:val="28"/>
          <w:szCs w:val="28"/>
        </w:rPr>
        <w:t xml:space="preserve">), </w:t>
      </w:r>
      <w:r w:rsidRPr="003C78DF">
        <w:rPr>
          <w:rFonts w:ascii="Times New Roman" w:eastAsia="Calibri" w:hAnsi="Times New Roman" w:cs="Times New Roman"/>
          <w:sz w:val="28"/>
          <w:szCs w:val="28"/>
          <w:lang w:val="en-US"/>
        </w:rPr>
        <w:t>sIgE</w:t>
      </w:r>
      <w:r w:rsidRPr="003C78DF">
        <w:rPr>
          <w:rFonts w:ascii="Times New Roman" w:eastAsia="Calibri" w:hAnsi="Times New Roman" w:cs="Times New Roman"/>
          <w:sz w:val="28"/>
          <w:szCs w:val="28"/>
        </w:rPr>
        <w:t xml:space="preserve"> </w:t>
      </w:r>
      <w:r w:rsidRPr="003C78DF">
        <w:rPr>
          <w:rFonts w:ascii="Times New Roman" w:eastAsia="Calibri" w:hAnsi="Times New Roman" w:cs="Times New Roman"/>
          <w:sz w:val="28"/>
          <w:szCs w:val="28"/>
          <w:lang w:val="en-US"/>
        </w:rPr>
        <w:t>rBet</w:t>
      </w:r>
      <w:r w:rsidRPr="003C78DF">
        <w:rPr>
          <w:rFonts w:ascii="Times New Roman" w:eastAsia="Calibri" w:hAnsi="Times New Roman" w:cs="Times New Roman"/>
          <w:sz w:val="28"/>
          <w:szCs w:val="28"/>
        </w:rPr>
        <w:t xml:space="preserve"> </w:t>
      </w:r>
      <w:r w:rsidRPr="003C78DF">
        <w:rPr>
          <w:rFonts w:ascii="Times New Roman" w:eastAsia="Calibri" w:hAnsi="Times New Roman" w:cs="Times New Roman"/>
          <w:sz w:val="28"/>
          <w:szCs w:val="28"/>
          <w:lang w:val="en-US"/>
        </w:rPr>
        <w:t>v</w:t>
      </w:r>
      <w:r w:rsidRPr="003C78DF">
        <w:rPr>
          <w:rFonts w:ascii="Times New Roman" w:eastAsia="Calibri" w:hAnsi="Times New Roman" w:cs="Times New Roman"/>
          <w:sz w:val="28"/>
          <w:szCs w:val="28"/>
        </w:rPr>
        <w:t>1 (</w:t>
      </w:r>
      <w:r w:rsidRPr="003C78DF">
        <w:rPr>
          <w:rFonts w:ascii="Times New Roman" w:eastAsia="Calibri" w:hAnsi="Times New Roman" w:cs="Times New Roman"/>
          <w:sz w:val="28"/>
          <w:szCs w:val="28"/>
          <w:lang w:val="en-US"/>
        </w:rPr>
        <w:t>r</w:t>
      </w:r>
      <w:r w:rsidR="0019553C" w:rsidRPr="003C78DF">
        <w:rPr>
          <w:rFonts w:ascii="Times New Roman" w:eastAsia="Calibri" w:hAnsi="Times New Roman" w:cs="Times New Roman"/>
          <w:sz w:val="28"/>
          <w:szCs w:val="28"/>
        </w:rPr>
        <w:t>=0,7</w:t>
      </w:r>
      <w:r w:rsidRPr="003C78DF">
        <w:rPr>
          <w:rFonts w:ascii="Times New Roman" w:eastAsia="Calibri" w:hAnsi="Times New Roman" w:cs="Times New Roman"/>
          <w:sz w:val="28"/>
          <w:szCs w:val="28"/>
        </w:rPr>
        <w:t xml:space="preserve">; </w:t>
      </w:r>
      <w:r w:rsidRPr="003C78DF">
        <w:rPr>
          <w:rFonts w:ascii="Times New Roman" w:eastAsia="Calibri" w:hAnsi="Times New Roman" w:cs="Times New Roman"/>
          <w:sz w:val="28"/>
          <w:szCs w:val="28"/>
          <w:lang w:val="en-US"/>
        </w:rPr>
        <w:t>p</w:t>
      </w:r>
      <w:r w:rsidRPr="003C78DF">
        <w:rPr>
          <w:rFonts w:ascii="Times New Roman" w:eastAsia="Calibri" w:hAnsi="Times New Roman" w:cs="Times New Roman"/>
          <w:sz w:val="28"/>
          <w:szCs w:val="28"/>
        </w:rPr>
        <w:t>=</w:t>
      </w:r>
      <w:r w:rsidR="00352116" w:rsidRPr="003C78DF">
        <w:rPr>
          <w:rFonts w:ascii="Times New Roman" w:eastAsia="Calibri" w:hAnsi="Times New Roman" w:cs="Times New Roman"/>
          <w:sz w:val="28"/>
          <w:szCs w:val="28"/>
        </w:rPr>
        <w:t>0,1866</w:t>
      </w:r>
      <w:r w:rsidRPr="003C78DF">
        <w:rPr>
          <w:rFonts w:ascii="Times New Roman" w:eastAsia="Calibri" w:hAnsi="Times New Roman" w:cs="Times New Roman"/>
          <w:sz w:val="28"/>
          <w:szCs w:val="28"/>
        </w:rPr>
        <w:t xml:space="preserve">), </w:t>
      </w:r>
      <w:r w:rsidRPr="003C78DF">
        <w:rPr>
          <w:rFonts w:ascii="Times New Roman" w:eastAsia="Calibri" w:hAnsi="Times New Roman" w:cs="Times New Roman"/>
          <w:sz w:val="28"/>
          <w:szCs w:val="28"/>
          <w:lang w:val="en-US"/>
        </w:rPr>
        <w:t>sIgE</w:t>
      </w:r>
      <w:r w:rsidRPr="003C78DF">
        <w:rPr>
          <w:rFonts w:ascii="Times New Roman" w:eastAsia="Calibri" w:hAnsi="Times New Roman" w:cs="Times New Roman"/>
          <w:sz w:val="28"/>
          <w:szCs w:val="28"/>
        </w:rPr>
        <w:t xml:space="preserve"> </w:t>
      </w:r>
      <w:r w:rsidRPr="003C78DF">
        <w:rPr>
          <w:rFonts w:ascii="Times New Roman" w:eastAsia="Calibri" w:hAnsi="Times New Roman" w:cs="Times New Roman"/>
          <w:sz w:val="28"/>
          <w:szCs w:val="28"/>
          <w:lang w:val="en-US"/>
        </w:rPr>
        <w:t>nArt</w:t>
      </w:r>
      <w:r w:rsidRPr="003C78DF">
        <w:rPr>
          <w:rFonts w:ascii="Times New Roman" w:eastAsia="Calibri" w:hAnsi="Times New Roman" w:cs="Times New Roman"/>
          <w:sz w:val="28"/>
          <w:szCs w:val="28"/>
        </w:rPr>
        <w:t xml:space="preserve"> </w:t>
      </w:r>
      <w:r w:rsidRPr="003C78DF">
        <w:rPr>
          <w:rFonts w:ascii="Times New Roman" w:eastAsia="Calibri" w:hAnsi="Times New Roman" w:cs="Times New Roman"/>
          <w:sz w:val="28"/>
          <w:szCs w:val="28"/>
          <w:lang w:val="en-US"/>
        </w:rPr>
        <w:t>v</w:t>
      </w:r>
      <w:r w:rsidRPr="003C78DF">
        <w:rPr>
          <w:rFonts w:ascii="Times New Roman" w:eastAsia="Calibri" w:hAnsi="Times New Roman" w:cs="Times New Roman"/>
          <w:sz w:val="28"/>
          <w:szCs w:val="28"/>
        </w:rPr>
        <w:t>1 (</w:t>
      </w:r>
      <w:r w:rsidRPr="003C78DF">
        <w:rPr>
          <w:rFonts w:ascii="Times New Roman" w:eastAsia="Calibri" w:hAnsi="Times New Roman" w:cs="Times New Roman"/>
          <w:sz w:val="28"/>
          <w:szCs w:val="28"/>
          <w:lang w:val="en-US"/>
        </w:rPr>
        <w:t>r</w:t>
      </w:r>
      <w:r w:rsidRPr="003C78DF">
        <w:rPr>
          <w:rFonts w:ascii="Times New Roman" w:eastAsia="Calibri" w:hAnsi="Times New Roman" w:cs="Times New Roman"/>
          <w:sz w:val="28"/>
          <w:szCs w:val="28"/>
        </w:rPr>
        <w:t xml:space="preserve">=0,7; </w:t>
      </w:r>
      <w:r w:rsidRPr="003C78DF">
        <w:rPr>
          <w:rFonts w:ascii="Times New Roman" w:eastAsia="Calibri" w:hAnsi="Times New Roman" w:cs="Times New Roman"/>
          <w:sz w:val="28"/>
          <w:szCs w:val="28"/>
          <w:lang w:val="en-US"/>
        </w:rPr>
        <w:t>p</w:t>
      </w:r>
      <w:r w:rsidRPr="003C78DF">
        <w:rPr>
          <w:rFonts w:ascii="Times New Roman" w:eastAsia="Calibri" w:hAnsi="Times New Roman" w:cs="Times New Roman"/>
          <w:sz w:val="28"/>
          <w:szCs w:val="28"/>
        </w:rPr>
        <w:t>&lt;0,</w:t>
      </w:r>
      <w:r w:rsidRPr="00A922D3">
        <w:rPr>
          <w:rFonts w:ascii="Times New Roman" w:eastAsia="Calibri" w:hAnsi="Times New Roman" w:cs="Times New Roman"/>
          <w:sz w:val="28"/>
          <w:szCs w:val="28"/>
        </w:rPr>
        <w:t>00</w:t>
      </w:r>
      <w:r w:rsidR="00472278" w:rsidRPr="00A922D3">
        <w:rPr>
          <w:rFonts w:ascii="Times New Roman" w:eastAsia="Calibri" w:hAnsi="Times New Roman" w:cs="Times New Roman"/>
          <w:sz w:val="28"/>
          <w:szCs w:val="28"/>
        </w:rPr>
        <w:t>00</w:t>
      </w:r>
      <w:r w:rsidRPr="00A922D3">
        <w:rPr>
          <w:rFonts w:ascii="Times New Roman" w:eastAsia="Calibri" w:hAnsi="Times New Roman" w:cs="Times New Roman"/>
          <w:sz w:val="28"/>
          <w:szCs w:val="28"/>
        </w:rPr>
        <w:t>1). Слабую положительную корреляционную связь общий балл тяжести симптомов имел с показателями sIgE nAmb a1 (</w:t>
      </w:r>
      <w:r w:rsidRPr="00A922D3">
        <w:rPr>
          <w:rFonts w:ascii="Times New Roman" w:eastAsia="Calibri" w:hAnsi="Times New Roman" w:cs="Times New Roman"/>
          <w:sz w:val="28"/>
          <w:szCs w:val="28"/>
          <w:lang w:val="en-US"/>
        </w:rPr>
        <w:t>r</w:t>
      </w:r>
      <w:r w:rsidR="00EF0AF1" w:rsidRPr="00A922D3">
        <w:rPr>
          <w:rFonts w:ascii="Times New Roman" w:eastAsia="Calibri" w:hAnsi="Times New Roman" w:cs="Times New Roman"/>
          <w:sz w:val="28"/>
          <w:szCs w:val="28"/>
        </w:rPr>
        <w:t>=0,4</w:t>
      </w:r>
      <w:r w:rsidR="007777E8" w:rsidRPr="00A922D3">
        <w:rPr>
          <w:rFonts w:ascii="Times New Roman" w:eastAsia="Calibri" w:hAnsi="Times New Roman" w:cs="Times New Roman"/>
          <w:sz w:val="28"/>
          <w:szCs w:val="28"/>
        </w:rPr>
        <w:t>;</w:t>
      </w:r>
      <w:r w:rsidR="00EF0AF1" w:rsidRPr="00A922D3">
        <w:rPr>
          <w:rFonts w:ascii="Times New Roman" w:eastAsia="Calibri" w:hAnsi="Times New Roman" w:cs="Times New Roman"/>
          <w:sz w:val="28"/>
          <w:szCs w:val="28"/>
        </w:rPr>
        <w:t xml:space="preserve"> р=0,1</w:t>
      </w:r>
      <w:r w:rsidR="00D253F1" w:rsidRPr="00A922D3">
        <w:rPr>
          <w:rFonts w:ascii="Times New Roman" w:eastAsia="Calibri" w:hAnsi="Times New Roman" w:cs="Times New Roman"/>
          <w:sz w:val="28"/>
          <w:szCs w:val="28"/>
        </w:rPr>
        <w:t>066</w:t>
      </w:r>
      <w:r w:rsidRPr="00A922D3">
        <w:rPr>
          <w:rFonts w:ascii="Times New Roman" w:eastAsia="Calibri" w:hAnsi="Times New Roman" w:cs="Times New Roman"/>
          <w:sz w:val="28"/>
          <w:szCs w:val="28"/>
        </w:rPr>
        <w:t>) (</w:t>
      </w:r>
      <w:r w:rsidR="00F16D8C" w:rsidRPr="00A922D3">
        <w:rPr>
          <w:rFonts w:ascii="Times New Roman" w:eastAsia="Calibri" w:hAnsi="Times New Roman" w:cs="Times New Roman"/>
          <w:sz w:val="28"/>
          <w:szCs w:val="28"/>
        </w:rPr>
        <w:t>таблица 1</w:t>
      </w:r>
      <w:r w:rsidR="004B10A7">
        <w:rPr>
          <w:rFonts w:ascii="Times New Roman" w:eastAsia="Calibri" w:hAnsi="Times New Roman" w:cs="Times New Roman"/>
          <w:sz w:val="28"/>
          <w:szCs w:val="28"/>
        </w:rPr>
        <w:t>7</w:t>
      </w:r>
      <w:r w:rsidRPr="00A922D3">
        <w:rPr>
          <w:rFonts w:ascii="Times New Roman" w:eastAsia="Calibri" w:hAnsi="Times New Roman" w:cs="Times New Roman"/>
          <w:sz w:val="28"/>
          <w:szCs w:val="28"/>
        </w:rPr>
        <w:t>).</w:t>
      </w:r>
    </w:p>
    <w:p w14:paraId="01D5ABDE" w14:textId="77777777" w:rsidR="00437528" w:rsidRPr="00437528" w:rsidRDefault="00437528" w:rsidP="00E53683">
      <w:pPr>
        <w:spacing w:after="0" w:line="240" w:lineRule="auto"/>
        <w:ind w:firstLine="567"/>
        <w:jc w:val="both"/>
        <w:rPr>
          <w:rFonts w:ascii="Times New Roman" w:eastAsia="Calibri" w:hAnsi="Times New Roman" w:cs="Times New Roman"/>
          <w:sz w:val="28"/>
          <w:szCs w:val="28"/>
        </w:rPr>
      </w:pPr>
    </w:p>
    <w:p w14:paraId="7D2F13E6" w14:textId="03FEB348" w:rsidR="00437528" w:rsidRPr="00437528" w:rsidRDefault="00F16D8C" w:rsidP="003E7AF4">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Таблица 1</w:t>
      </w:r>
      <w:r w:rsidR="004B10A7">
        <w:rPr>
          <w:rFonts w:ascii="Times New Roman" w:eastAsia="Calibri" w:hAnsi="Times New Roman" w:cs="Times New Roman"/>
          <w:sz w:val="28"/>
          <w:szCs w:val="28"/>
        </w:rPr>
        <w:t>7</w:t>
      </w:r>
      <w:r w:rsidR="00437528" w:rsidRPr="00437528">
        <w:rPr>
          <w:rFonts w:ascii="Times New Roman" w:eastAsia="Calibri" w:hAnsi="Times New Roman" w:cs="Times New Roman"/>
          <w:sz w:val="28"/>
          <w:szCs w:val="28"/>
        </w:rPr>
        <w:t xml:space="preserve"> – Корреляционный анализ лабораторных показателей с общим баллом тяжести симптомов и качества жизни в группе вмешательства (АСИТ + витамин Д) (р&lt;0,05)</w:t>
      </w:r>
    </w:p>
    <w:p w14:paraId="121B5DDD" w14:textId="77777777" w:rsidR="00437528" w:rsidRPr="00437528" w:rsidRDefault="00437528" w:rsidP="00E53683">
      <w:pPr>
        <w:spacing w:after="0" w:line="240" w:lineRule="auto"/>
        <w:ind w:firstLine="567"/>
        <w:jc w:val="both"/>
        <w:rPr>
          <w:rFonts w:ascii="Times New Roman" w:eastAsia="Calibri" w:hAnsi="Times New Roman" w:cs="Times New Roman"/>
          <w:sz w:val="28"/>
          <w:szCs w:val="28"/>
        </w:rPr>
      </w:pPr>
    </w:p>
    <w:tbl>
      <w:tblPr>
        <w:tblStyle w:val="41"/>
        <w:tblW w:w="0" w:type="auto"/>
        <w:tblInd w:w="0" w:type="dxa"/>
        <w:tblLook w:val="04A0" w:firstRow="1" w:lastRow="0" w:firstColumn="1" w:lastColumn="0" w:noHBand="0" w:noVBand="1"/>
      </w:tblPr>
      <w:tblGrid>
        <w:gridCol w:w="2261"/>
        <w:gridCol w:w="1677"/>
        <w:gridCol w:w="1678"/>
        <w:gridCol w:w="1796"/>
        <w:gridCol w:w="1797"/>
      </w:tblGrid>
      <w:tr w:rsidR="00D86089" w:rsidRPr="00E53683" w14:paraId="7A06CEE6" w14:textId="06E976E0" w:rsidTr="00091BCD">
        <w:trPr>
          <w:trHeight w:val="515"/>
        </w:trPr>
        <w:tc>
          <w:tcPr>
            <w:tcW w:w="2261" w:type="dxa"/>
            <w:vMerge w:val="restart"/>
          </w:tcPr>
          <w:p w14:paraId="3EECA2B4" w14:textId="77777777" w:rsidR="00D86089" w:rsidRPr="003C78DF" w:rsidRDefault="00D86089" w:rsidP="00E53683">
            <w:pPr>
              <w:jc w:val="both"/>
              <w:rPr>
                <w:rFonts w:ascii="Times New Roman" w:hAnsi="Times New Roman"/>
                <w:sz w:val="28"/>
                <w:szCs w:val="28"/>
              </w:rPr>
            </w:pPr>
            <w:r w:rsidRPr="003C78DF">
              <w:rPr>
                <w:rFonts w:ascii="Times New Roman" w:hAnsi="Times New Roman"/>
                <w:sz w:val="28"/>
                <w:szCs w:val="28"/>
              </w:rPr>
              <w:t>Базовые уровни лабораторных показателей</w:t>
            </w:r>
          </w:p>
        </w:tc>
        <w:tc>
          <w:tcPr>
            <w:tcW w:w="3355" w:type="dxa"/>
            <w:gridSpan w:val="2"/>
          </w:tcPr>
          <w:p w14:paraId="29A4C6C2" w14:textId="1B749177" w:rsidR="00D86089" w:rsidRPr="003C78DF" w:rsidRDefault="00D86089" w:rsidP="00E533F1">
            <w:pPr>
              <w:jc w:val="both"/>
              <w:rPr>
                <w:rFonts w:ascii="Times New Roman" w:hAnsi="Times New Roman"/>
                <w:sz w:val="28"/>
                <w:szCs w:val="28"/>
              </w:rPr>
            </w:pPr>
            <w:r w:rsidRPr="003C78DF">
              <w:rPr>
                <w:rFonts w:ascii="Times New Roman" w:hAnsi="Times New Roman"/>
                <w:sz w:val="28"/>
                <w:szCs w:val="28"/>
              </w:rPr>
              <w:t xml:space="preserve">Общий балл тяжести симптомов </w:t>
            </w:r>
          </w:p>
        </w:tc>
        <w:tc>
          <w:tcPr>
            <w:tcW w:w="3593" w:type="dxa"/>
            <w:gridSpan w:val="2"/>
          </w:tcPr>
          <w:p w14:paraId="67E8EB95" w14:textId="2F8F262C" w:rsidR="00D86089" w:rsidRPr="003C78DF" w:rsidRDefault="00D86089" w:rsidP="00E53683">
            <w:pPr>
              <w:jc w:val="both"/>
              <w:rPr>
                <w:rFonts w:ascii="Times New Roman" w:hAnsi="Times New Roman"/>
                <w:sz w:val="28"/>
                <w:szCs w:val="28"/>
              </w:rPr>
            </w:pPr>
            <w:r w:rsidRPr="003C78DF">
              <w:rPr>
                <w:rFonts w:ascii="Times New Roman" w:hAnsi="Times New Roman"/>
                <w:sz w:val="28"/>
                <w:szCs w:val="28"/>
              </w:rPr>
              <w:t xml:space="preserve">Общий балл качества жизни </w:t>
            </w:r>
          </w:p>
          <w:p w14:paraId="458228D8" w14:textId="29B5DBB3" w:rsidR="00D86089" w:rsidRPr="003C78DF" w:rsidRDefault="00D86089" w:rsidP="00E53683">
            <w:pPr>
              <w:jc w:val="both"/>
              <w:rPr>
                <w:rFonts w:ascii="Times New Roman" w:hAnsi="Times New Roman"/>
                <w:sz w:val="28"/>
                <w:szCs w:val="28"/>
              </w:rPr>
            </w:pPr>
          </w:p>
        </w:tc>
      </w:tr>
      <w:tr w:rsidR="00D86089" w:rsidRPr="00E53683" w14:paraId="06A85AEB" w14:textId="77777777" w:rsidTr="00091BCD">
        <w:trPr>
          <w:trHeight w:val="229"/>
        </w:trPr>
        <w:tc>
          <w:tcPr>
            <w:tcW w:w="2261" w:type="dxa"/>
            <w:vMerge/>
          </w:tcPr>
          <w:p w14:paraId="44FFEC42" w14:textId="77777777" w:rsidR="00D86089" w:rsidRPr="003C78DF" w:rsidRDefault="00D86089" w:rsidP="00E53683">
            <w:pPr>
              <w:jc w:val="both"/>
              <w:rPr>
                <w:rFonts w:ascii="Times New Roman" w:hAnsi="Times New Roman"/>
                <w:sz w:val="28"/>
                <w:szCs w:val="28"/>
              </w:rPr>
            </w:pPr>
          </w:p>
        </w:tc>
        <w:tc>
          <w:tcPr>
            <w:tcW w:w="1677" w:type="dxa"/>
          </w:tcPr>
          <w:p w14:paraId="1D901466" w14:textId="367AD308" w:rsidR="00D86089" w:rsidRPr="003C78DF" w:rsidRDefault="00D86089" w:rsidP="00E53683">
            <w:pPr>
              <w:jc w:val="both"/>
              <w:rPr>
                <w:rFonts w:ascii="Times New Roman" w:hAnsi="Times New Roman"/>
                <w:sz w:val="28"/>
                <w:szCs w:val="28"/>
              </w:rPr>
            </w:pPr>
            <w:r w:rsidRPr="003C78DF">
              <w:rPr>
                <w:rFonts w:ascii="Times New Roman" w:hAnsi="Times New Roman"/>
                <w:sz w:val="28"/>
                <w:szCs w:val="28"/>
                <w:lang w:val="en-US"/>
              </w:rPr>
              <w:t>r</w:t>
            </w:r>
            <w:r w:rsidRPr="003C78DF">
              <w:rPr>
                <w:rFonts w:ascii="Times New Roman" w:hAnsi="Times New Roman"/>
                <w:sz w:val="28"/>
                <w:szCs w:val="28"/>
              </w:rPr>
              <w:t>-</w:t>
            </w:r>
            <w:r w:rsidRPr="003C78DF">
              <w:rPr>
                <w:rFonts w:ascii="Times New Roman" w:hAnsi="Times New Roman"/>
                <w:sz w:val="28"/>
                <w:szCs w:val="28"/>
                <w:lang w:val="en-US"/>
              </w:rPr>
              <w:t>value</w:t>
            </w:r>
          </w:p>
        </w:tc>
        <w:tc>
          <w:tcPr>
            <w:tcW w:w="1678" w:type="dxa"/>
          </w:tcPr>
          <w:p w14:paraId="29176A62" w14:textId="1FF74577" w:rsidR="00D86089" w:rsidRPr="003C78DF" w:rsidRDefault="00D86089" w:rsidP="00E53683">
            <w:pPr>
              <w:jc w:val="both"/>
              <w:rPr>
                <w:rFonts w:ascii="Times New Roman" w:hAnsi="Times New Roman"/>
                <w:sz w:val="28"/>
                <w:szCs w:val="28"/>
              </w:rPr>
            </w:pPr>
            <w:r w:rsidRPr="003C78DF">
              <w:rPr>
                <w:rFonts w:ascii="Times New Roman" w:hAnsi="Times New Roman"/>
                <w:sz w:val="28"/>
                <w:szCs w:val="28"/>
              </w:rPr>
              <w:t>р-</w:t>
            </w:r>
            <w:r w:rsidRPr="003C78DF">
              <w:rPr>
                <w:rFonts w:ascii="Times New Roman" w:hAnsi="Times New Roman"/>
                <w:sz w:val="28"/>
                <w:szCs w:val="28"/>
                <w:lang w:val="en-US"/>
              </w:rPr>
              <w:t>value</w:t>
            </w:r>
          </w:p>
        </w:tc>
        <w:tc>
          <w:tcPr>
            <w:tcW w:w="1796" w:type="dxa"/>
          </w:tcPr>
          <w:p w14:paraId="3FD8AFA9" w14:textId="308C3334" w:rsidR="00D86089" w:rsidRPr="003C78DF" w:rsidRDefault="00D86089" w:rsidP="00E53683">
            <w:pPr>
              <w:jc w:val="both"/>
              <w:rPr>
                <w:rFonts w:ascii="Times New Roman" w:hAnsi="Times New Roman"/>
                <w:sz w:val="28"/>
                <w:szCs w:val="28"/>
              </w:rPr>
            </w:pPr>
            <w:r w:rsidRPr="003C78DF">
              <w:rPr>
                <w:rFonts w:ascii="Times New Roman" w:hAnsi="Times New Roman"/>
                <w:sz w:val="28"/>
                <w:szCs w:val="28"/>
                <w:lang w:val="en-US"/>
              </w:rPr>
              <w:t>r</w:t>
            </w:r>
            <w:r w:rsidRPr="003C78DF">
              <w:rPr>
                <w:rFonts w:ascii="Times New Roman" w:hAnsi="Times New Roman"/>
                <w:sz w:val="28"/>
                <w:szCs w:val="28"/>
              </w:rPr>
              <w:t>-</w:t>
            </w:r>
            <w:r w:rsidRPr="003C78DF">
              <w:rPr>
                <w:rFonts w:ascii="Times New Roman" w:hAnsi="Times New Roman"/>
                <w:sz w:val="28"/>
                <w:szCs w:val="28"/>
                <w:lang w:val="en-US"/>
              </w:rPr>
              <w:t>value</w:t>
            </w:r>
          </w:p>
        </w:tc>
        <w:tc>
          <w:tcPr>
            <w:tcW w:w="1797" w:type="dxa"/>
          </w:tcPr>
          <w:p w14:paraId="2978497F" w14:textId="1FA622B8" w:rsidR="00D86089" w:rsidRPr="003C78DF" w:rsidRDefault="00D86089" w:rsidP="00E53683">
            <w:pPr>
              <w:jc w:val="both"/>
              <w:rPr>
                <w:rFonts w:ascii="Times New Roman" w:hAnsi="Times New Roman"/>
                <w:sz w:val="28"/>
                <w:szCs w:val="28"/>
              </w:rPr>
            </w:pPr>
            <w:r w:rsidRPr="003C78DF">
              <w:rPr>
                <w:rFonts w:ascii="Times New Roman" w:hAnsi="Times New Roman"/>
                <w:sz w:val="28"/>
                <w:szCs w:val="28"/>
              </w:rPr>
              <w:t>р-</w:t>
            </w:r>
            <w:r w:rsidRPr="003C78DF">
              <w:rPr>
                <w:rFonts w:ascii="Times New Roman" w:hAnsi="Times New Roman"/>
                <w:sz w:val="28"/>
                <w:szCs w:val="28"/>
                <w:lang w:val="en-US"/>
              </w:rPr>
              <w:t>value</w:t>
            </w:r>
          </w:p>
        </w:tc>
      </w:tr>
      <w:tr w:rsidR="002128C6" w:rsidRPr="00E53683" w14:paraId="2661F004" w14:textId="2D65CC86" w:rsidTr="00D86089">
        <w:tc>
          <w:tcPr>
            <w:tcW w:w="2261" w:type="dxa"/>
          </w:tcPr>
          <w:p w14:paraId="723C4A02" w14:textId="77777777"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rPr>
              <w:t>Витамин Д</w:t>
            </w:r>
          </w:p>
        </w:tc>
        <w:tc>
          <w:tcPr>
            <w:tcW w:w="1677" w:type="dxa"/>
          </w:tcPr>
          <w:p w14:paraId="0DF023B1" w14:textId="77840F0F"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rPr>
              <w:t>-0,8</w:t>
            </w:r>
          </w:p>
        </w:tc>
        <w:tc>
          <w:tcPr>
            <w:tcW w:w="1678" w:type="dxa"/>
          </w:tcPr>
          <w:p w14:paraId="428AA263" w14:textId="6F3EBC57"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lang w:val="en-US"/>
              </w:rPr>
              <w:t>0,00000</w:t>
            </w:r>
          </w:p>
        </w:tc>
        <w:tc>
          <w:tcPr>
            <w:tcW w:w="1796" w:type="dxa"/>
          </w:tcPr>
          <w:p w14:paraId="5096059B" w14:textId="3169CA82"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rPr>
              <w:t>-0,8</w:t>
            </w:r>
          </w:p>
        </w:tc>
        <w:tc>
          <w:tcPr>
            <w:tcW w:w="1797" w:type="dxa"/>
          </w:tcPr>
          <w:p w14:paraId="3563F34B" w14:textId="3579B7BB"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lang w:val="en-US"/>
              </w:rPr>
              <w:t>0,00000</w:t>
            </w:r>
          </w:p>
        </w:tc>
      </w:tr>
      <w:tr w:rsidR="002128C6" w:rsidRPr="00E53683" w14:paraId="624CA939" w14:textId="56794A14" w:rsidTr="00D86089">
        <w:tc>
          <w:tcPr>
            <w:tcW w:w="2261" w:type="dxa"/>
          </w:tcPr>
          <w:p w14:paraId="164181BA" w14:textId="77777777"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rPr>
              <w:t>Общий ИГЕ</w:t>
            </w:r>
          </w:p>
        </w:tc>
        <w:tc>
          <w:tcPr>
            <w:tcW w:w="1677" w:type="dxa"/>
          </w:tcPr>
          <w:p w14:paraId="6A1A7FDB" w14:textId="3CDB2C1A"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rPr>
              <w:t>0,9</w:t>
            </w:r>
          </w:p>
        </w:tc>
        <w:tc>
          <w:tcPr>
            <w:tcW w:w="1678" w:type="dxa"/>
          </w:tcPr>
          <w:p w14:paraId="04AAAC67" w14:textId="659D69BF"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lang w:val="en-US"/>
              </w:rPr>
              <w:t>0,00000</w:t>
            </w:r>
          </w:p>
        </w:tc>
        <w:tc>
          <w:tcPr>
            <w:tcW w:w="1796" w:type="dxa"/>
          </w:tcPr>
          <w:p w14:paraId="15A7D2BF" w14:textId="5B847C8A"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rPr>
              <w:t>0,9</w:t>
            </w:r>
          </w:p>
        </w:tc>
        <w:tc>
          <w:tcPr>
            <w:tcW w:w="1797" w:type="dxa"/>
          </w:tcPr>
          <w:p w14:paraId="061BC633" w14:textId="728D8BF7"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lang w:val="en-US"/>
              </w:rPr>
              <w:t>0,00000</w:t>
            </w:r>
          </w:p>
        </w:tc>
      </w:tr>
      <w:tr w:rsidR="002128C6" w:rsidRPr="00E53683" w14:paraId="3BC81A02" w14:textId="728F3956" w:rsidTr="00D86089">
        <w:tc>
          <w:tcPr>
            <w:tcW w:w="2261" w:type="dxa"/>
          </w:tcPr>
          <w:p w14:paraId="3204E69F" w14:textId="77777777"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rPr>
              <w:t>Эозинофильный катионный белок</w:t>
            </w:r>
          </w:p>
        </w:tc>
        <w:tc>
          <w:tcPr>
            <w:tcW w:w="1677" w:type="dxa"/>
          </w:tcPr>
          <w:p w14:paraId="01101F5B" w14:textId="4120A3A3"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rPr>
              <w:t>0,8</w:t>
            </w:r>
          </w:p>
        </w:tc>
        <w:tc>
          <w:tcPr>
            <w:tcW w:w="1678" w:type="dxa"/>
          </w:tcPr>
          <w:p w14:paraId="207368BC" w14:textId="53E1C96A"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lang w:val="en-US"/>
              </w:rPr>
              <w:t>0,00000</w:t>
            </w:r>
          </w:p>
        </w:tc>
        <w:tc>
          <w:tcPr>
            <w:tcW w:w="1796" w:type="dxa"/>
          </w:tcPr>
          <w:p w14:paraId="628FA55F" w14:textId="22A49EF9"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rPr>
              <w:t>0,8</w:t>
            </w:r>
          </w:p>
        </w:tc>
        <w:tc>
          <w:tcPr>
            <w:tcW w:w="1797" w:type="dxa"/>
          </w:tcPr>
          <w:p w14:paraId="7B979BE3" w14:textId="4DF357B0" w:rsidR="002128C6" w:rsidRPr="00CC68AE" w:rsidRDefault="002128C6" w:rsidP="00CC68AE">
            <w:pPr>
              <w:jc w:val="both"/>
              <w:rPr>
                <w:rFonts w:ascii="Times New Roman" w:hAnsi="Times New Roman"/>
                <w:sz w:val="28"/>
                <w:szCs w:val="28"/>
              </w:rPr>
            </w:pPr>
            <w:r w:rsidRPr="003C78DF">
              <w:rPr>
                <w:rFonts w:ascii="Times New Roman" w:hAnsi="Times New Roman"/>
                <w:sz w:val="28"/>
                <w:szCs w:val="28"/>
                <w:lang w:val="en-US"/>
              </w:rPr>
              <w:t>0,000</w:t>
            </w:r>
            <w:r w:rsidR="00B0464B">
              <w:rPr>
                <w:rFonts w:ascii="Times New Roman" w:hAnsi="Times New Roman"/>
                <w:sz w:val="28"/>
                <w:szCs w:val="28"/>
              </w:rPr>
              <w:t>00</w:t>
            </w:r>
          </w:p>
        </w:tc>
      </w:tr>
      <w:tr w:rsidR="002128C6" w:rsidRPr="00E53683" w14:paraId="5CE4EF3A" w14:textId="02445937" w:rsidTr="00D86089">
        <w:tc>
          <w:tcPr>
            <w:tcW w:w="2261" w:type="dxa"/>
          </w:tcPr>
          <w:p w14:paraId="069AA4A2" w14:textId="77777777"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rPr>
              <w:t>sIgE rPhlp1</w:t>
            </w:r>
          </w:p>
        </w:tc>
        <w:tc>
          <w:tcPr>
            <w:tcW w:w="1677" w:type="dxa"/>
          </w:tcPr>
          <w:p w14:paraId="75AA8F86" w14:textId="77777777"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rPr>
              <w:t>0,7</w:t>
            </w:r>
          </w:p>
        </w:tc>
        <w:tc>
          <w:tcPr>
            <w:tcW w:w="1678" w:type="dxa"/>
          </w:tcPr>
          <w:p w14:paraId="55928E46" w14:textId="349201BD"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lang w:val="en-US"/>
              </w:rPr>
              <w:t>0,0008</w:t>
            </w:r>
          </w:p>
        </w:tc>
        <w:tc>
          <w:tcPr>
            <w:tcW w:w="1796" w:type="dxa"/>
          </w:tcPr>
          <w:p w14:paraId="2B50FC1F" w14:textId="0685C992"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rPr>
              <w:t>0,7</w:t>
            </w:r>
          </w:p>
        </w:tc>
        <w:tc>
          <w:tcPr>
            <w:tcW w:w="1797" w:type="dxa"/>
          </w:tcPr>
          <w:p w14:paraId="131F4F4D" w14:textId="103EAABC" w:rsidR="002128C6" w:rsidRPr="003C78DF" w:rsidRDefault="00B0464B" w:rsidP="002128C6">
            <w:pPr>
              <w:jc w:val="both"/>
              <w:rPr>
                <w:rFonts w:ascii="Times New Roman" w:hAnsi="Times New Roman"/>
                <w:sz w:val="28"/>
                <w:szCs w:val="28"/>
              </w:rPr>
            </w:pPr>
            <w:r>
              <w:rPr>
                <w:rFonts w:ascii="Times New Roman" w:hAnsi="Times New Roman"/>
                <w:sz w:val="28"/>
                <w:szCs w:val="28"/>
                <w:lang w:val="en-US"/>
              </w:rPr>
              <w:t>0,0003</w:t>
            </w:r>
          </w:p>
        </w:tc>
      </w:tr>
      <w:tr w:rsidR="002128C6" w:rsidRPr="00E53683" w14:paraId="5D50DFA8" w14:textId="3331F8EB" w:rsidTr="00D86089">
        <w:tc>
          <w:tcPr>
            <w:tcW w:w="2261" w:type="dxa"/>
          </w:tcPr>
          <w:p w14:paraId="55BA663A" w14:textId="77777777"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lang w:val="en-US"/>
              </w:rPr>
              <w:t>sIgE</w:t>
            </w:r>
            <w:r w:rsidRPr="003C78DF">
              <w:rPr>
                <w:rFonts w:ascii="Times New Roman" w:hAnsi="Times New Roman"/>
                <w:sz w:val="28"/>
                <w:szCs w:val="28"/>
              </w:rPr>
              <w:t xml:space="preserve"> </w:t>
            </w:r>
            <w:r w:rsidRPr="003C78DF">
              <w:rPr>
                <w:rFonts w:ascii="Times New Roman" w:hAnsi="Times New Roman"/>
                <w:sz w:val="28"/>
                <w:szCs w:val="28"/>
                <w:lang w:val="en-US"/>
              </w:rPr>
              <w:t>rPhlp</w:t>
            </w:r>
            <w:r w:rsidRPr="003C78DF">
              <w:rPr>
                <w:rFonts w:ascii="Times New Roman" w:hAnsi="Times New Roman"/>
                <w:sz w:val="28"/>
                <w:szCs w:val="28"/>
              </w:rPr>
              <w:t>5</w:t>
            </w:r>
          </w:p>
        </w:tc>
        <w:tc>
          <w:tcPr>
            <w:tcW w:w="1677" w:type="dxa"/>
          </w:tcPr>
          <w:p w14:paraId="6AF096F5" w14:textId="77777777"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rPr>
              <w:t>0,7</w:t>
            </w:r>
          </w:p>
        </w:tc>
        <w:tc>
          <w:tcPr>
            <w:tcW w:w="1678" w:type="dxa"/>
          </w:tcPr>
          <w:p w14:paraId="417F7DEA" w14:textId="2F630C6A"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lang w:val="en-US"/>
              </w:rPr>
              <w:t>0,1428</w:t>
            </w:r>
          </w:p>
        </w:tc>
        <w:tc>
          <w:tcPr>
            <w:tcW w:w="1796" w:type="dxa"/>
          </w:tcPr>
          <w:p w14:paraId="2ADC37AE" w14:textId="47BA7D9D" w:rsidR="002128C6" w:rsidRPr="003C78DF" w:rsidRDefault="002128C6" w:rsidP="00CC68AE">
            <w:pPr>
              <w:jc w:val="both"/>
              <w:rPr>
                <w:rFonts w:ascii="Times New Roman" w:hAnsi="Times New Roman"/>
                <w:sz w:val="28"/>
                <w:szCs w:val="28"/>
              </w:rPr>
            </w:pPr>
            <w:r w:rsidRPr="003C78DF">
              <w:rPr>
                <w:rFonts w:ascii="Times New Roman" w:hAnsi="Times New Roman"/>
                <w:sz w:val="28"/>
                <w:szCs w:val="28"/>
              </w:rPr>
              <w:t>0,</w:t>
            </w:r>
            <w:r w:rsidR="00CC68AE">
              <w:rPr>
                <w:rFonts w:ascii="Times New Roman" w:hAnsi="Times New Roman"/>
                <w:sz w:val="28"/>
                <w:szCs w:val="28"/>
              </w:rPr>
              <w:t>8</w:t>
            </w:r>
          </w:p>
        </w:tc>
        <w:tc>
          <w:tcPr>
            <w:tcW w:w="1797" w:type="dxa"/>
          </w:tcPr>
          <w:p w14:paraId="1F2725D7" w14:textId="1F0CA472" w:rsidR="002128C6" w:rsidRPr="00CC68AE" w:rsidRDefault="00466A55" w:rsidP="00CC68AE">
            <w:pPr>
              <w:jc w:val="both"/>
              <w:rPr>
                <w:rFonts w:ascii="Times New Roman" w:hAnsi="Times New Roman"/>
                <w:sz w:val="28"/>
                <w:szCs w:val="28"/>
              </w:rPr>
            </w:pPr>
            <w:r w:rsidRPr="00466A55">
              <w:rPr>
                <w:rFonts w:ascii="Times New Roman" w:hAnsi="Times New Roman"/>
                <w:sz w:val="28"/>
                <w:szCs w:val="28"/>
                <w:lang w:val="en-US"/>
              </w:rPr>
              <w:t>0,</w:t>
            </w:r>
            <w:r w:rsidR="00CC68AE">
              <w:rPr>
                <w:rFonts w:ascii="Times New Roman" w:hAnsi="Times New Roman"/>
                <w:sz w:val="28"/>
                <w:szCs w:val="28"/>
              </w:rPr>
              <w:t>0499</w:t>
            </w:r>
          </w:p>
        </w:tc>
      </w:tr>
      <w:tr w:rsidR="002128C6" w:rsidRPr="00E53683" w14:paraId="3680DA10" w14:textId="3BE3741C" w:rsidTr="00D86089">
        <w:tc>
          <w:tcPr>
            <w:tcW w:w="2261" w:type="dxa"/>
          </w:tcPr>
          <w:p w14:paraId="02A11AE2" w14:textId="77777777"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lang w:val="en-US"/>
              </w:rPr>
              <w:t>sIgE</w:t>
            </w:r>
            <w:r w:rsidRPr="003C78DF">
              <w:rPr>
                <w:rFonts w:ascii="Times New Roman" w:hAnsi="Times New Roman"/>
                <w:sz w:val="28"/>
                <w:szCs w:val="28"/>
              </w:rPr>
              <w:t xml:space="preserve"> </w:t>
            </w:r>
            <w:r w:rsidRPr="003C78DF">
              <w:rPr>
                <w:rFonts w:ascii="Times New Roman" w:hAnsi="Times New Roman"/>
                <w:sz w:val="28"/>
                <w:szCs w:val="28"/>
                <w:lang w:val="en-US"/>
              </w:rPr>
              <w:t>rBet</w:t>
            </w:r>
            <w:r w:rsidRPr="003C78DF">
              <w:rPr>
                <w:rFonts w:ascii="Times New Roman" w:hAnsi="Times New Roman"/>
                <w:sz w:val="28"/>
                <w:szCs w:val="28"/>
              </w:rPr>
              <w:t xml:space="preserve"> </w:t>
            </w:r>
            <w:r w:rsidRPr="003C78DF">
              <w:rPr>
                <w:rFonts w:ascii="Times New Roman" w:hAnsi="Times New Roman"/>
                <w:sz w:val="28"/>
                <w:szCs w:val="28"/>
                <w:lang w:val="en-US"/>
              </w:rPr>
              <w:t>v</w:t>
            </w:r>
            <w:r w:rsidRPr="003C78DF">
              <w:rPr>
                <w:rFonts w:ascii="Times New Roman" w:hAnsi="Times New Roman"/>
                <w:sz w:val="28"/>
                <w:szCs w:val="28"/>
              </w:rPr>
              <w:t>1</w:t>
            </w:r>
          </w:p>
        </w:tc>
        <w:tc>
          <w:tcPr>
            <w:tcW w:w="1677" w:type="dxa"/>
          </w:tcPr>
          <w:p w14:paraId="79910453" w14:textId="4AB5B0F9"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rPr>
              <w:t>0,7</w:t>
            </w:r>
          </w:p>
        </w:tc>
        <w:tc>
          <w:tcPr>
            <w:tcW w:w="1678" w:type="dxa"/>
          </w:tcPr>
          <w:p w14:paraId="690C6DFC" w14:textId="5E1010A7"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lang w:val="en-US"/>
              </w:rPr>
              <w:t>0,1866</w:t>
            </w:r>
          </w:p>
        </w:tc>
        <w:tc>
          <w:tcPr>
            <w:tcW w:w="1796" w:type="dxa"/>
          </w:tcPr>
          <w:p w14:paraId="4B5FD525" w14:textId="530E5CD6"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rPr>
              <w:t>0,7</w:t>
            </w:r>
          </w:p>
        </w:tc>
        <w:tc>
          <w:tcPr>
            <w:tcW w:w="1797" w:type="dxa"/>
          </w:tcPr>
          <w:p w14:paraId="1FEA2932" w14:textId="70045813" w:rsidR="002128C6" w:rsidRPr="00CC68AE" w:rsidRDefault="00466A55" w:rsidP="00CC68AE">
            <w:pPr>
              <w:jc w:val="both"/>
              <w:rPr>
                <w:rFonts w:ascii="Times New Roman" w:hAnsi="Times New Roman"/>
                <w:sz w:val="28"/>
                <w:szCs w:val="28"/>
              </w:rPr>
            </w:pPr>
            <w:r w:rsidRPr="00466A55">
              <w:rPr>
                <w:rFonts w:ascii="Times New Roman" w:hAnsi="Times New Roman"/>
                <w:sz w:val="28"/>
                <w:szCs w:val="28"/>
                <w:lang w:val="en-US"/>
              </w:rPr>
              <w:t>0,1</w:t>
            </w:r>
            <w:r w:rsidR="00CC68AE">
              <w:rPr>
                <w:rFonts w:ascii="Times New Roman" w:hAnsi="Times New Roman"/>
                <w:sz w:val="28"/>
                <w:szCs w:val="28"/>
              </w:rPr>
              <w:t>910</w:t>
            </w:r>
          </w:p>
        </w:tc>
      </w:tr>
      <w:tr w:rsidR="002128C6" w:rsidRPr="00E53683" w14:paraId="721B40E4" w14:textId="753B2087" w:rsidTr="00D86089">
        <w:tc>
          <w:tcPr>
            <w:tcW w:w="2261" w:type="dxa"/>
          </w:tcPr>
          <w:p w14:paraId="083A67B1" w14:textId="77777777"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lang w:val="en-US"/>
              </w:rPr>
              <w:t>sIgE</w:t>
            </w:r>
            <w:r w:rsidRPr="003C78DF">
              <w:rPr>
                <w:rFonts w:ascii="Times New Roman" w:hAnsi="Times New Roman"/>
                <w:sz w:val="28"/>
                <w:szCs w:val="28"/>
              </w:rPr>
              <w:t xml:space="preserve"> </w:t>
            </w:r>
            <w:r w:rsidRPr="003C78DF">
              <w:rPr>
                <w:rFonts w:ascii="Times New Roman" w:hAnsi="Times New Roman"/>
                <w:sz w:val="28"/>
                <w:szCs w:val="28"/>
                <w:lang w:val="en-US"/>
              </w:rPr>
              <w:t>nArt</w:t>
            </w:r>
            <w:r w:rsidRPr="003C78DF">
              <w:rPr>
                <w:rFonts w:ascii="Times New Roman" w:hAnsi="Times New Roman"/>
                <w:sz w:val="28"/>
                <w:szCs w:val="28"/>
              </w:rPr>
              <w:t xml:space="preserve"> </w:t>
            </w:r>
            <w:r w:rsidRPr="003C78DF">
              <w:rPr>
                <w:rFonts w:ascii="Times New Roman" w:hAnsi="Times New Roman"/>
                <w:sz w:val="28"/>
                <w:szCs w:val="28"/>
                <w:lang w:val="en-US"/>
              </w:rPr>
              <w:t>v</w:t>
            </w:r>
            <w:r w:rsidRPr="003C78DF">
              <w:rPr>
                <w:rFonts w:ascii="Times New Roman" w:hAnsi="Times New Roman"/>
                <w:sz w:val="28"/>
                <w:szCs w:val="28"/>
              </w:rPr>
              <w:t>1</w:t>
            </w:r>
          </w:p>
        </w:tc>
        <w:tc>
          <w:tcPr>
            <w:tcW w:w="1677" w:type="dxa"/>
          </w:tcPr>
          <w:p w14:paraId="43A8968A" w14:textId="77777777"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rPr>
              <w:t>0,7</w:t>
            </w:r>
          </w:p>
        </w:tc>
        <w:tc>
          <w:tcPr>
            <w:tcW w:w="1678" w:type="dxa"/>
          </w:tcPr>
          <w:p w14:paraId="7A96FF2B" w14:textId="7B99275E"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lang w:val="en-US"/>
              </w:rPr>
              <w:t>0,00001</w:t>
            </w:r>
          </w:p>
        </w:tc>
        <w:tc>
          <w:tcPr>
            <w:tcW w:w="1796" w:type="dxa"/>
          </w:tcPr>
          <w:p w14:paraId="35A4108A" w14:textId="1CE43A23"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rPr>
              <w:t>0,7</w:t>
            </w:r>
          </w:p>
        </w:tc>
        <w:tc>
          <w:tcPr>
            <w:tcW w:w="1797" w:type="dxa"/>
          </w:tcPr>
          <w:p w14:paraId="785BD22D" w14:textId="351CAA5E" w:rsidR="002128C6" w:rsidRPr="003C78DF" w:rsidRDefault="00466A55" w:rsidP="002128C6">
            <w:pPr>
              <w:jc w:val="both"/>
              <w:rPr>
                <w:rFonts w:ascii="Times New Roman" w:hAnsi="Times New Roman"/>
                <w:sz w:val="28"/>
                <w:szCs w:val="28"/>
              </w:rPr>
            </w:pPr>
            <w:r w:rsidRPr="00466A55">
              <w:rPr>
                <w:rFonts w:ascii="Times New Roman" w:hAnsi="Times New Roman"/>
                <w:sz w:val="28"/>
                <w:szCs w:val="28"/>
                <w:lang w:val="en-US"/>
              </w:rPr>
              <w:t>0,00001</w:t>
            </w:r>
          </w:p>
        </w:tc>
      </w:tr>
      <w:tr w:rsidR="002128C6" w:rsidRPr="00E53683" w14:paraId="7FB60643" w14:textId="759B015B" w:rsidTr="00D86089">
        <w:tc>
          <w:tcPr>
            <w:tcW w:w="2261" w:type="dxa"/>
          </w:tcPr>
          <w:p w14:paraId="1A9564F7" w14:textId="77777777" w:rsidR="002128C6" w:rsidRPr="003C78DF" w:rsidRDefault="002128C6" w:rsidP="002128C6">
            <w:pPr>
              <w:jc w:val="both"/>
              <w:rPr>
                <w:rFonts w:ascii="Times New Roman" w:hAnsi="Times New Roman"/>
                <w:sz w:val="28"/>
                <w:szCs w:val="28"/>
                <w:lang w:val="en-US"/>
              </w:rPr>
            </w:pPr>
            <w:r w:rsidRPr="003C78DF">
              <w:rPr>
                <w:rFonts w:ascii="Times New Roman" w:hAnsi="Times New Roman"/>
                <w:sz w:val="28"/>
                <w:szCs w:val="28"/>
              </w:rPr>
              <w:t>sIgE nAmb a1</w:t>
            </w:r>
          </w:p>
        </w:tc>
        <w:tc>
          <w:tcPr>
            <w:tcW w:w="1677" w:type="dxa"/>
          </w:tcPr>
          <w:p w14:paraId="704F0E33" w14:textId="7C7EDDE6"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rPr>
              <w:t>0,4</w:t>
            </w:r>
          </w:p>
        </w:tc>
        <w:tc>
          <w:tcPr>
            <w:tcW w:w="1678" w:type="dxa"/>
          </w:tcPr>
          <w:p w14:paraId="4DA04DBF" w14:textId="4245BD9A"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lang w:val="pt-BR"/>
              </w:rPr>
              <w:t>0,1066</w:t>
            </w:r>
          </w:p>
        </w:tc>
        <w:tc>
          <w:tcPr>
            <w:tcW w:w="1796" w:type="dxa"/>
          </w:tcPr>
          <w:p w14:paraId="23E0BCC1" w14:textId="7D1C8CB4" w:rsidR="002128C6" w:rsidRPr="003C78DF" w:rsidRDefault="002128C6" w:rsidP="002128C6">
            <w:pPr>
              <w:jc w:val="both"/>
              <w:rPr>
                <w:rFonts w:ascii="Times New Roman" w:hAnsi="Times New Roman"/>
                <w:sz w:val="28"/>
                <w:szCs w:val="28"/>
              </w:rPr>
            </w:pPr>
            <w:r w:rsidRPr="003C78DF">
              <w:rPr>
                <w:rFonts w:ascii="Times New Roman" w:hAnsi="Times New Roman"/>
                <w:sz w:val="28"/>
                <w:szCs w:val="28"/>
              </w:rPr>
              <w:t>0,</w:t>
            </w:r>
            <w:r w:rsidR="00CC68AE">
              <w:rPr>
                <w:rFonts w:ascii="Times New Roman" w:hAnsi="Times New Roman"/>
                <w:sz w:val="28"/>
                <w:szCs w:val="28"/>
              </w:rPr>
              <w:t>1</w:t>
            </w:r>
          </w:p>
        </w:tc>
        <w:tc>
          <w:tcPr>
            <w:tcW w:w="1797" w:type="dxa"/>
          </w:tcPr>
          <w:p w14:paraId="568FE762" w14:textId="0E783094" w:rsidR="002128C6" w:rsidRPr="00CC68AE" w:rsidRDefault="00466A55" w:rsidP="00CC68AE">
            <w:pPr>
              <w:jc w:val="both"/>
              <w:rPr>
                <w:rFonts w:ascii="Times New Roman" w:hAnsi="Times New Roman"/>
                <w:sz w:val="28"/>
                <w:szCs w:val="28"/>
              </w:rPr>
            </w:pPr>
            <w:r w:rsidRPr="00466A55">
              <w:rPr>
                <w:rFonts w:ascii="Times New Roman" w:hAnsi="Times New Roman"/>
                <w:sz w:val="28"/>
                <w:szCs w:val="28"/>
                <w:lang w:val="pt-BR"/>
              </w:rPr>
              <w:t>0,</w:t>
            </w:r>
            <w:r w:rsidR="00CC68AE">
              <w:rPr>
                <w:rFonts w:ascii="Times New Roman" w:hAnsi="Times New Roman"/>
                <w:sz w:val="28"/>
                <w:szCs w:val="28"/>
              </w:rPr>
              <w:t>6780</w:t>
            </w:r>
          </w:p>
        </w:tc>
      </w:tr>
    </w:tbl>
    <w:p w14:paraId="051B237E" w14:textId="77777777" w:rsidR="00437528" w:rsidRPr="00437528" w:rsidRDefault="00437528" w:rsidP="00E53683">
      <w:pPr>
        <w:spacing w:after="0" w:line="240" w:lineRule="auto"/>
        <w:ind w:firstLine="567"/>
        <w:jc w:val="both"/>
        <w:rPr>
          <w:rFonts w:ascii="Times New Roman" w:eastAsia="Calibri" w:hAnsi="Times New Roman" w:cs="Times New Roman"/>
          <w:sz w:val="28"/>
          <w:szCs w:val="28"/>
        </w:rPr>
      </w:pPr>
    </w:p>
    <w:p w14:paraId="442A99C0" w14:textId="47291EF0" w:rsidR="00F16D8C" w:rsidRPr="00A922D3" w:rsidRDefault="00F16D8C" w:rsidP="00A06EBD">
      <w:pPr>
        <w:ind w:firstLine="567"/>
        <w:jc w:val="both"/>
        <w:rPr>
          <w:rFonts w:ascii="Times New Roman" w:hAnsi="Times New Roman"/>
          <w:sz w:val="24"/>
          <w:szCs w:val="24"/>
        </w:rPr>
      </w:pPr>
      <w:r w:rsidRPr="00437528">
        <w:rPr>
          <w:rFonts w:ascii="Times New Roman" w:eastAsia="Calibri" w:hAnsi="Times New Roman" w:cs="Times New Roman"/>
          <w:sz w:val="28"/>
          <w:szCs w:val="28"/>
        </w:rPr>
        <w:t xml:space="preserve">Общий балл качества жизни имел </w:t>
      </w:r>
      <w:r w:rsidRPr="003C78DF">
        <w:rPr>
          <w:rFonts w:ascii="Times New Roman" w:eastAsia="Calibri" w:hAnsi="Times New Roman" w:cs="Times New Roman"/>
          <w:sz w:val="28"/>
          <w:szCs w:val="28"/>
        </w:rPr>
        <w:t>сильную отрицательную корреляцию с базовым уровнем витамина Д в крови (</w:t>
      </w:r>
      <w:r w:rsidRPr="003C78DF">
        <w:rPr>
          <w:rFonts w:ascii="Times New Roman" w:eastAsia="Calibri" w:hAnsi="Times New Roman" w:cs="Times New Roman"/>
          <w:sz w:val="28"/>
          <w:szCs w:val="28"/>
          <w:lang w:val="en-US"/>
        </w:rPr>
        <w:t>r</w:t>
      </w:r>
      <w:r w:rsidRPr="003C78DF">
        <w:rPr>
          <w:rFonts w:ascii="Times New Roman" w:eastAsia="Calibri" w:hAnsi="Times New Roman" w:cs="Times New Roman"/>
          <w:sz w:val="28"/>
          <w:szCs w:val="28"/>
        </w:rPr>
        <w:t xml:space="preserve">=-0,8; </w:t>
      </w:r>
      <w:r w:rsidRPr="003C78DF">
        <w:rPr>
          <w:rFonts w:ascii="Times New Roman" w:eastAsia="Calibri" w:hAnsi="Times New Roman" w:cs="Times New Roman"/>
          <w:sz w:val="28"/>
          <w:szCs w:val="28"/>
          <w:lang w:val="en-US"/>
        </w:rPr>
        <w:t>p</w:t>
      </w:r>
      <w:r w:rsidR="00C007A0" w:rsidRPr="003C78DF">
        <w:rPr>
          <w:rFonts w:ascii="Times New Roman" w:eastAsia="Calibri" w:hAnsi="Times New Roman" w:cs="Times New Roman"/>
          <w:sz w:val="28"/>
          <w:szCs w:val="28"/>
        </w:rPr>
        <w:t>&lt;</w:t>
      </w:r>
      <w:r w:rsidR="003C78DF" w:rsidRPr="003C78DF">
        <w:rPr>
          <w:rFonts w:ascii="Times New Roman" w:eastAsia="Calibri" w:hAnsi="Times New Roman" w:cs="Times New Roman"/>
          <w:sz w:val="28"/>
          <w:szCs w:val="28"/>
        </w:rPr>
        <w:t>0,00000</w:t>
      </w:r>
      <w:r w:rsidRPr="003C78DF">
        <w:rPr>
          <w:rFonts w:ascii="Times New Roman" w:eastAsia="Calibri" w:hAnsi="Times New Roman" w:cs="Times New Roman"/>
          <w:sz w:val="28"/>
          <w:szCs w:val="28"/>
        </w:rPr>
        <w:t>). Сильную положительную корреляционную связь общий балл тяжести симптомов имел с показателями общего иммуноглобулина Е (</w:t>
      </w:r>
      <w:r w:rsidRPr="003C78DF">
        <w:rPr>
          <w:rFonts w:ascii="Times New Roman" w:eastAsia="Calibri" w:hAnsi="Times New Roman" w:cs="Times New Roman"/>
          <w:sz w:val="28"/>
          <w:szCs w:val="28"/>
          <w:lang w:val="en-US"/>
        </w:rPr>
        <w:t>r</w:t>
      </w:r>
      <w:r w:rsidR="00C87C03" w:rsidRPr="003C78DF">
        <w:rPr>
          <w:rFonts w:ascii="Times New Roman" w:eastAsia="Calibri" w:hAnsi="Times New Roman" w:cs="Times New Roman"/>
          <w:sz w:val="28"/>
          <w:szCs w:val="28"/>
        </w:rPr>
        <w:t xml:space="preserve">=0,9; </w:t>
      </w:r>
      <w:r w:rsidR="00C87C03" w:rsidRPr="003C78DF">
        <w:rPr>
          <w:rFonts w:ascii="Times New Roman" w:eastAsia="Calibri" w:hAnsi="Times New Roman" w:cs="Times New Roman"/>
          <w:sz w:val="28"/>
          <w:szCs w:val="28"/>
          <w:lang w:val="en-US"/>
        </w:rPr>
        <w:t>p</w:t>
      </w:r>
      <w:r w:rsidR="00C87C03" w:rsidRPr="003C78DF">
        <w:rPr>
          <w:rFonts w:ascii="Times New Roman" w:eastAsia="Calibri" w:hAnsi="Times New Roman" w:cs="Times New Roman"/>
          <w:sz w:val="28"/>
          <w:szCs w:val="28"/>
        </w:rPr>
        <w:t>&lt;</w:t>
      </w:r>
      <w:r w:rsidR="003C78DF" w:rsidRPr="003C78DF">
        <w:rPr>
          <w:rFonts w:ascii="Times New Roman" w:eastAsia="Calibri" w:hAnsi="Times New Roman" w:cs="Times New Roman"/>
          <w:sz w:val="28"/>
          <w:szCs w:val="28"/>
        </w:rPr>
        <w:t>0,00000</w:t>
      </w:r>
      <w:r w:rsidR="00C87C03" w:rsidRPr="003C78DF">
        <w:rPr>
          <w:rFonts w:ascii="Times New Roman" w:eastAsia="Calibri" w:hAnsi="Times New Roman" w:cs="Times New Roman"/>
          <w:sz w:val="28"/>
          <w:szCs w:val="28"/>
        </w:rPr>
        <w:t>)</w:t>
      </w:r>
      <w:r w:rsidRPr="003C78DF">
        <w:rPr>
          <w:rFonts w:ascii="Times New Roman" w:eastAsia="Calibri" w:hAnsi="Times New Roman" w:cs="Times New Roman"/>
          <w:sz w:val="28"/>
          <w:szCs w:val="28"/>
        </w:rPr>
        <w:t xml:space="preserve">, эозинофильного катионного белка </w:t>
      </w:r>
      <w:r w:rsidR="00F70486" w:rsidRPr="003C78DF">
        <w:rPr>
          <w:rFonts w:ascii="Times New Roman" w:eastAsia="Calibri" w:hAnsi="Times New Roman" w:cs="Times New Roman"/>
          <w:sz w:val="28"/>
          <w:szCs w:val="28"/>
        </w:rPr>
        <w:t>(</w:t>
      </w:r>
      <w:r w:rsidR="00F70486" w:rsidRPr="003C78DF">
        <w:rPr>
          <w:rFonts w:ascii="Times New Roman" w:eastAsia="Calibri" w:hAnsi="Times New Roman" w:cs="Times New Roman"/>
          <w:sz w:val="28"/>
          <w:szCs w:val="28"/>
          <w:lang w:val="en-US"/>
        </w:rPr>
        <w:t>r</w:t>
      </w:r>
      <w:r w:rsidR="00F70486" w:rsidRPr="003C78DF">
        <w:rPr>
          <w:rFonts w:ascii="Times New Roman" w:eastAsia="Calibri" w:hAnsi="Times New Roman" w:cs="Times New Roman"/>
          <w:sz w:val="28"/>
          <w:szCs w:val="28"/>
        </w:rPr>
        <w:t xml:space="preserve">=0,8; </w:t>
      </w:r>
      <w:r w:rsidR="00F70486" w:rsidRPr="003C78DF">
        <w:rPr>
          <w:rFonts w:ascii="Times New Roman" w:eastAsia="Calibri" w:hAnsi="Times New Roman" w:cs="Times New Roman"/>
          <w:sz w:val="28"/>
          <w:szCs w:val="28"/>
          <w:lang w:val="en-US"/>
        </w:rPr>
        <w:t>p</w:t>
      </w:r>
      <w:r w:rsidR="00F70486" w:rsidRPr="003C78DF">
        <w:rPr>
          <w:rFonts w:ascii="Times New Roman" w:eastAsia="Calibri" w:hAnsi="Times New Roman" w:cs="Times New Roman"/>
          <w:sz w:val="28"/>
          <w:szCs w:val="28"/>
        </w:rPr>
        <w:t>&lt;</w:t>
      </w:r>
      <w:r w:rsidR="003C78DF" w:rsidRPr="003C78DF">
        <w:rPr>
          <w:rFonts w:ascii="Times New Roman" w:eastAsia="Calibri" w:hAnsi="Times New Roman" w:cs="Times New Roman"/>
          <w:sz w:val="28"/>
          <w:szCs w:val="28"/>
        </w:rPr>
        <w:t>0,00000</w:t>
      </w:r>
      <w:r w:rsidR="00F70486" w:rsidRPr="003C78DF">
        <w:rPr>
          <w:rFonts w:ascii="Times New Roman" w:eastAsia="Calibri" w:hAnsi="Times New Roman" w:cs="Times New Roman"/>
          <w:sz w:val="28"/>
          <w:szCs w:val="28"/>
        </w:rPr>
        <w:t>)</w:t>
      </w:r>
      <w:r w:rsidRPr="003C78DF">
        <w:rPr>
          <w:rFonts w:ascii="Times New Roman" w:eastAsia="Calibri" w:hAnsi="Times New Roman" w:cs="Times New Roman"/>
          <w:sz w:val="28"/>
          <w:szCs w:val="28"/>
        </w:rPr>
        <w:t xml:space="preserve">, </w:t>
      </w:r>
      <w:r w:rsidR="00F70486" w:rsidRPr="003C78DF">
        <w:rPr>
          <w:rFonts w:ascii="Times New Roman" w:eastAsia="Calibri" w:hAnsi="Times New Roman" w:cs="Times New Roman"/>
          <w:sz w:val="28"/>
          <w:szCs w:val="28"/>
        </w:rPr>
        <w:t>sIgE rPhlp1 (</w:t>
      </w:r>
      <w:r w:rsidR="00F70486" w:rsidRPr="003C78DF">
        <w:rPr>
          <w:rFonts w:ascii="Times New Roman" w:eastAsia="Calibri" w:hAnsi="Times New Roman" w:cs="Times New Roman"/>
          <w:sz w:val="28"/>
          <w:szCs w:val="28"/>
          <w:lang w:val="en-US"/>
        </w:rPr>
        <w:t>r</w:t>
      </w:r>
      <w:r w:rsidR="00F70486" w:rsidRPr="003C78DF">
        <w:rPr>
          <w:rFonts w:ascii="Times New Roman" w:eastAsia="Calibri" w:hAnsi="Times New Roman" w:cs="Times New Roman"/>
          <w:sz w:val="28"/>
          <w:szCs w:val="28"/>
        </w:rPr>
        <w:t xml:space="preserve">=0,7; </w:t>
      </w:r>
      <w:r w:rsidR="00F70486" w:rsidRPr="003C78DF">
        <w:rPr>
          <w:rFonts w:ascii="Times New Roman" w:eastAsia="Calibri" w:hAnsi="Times New Roman" w:cs="Times New Roman"/>
          <w:sz w:val="28"/>
          <w:szCs w:val="28"/>
          <w:lang w:val="en-US"/>
        </w:rPr>
        <w:t>p</w:t>
      </w:r>
      <w:r w:rsidR="00821F66">
        <w:rPr>
          <w:rFonts w:ascii="Times New Roman" w:eastAsia="Calibri" w:hAnsi="Times New Roman" w:cs="Times New Roman"/>
          <w:sz w:val="28"/>
          <w:szCs w:val="28"/>
        </w:rPr>
        <w:t>&lt;0,0003</w:t>
      </w:r>
      <w:r w:rsidR="00F70486" w:rsidRPr="003C78DF">
        <w:rPr>
          <w:rFonts w:ascii="Times New Roman" w:eastAsia="Calibri" w:hAnsi="Times New Roman" w:cs="Times New Roman"/>
          <w:sz w:val="28"/>
          <w:szCs w:val="28"/>
        </w:rPr>
        <w:t>),</w:t>
      </w:r>
      <w:r w:rsidR="0019553C" w:rsidRPr="003C78DF">
        <w:rPr>
          <w:rFonts w:ascii="Times New Roman" w:eastAsia="Calibri" w:hAnsi="Times New Roman" w:cs="Times New Roman"/>
          <w:sz w:val="28"/>
          <w:szCs w:val="28"/>
        </w:rPr>
        <w:t xml:space="preserve"> </w:t>
      </w:r>
      <w:r w:rsidRPr="003C78DF">
        <w:rPr>
          <w:rFonts w:ascii="Times New Roman" w:eastAsia="Calibri" w:hAnsi="Times New Roman" w:cs="Times New Roman"/>
          <w:sz w:val="28"/>
          <w:szCs w:val="28"/>
          <w:lang w:val="en-US"/>
        </w:rPr>
        <w:t>sIgE</w:t>
      </w:r>
      <w:r w:rsidRPr="003C78DF">
        <w:rPr>
          <w:rFonts w:ascii="Times New Roman" w:eastAsia="Calibri" w:hAnsi="Times New Roman" w:cs="Times New Roman"/>
          <w:sz w:val="28"/>
          <w:szCs w:val="28"/>
        </w:rPr>
        <w:t xml:space="preserve"> </w:t>
      </w:r>
      <w:r w:rsidRPr="003C78DF">
        <w:rPr>
          <w:rFonts w:ascii="Times New Roman" w:eastAsia="Calibri" w:hAnsi="Times New Roman" w:cs="Times New Roman"/>
          <w:sz w:val="28"/>
          <w:szCs w:val="28"/>
          <w:lang w:val="en-US"/>
        </w:rPr>
        <w:t>rPhlp</w:t>
      </w:r>
      <w:r w:rsidRPr="003C78DF">
        <w:rPr>
          <w:rFonts w:ascii="Times New Roman" w:eastAsia="Calibri" w:hAnsi="Times New Roman" w:cs="Times New Roman"/>
          <w:sz w:val="28"/>
          <w:szCs w:val="28"/>
        </w:rPr>
        <w:t>5 (</w:t>
      </w:r>
      <w:r w:rsidRPr="003C78DF">
        <w:rPr>
          <w:rFonts w:ascii="Times New Roman" w:eastAsia="Calibri" w:hAnsi="Times New Roman" w:cs="Times New Roman"/>
          <w:sz w:val="28"/>
          <w:szCs w:val="28"/>
          <w:lang w:val="en-US"/>
        </w:rPr>
        <w:t>r</w:t>
      </w:r>
      <w:r w:rsidRPr="003C78DF">
        <w:rPr>
          <w:rFonts w:ascii="Times New Roman" w:eastAsia="Calibri" w:hAnsi="Times New Roman" w:cs="Times New Roman"/>
          <w:sz w:val="28"/>
          <w:szCs w:val="28"/>
        </w:rPr>
        <w:t>=0,7</w:t>
      </w:r>
      <w:r w:rsidR="00C719DA" w:rsidRPr="003C78DF">
        <w:rPr>
          <w:rFonts w:ascii="Times New Roman" w:eastAsia="Calibri" w:hAnsi="Times New Roman" w:cs="Times New Roman"/>
          <w:sz w:val="28"/>
          <w:szCs w:val="28"/>
        </w:rPr>
        <w:t xml:space="preserve">; </w:t>
      </w:r>
      <w:r w:rsidR="00C719DA" w:rsidRPr="003C78DF">
        <w:rPr>
          <w:rFonts w:ascii="Times New Roman" w:eastAsia="Calibri" w:hAnsi="Times New Roman" w:cs="Times New Roman"/>
          <w:sz w:val="28"/>
          <w:szCs w:val="28"/>
          <w:lang w:val="en-US"/>
        </w:rPr>
        <w:t>p</w:t>
      </w:r>
      <w:r w:rsidR="00C719DA" w:rsidRPr="003C78DF">
        <w:rPr>
          <w:rFonts w:ascii="Times New Roman" w:eastAsia="Calibri" w:hAnsi="Times New Roman" w:cs="Times New Roman"/>
          <w:sz w:val="28"/>
          <w:szCs w:val="28"/>
        </w:rPr>
        <w:t>=</w:t>
      </w:r>
      <w:r w:rsidR="00625C2F" w:rsidRPr="003C78DF">
        <w:rPr>
          <w:rFonts w:ascii="Times New Roman" w:eastAsia="Calibri" w:hAnsi="Times New Roman" w:cs="Times New Roman"/>
          <w:sz w:val="28"/>
          <w:szCs w:val="28"/>
        </w:rPr>
        <w:t>0,</w:t>
      </w:r>
      <w:r w:rsidR="00821F66">
        <w:rPr>
          <w:rFonts w:ascii="Times New Roman" w:eastAsia="Calibri" w:hAnsi="Times New Roman" w:cs="Times New Roman"/>
          <w:sz w:val="28"/>
          <w:szCs w:val="28"/>
        </w:rPr>
        <w:t>0499</w:t>
      </w:r>
      <w:r w:rsidRPr="003C78DF">
        <w:rPr>
          <w:rFonts w:ascii="Times New Roman" w:eastAsia="Calibri" w:hAnsi="Times New Roman" w:cs="Times New Roman"/>
          <w:sz w:val="28"/>
          <w:szCs w:val="28"/>
        </w:rPr>
        <w:t xml:space="preserve">), </w:t>
      </w:r>
      <w:r w:rsidRPr="003C78DF">
        <w:rPr>
          <w:rFonts w:ascii="Times New Roman" w:eastAsia="Calibri" w:hAnsi="Times New Roman" w:cs="Times New Roman"/>
          <w:sz w:val="28"/>
          <w:szCs w:val="28"/>
          <w:lang w:val="en-US"/>
        </w:rPr>
        <w:t>sIgE</w:t>
      </w:r>
      <w:r w:rsidRPr="003C78DF">
        <w:rPr>
          <w:rFonts w:ascii="Times New Roman" w:eastAsia="Calibri" w:hAnsi="Times New Roman" w:cs="Times New Roman"/>
          <w:sz w:val="28"/>
          <w:szCs w:val="28"/>
        </w:rPr>
        <w:t xml:space="preserve"> </w:t>
      </w:r>
      <w:r w:rsidRPr="003C78DF">
        <w:rPr>
          <w:rFonts w:ascii="Times New Roman" w:eastAsia="Calibri" w:hAnsi="Times New Roman" w:cs="Times New Roman"/>
          <w:sz w:val="28"/>
          <w:szCs w:val="28"/>
          <w:lang w:val="en-US"/>
        </w:rPr>
        <w:t>rBet</w:t>
      </w:r>
      <w:r w:rsidRPr="003C78DF">
        <w:rPr>
          <w:rFonts w:ascii="Times New Roman" w:eastAsia="Calibri" w:hAnsi="Times New Roman" w:cs="Times New Roman"/>
          <w:sz w:val="28"/>
          <w:szCs w:val="28"/>
        </w:rPr>
        <w:t xml:space="preserve"> </w:t>
      </w:r>
      <w:r w:rsidRPr="003C78DF">
        <w:rPr>
          <w:rFonts w:ascii="Times New Roman" w:eastAsia="Calibri" w:hAnsi="Times New Roman" w:cs="Times New Roman"/>
          <w:sz w:val="28"/>
          <w:szCs w:val="28"/>
          <w:lang w:val="en-US"/>
        </w:rPr>
        <w:t>v</w:t>
      </w:r>
      <w:r w:rsidRPr="003C78DF">
        <w:rPr>
          <w:rFonts w:ascii="Times New Roman" w:eastAsia="Calibri" w:hAnsi="Times New Roman" w:cs="Times New Roman"/>
          <w:sz w:val="28"/>
          <w:szCs w:val="28"/>
        </w:rPr>
        <w:t>1 (</w:t>
      </w:r>
      <w:r w:rsidRPr="003C78DF">
        <w:rPr>
          <w:rFonts w:ascii="Times New Roman" w:eastAsia="Calibri" w:hAnsi="Times New Roman" w:cs="Times New Roman"/>
          <w:sz w:val="28"/>
          <w:szCs w:val="28"/>
          <w:lang w:val="en-US"/>
        </w:rPr>
        <w:t>r</w:t>
      </w:r>
      <w:r w:rsidR="0019553C" w:rsidRPr="003C78DF">
        <w:rPr>
          <w:rFonts w:ascii="Times New Roman" w:eastAsia="Calibri" w:hAnsi="Times New Roman" w:cs="Times New Roman"/>
          <w:sz w:val="28"/>
          <w:szCs w:val="28"/>
        </w:rPr>
        <w:t xml:space="preserve">=0,7; </w:t>
      </w:r>
      <w:r w:rsidR="0019553C" w:rsidRPr="003C78DF">
        <w:rPr>
          <w:rFonts w:ascii="Times New Roman" w:eastAsia="Calibri" w:hAnsi="Times New Roman" w:cs="Times New Roman"/>
          <w:sz w:val="28"/>
          <w:szCs w:val="28"/>
          <w:lang w:val="en-US"/>
        </w:rPr>
        <w:t>p</w:t>
      </w:r>
      <w:r w:rsidR="0019553C" w:rsidRPr="003C78DF">
        <w:rPr>
          <w:rFonts w:ascii="Times New Roman" w:eastAsia="Calibri" w:hAnsi="Times New Roman" w:cs="Times New Roman"/>
          <w:sz w:val="28"/>
          <w:szCs w:val="28"/>
        </w:rPr>
        <w:t>=0,1</w:t>
      </w:r>
      <w:r w:rsidR="00821F66">
        <w:rPr>
          <w:rFonts w:ascii="Times New Roman" w:eastAsia="Calibri" w:hAnsi="Times New Roman" w:cs="Times New Roman"/>
          <w:sz w:val="28"/>
          <w:szCs w:val="28"/>
        </w:rPr>
        <w:t>910</w:t>
      </w:r>
      <w:r w:rsidR="00AB353E" w:rsidRPr="003C78DF">
        <w:rPr>
          <w:rFonts w:ascii="Times New Roman" w:eastAsia="Calibri" w:hAnsi="Times New Roman" w:cs="Times New Roman"/>
          <w:sz w:val="28"/>
          <w:szCs w:val="28"/>
        </w:rPr>
        <w:t>),</w:t>
      </w:r>
      <w:r w:rsidRPr="003C78DF">
        <w:rPr>
          <w:rFonts w:ascii="Times New Roman" w:eastAsia="Calibri" w:hAnsi="Times New Roman" w:cs="Times New Roman"/>
          <w:sz w:val="28"/>
          <w:szCs w:val="28"/>
        </w:rPr>
        <w:t xml:space="preserve"> </w:t>
      </w:r>
      <w:r w:rsidRPr="003C78DF">
        <w:rPr>
          <w:rFonts w:ascii="Times New Roman" w:eastAsia="Calibri" w:hAnsi="Times New Roman" w:cs="Times New Roman"/>
          <w:sz w:val="28"/>
          <w:szCs w:val="28"/>
          <w:lang w:val="en-US"/>
        </w:rPr>
        <w:t>sIgE</w:t>
      </w:r>
      <w:r w:rsidRPr="003C78DF">
        <w:rPr>
          <w:rFonts w:ascii="Times New Roman" w:eastAsia="Calibri" w:hAnsi="Times New Roman" w:cs="Times New Roman"/>
          <w:sz w:val="28"/>
          <w:szCs w:val="28"/>
        </w:rPr>
        <w:t xml:space="preserve"> </w:t>
      </w:r>
      <w:r w:rsidRPr="003C78DF">
        <w:rPr>
          <w:rFonts w:ascii="Times New Roman" w:eastAsia="Calibri" w:hAnsi="Times New Roman" w:cs="Times New Roman"/>
          <w:sz w:val="28"/>
          <w:szCs w:val="28"/>
          <w:lang w:val="en-US"/>
        </w:rPr>
        <w:t>nArt</w:t>
      </w:r>
      <w:r w:rsidRPr="003C78DF">
        <w:rPr>
          <w:rFonts w:ascii="Times New Roman" w:eastAsia="Calibri" w:hAnsi="Times New Roman" w:cs="Times New Roman"/>
          <w:sz w:val="28"/>
          <w:szCs w:val="28"/>
        </w:rPr>
        <w:t xml:space="preserve"> </w:t>
      </w:r>
      <w:r w:rsidRPr="003C78DF">
        <w:rPr>
          <w:rFonts w:ascii="Times New Roman" w:eastAsia="Calibri" w:hAnsi="Times New Roman" w:cs="Times New Roman"/>
          <w:sz w:val="28"/>
          <w:szCs w:val="28"/>
          <w:lang w:val="en-US"/>
        </w:rPr>
        <w:t>v</w:t>
      </w:r>
      <w:r w:rsidRPr="003C78DF">
        <w:rPr>
          <w:rFonts w:ascii="Times New Roman" w:eastAsia="Calibri" w:hAnsi="Times New Roman" w:cs="Times New Roman"/>
          <w:sz w:val="28"/>
          <w:szCs w:val="28"/>
        </w:rPr>
        <w:t>1 (</w:t>
      </w:r>
      <w:r w:rsidRPr="003C78DF">
        <w:rPr>
          <w:rFonts w:ascii="Times New Roman" w:eastAsia="Calibri" w:hAnsi="Times New Roman" w:cs="Times New Roman"/>
          <w:sz w:val="28"/>
          <w:szCs w:val="28"/>
          <w:lang w:val="en-US"/>
        </w:rPr>
        <w:t>r</w:t>
      </w:r>
      <w:r w:rsidR="00AB353E" w:rsidRPr="00A922D3">
        <w:rPr>
          <w:rFonts w:ascii="Times New Roman" w:eastAsia="Calibri" w:hAnsi="Times New Roman" w:cs="Times New Roman"/>
          <w:sz w:val="28"/>
          <w:szCs w:val="28"/>
        </w:rPr>
        <w:t xml:space="preserve">=0,7; </w:t>
      </w:r>
      <w:r w:rsidR="00AB353E" w:rsidRPr="00A922D3">
        <w:rPr>
          <w:rFonts w:ascii="Times New Roman" w:eastAsia="Calibri" w:hAnsi="Times New Roman" w:cs="Times New Roman"/>
          <w:sz w:val="28"/>
          <w:szCs w:val="28"/>
          <w:lang w:val="en-US"/>
        </w:rPr>
        <w:t>p</w:t>
      </w:r>
      <w:r w:rsidR="00AB353E" w:rsidRPr="00A922D3">
        <w:rPr>
          <w:rFonts w:ascii="Times New Roman" w:eastAsia="Calibri" w:hAnsi="Times New Roman" w:cs="Times New Roman"/>
          <w:sz w:val="28"/>
          <w:szCs w:val="28"/>
        </w:rPr>
        <w:t>&lt;0,00</w:t>
      </w:r>
      <w:r w:rsidR="00372285" w:rsidRPr="00A922D3">
        <w:rPr>
          <w:rFonts w:ascii="Times New Roman" w:eastAsia="Calibri" w:hAnsi="Times New Roman" w:cs="Times New Roman"/>
          <w:sz w:val="28"/>
          <w:szCs w:val="28"/>
        </w:rPr>
        <w:t>00</w:t>
      </w:r>
      <w:r w:rsidR="00AB353E" w:rsidRPr="00A922D3">
        <w:rPr>
          <w:rFonts w:ascii="Times New Roman" w:eastAsia="Calibri" w:hAnsi="Times New Roman" w:cs="Times New Roman"/>
          <w:sz w:val="28"/>
          <w:szCs w:val="28"/>
        </w:rPr>
        <w:t>1</w:t>
      </w:r>
      <w:r w:rsidRPr="00A922D3">
        <w:rPr>
          <w:rFonts w:ascii="Times New Roman" w:eastAsia="Calibri" w:hAnsi="Times New Roman" w:cs="Times New Roman"/>
          <w:sz w:val="28"/>
          <w:szCs w:val="28"/>
        </w:rPr>
        <w:t>). Слабую положительную корреляционную связь общий балл качества жизни имел с показателями sIgE nAmb a1 (</w:t>
      </w:r>
      <w:r w:rsidRPr="00A922D3">
        <w:rPr>
          <w:rFonts w:ascii="Times New Roman" w:eastAsia="Calibri" w:hAnsi="Times New Roman" w:cs="Times New Roman"/>
          <w:sz w:val="28"/>
          <w:szCs w:val="28"/>
          <w:lang w:val="en-US"/>
        </w:rPr>
        <w:t>r</w:t>
      </w:r>
      <w:r w:rsidR="003F3D34" w:rsidRPr="00A922D3">
        <w:rPr>
          <w:rFonts w:ascii="Times New Roman" w:eastAsia="Calibri" w:hAnsi="Times New Roman" w:cs="Times New Roman"/>
          <w:sz w:val="28"/>
          <w:szCs w:val="28"/>
        </w:rPr>
        <w:t>=0,</w:t>
      </w:r>
      <w:r w:rsidR="00821F66" w:rsidRPr="00A922D3">
        <w:rPr>
          <w:rFonts w:ascii="Times New Roman" w:eastAsia="Calibri" w:hAnsi="Times New Roman" w:cs="Times New Roman"/>
          <w:sz w:val="28"/>
          <w:szCs w:val="28"/>
        </w:rPr>
        <w:t>1</w:t>
      </w:r>
      <w:r w:rsidR="0096238F" w:rsidRPr="00A922D3">
        <w:rPr>
          <w:rFonts w:ascii="Times New Roman" w:eastAsia="Calibri" w:hAnsi="Times New Roman" w:cs="Times New Roman"/>
          <w:sz w:val="28"/>
          <w:szCs w:val="28"/>
        </w:rPr>
        <w:t xml:space="preserve">; </w:t>
      </w:r>
      <w:r w:rsidR="0096238F" w:rsidRPr="00A922D3">
        <w:rPr>
          <w:rFonts w:ascii="Times New Roman" w:eastAsia="Calibri" w:hAnsi="Times New Roman" w:cs="Times New Roman"/>
          <w:sz w:val="28"/>
          <w:szCs w:val="28"/>
          <w:lang w:val="en-US"/>
        </w:rPr>
        <w:t>p</w:t>
      </w:r>
      <w:r w:rsidR="0096238F" w:rsidRPr="00A922D3">
        <w:rPr>
          <w:rFonts w:ascii="Times New Roman" w:eastAsia="Calibri" w:hAnsi="Times New Roman" w:cs="Times New Roman"/>
          <w:sz w:val="28"/>
          <w:szCs w:val="28"/>
        </w:rPr>
        <w:t>=</w:t>
      </w:r>
      <w:r w:rsidR="003F3D34" w:rsidRPr="00A922D3">
        <w:rPr>
          <w:rFonts w:ascii="Times New Roman" w:eastAsia="Calibri" w:hAnsi="Times New Roman" w:cs="Times New Roman"/>
          <w:sz w:val="28"/>
          <w:szCs w:val="28"/>
        </w:rPr>
        <w:t>0,</w:t>
      </w:r>
      <w:r w:rsidR="00821F66" w:rsidRPr="00A922D3">
        <w:rPr>
          <w:rFonts w:ascii="Times New Roman" w:eastAsia="Calibri" w:hAnsi="Times New Roman" w:cs="Times New Roman"/>
          <w:sz w:val="28"/>
          <w:szCs w:val="28"/>
        </w:rPr>
        <w:t>6780</w:t>
      </w:r>
      <w:r w:rsidRPr="00A922D3">
        <w:rPr>
          <w:rFonts w:ascii="Times New Roman" w:eastAsia="Calibri" w:hAnsi="Times New Roman" w:cs="Times New Roman"/>
          <w:sz w:val="28"/>
          <w:szCs w:val="28"/>
        </w:rPr>
        <w:t>) (таблица 1</w:t>
      </w:r>
      <w:r w:rsidR="004B10A7">
        <w:rPr>
          <w:rFonts w:ascii="Times New Roman" w:eastAsia="Calibri" w:hAnsi="Times New Roman" w:cs="Times New Roman"/>
          <w:sz w:val="28"/>
          <w:szCs w:val="28"/>
        </w:rPr>
        <w:t>7</w:t>
      </w:r>
      <w:r w:rsidRPr="00A922D3">
        <w:rPr>
          <w:rFonts w:ascii="Times New Roman" w:eastAsia="Calibri" w:hAnsi="Times New Roman" w:cs="Times New Roman"/>
          <w:sz w:val="28"/>
          <w:szCs w:val="28"/>
        </w:rPr>
        <w:t>).</w:t>
      </w:r>
    </w:p>
    <w:p w14:paraId="7D2D42A8" w14:textId="16BFBDDB" w:rsidR="00437528" w:rsidRPr="00437528" w:rsidRDefault="00437528" w:rsidP="00E53683">
      <w:pPr>
        <w:spacing w:after="200" w:line="240" w:lineRule="auto"/>
        <w:ind w:firstLine="567"/>
        <w:jc w:val="both"/>
        <w:rPr>
          <w:rFonts w:ascii="Times New Roman" w:eastAsia="Calibri" w:hAnsi="Times New Roman" w:cs="Times New Roman"/>
          <w:sz w:val="28"/>
          <w:szCs w:val="28"/>
        </w:rPr>
      </w:pPr>
      <w:r w:rsidRPr="00A922D3">
        <w:rPr>
          <w:rFonts w:ascii="Times New Roman" w:eastAsia="Calibri" w:hAnsi="Times New Roman" w:cs="Times New Roman"/>
          <w:sz w:val="28"/>
          <w:szCs w:val="28"/>
        </w:rPr>
        <w:t>С целью визуализации обнаруженных показателей, мы графически представили данные, имеющие сильную корреляционную связь (</w:t>
      </w:r>
      <w:r w:rsidRPr="00A922D3">
        <w:rPr>
          <w:rFonts w:ascii="Times New Roman" w:eastAsia="Calibri" w:hAnsi="Times New Roman" w:cs="Times New Roman"/>
          <w:sz w:val="28"/>
          <w:szCs w:val="28"/>
          <w:lang w:val="en-US"/>
        </w:rPr>
        <w:t>r</w:t>
      </w:r>
      <w:r w:rsidRPr="00A922D3">
        <w:rPr>
          <w:rFonts w:ascii="Times New Roman" w:eastAsia="Calibri" w:hAnsi="Times New Roman" w:cs="Times New Roman"/>
          <w:sz w:val="28"/>
          <w:szCs w:val="28"/>
        </w:rPr>
        <w:t xml:space="preserve">&gt;0,7) (Рисунок </w:t>
      </w:r>
      <w:r w:rsidR="00F16D8C" w:rsidRPr="00A922D3">
        <w:rPr>
          <w:rFonts w:ascii="Times New Roman" w:eastAsia="Calibri" w:hAnsi="Times New Roman" w:cs="Times New Roman"/>
          <w:sz w:val="28"/>
          <w:szCs w:val="28"/>
        </w:rPr>
        <w:t>6</w:t>
      </w:r>
      <w:r w:rsidRPr="00A922D3">
        <w:rPr>
          <w:rFonts w:ascii="Times New Roman" w:eastAsia="Calibri" w:hAnsi="Times New Roman" w:cs="Times New Roman"/>
          <w:sz w:val="28"/>
          <w:szCs w:val="28"/>
        </w:rPr>
        <w:t>).</w:t>
      </w:r>
    </w:p>
    <w:p w14:paraId="6C67BE6D" w14:textId="77777777" w:rsidR="003006BE" w:rsidRDefault="003D199E" w:rsidP="003006BE">
      <w:pPr>
        <w:spacing w:after="200" w:line="240" w:lineRule="auto"/>
        <w:ind w:right="-1"/>
        <w:jc w:val="center"/>
        <w:rPr>
          <w:rFonts w:ascii="Calibri" w:eastAsia="Calibri" w:hAnsi="Calibri" w:cs="Times New Roman"/>
          <w:sz w:val="24"/>
          <w:szCs w:val="24"/>
        </w:rPr>
      </w:pPr>
      <w:r>
        <w:rPr>
          <w:rFonts w:ascii="Calibri" w:eastAsia="Calibri" w:hAnsi="Calibri" w:cs="Times New Roman"/>
          <w:sz w:val="24"/>
          <w:szCs w:val="24"/>
        </w:rPr>
        <w:pict w14:anchorId="7B8DCDBB">
          <v:shape id="_x0000_i1027" type="#_x0000_t75" style="width:481.75pt;height:205.2pt">
            <v:imagedata r:id="rId19" o:title="Screenshot_1"/>
          </v:shape>
        </w:pict>
      </w:r>
    </w:p>
    <w:p w14:paraId="0511A897" w14:textId="77777777" w:rsidR="003006BE" w:rsidRDefault="003D199E" w:rsidP="003006BE">
      <w:pPr>
        <w:spacing w:after="200" w:line="240" w:lineRule="auto"/>
        <w:ind w:right="-1"/>
        <w:jc w:val="center"/>
        <w:rPr>
          <w:rFonts w:ascii="Calibri" w:eastAsia="Calibri" w:hAnsi="Calibri" w:cs="Times New Roman"/>
          <w:sz w:val="24"/>
          <w:szCs w:val="24"/>
        </w:rPr>
      </w:pPr>
      <w:r>
        <w:rPr>
          <w:rFonts w:ascii="Calibri" w:eastAsia="Calibri" w:hAnsi="Calibri" w:cs="Times New Roman"/>
          <w:sz w:val="24"/>
          <w:szCs w:val="24"/>
        </w:rPr>
        <w:pict w14:anchorId="67BE0E37">
          <v:shape id="_x0000_i1028" type="#_x0000_t75" style="width:481.8pt;height:192.85pt">
            <v:imagedata r:id="rId20" o:title="Screenshot_2"/>
          </v:shape>
        </w:pict>
      </w:r>
    </w:p>
    <w:p w14:paraId="3CA19C56" w14:textId="77777777" w:rsidR="003006BE" w:rsidRDefault="003D199E" w:rsidP="003006BE">
      <w:pPr>
        <w:spacing w:after="200" w:line="240" w:lineRule="auto"/>
        <w:ind w:right="-1"/>
        <w:jc w:val="center"/>
        <w:rPr>
          <w:rFonts w:ascii="Calibri" w:eastAsia="Calibri" w:hAnsi="Calibri" w:cs="Times New Roman"/>
          <w:sz w:val="24"/>
          <w:szCs w:val="24"/>
        </w:rPr>
      </w:pPr>
      <w:r>
        <w:rPr>
          <w:rFonts w:ascii="Calibri" w:eastAsia="Calibri" w:hAnsi="Calibri" w:cs="Times New Roman"/>
          <w:sz w:val="24"/>
          <w:szCs w:val="24"/>
        </w:rPr>
        <w:pict w14:anchorId="00E2FEBC">
          <v:shape id="_x0000_i1029" type="#_x0000_t75" style="width:481.6pt;height:188.55pt">
            <v:imagedata r:id="rId21" o:title="Screenshot_3"/>
          </v:shape>
        </w:pict>
      </w:r>
    </w:p>
    <w:p w14:paraId="4165F733" w14:textId="77777777" w:rsidR="003006BE" w:rsidRDefault="003D199E" w:rsidP="003006BE">
      <w:pPr>
        <w:spacing w:after="200" w:line="240" w:lineRule="auto"/>
        <w:ind w:right="-1"/>
        <w:jc w:val="center"/>
        <w:rPr>
          <w:rFonts w:ascii="Calibri" w:eastAsia="Calibri" w:hAnsi="Calibri" w:cs="Times New Roman"/>
          <w:sz w:val="24"/>
          <w:szCs w:val="24"/>
        </w:rPr>
      </w:pPr>
      <w:r>
        <w:rPr>
          <w:rFonts w:ascii="Calibri" w:eastAsia="Calibri" w:hAnsi="Calibri" w:cs="Times New Roman"/>
          <w:sz w:val="24"/>
          <w:szCs w:val="24"/>
        </w:rPr>
        <w:pict w14:anchorId="72021C1D">
          <v:shape id="_x0000_i1030" type="#_x0000_t75" style="width:481.6pt;height:189.25pt">
            <v:imagedata r:id="rId22" o:title="Screenshot_4"/>
          </v:shape>
        </w:pict>
      </w:r>
    </w:p>
    <w:p w14:paraId="5E91D2AF" w14:textId="77777777" w:rsidR="003006BE" w:rsidRDefault="003D199E" w:rsidP="003006BE">
      <w:pPr>
        <w:spacing w:after="200" w:line="240" w:lineRule="auto"/>
        <w:ind w:right="-1"/>
        <w:jc w:val="center"/>
        <w:rPr>
          <w:rFonts w:ascii="Calibri" w:eastAsia="Calibri" w:hAnsi="Calibri" w:cs="Times New Roman"/>
          <w:sz w:val="24"/>
          <w:szCs w:val="24"/>
        </w:rPr>
      </w:pPr>
      <w:r>
        <w:rPr>
          <w:rFonts w:ascii="Calibri" w:eastAsia="Calibri" w:hAnsi="Calibri" w:cs="Times New Roman"/>
          <w:sz w:val="24"/>
          <w:szCs w:val="24"/>
        </w:rPr>
        <w:pict w14:anchorId="39D61BE6">
          <v:shape id="_x0000_i1031" type="#_x0000_t75" style="width:481.4pt;height:187.15pt">
            <v:imagedata r:id="rId23" o:title="Screenshot_5"/>
          </v:shape>
        </w:pict>
      </w:r>
    </w:p>
    <w:p w14:paraId="6F240D1B" w14:textId="77777777" w:rsidR="003006BE" w:rsidRDefault="003D199E" w:rsidP="003006BE">
      <w:pPr>
        <w:spacing w:after="200" w:line="240" w:lineRule="auto"/>
        <w:ind w:right="-1"/>
        <w:jc w:val="center"/>
        <w:rPr>
          <w:rFonts w:ascii="Calibri" w:eastAsia="Calibri" w:hAnsi="Calibri" w:cs="Times New Roman"/>
          <w:sz w:val="24"/>
          <w:szCs w:val="24"/>
        </w:rPr>
      </w:pPr>
      <w:r>
        <w:rPr>
          <w:rFonts w:ascii="Calibri" w:eastAsia="Calibri" w:hAnsi="Calibri" w:cs="Times New Roman"/>
          <w:sz w:val="24"/>
          <w:szCs w:val="24"/>
        </w:rPr>
        <w:pict w14:anchorId="08485A5B">
          <v:shape id="_x0000_i1032" type="#_x0000_t75" style="width:481.65pt;height:185.1pt">
            <v:imagedata r:id="rId24" o:title="Screenshot_6"/>
          </v:shape>
        </w:pict>
      </w:r>
    </w:p>
    <w:p w14:paraId="02253E64" w14:textId="438E62A7" w:rsidR="00437528" w:rsidRPr="00437528" w:rsidRDefault="003D199E" w:rsidP="003006BE">
      <w:pPr>
        <w:spacing w:after="200" w:line="240" w:lineRule="auto"/>
        <w:ind w:right="-1"/>
        <w:jc w:val="center"/>
        <w:rPr>
          <w:rFonts w:ascii="Calibri" w:eastAsia="Calibri" w:hAnsi="Calibri" w:cs="Times New Roman"/>
          <w:sz w:val="24"/>
          <w:szCs w:val="24"/>
        </w:rPr>
      </w:pPr>
      <w:r>
        <w:rPr>
          <w:rFonts w:ascii="Calibri" w:eastAsia="Calibri" w:hAnsi="Calibri" w:cs="Times New Roman"/>
          <w:sz w:val="24"/>
          <w:szCs w:val="24"/>
        </w:rPr>
        <w:pict w14:anchorId="7DBCD21B">
          <v:shape id="_x0000_i1033" type="#_x0000_t75" style="width:481.8pt;height:186.6pt">
            <v:imagedata r:id="rId25" o:title="Screenshot_7"/>
          </v:shape>
        </w:pict>
      </w:r>
      <w:r w:rsidR="00C84BEB" w:rsidRPr="00D60382">
        <w:rPr>
          <w:rFonts w:ascii="Calibri" w:eastAsia="Calibri" w:hAnsi="Calibri" w:cs="Times New Roman"/>
          <w:noProof/>
          <w:sz w:val="24"/>
          <w:szCs w:val="24"/>
          <w:lang w:eastAsia="ru-RU"/>
        </w:rPr>
        <mc:AlternateContent>
          <mc:Choice Requires="wps">
            <w:drawing>
              <wp:anchor distT="0" distB="0" distL="114300" distR="114300" simplePos="0" relativeHeight="251719680" behindDoc="0" locked="0" layoutInCell="1" allowOverlap="1" wp14:anchorId="38A9ACC4" wp14:editId="62DCCE47">
                <wp:simplePos x="0" y="0"/>
                <wp:positionH relativeFrom="column">
                  <wp:posOffset>904367</wp:posOffset>
                </wp:positionH>
                <wp:positionV relativeFrom="paragraph">
                  <wp:posOffset>116840</wp:posOffset>
                </wp:positionV>
                <wp:extent cx="2252345" cy="338455"/>
                <wp:effectExtent l="0" t="0" r="0" b="0"/>
                <wp:wrapNone/>
                <wp:docPr id="59" name="Прямоугольник 13"/>
                <wp:cNvGraphicFramePr/>
                <a:graphic xmlns:a="http://schemas.openxmlformats.org/drawingml/2006/main">
                  <a:graphicData uri="http://schemas.microsoft.com/office/word/2010/wordprocessingShape">
                    <wps:wsp>
                      <wps:cNvSpPr/>
                      <wps:spPr>
                        <a:xfrm>
                          <a:off x="0" y="0"/>
                          <a:ext cx="2252345" cy="338455"/>
                        </a:xfrm>
                        <a:prstGeom prst="rect">
                          <a:avLst/>
                        </a:prstGeom>
                      </wps:spPr>
                      <wps:txbx>
                        <w:txbxContent>
                          <w:p w14:paraId="2CC95422" w14:textId="21F97BA2" w:rsidR="003006BE" w:rsidRPr="00D60382" w:rsidRDefault="003006BE" w:rsidP="00D60382">
                            <w:pPr>
                              <w:pStyle w:val="af4"/>
                              <w:spacing w:before="0" w:beforeAutospacing="0" w:after="0" w:afterAutospacing="0"/>
                              <w:rPr>
                                <w:sz w:val="28"/>
                                <w:szCs w:val="28"/>
                              </w:rPr>
                            </w:pPr>
                          </w:p>
                        </w:txbxContent>
                      </wps:txbx>
                      <wps:bodyPr wrap="none">
                        <a:sp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38A9ACC4" id="Прямоугольник 13" o:spid="_x0000_s1026" style="position:absolute;left:0;text-align:left;margin-left:71.2pt;margin-top:9.2pt;width:177.35pt;height:26.65pt;z-index:251719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" filled="f" stroked="f">
                <v:textbox style="mso-fit-shape-to-text:t">
                  <w:txbxContent>
                    <w:p w14:paraId="2CC95422" w14:textId="21F97BA2" w:rsidR="003006BE" w:rsidRPr="00D60382" w:rsidRDefault="003006BE" w:rsidP="00D60382">
                      <w:pPr>
                        <w:pStyle w:val="af4"/>
                        <w:spacing w:before="0" w:beforeAutospacing="0" w:after="0" w:afterAutospacing="0"/>
                        <w:rPr>
                          <w:sz w:val="28"/>
                          <w:szCs w:val="28"/>
                        </w:rPr>
                      </w:pPr>
                    </w:p>
                  </w:txbxContent>
                </v:textbox>
              </v:rect>
            </w:pict>
          </mc:Fallback>
        </mc:AlternateContent>
      </w:r>
    </w:p>
    <w:p w14:paraId="29848400" w14:textId="47E7659A" w:rsidR="00E53683" w:rsidRDefault="00F16D8C" w:rsidP="00E53683">
      <w:pPr>
        <w:spacing w:after="0" w:line="240" w:lineRule="auto"/>
        <w:ind w:firstLine="567"/>
        <w:jc w:val="center"/>
        <w:rPr>
          <w:rFonts w:ascii="Times New Roman" w:eastAsia="Calibri" w:hAnsi="Times New Roman" w:cs="Times New Roman"/>
          <w:sz w:val="28"/>
          <w:szCs w:val="28"/>
        </w:rPr>
      </w:pPr>
      <w:r w:rsidRPr="000F47F1">
        <w:rPr>
          <w:rFonts w:ascii="Times New Roman" w:eastAsia="Calibri" w:hAnsi="Times New Roman" w:cs="Times New Roman"/>
          <w:sz w:val="28"/>
          <w:szCs w:val="28"/>
        </w:rPr>
        <w:t>Рисунок 6</w:t>
      </w:r>
      <w:r w:rsidR="00E53683" w:rsidRPr="000F47F1">
        <w:rPr>
          <w:rFonts w:ascii="Times New Roman" w:eastAsia="Calibri" w:hAnsi="Times New Roman" w:cs="Times New Roman"/>
          <w:sz w:val="28"/>
          <w:szCs w:val="28"/>
        </w:rPr>
        <w:t xml:space="preserve"> –</w:t>
      </w:r>
      <w:r w:rsidR="00E53683" w:rsidRPr="00437528">
        <w:rPr>
          <w:rFonts w:ascii="Times New Roman" w:eastAsia="Calibri" w:hAnsi="Times New Roman" w:cs="Times New Roman"/>
          <w:sz w:val="28"/>
          <w:szCs w:val="28"/>
        </w:rPr>
        <w:t xml:space="preserve"> Графическое представление корреляционной связи клинических и лабораторных показателей</w:t>
      </w:r>
    </w:p>
    <w:p w14:paraId="1331AC20" w14:textId="0D1F7457" w:rsidR="00D93DCB" w:rsidRDefault="00D93DCB" w:rsidP="00E53683">
      <w:pPr>
        <w:spacing w:after="0" w:line="240" w:lineRule="auto"/>
        <w:ind w:firstLine="567"/>
        <w:jc w:val="center"/>
        <w:rPr>
          <w:rFonts w:ascii="Times New Roman" w:eastAsia="Calibri" w:hAnsi="Times New Roman" w:cs="Times New Roman"/>
          <w:sz w:val="28"/>
          <w:szCs w:val="28"/>
        </w:rPr>
      </w:pPr>
    </w:p>
    <w:p w14:paraId="15986102" w14:textId="4F382A3A" w:rsidR="00D93DCB" w:rsidRDefault="00D93DCB" w:rsidP="00D93DCB">
      <w:pPr>
        <w:spacing w:after="0" w:line="256" w:lineRule="auto"/>
        <w:ind w:firstLine="594"/>
        <w:jc w:val="both"/>
        <w:rPr>
          <w:rFonts w:ascii="Times New Roman" w:eastAsia="Times New Roman" w:hAnsi="Times New Roman" w:cs="Times New Roman"/>
          <w:color w:val="000000"/>
          <w:kern w:val="24"/>
          <w:sz w:val="24"/>
          <w:szCs w:val="24"/>
          <w:lang w:eastAsia="ru-RU"/>
        </w:rPr>
      </w:pPr>
      <w:r w:rsidRPr="003006BE">
        <w:rPr>
          <w:rFonts w:ascii="Times New Roman" w:eastAsia="Times New Roman" w:hAnsi="Times New Roman" w:cs="Times New Roman"/>
          <w:color w:val="000000"/>
          <w:kern w:val="24"/>
          <w:sz w:val="24"/>
          <w:szCs w:val="24"/>
          <w:lang w:eastAsia="ru-RU"/>
        </w:rPr>
        <w:t>Примечания</w:t>
      </w:r>
      <w:r w:rsidRPr="0099613A">
        <w:rPr>
          <w:rFonts w:ascii="Times New Roman" w:eastAsia="Times New Roman" w:hAnsi="Times New Roman" w:cs="Times New Roman"/>
          <w:color w:val="000000"/>
          <w:kern w:val="24"/>
          <w:sz w:val="24"/>
          <w:szCs w:val="24"/>
          <w:lang w:eastAsia="ru-RU"/>
        </w:rPr>
        <w:t>:</w:t>
      </w:r>
    </w:p>
    <w:p w14:paraId="085B8E00" w14:textId="680DE355" w:rsidR="00D93DCB" w:rsidRPr="00D93DCB" w:rsidRDefault="00D93DCB" w:rsidP="00D93DCB">
      <w:pPr>
        <w:spacing w:after="0" w:line="240" w:lineRule="auto"/>
        <w:jc w:val="both"/>
        <w:rPr>
          <w:rFonts w:ascii="Times New Roman" w:eastAsia="Calibri" w:hAnsi="Times New Roman" w:cs="Times New Roman"/>
          <w:sz w:val="24"/>
          <w:szCs w:val="24"/>
        </w:rPr>
      </w:pPr>
      <w:r>
        <w:rPr>
          <w:rFonts w:ascii="Times New Roman" w:eastAsia="Times New Roman" w:hAnsi="Times New Roman" w:cs="Times New Roman"/>
          <w:color w:val="000000"/>
          <w:kern w:val="24"/>
          <w:sz w:val="24"/>
          <w:szCs w:val="24"/>
          <w:lang w:eastAsia="ru-RU"/>
        </w:rPr>
        <w:t>1 К</w:t>
      </w:r>
      <w:r w:rsidRPr="00D93DCB">
        <w:rPr>
          <w:rFonts w:ascii="Times New Roman" w:eastAsia="Calibri" w:hAnsi="Times New Roman" w:cs="Times New Roman"/>
          <w:sz w:val="24"/>
          <w:szCs w:val="24"/>
        </w:rPr>
        <w:t xml:space="preserve">орреляция общего балла симптомов тяжести: а) с витамином Д; в) с общим ИГЕ; д) с ЭКБ; ж) с sIgE rPhlp1; и) с </w:t>
      </w:r>
      <w:r w:rsidRPr="00D93DCB">
        <w:rPr>
          <w:rFonts w:ascii="Times New Roman" w:eastAsia="Calibri" w:hAnsi="Times New Roman" w:cs="Times New Roman"/>
          <w:sz w:val="24"/>
          <w:szCs w:val="24"/>
          <w:lang w:val="en-US"/>
        </w:rPr>
        <w:t>sIgE</w:t>
      </w:r>
      <w:r w:rsidRPr="00D93DCB">
        <w:rPr>
          <w:rFonts w:ascii="Times New Roman" w:eastAsia="Calibri" w:hAnsi="Times New Roman" w:cs="Times New Roman"/>
          <w:sz w:val="24"/>
          <w:szCs w:val="24"/>
        </w:rPr>
        <w:t xml:space="preserve"> </w:t>
      </w:r>
      <w:r w:rsidRPr="00D93DCB">
        <w:rPr>
          <w:rFonts w:ascii="Times New Roman" w:eastAsia="Calibri" w:hAnsi="Times New Roman" w:cs="Times New Roman"/>
          <w:sz w:val="24"/>
          <w:szCs w:val="24"/>
          <w:lang w:val="en-US"/>
        </w:rPr>
        <w:t>rPhlp</w:t>
      </w:r>
      <w:r w:rsidRPr="00D93DCB">
        <w:rPr>
          <w:rFonts w:ascii="Times New Roman" w:eastAsia="Calibri" w:hAnsi="Times New Roman" w:cs="Times New Roman"/>
          <w:sz w:val="24"/>
          <w:szCs w:val="24"/>
        </w:rPr>
        <w:t xml:space="preserve">5; л) с </w:t>
      </w:r>
      <w:r w:rsidRPr="00D93DCB">
        <w:rPr>
          <w:rFonts w:ascii="Times New Roman" w:eastAsia="Calibri" w:hAnsi="Times New Roman" w:cs="Times New Roman"/>
          <w:sz w:val="24"/>
          <w:szCs w:val="24"/>
          <w:lang w:val="en-US"/>
        </w:rPr>
        <w:t>sIgE</w:t>
      </w:r>
      <w:r w:rsidRPr="00D93DCB">
        <w:rPr>
          <w:rFonts w:ascii="Times New Roman" w:eastAsia="Calibri" w:hAnsi="Times New Roman" w:cs="Times New Roman"/>
          <w:sz w:val="24"/>
          <w:szCs w:val="24"/>
        </w:rPr>
        <w:t xml:space="preserve"> </w:t>
      </w:r>
      <w:r w:rsidRPr="00D93DCB">
        <w:rPr>
          <w:rFonts w:ascii="Times New Roman" w:eastAsia="Calibri" w:hAnsi="Times New Roman" w:cs="Times New Roman"/>
          <w:sz w:val="24"/>
          <w:szCs w:val="24"/>
          <w:lang w:val="en-US"/>
        </w:rPr>
        <w:t>rBet</w:t>
      </w:r>
      <w:r w:rsidRPr="00D93DCB">
        <w:rPr>
          <w:rFonts w:ascii="Times New Roman" w:eastAsia="Calibri" w:hAnsi="Times New Roman" w:cs="Times New Roman"/>
          <w:sz w:val="24"/>
          <w:szCs w:val="24"/>
        </w:rPr>
        <w:t xml:space="preserve"> </w:t>
      </w:r>
      <w:r w:rsidRPr="00D93DCB">
        <w:rPr>
          <w:rFonts w:ascii="Times New Roman" w:eastAsia="Calibri" w:hAnsi="Times New Roman" w:cs="Times New Roman"/>
          <w:sz w:val="24"/>
          <w:szCs w:val="24"/>
          <w:lang w:val="en-US"/>
        </w:rPr>
        <w:t>v</w:t>
      </w:r>
      <w:r w:rsidRPr="00D93DCB">
        <w:rPr>
          <w:rFonts w:ascii="Times New Roman" w:eastAsia="Calibri" w:hAnsi="Times New Roman" w:cs="Times New Roman"/>
          <w:sz w:val="24"/>
          <w:szCs w:val="24"/>
        </w:rPr>
        <w:t xml:space="preserve">1; н) с </w:t>
      </w:r>
      <w:r w:rsidRPr="00D93DCB">
        <w:rPr>
          <w:rFonts w:ascii="Times New Roman" w:eastAsia="Calibri" w:hAnsi="Times New Roman" w:cs="Times New Roman"/>
          <w:sz w:val="24"/>
          <w:szCs w:val="24"/>
          <w:lang w:val="en-US"/>
        </w:rPr>
        <w:t>sIgE</w:t>
      </w:r>
      <w:r w:rsidRPr="00D93DCB">
        <w:rPr>
          <w:rFonts w:ascii="Times New Roman" w:eastAsia="Calibri" w:hAnsi="Times New Roman" w:cs="Times New Roman"/>
          <w:sz w:val="24"/>
          <w:szCs w:val="24"/>
        </w:rPr>
        <w:t xml:space="preserve"> </w:t>
      </w:r>
      <w:r w:rsidRPr="00D93DCB">
        <w:rPr>
          <w:rFonts w:ascii="Times New Roman" w:eastAsia="Calibri" w:hAnsi="Times New Roman" w:cs="Times New Roman"/>
          <w:sz w:val="24"/>
          <w:szCs w:val="24"/>
          <w:lang w:val="en-US"/>
        </w:rPr>
        <w:t>nArt</w:t>
      </w:r>
      <w:r w:rsidRPr="00D93DCB">
        <w:rPr>
          <w:rFonts w:ascii="Times New Roman" w:eastAsia="Calibri" w:hAnsi="Times New Roman" w:cs="Times New Roman"/>
          <w:sz w:val="24"/>
          <w:szCs w:val="24"/>
        </w:rPr>
        <w:t xml:space="preserve"> </w:t>
      </w:r>
      <w:r w:rsidRPr="00D93DCB">
        <w:rPr>
          <w:rFonts w:ascii="Times New Roman" w:eastAsia="Calibri" w:hAnsi="Times New Roman" w:cs="Times New Roman"/>
          <w:sz w:val="24"/>
          <w:szCs w:val="24"/>
          <w:lang w:val="en-US"/>
        </w:rPr>
        <w:t>v</w:t>
      </w:r>
      <w:r w:rsidRPr="00D93DCB">
        <w:rPr>
          <w:rFonts w:ascii="Times New Roman" w:eastAsia="Calibri" w:hAnsi="Times New Roman" w:cs="Times New Roman"/>
          <w:sz w:val="24"/>
          <w:szCs w:val="24"/>
        </w:rPr>
        <w:t>1;</w:t>
      </w:r>
    </w:p>
    <w:p w14:paraId="3B63455B" w14:textId="47EB2B89" w:rsidR="00D93DCB" w:rsidRPr="00D93DCB" w:rsidRDefault="00D93DCB" w:rsidP="00D93DCB">
      <w:pPr>
        <w:spacing w:after="0" w:line="240" w:lineRule="auto"/>
        <w:jc w:val="both"/>
        <w:rPr>
          <w:rFonts w:ascii="Times New Roman" w:eastAsia="Calibri" w:hAnsi="Times New Roman" w:cs="Times New Roman"/>
          <w:i/>
          <w:sz w:val="24"/>
          <w:szCs w:val="24"/>
        </w:rPr>
      </w:pPr>
      <w:r>
        <w:rPr>
          <w:rFonts w:ascii="Times New Roman" w:eastAsia="Calibri" w:hAnsi="Times New Roman" w:cs="Times New Roman"/>
          <w:sz w:val="24"/>
          <w:szCs w:val="24"/>
        </w:rPr>
        <w:t>2 К</w:t>
      </w:r>
      <w:r w:rsidRPr="00D93DCB">
        <w:rPr>
          <w:rFonts w:ascii="Times New Roman" w:eastAsia="Calibri" w:hAnsi="Times New Roman" w:cs="Times New Roman"/>
          <w:sz w:val="24"/>
          <w:szCs w:val="24"/>
        </w:rPr>
        <w:t xml:space="preserve">орреляция общего балла качества жизни: б) с витамином Д; г) с общим ИГЕ; е) с ЭКБ; з) с sIgE rPhlp1; к) с </w:t>
      </w:r>
      <w:r w:rsidRPr="00D93DCB">
        <w:rPr>
          <w:rFonts w:ascii="Times New Roman" w:eastAsia="Calibri" w:hAnsi="Times New Roman" w:cs="Times New Roman"/>
          <w:sz w:val="24"/>
          <w:szCs w:val="24"/>
          <w:lang w:val="en-US"/>
        </w:rPr>
        <w:t>sIgE</w:t>
      </w:r>
      <w:r w:rsidRPr="00D93DCB">
        <w:rPr>
          <w:rFonts w:ascii="Times New Roman" w:eastAsia="Calibri" w:hAnsi="Times New Roman" w:cs="Times New Roman"/>
          <w:sz w:val="24"/>
          <w:szCs w:val="24"/>
        </w:rPr>
        <w:t xml:space="preserve"> </w:t>
      </w:r>
      <w:r w:rsidRPr="00D93DCB">
        <w:rPr>
          <w:rFonts w:ascii="Times New Roman" w:eastAsia="Calibri" w:hAnsi="Times New Roman" w:cs="Times New Roman"/>
          <w:sz w:val="24"/>
          <w:szCs w:val="24"/>
          <w:lang w:val="en-US"/>
        </w:rPr>
        <w:t>rPhlp</w:t>
      </w:r>
      <w:r w:rsidRPr="00D93DCB">
        <w:rPr>
          <w:rFonts w:ascii="Times New Roman" w:eastAsia="Calibri" w:hAnsi="Times New Roman" w:cs="Times New Roman"/>
          <w:sz w:val="24"/>
          <w:szCs w:val="24"/>
        </w:rPr>
        <w:t xml:space="preserve">5; м) с </w:t>
      </w:r>
      <w:r w:rsidRPr="00D93DCB">
        <w:rPr>
          <w:rFonts w:ascii="Times New Roman" w:eastAsia="Calibri" w:hAnsi="Times New Roman" w:cs="Times New Roman"/>
          <w:sz w:val="24"/>
          <w:szCs w:val="24"/>
          <w:lang w:val="en-US"/>
        </w:rPr>
        <w:t>sIgE</w:t>
      </w:r>
      <w:r w:rsidRPr="00D93DCB">
        <w:rPr>
          <w:rFonts w:ascii="Times New Roman" w:eastAsia="Calibri" w:hAnsi="Times New Roman" w:cs="Times New Roman"/>
          <w:sz w:val="24"/>
          <w:szCs w:val="24"/>
        </w:rPr>
        <w:t xml:space="preserve"> </w:t>
      </w:r>
      <w:r w:rsidRPr="00D93DCB">
        <w:rPr>
          <w:rFonts w:ascii="Times New Roman" w:eastAsia="Calibri" w:hAnsi="Times New Roman" w:cs="Times New Roman"/>
          <w:sz w:val="24"/>
          <w:szCs w:val="24"/>
          <w:lang w:val="en-US"/>
        </w:rPr>
        <w:t>rBet</w:t>
      </w:r>
      <w:r w:rsidRPr="00D93DCB">
        <w:rPr>
          <w:rFonts w:ascii="Times New Roman" w:eastAsia="Calibri" w:hAnsi="Times New Roman" w:cs="Times New Roman"/>
          <w:sz w:val="24"/>
          <w:szCs w:val="24"/>
        </w:rPr>
        <w:t xml:space="preserve"> </w:t>
      </w:r>
      <w:r w:rsidRPr="00D93DCB">
        <w:rPr>
          <w:rFonts w:ascii="Times New Roman" w:eastAsia="Calibri" w:hAnsi="Times New Roman" w:cs="Times New Roman"/>
          <w:sz w:val="24"/>
          <w:szCs w:val="24"/>
          <w:lang w:val="en-US"/>
        </w:rPr>
        <w:t>v</w:t>
      </w:r>
      <w:r w:rsidRPr="00D93DCB">
        <w:rPr>
          <w:rFonts w:ascii="Times New Roman" w:eastAsia="Calibri" w:hAnsi="Times New Roman" w:cs="Times New Roman"/>
          <w:sz w:val="24"/>
          <w:szCs w:val="24"/>
        </w:rPr>
        <w:t xml:space="preserve">1; о) с </w:t>
      </w:r>
      <w:r w:rsidRPr="00D93DCB">
        <w:rPr>
          <w:rFonts w:ascii="Times New Roman" w:eastAsia="Calibri" w:hAnsi="Times New Roman" w:cs="Times New Roman"/>
          <w:sz w:val="24"/>
          <w:szCs w:val="24"/>
          <w:lang w:val="en-US"/>
        </w:rPr>
        <w:t>sIgE</w:t>
      </w:r>
      <w:r w:rsidRPr="00D93DCB">
        <w:rPr>
          <w:rFonts w:ascii="Times New Roman" w:eastAsia="Calibri" w:hAnsi="Times New Roman" w:cs="Times New Roman"/>
          <w:sz w:val="24"/>
          <w:szCs w:val="24"/>
        </w:rPr>
        <w:t xml:space="preserve"> </w:t>
      </w:r>
      <w:r w:rsidRPr="00D93DCB">
        <w:rPr>
          <w:rFonts w:ascii="Times New Roman" w:eastAsia="Calibri" w:hAnsi="Times New Roman" w:cs="Times New Roman"/>
          <w:sz w:val="24"/>
          <w:szCs w:val="24"/>
          <w:lang w:val="en-US"/>
        </w:rPr>
        <w:t>nArt</w:t>
      </w:r>
      <w:r w:rsidRPr="00D93DCB">
        <w:rPr>
          <w:rFonts w:ascii="Times New Roman" w:eastAsia="Calibri" w:hAnsi="Times New Roman" w:cs="Times New Roman"/>
          <w:sz w:val="24"/>
          <w:szCs w:val="24"/>
        </w:rPr>
        <w:t xml:space="preserve"> </w:t>
      </w:r>
      <w:r w:rsidRPr="00D93DCB">
        <w:rPr>
          <w:rFonts w:ascii="Times New Roman" w:eastAsia="Calibri" w:hAnsi="Times New Roman" w:cs="Times New Roman"/>
          <w:sz w:val="24"/>
          <w:szCs w:val="24"/>
          <w:lang w:val="en-US"/>
        </w:rPr>
        <w:t>v</w:t>
      </w:r>
      <w:r w:rsidRPr="00D93DCB">
        <w:rPr>
          <w:rFonts w:ascii="Times New Roman" w:eastAsia="Calibri" w:hAnsi="Times New Roman" w:cs="Times New Roman"/>
          <w:sz w:val="24"/>
          <w:szCs w:val="24"/>
        </w:rPr>
        <w:t>1</w:t>
      </w:r>
      <w:r w:rsidRPr="00D93DCB">
        <w:rPr>
          <w:rFonts w:ascii="Times New Roman" w:eastAsia="Calibri" w:hAnsi="Times New Roman" w:cs="Times New Roman"/>
          <w:i/>
          <w:sz w:val="24"/>
          <w:szCs w:val="24"/>
        </w:rPr>
        <w:t>.</w:t>
      </w:r>
    </w:p>
    <w:p w14:paraId="066DD8B0" w14:textId="77777777" w:rsidR="00437528" w:rsidRPr="00437528" w:rsidRDefault="00437528" w:rsidP="00E53683">
      <w:pPr>
        <w:spacing w:after="0" w:line="240" w:lineRule="auto"/>
        <w:ind w:firstLine="567"/>
        <w:jc w:val="both"/>
        <w:rPr>
          <w:rFonts w:ascii="Times New Roman" w:eastAsia="Calibri" w:hAnsi="Times New Roman" w:cs="Times New Roman"/>
          <w:sz w:val="28"/>
          <w:szCs w:val="28"/>
        </w:rPr>
      </w:pPr>
    </w:p>
    <w:p w14:paraId="3F1E7C0E" w14:textId="2C308406" w:rsidR="00437528" w:rsidRPr="00437528" w:rsidRDefault="00437528" w:rsidP="00875616">
      <w:pPr>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 xml:space="preserve">Таким образом, проведенный корреляционный анализ лабораторных маркеров эффективности АСИТ в комплексе с витамином Д с наибольшей </w:t>
      </w:r>
      <w:r w:rsidRPr="00875616">
        <w:rPr>
          <w:rFonts w:ascii="Times New Roman" w:eastAsia="Calibri" w:hAnsi="Times New Roman" w:cs="Times New Roman"/>
          <w:sz w:val="28"/>
          <w:szCs w:val="28"/>
        </w:rPr>
        <w:t>прогностической значимостью выявил сильную обратно пропорциональную корреляцию общего балла тяжести симптомов с базовым уровнем витамина Д в крови (</w:t>
      </w:r>
      <w:r w:rsidRPr="00875616">
        <w:rPr>
          <w:rFonts w:ascii="Times New Roman" w:eastAsia="Calibri" w:hAnsi="Times New Roman" w:cs="Times New Roman"/>
          <w:sz w:val="28"/>
          <w:szCs w:val="28"/>
          <w:lang w:val="en-US"/>
        </w:rPr>
        <w:t>r</w:t>
      </w:r>
      <w:r w:rsidRPr="00875616">
        <w:rPr>
          <w:rFonts w:ascii="Times New Roman" w:eastAsia="Calibri" w:hAnsi="Times New Roman" w:cs="Times New Roman"/>
          <w:sz w:val="28"/>
          <w:szCs w:val="28"/>
        </w:rPr>
        <w:t>=-</w:t>
      </w:r>
      <w:r w:rsidR="00875616" w:rsidRPr="00875616">
        <w:rPr>
          <w:rFonts w:ascii="Times New Roman" w:eastAsia="Calibri" w:hAnsi="Times New Roman" w:cs="Times New Roman"/>
          <w:sz w:val="28"/>
          <w:szCs w:val="28"/>
        </w:rPr>
        <w:t>0,8</w:t>
      </w:r>
      <w:r w:rsidRPr="00875616">
        <w:rPr>
          <w:rFonts w:ascii="Times New Roman" w:eastAsia="Calibri" w:hAnsi="Times New Roman" w:cs="Times New Roman"/>
          <w:sz w:val="28"/>
          <w:szCs w:val="28"/>
        </w:rPr>
        <w:t xml:space="preserve">; </w:t>
      </w:r>
      <w:r w:rsidRPr="00875616">
        <w:rPr>
          <w:rFonts w:ascii="Times New Roman" w:eastAsia="Calibri" w:hAnsi="Times New Roman" w:cs="Times New Roman"/>
          <w:sz w:val="28"/>
          <w:szCs w:val="28"/>
          <w:lang w:val="en-US"/>
        </w:rPr>
        <w:t>p</w:t>
      </w:r>
      <w:r w:rsidR="006778DA">
        <w:rPr>
          <w:rFonts w:ascii="Times New Roman" w:eastAsia="Calibri" w:hAnsi="Times New Roman" w:cs="Times New Roman"/>
          <w:sz w:val="28"/>
          <w:szCs w:val="28"/>
        </w:rPr>
        <w:t>=</w:t>
      </w:r>
      <w:r w:rsidRPr="00875616">
        <w:rPr>
          <w:rFonts w:ascii="Times New Roman" w:eastAsia="Calibri" w:hAnsi="Times New Roman" w:cs="Times New Roman"/>
          <w:sz w:val="28"/>
          <w:szCs w:val="28"/>
        </w:rPr>
        <w:t>0,</w:t>
      </w:r>
      <w:r w:rsidR="006778DA">
        <w:rPr>
          <w:rFonts w:ascii="Times New Roman" w:eastAsia="Calibri" w:hAnsi="Times New Roman" w:cs="Times New Roman"/>
          <w:sz w:val="28"/>
          <w:szCs w:val="28"/>
        </w:rPr>
        <w:t>00000</w:t>
      </w:r>
      <w:r w:rsidRPr="00437528">
        <w:rPr>
          <w:rFonts w:ascii="Times New Roman" w:eastAsia="Calibri" w:hAnsi="Times New Roman" w:cs="Times New Roman"/>
          <w:sz w:val="28"/>
          <w:szCs w:val="28"/>
        </w:rPr>
        <w:t xml:space="preserve">). </w:t>
      </w:r>
      <w:r w:rsidR="006778DA" w:rsidRPr="00F70486">
        <w:rPr>
          <w:rFonts w:ascii="Times New Roman" w:eastAsia="Calibri" w:hAnsi="Times New Roman" w:cs="Times New Roman"/>
          <w:sz w:val="28"/>
          <w:szCs w:val="28"/>
        </w:rPr>
        <w:t xml:space="preserve">Сильную </w:t>
      </w:r>
      <w:r w:rsidR="006778DA" w:rsidRPr="003C78DF">
        <w:rPr>
          <w:rFonts w:ascii="Times New Roman" w:eastAsia="Calibri" w:hAnsi="Times New Roman" w:cs="Times New Roman"/>
          <w:sz w:val="28"/>
          <w:szCs w:val="28"/>
        </w:rPr>
        <w:t>положительную корреляционную связь общий балл тяжести симптомов имел с показателями общего иммуноглобулина Е (</w:t>
      </w:r>
      <w:r w:rsidR="006778DA" w:rsidRPr="003C78DF">
        <w:rPr>
          <w:rFonts w:ascii="Times New Roman" w:eastAsia="Calibri" w:hAnsi="Times New Roman" w:cs="Times New Roman"/>
          <w:sz w:val="28"/>
          <w:szCs w:val="28"/>
          <w:lang w:val="en-US"/>
        </w:rPr>
        <w:t>r</w:t>
      </w:r>
      <w:r w:rsidR="006778DA" w:rsidRPr="003C78DF">
        <w:rPr>
          <w:rFonts w:ascii="Times New Roman" w:eastAsia="Calibri" w:hAnsi="Times New Roman" w:cs="Times New Roman"/>
          <w:sz w:val="28"/>
          <w:szCs w:val="28"/>
        </w:rPr>
        <w:t xml:space="preserve">=0,9; </w:t>
      </w:r>
      <w:r w:rsidR="006778DA" w:rsidRPr="003C78DF">
        <w:rPr>
          <w:rFonts w:ascii="Times New Roman" w:eastAsia="Calibri" w:hAnsi="Times New Roman" w:cs="Times New Roman"/>
          <w:sz w:val="28"/>
          <w:szCs w:val="28"/>
          <w:lang w:val="en-US"/>
        </w:rPr>
        <w:t>p</w:t>
      </w:r>
      <w:r w:rsidR="006778DA" w:rsidRPr="003C78DF">
        <w:rPr>
          <w:rFonts w:ascii="Times New Roman" w:eastAsia="Calibri" w:hAnsi="Times New Roman" w:cs="Times New Roman"/>
          <w:sz w:val="28"/>
          <w:szCs w:val="28"/>
        </w:rPr>
        <w:t>=0,00000), эозинофильного катионного белка (</w:t>
      </w:r>
      <w:r w:rsidR="006778DA" w:rsidRPr="003C78DF">
        <w:rPr>
          <w:rFonts w:ascii="Times New Roman" w:eastAsia="Calibri" w:hAnsi="Times New Roman" w:cs="Times New Roman"/>
          <w:sz w:val="28"/>
          <w:szCs w:val="28"/>
          <w:lang w:val="en-US"/>
        </w:rPr>
        <w:t>r</w:t>
      </w:r>
      <w:r w:rsidR="006778DA" w:rsidRPr="003C78DF">
        <w:rPr>
          <w:rFonts w:ascii="Times New Roman" w:eastAsia="Calibri" w:hAnsi="Times New Roman" w:cs="Times New Roman"/>
          <w:sz w:val="28"/>
          <w:szCs w:val="28"/>
        </w:rPr>
        <w:t xml:space="preserve">=0,8; </w:t>
      </w:r>
      <w:r w:rsidR="006778DA" w:rsidRPr="003C78DF">
        <w:rPr>
          <w:rFonts w:ascii="Times New Roman" w:eastAsia="Calibri" w:hAnsi="Times New Roman" w:cs="Times New Roman"/>
          <w:sz w:val="28"/>
          <w:szCs w:val="28"/>
          <w:lang w:val="en-US"/>
        </w:rPr>
        <w:t>p</w:t>
      </w:r>
      <w:r w:rsidR="006778DA" w:rsidRPr="003C78DF">
        <w:rPr>
          <w:rFonts w:ascii="Times New Roman" w:eastAsia="Calibri" w:hAnsi="Times New Roman" w:cs="Times New Roman"/>
          <w:sz w:val="28"/>
          <w:szCs w:val="28"/>
        </w:rPr>
        <w:t>&lt;0,001), sIgE rPhlp1 (</w:t>
      </w:r>
      <w:r w:rsidR="006778DA" w:rsidRPr="003C78DF">
        <w:rPr>
          <w:rFonts w:ascii="Times New Roman" w:eastAsia="Calibri" w:hAnsi="Times New Roman" w:cs="Times New Roman"/>
          <w:sz w:val="28"/>
          <w:szCs w:val="28"/>
          <w:lang w:val="en-US"/>
        </w:rPr>
        <w:t>r</w:t>
      </w:r>
      <w:r w:rsidR="006778DA" w:rsidRPr="003C78DF">
        <w:rPr>
          <w:rFonts w:ascii="Times New Roman" w:eastAsia="Calibri" w:hAnsi="Times New Roman" w:cs="Times New Roman"/>
          <w:sz w:val="28"/>
          <w:szCs w:val="28"/>
        </w:rPr>
        <w:t xml:space="preserve">=0,7; </w:t>
      </w:r>
      <w:r w:rsidR="006778DA" w:rsidRPr="003C78DF">
        <w:rPr>
          <w:rFonts w:ascii="Times New Roman" w:eastAsia="Calibri" w:hAnsi="Times New Roman" w:cs="Times New Roman"/>
          <w:sz w:val="28"/>
          <w:szCs w:val="28"/>
          <w:lang w:val="en-US"/>
        </w:rPr>
        <w:t>p</w:t>
      </w:r>
      <w:r w:rsidR="006778DA" w:rsidRPr="003C78DF">
        <w:rPr>
          <w:rFonts w:ascii="Times New Roman" w:eastAsia="Calibri" w:hAnsi="Times New Roman" w:cs="Times New Roman"/>
          <w:sz w:val="28"/>
          <w:szCs w:val="28"/>
        </w:rPr>
        <w:t xml:space="preserve">&lt;0,0008), </w:t>
      </w:r>
      <w:r w:rsidR="006778DA" w:rsidRPr="003C78DF">
        <w:rPr>
          <w:rFonts w:ascii="Times New Roman" w:eastAsia="Calibri" w:hAnsi="Times New Roman" w:cs="Times New Roman"/>
          <w:sz w:val="28"/>
          <w:szCs w:val="28"/>
          <w:lang w:val="en-US"/>
        </w:rPr>
        <w:t>sIgE</w:t>
      </w:r>
      <w:r w:rsidR="006778DA" w:rsidRPr="003C78DF">
        <w:rPr>
          <w:rFonts w:ascii="Times New Roman" w:eastAsia="Calibri" w:hAnsi="Times New Roman" w:cs="Times New Roman"/>
          <w:sz w:val="28"/>
          <w:szCs w:val="28"/>
        </w:rPr>
        <w:t xml:space="preserve"> </w:t>
      </w:r>
      <w:r w:rsidR="006778DA" w:rsidRPr="003C78DF">
        <w:rPr>
          <w:rFonts w:ascii="Times New Roman" w:eastAsia="Calibri" w:hAnsi="Times New Roman" w:cs="Times New Roman"/>
          <w:sz w:val="28"/>
          <w:szCs w:val="28"/>
          <w:lang w:val="en-US"/>
        </w:rPr>
        <w:t>rPhlp</w:t>
      </w:r>
      <w:r w:rsidR="006778DA" w:rsidRPr="003C78DF">
        <w:rPr>
          <w:rFonts w:ascii="Times New Roman" w:eastAsia="Calibri" w:hAnsi="Times New Roman" w:cs="Times New Roman"/>
          <w:sz w:val="28"/>
          <w:szCs w:val="28"/>
        </w:rPr>
        <w:t>5 (</w:t>
      </w:r>
      <w:r w:rsidR="006778DA" w:rsidRPr="003C78DF">
        <w:rPr>
          <w:rFonts w:ascii="Times New Roman" w:eastAsia="Calibri" w:hAnsi="Times New Roman" w:cs="Times New Roman"/>
          <w:sz w:val="28"/>
          <w:szCs w:val="28"/>
          <w:lang w:val="en-US"/>
        </w:rPr>
        <w:t>r</w:t>
      </w:r>
      <w:r w:rsidR="006778DA" w:rsidRPr="003C78DF">
        <w:rPr>
          <w:rFonts w:ascii="Times New Roman" w:eastAsia="Calibri" w:hAnsi="Times New Roman" w:cs="Times New Roman"/>
          <w:sz w:val="28"/>
          <w:szCs w:val="28"/>
        </w:rPr>
        <w:t xml:space="preserve">=0,7; </w:t>
      </w:r>
      <w:r w:rsidR="006778DA" w:rsidRPr="003C78DF">
        <w:rPr>
          <w:rFonts w:ascii="Times New Roman" w:eastAsia="Calibri" w:hAnsi="Times New Roman" w:cs="Times New Roman"/>
          <w:sz w:val="28"/>
          <w:szCs w:val="28"/>
          <w:lang w:val="en-US"/>
        </w:rPr>
        <w:t>p</w:t>
      </w:r>
      <w:r w:rsidR="006778DA" w:rsidRPr="003C78DF">
        <w:rPr>
          <w:rFonts w:ascii="Times New Roman" w:eastAsia="Calibri" w:hAnsi="Times New Roman" w:cs="Times New Roman"/>
          <w:sz w:val="28"/>
          <w:szCs w:val="28"/>
        </w:rPr>
        <w:t xml:space="preserve">=0,1428), </w:t>
      </w:r>
      <w:r w:rsidR="006778DA" w:rsidRPr="003C78DF">
        <w:rPr>
          <w:rFonts w:ascii="Times New Roman" w:eastAsia="Calibri" w:hAnsi="Times New Roman" w:cs="Times New Roman"/>
          <w:sz w:val="28"/>
          <w:szCs w:val="28"/>
          <w:lang w:val="en-US"/>
        </w:rPr>
        <w:t>sIgE</w:t>
      </w:r>
      <w:r w:rsidR="006778DA" w:rsidRPr="003C78DF">
        <w:rPr>
          <w:rFonts w:ascii="Times New Roman" w:eastAsia="Calibri" w:hAnsi="Times New Roman" w:cs="Times New Roman"/>
          <w:sz w:val="28"/>
          <w:szCs w:val="28"/>
        </w:rPr>
        <w:t xml:space="preserve"> </w:t>
      </w:r>
      <w:r w:rsidR="006778DA" w:rsidRPr="003C78DF">
        <w:rPr>
          <w:rFonts w:ascii="Times New Roman" w:eastAsia="Calibri" w:hAnsi="Times New Roman" w:cs="Times New Roman"/>
          <w:sz w:val="28"/>
          <w:szCs w:val="28"/>
          <w:lang w:val="en-US"/>
        </w:rPr>
        <w:t>rBet</w:t>
      </w:r>
      <w:r w:rsidR="006778DA" w:rsidRPr="003C78DF">
        <w:rPr>
          <w:rFonts w:ascii="Times New Roman" w:eastAsia="Calibri" w:hAnsi="Times New Roman" w:cs="Times New Roman"/>
          <w:sz w:val="28"/>
          <w:szCs w:val="28"/>
        </w:rPr>
        <w:t xml:space="preserve"> </w:t>
      </w:r>
      <w:r w:rsidR="006778DA" w:rsidRPr="003C78DF">
        <w:rPr>
          <w:rFonts w:ascii="Times New Roman" w:eastAsia="Calibri" w:hAnsi="Times New Roman" w:cs="Times New Roman"/>
          <w:sz w:val="28"/>
          <w:szCs w:val="28"/>
          <w:lang w:val="en-US"/>
        </w:rPr>
        <w:t>v</w:t>
      </w:r>
      <w:r w:rsidR="006778DA" w:rsidRPr="003C78DF">
        <w:rPr>
          <w:rFonts w:ascii="Times New Roman" w:eastAsia="Calibri" w:hAnsi="Times New Roman" w:cs="Times New Roman"/>
          <w:sz w:val="28"/>
          <w:szCs w:val="28"/>
        </w:rPr>
        <w:t>1 (</w:t>
      </w:r>
      <w:r w:rsidR="006778DA" w:rsidRPr="003C78DF">
        <w:rPr>
          <w:rFonts w:ascii="Times New Roman" w:eastAsia="Calibri" w:hAnsi="Times New Roman" w:cs="Times New Roman"/>
          <w:sz w:val="28"/>
          <w:szCs w:val="28"/>
          <w:lang w:val="en-US"/>
        </w:rPr>
        <w:t>r</w:t>
      </w:r>
      <w:r w:rsidR="006778DA" w:rsidRPr="003C78DF">
        <w:rPr>
          <w:rFonts w:ascii="Times New Roman" w:eastAsia="Calibri" w:hAnsi="Times New Roman" w:cs="Times New Roman"/>
          <w:sz w:val="28"/>
          <w:szCs w:val="28"/>
        </w:rPr>
        <w:t xml:space="preserve">=0,7; </w:t>
      </w:r>
      <w:r w:rsidR="006778DA" w:rsidRPr="003C78DF">
        <w:rPr>
          <w:rFonts w:ascii="Times New Roman" w:eastAsia="Calibri" w:hAnsi="Times New Roman" w:cs="Times New Roman"/>
          <w:sz w:val="28"/>
          <w:szCs w:val="28"/>
          <w:lang w:val="en-US"/>
        </w:rPr>
        <w:t>p</w:t>
      </w:r>
      <w:r w:rsidR="006778DA" w:rsidRPr="003C78DF">
        <w:rPr>
          <w:rFonts w:ascii="Times New Roman" w:eastAsia="Calibri" w:hAnsi="Times New Roman" w:cs="Times New Roman"/>
          <w:sz w:val="28"/>
          <w:szCs w:val="28"/>
        </w:rPr>
        <w:t xml:space="preserve">=0,1866), </w:t>
      </w:r>
      <w:r w:rsidR="006778DA" w:rsidRPr="003C78DF">
        <w:rPr>
          <w:rFonts w:ascii="Times New Roman" w:eastAsia="Calibri" w:hAnsi="Times New Roman" w:cs="Times New Roman"/>
          <w:sz w:val="28"/>
          <w:szCs w:val="28"/>
          <w:lang w:val="en-US"/>
        </w:rPr>
        <w:t>sIgE</w:t>
      </w:r>
      <w:r w:rsidR="006778DA" w:rsidRPr="003C78DF">
        <w:rPr>
          <w:rFonts w:ascii="Times New Roman" w:eastAsia="Calibri" w:hAnsi="Times New Roman" w:cs="Times New Roman"/>
          <w:sz w:val="28"/>
          <w:szCs w:val="28"/>
        </w:rPr>
        <w:t xml:space="preserve"> </w:t>
      </w:r>
      <w:r w:rsidR="006778DA" w:rsidRPr="003C78DF">
        <w:rPr>
          <w:rFonts w:ascii="Times New Roman" w:eastAsia="Calibri" w:hAnsi="Times New Roman" w:cs="Times New Roman"/>
          <w:sz w:val="28"/>
          <w:szCs w:val="28"/>
          <w:lang w:val="en-US"/>
        </w:rPr>
        <w:t>nArt</w:t>
      </w:r>
      <w:r w:rsidR="006778DA" w:rsidRPr="003C78DF">
        <w:rPr>
          <w:rFonts w:ascii="Times New Roman" w:eastAsia="Calibri" w:hAnsi="Times New Roman" w:cs="Times New Roman"/>
          <w:sz w:val="28"/>
          <w:szCs w:val="28"/>
        </w:rPr>
        <w:t xml:space="preserve"> </w:t>
      </w:r>
      <w:r w:rsidR="006778DA" w:rsidRPr="003C78DF">
        <w:rPr>
          <w:rFonts w:ascii="Times New Roman" w:eastAsia="Calibri" w:hAnsi="Times New Roman" w:cs="Times New Roman"/>
          <w:sz w:val="28"/>
          <w:szCs w:val="28"/>
          <w:lang w:val="en-US"/>
        </w:rPr>
        <w:t>v</w:t>
      </w:r>
      <w:r w:rsidR="006778DA" w:rsidRPr="003C78DF">
        <w:rPr>
          <w:rFonts w:ascii="Times New Roman" w:eastAsia="Calibri" w:hAnsi="Times New Roman" w:cs="Times New Roman"/>
          <w:sz w:val="28"/>
          <w:szCs w:val="28"/>
        </w:rPr>
        <w:t>1 (</w:t>
      </w:r>
      <w:r w:rsidR="006778DA" w:rsidRPr="003C78DF">
        <w:rPr>
          <w:rFonts w:ascii="Times New Roman" w:eastAsia="Calibri" w:hAnsi="Times New Roman" w:cs="Times New Roman"/>
          <w:sz w:val="28"/>
          <w:szCs w:val="28"/>
          <w:lang w:val="en-US"/>
        </w:rPr>
        <w:t>r</w:t>
      </w:r>
      <w:r w:rsidR="006778DA" w:rsidRPr="003C78DF">
        <w:rPr>
          <w:rFonts w:ascii="Times New Roman" w:eastAsia="Calibri" w:hAnsi="Times New Roman" w:cs="Times New Roman"/>
          <w:sz w:val="28"/>
          <w:szCs w:val="28"/>
        </w:rPr>
        <w:t xml:space="preserve">=0,7; </w:t>
      </w:r>
      <w:r w:rsidR="006778DA" w:rsidRPr="003C78DF">
        <w:rPr>
          <w:rFonts w:ascii="Times New Roman" w:eastAsia="Calibri" w:hAnsi="Times New Roman" w:cs="Times New Roman"/>
          <w:sz w:val="28"/>
          <w:szCs w:val="28"/>
          <w:lang w:val="en-US"/>
        </w:rPr>
        <w:t>p</w:t>
      </w:r>
      <w:r w:rsidR="006778DA" w:rsidRPr="003C78DF">
        <w:rPr>
          <w:rFonts w:ascii="Times New Roman" w:eastAsia="Calibri" w:hAnsi="Times New Roman" w:cs="Times New Roman"/>
          <w:sz w:val="28"/>
          <w:szCs w:val="28"/>
        </w:rPr>
        <w:t>&lt;0,00001). Слабую положительную корреляционную связь общий балл тяжести симптомов имел с показателями</w:t>
      </w:r>
      <w:r w:rsidR="006778DA" w:rsidRPr="00437528">
        <w:rPr>
          <w:rFonts w:ascii="Times New Roman" w:eastAsia="Calibri" w:hAnsi="Times New Roman" w:cs="Times New Roman"/>
          <w:sz w:val="28"/>
          <w:szCs w:val="28"/>
        </w:rPr>
        <w:t xml:space="preserve"> sIgE nAmb </w:t>
      </w:r>
      <w:r w:rsidR="006778DA" w:rsidRPr="00875616">
        <w:rPr>
          <w:rFonts w:ascii="Times New Roman" w:eastAsia="Calibri" w:hAnsi="Times New Roman" w:cs="Times New Roman"/>
          <w:sz w:val="28"/>
          <w:szCs w:val="28"/>
        </w:rPr>
        <w:t>a1 (</w:t>
      </w:r>
      <w:r w:rsidR="006778DA" w:rsidRPr="00875616">
        <w:rPr>
          <w:rFonts w:ascii="Times New Roman" w:eastAsia="Calibri" w:hAnsi="Times New Roman" w:cs="Times New Roman"/>
          <w:sz w:val="28"/>
          <w:szCs w:val="28"/>
          <w:lang w:val="en-US"/>
        </w:rPr>
        <w:t>r</w:t>
      </w:r>
      <w:r w:rsidR="006778DA">
        <w:rPr>
          <w:rFonts w:ascii="Times New Roman" w:eastAsia="Calibri" w:hAnsi="Times New Roman" w:cs="Times New Roman"/>
          <w:sz w:val="28"/>
          <w:szCs w:val="28"/>
        </w:rPr>
        <w:t>=0,4; р=0,1066</w:t>
      </w:r>
      <w:r w:rsidR="006778DA" w:rsidRPr="00875616">
        <w:rPr>
          <w:rFonts w:ascii="Times New Roman" w:eastAsia="Calibri" w:hAnsi="Times New Roman" w:cs="Times New Roman"/>
          <w:sz w:val="28"/>
          <w:szCs w:val="28"/>
        </w:rPr>
        <w:t>)</w:t>
      </w:r>
      <w:r w:rsidR="006778DA">
        <w:rPr>
          <w:rFonts w:ascii="Times New Roman" w:eastAsia="Calibri" w:hAnsi="Times New Roman" w:cs="Times New Roman"/>
          <w:sz w:val="28"/>
          <w:szCs w:val="28"/>
        </w:rPr>
        <w:t>.</w:t>
      </w:r>
    </w:p>
    <w:p w14:paraId="0F89EDB2" w14:textId="419E8130" w:rsidR="00437528" w:rsidRPr="00437528" w:rsidRDefault="00437528" w:rsidP="004747FA">
      <w:pPr>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 xml:space="preserve">Сильная обратно пропорциональная корреляционная связь обнаружена между общим баллом качества жизни и базовым уровнем витамина Д в крови </w:t>
      </w:r>
      <w:r w:rsidR="00FA25FF" w:rsidRPr="00437528">
        <w:rPr>
          <w:rFonts w:ascii="Times New Roman" w:eastAsia="Calibri" w:hAnsi="Times New Roman" w:cs="Times New Roman"/>
          <w:sz w:val="28"/>
          <w:szCs w:val="28"/>
        </w:rPr>
        <w:t>(</w:t>
      </w:r>
      <w:r w:rsidR="00FA25FF" w:rsidRPr="00437528">
        <w:rPr>
          <w:rFonts w:ascii="Times New Roman" w:eastAsia="Calibri" w:hAnsi="Times New Roman" w:cs="Times New Roman"/>
          <w:sz w:val="28"/>
          <w:szCs w:val="28"/>
          <w:lang w:val="en-US"/>
        </w:rPr>
        <w:t>r</w:t>
      </w:r>
      <w:r w:rsidR="00FA25FF" w:rsidRPr="00437528">
        <w:rPr>
          <w:rFonts w:ascii="Times New Roman" w:eastAsia="Calibri" w:hAnsi="Times New Roman" w:cs="Times New Roman"/>
          <w:sz w:val="28"/>
          <w:szCs w:val="28"/>
        </w:rPr>
        <w:t xml:space="preserve">=-0,8; </w:t>
      </w:r>
      <w:r w:rsidR="00FA25FF" w:rsidRPr="00437528">
        <w:rPr>
          <w:rFonts w:ascii="Times New Roman" w:eastAsia="Calibri" w:hAnsi="Times New Roman" w:cs="Times New Roman"/>
          <w:sz w:val="28"/>
          <w:szCs w:val="28"/>
          <w:lang w:val="en-US"/>
        </w:rPr>
        <w:t>p</w:t>
      </w:r>
      <w:r w:rsidR="0058460F">
        <w:rPr>
          <w:rFonts w:ascii="Times New Roman" w:eastAsia="Calibri" w:hAnsi="Times New Roman" w:cs="Times New Roman"/>
          <w:sz w:val="28"/>
          <w:szCs w:val="28"/>
        </w:rPr>
        <w:t>=</w:t>
      </w:r>
      <w:r w:rsidR="00FA25FF">
        <w:rPr>
          <w:rFonts w:ascii="Times New Roman" w:eastAsia="Calibri" w:hAnsi="Times New Roman" w:cs="Times New Roman"/>
          <w:sz w:val="28"/>
          <w:szCs w:val="28"/>
        </w:rPr>
        <w:t>0,00</w:t>
      </w:r>
      <w:r w:rsidR="0058460F">
        <w:rPr>
          <w:rFonts w:ascii="Times New Roman" w:eastAsia="Calibri" w:hAnsi="Times New Roman" w:cs="Times New Roman"/>
          <w:sz w:val="28"/>
          <w:szCs w:val="28"/>
        </w:rPr>
        <w:t>000</w:t>
      </w:r>
      <w:r w:rsidR="004747FA" w:rsidRPr="004747FA">
        <w:rPr>
          <w:rFonts w:ascii="Times New Roman" w:eastAsia="Calibri" w:hAnsi="Times New Roman" w:cs="Times New Roman"/>
          <w:sz w:val="28"/>
          <w:szCs w:val="28"/>
        </w:rPr>
        <w:t xml:space="preserve"> </w:t>
      </w:r>
      <w:r w:rsidR="004747FA" w:rsidRPr="003C78DF">
        <w:rPr>
          <w:rFonts w:ascii="Times New Roman" w:eastAsia="Calibri" w:hAnsi="Times New Roman" w:cs="Times New Roman"/>
          <w:sz w:val="28"/>
          <w:szCs w:val="28"/>
        </w:rPr>
        <w:t>Сильную положительную корреляционную связь общий балл тяжести симптомов имел с показателями общего иммуноглобулина Е (</w:t>
      </w:r>
      <w:r w:rsidR="004747FA" w:rsidRPr="003C78DF">
        <w:rPr>
          <w:rFonts w:ascii="Times New Roman" w:eastAsia="Calibri" w:hAnsi="Times New Roman" w:cs="Times New Roman"/>
          <w:sz w:val="28"/>
          <w:szCs w:val="28"/>
          <w:lang w:val="en-US"/>
        </w:rPr>
        <w:t>r</w:t>
      </w:r>
      <w:r w:rsidR="004747FA" w:rsidRPr="003C78DF">
        <w:rPr>
          <w:rFonts w:ascii="Times New Roman" w:eastAsia="Calibri" w:hAnsi="Times New Roman" w:cs="Times New Roman"/>
          <w:sz w:val="28"/>
          <w:szCs w:val="28"/>
        </w:rPr>
        <w:t xml:space="preserve">=0,9; </w:t>
      </w:r>
      <w:r w:rsidR="004747FA" w:rsidRPr="003C78DF">
        <w:rPr>
          <w:rFonts w:ascii="Times New Roman" w:eastAsia="Calibri" w:hAnsi="Times New Roman" w:cs="Times New Roman"/>
          <w:sz w:val="28"/>
          <w:szCs w:val="28"/>
          <w:lang w:val="en-US"/>
        </w:rPr>
        <w:t>p</w:t>
      </w:r>
      <w:r w:rsidR="004747FA" w:rsidRPr="003C78DF">
        <w:rPr>
          <w:rFonts w:ascii="Times New Roman" w:eastAsia="Calibri" w:hAnsi="Times New Roman" w:cs="Times New Roman"/>
          <w:sz w:val="28"/>
          <w:szCs w:val="28"/>
        </w:rPr>
        <w:t>&lt;0,00000), эозинофильного катионного белка (</w:t>
      </w:r>
      <w:r w:rsidR="004747FA" w:rsidRPr="003C78DF">
        <w:rPr>
          <w:rFonts w:ascii="Times New Roman" w:eastAsia="Calibri" w:hAnsi="Times New Roman" w:cs="Times New Roman"/>
          <w:sz w:val="28"/>
          <w:szCs w:val="28"/>
          <w:lang w:val="en-US"/>
        </w:rPr>
        <w:t>r</w:t>
      </w:r>
      <w:r w:rsidR="004747FA" w:rsidRPr="003C78DF">
        <w:rPr>
          <w:rFonts w:ascii="Times New Roman" w:eastAsia="Calibri" w:hAnsi="Times New Roman" w:cs="Times New Roman"/>
          <w:sz w:val="28"/>
          <w:szCs w:val="28"/>
        </w:rPr>
        <w:t xml:space="preserve">=0,8; </w:t>
      </w:r>
      <w:r w:rsidR="004747FA" w:rsidRPr="003C78DF">
        <w:rPr>
          <w:rFonts w:ascii="Times New Roman" w:eastAsia="Calibri" w:hAnsi="Times New Roman" w:cs="Times New Roman"/>
          <w:sz w:val="28"/>
          <w:szCs w:val="28"/>
          <w:lang w:val="en-US"/>
        </w:rPr>
        <w:t>p</w:t>
      </w:r>
      <w:r w:rsidR="004747FA" w:rsidRPr="003C78DF">
        <w:rPr>
          <w:rFonts w:ascii="Times New Roman" w:eastAsia="Calibri" w:hAnsi="Times New Roman" w:cs="Times New Roman"/>
          <w:sz w:val="28"/>
          <w:szCs w:val="28"/>
        </w:rPr>
        <w:t>&lt;0,00000), sIgE rPhlp1 (</w:t>
      </w:r>
      <w:r w:rsidR="004747FA" w:rsidRPr="003C78DF">
        <w:rPr>
          <w:rFonts w:ascii="Times New Roman" w:eastAsia="Calibri" w:hAnsi="Times New Roman" w:cs="Times New Roman"/>
          <w:sz w:val="28"/>
          <w:szCs w:val="28"/>
          <w:lang w:val="en-US"/>
        </w:rPr>
        <w:t>r</w:t>
      </w:r>
      <w:r w:rsidR="004747FA" w:rsidRPr="003C78DF">
        <w:rPr>
          <w:rFonts w:ascii="Times New Roman" w:eastAsia="Calibri" w:hAnsi="Times New Roman" w:cs="Times New Roman"/>
          <w:sz w:val="28"/>
          <w:szCs w:val="28"/>
        </w:rPr>
        <w:t xml:space="preserve">=0,7; </w:t>
      </w:r>
      <w:r w:rsidR="004747FA" w:rsidRPr="003C78DF">
        <w:rPr>
          <w:rFonts w:ascii="Times New Roman" w:eastAsia="Calibri" w:hAnsi="Times New Roman" w:cs="Times New Roman"/>
          <w:sz w:val="28"/>
          <w:szCs w:val="28"/>
          <w:lang w:val="en-US"/>
        </w:rPr>
        <w:t>p</w:t>
      </w:r>
      <w:r w:rsidR="004747FA">
        <w:rPr>
          <w:rFonts w:ascii="Times New Roman" w:eastAsia="Calibri" w:hAnsi="Times New Roman" w:cs="Times New Roman"/>
          <w:sz w:val="28"/>
          <w:szCs w:val="28"/>
        </w:rPr>
        <w:t>&lt;0,0003</w:t>
      </w:r>
      <w:r w:rsidR="004747FA" w:rsidRPr="003C78DF">
        <w:rPr>
          <w:rFonts w:ascii="Times New Roman" w:eastAsia="Calibri" w:hAnsi="Times New Roman" w:cs="Times New Roman"/>
          <w:sz w:val="28"/>
          <w:szCs w:val="28"/>
        </w:rPr>
        <w:t xml:space="preserve">), </w:t>
      </w:r>
      <w:r w:rsidR="004747FA" w:rsidRPr="003C78DF">
        <w:rPr>
          <w:rFonts w:ascii="Times New Roman" w:eastAsia="Calibri" w:hAnsi="Times New Roman" w:cs="Times New Roman"/>
          <w:sz w:val="28"/>
          <w:szCs w:val="28"/>
          <w:lang w:val="en-US"/>
        </w:rPr>
        <w:t>sIgE</w:t>
      </w:r>
      <w:r w:rsidR="004747FA" w:rsidRPr="003C78DF">
        <w:rPr>
          <w:rFonts w:ascii="Times New Roman" w:eastAsia="Calibri" w:hAnsi="Times New Roman" w:cs="Times New Roman"/>
          <w:sz w:val="28"/>
          <w:szCs w:val="28"/>
        </w:rPr>
        <w:t xml:space="preserve"> </w:t>
      </w:r>
      <w:r w:rsidR="004747FA" w:rsidRPr="003C78DF">
        <w:rPr>
          <w:rFonts w:ascii="Times New Roman" w:eastAsia="Calibri" w:hAnsi="Times New Roman" w:cs="Times New Roman"/>
          <w:sz w:val="28"/>
          <w:szCs w:val="28"/>
          <w:lang w:val="en-US"/>
        </w:rPr>
        <w:t>rPhlp</w:t>
      </w:r>
      <w:r w:rsidR="004747FA" w:rsidRPr="003C78DF">
        <w:rPr>
          <w:rFonts w:ascii="Times New Roman" w:eastAsia="Calibri" w:hAnsi="Times New Roman" w:cs="Times New Roman"/>
          <w:sz w:val="28"/>
          <w:szCs w:val="28"/>
        </w:rPr>
        <w:t>5 (</w:t>
      </w:r>
      <w:r w:rsidR="004747FA" w:rsidRPr="003C78DF">
        <w:rPr>
          <w:rFonts w:ascii="Times New Roman" w:eastAsia="Calibri" w:hAnsi="Times New Roman" w:cs="Times New Roman"/>
          <w:sz w:val="28"/>
          <w:szCs w:val="28"/>
          <w:lang w:val="en-US"/>
        </w:rPr>
        <w:t>r</w:t>
      </w:r>
      <w:r w:rsidR="004747FA" w:rsidRPr="003C78DF">
        <w:rPr>
          <w:rFonts w:ascii="Times New Roman" w:eastAsia="Calibri" w:hAnsi="Times New Roman" w:cs="Times New Roman"/>
          <w:sz w:val="28"/>
          <w:szCs w:val="28"/>
        </w:rPr>
        <w:t xml:space="preserve">=0,7; </w:t>
      </w:r>
      <w:r w:rsidR="004747FA" w:rsidRPr="003C78DF">
        <w:rPr>
          <w:rFonts w:ascii="Times New Roman" w:eastAsia="Calibri" w:hAnsi="Times New Roman" w:cs="Times New Roman"/>
          <w:sz w:val="28"/>
          <w:szCs w:val="28"/>
          <w:lang w:val="en-US"/>
        </w:rPr>
        <w:t>p</w:t>
      </w:r>
      <w:r w:rsidR="004747FA" w:rsidRPr="003C78DF">
        <w:rPr>
          <w:rFonts w:ascii="Times New Roman" w:eastAsia="Calibri" w:hAnsi="Times New Roman" w:cs="Times New Roman"/>
          <w:sz w:val="28"/>
          <w:szCs w:val="28"/>
        </w:rPr>
        <w:t>=0,</w:t>
      </w:r>
      <w:r w:rsidR="004747FA">
        <w:rPr>
          <w:rFonts w:ascii="Times New Roman" w:eastAsia="Calibri" w:hAnsi="Times New Roman" w:cs="Times New Roman"/>
          <w:sz w:val="28"/>
          <w:szCs w:val="28"/>
        </w:rPr>
        <w:t>0499</w:t>
      </w:r>
      <w:r w:rsidR="004747FA" w:rsidRPr="003C78DF">
        <w:rPr>
          <w:rFonts w:ascii="Times New Roman" w:eastAsia="Calibri" w:hAnsi="Times New Roman" w:cs="Times New Roman"/>
          <w:sz w:val="28"/>
          <w:szCs w:val="28"/>
        </w:rPr>
        <w:t xml:space="preserve">), </w:t>
      </w:r>
      <w:r w:rsidR="004747FA" w:rsidRPr="003C78DF">
        <w:rPr>
          <w:rFonts w:ascii="Times New Roman" w:eastAsia="Calibri" w:hAnsi="Times New Roman" w:cs="Times New Roman"/>
          <w:sz w:val="28"/>
          <w:szCs w:val="28"/>
          <w:lang w:val="en-US"/>
        </w:rPr>
        <w:t>sIgE</w:t>
      </w:r>
      <w:r w:rsidR="004747FA" w:rsidRPr="003C78DF">
        <w:rPr>
          <w:rFonts w:ascii="Times New Roman" w:eastAsia="Calibri" w:hAnsi="Times New Roman" w:cs="Times New Roman"/>
          <w:sz w:val="28"/>
          <w:szCs w:val="28"/>
        </w:rPr>
        <w:t xml:space="preserve"> </w:t>
      </w:r>
      <w:r w:rsidR="004747FA" w:rsidRPr="003C78DF">
        <w:rPr>
          <w:rFonts w:ascii="Times New Roman" w:eastAsia="Calibri" w:hAnsi="Times New Roman" w:cs="Times New Roman"/>
          <w:sz w:val="28"/>
          <w:szCs w:val="28"/>
          <w:lang w:val="en-US"/>
        </w:rPr>
        <w:t>rBet</w:t>
      </w:r>
      <w:r w:rsidR="004747FA" w:rsidRPr="003C78DF">
        <w:rPr>
          <w:rFonts w:ascii="Times New Roman" w:eastAsia="Calibri" w:hAnsi="Times New Roman" w:cs="Times New Roman"/>
          <w:sz w:val="28"/>
          <w:szCs w:val="28"/>
        </w:rPr>
        <w:t xml:space="preserve"> </w:t>
      </w:r>
      <w:r w:rsidR="004747FA" w:rsidRPr="003C78DF">
        <w:rPr>
          <w:rFonts w:ascii="Times New Roman" w:eastAsia="Calibri" w:hAnsi="Times New Roman" w:cs="Times New Roman"/>
          <w:sz w:val="28"/>
          <w:szCs w:val="28"/>
          <w:lang w:val="en-US"/>
        </w:rPr>
        <w:t>v</w:t>
      </w:r>
      <w:r w:rsidR="004747FA" w:rsidRPr="003C78DF">
        <w:rPr>
          <w:rFonts w:ascii="Times New Roman" w:eastAsia="Calibri" w:hAnsi="Times New Roman" w:cs="Times New Roman"/>
          <w:sz w:val="28"/>
          <w:szCs w:val="28"/>
        </w:rPr>
        <w:t>1 (</w:t>
      </w:r>
      <w:r w:rsidR="004747FA" w:rsidRPr="003C78DF">
        <w:rPr>
          <w:rFonts w:ascii="Times New Roman" w:eastAsia="Calibri" w:hAnsi="Times New Roman" w:cs="Times New Roman"/>
          <w:sz w:val="28"/>
          <w:szCs w:val="28"/>
          <w:lang w:val="en-US"/>
        </w:rPr>
        <w:t>r</w:t>
      </w:r>
      <w:r w:rsidR="004747FA" w:rsidRPr="003C78DF">
        <w:rPr>
          <w:rFonts w:ascii="Times New Roman" w:eastAsia="Calibri" w:hAnsi="Times New Roman" w:cs="Times New Roman"/>
          <w:sz w:val="28"/>
          <w:szCs w:val="28"/>
        </w:rPr>
        <w:t xml:space="preserve">=0,7; </w:t>
      </w:r>
      <w:r w:rsidR="004747FA" w:rsidRPr="003C78DF">
        <w:rPr>
          <w:rFonts w:ascii="Times New Roman" w:eastAsia="Calibri" w:hAnsi="Times New Roman" w:cs="Times New Roman"/>
          <w:sz w:val="28"/>
          <w:szCs w:val="28"/>
          <w:lang w:val="en-US"/>
        </w:rPr>
        <w:t>p</w:t>
      </w:r>
      <w:r w:rsidR="004747FA" w:rsidRPr="003C78DF">
        <w:rPr>
          <w:rFonts w:ascii="Times New Roman" w:eastAsia="Calibri" w:hAnsi="Times New Roman" w:cs="Times New Roman"/>
          <w:sz w:val="28"/>
          <w:szCs w:val="28"/>
        </w:rPr>
        <w:t>=0,1</w:t>
      </w:r>
      <w:r w:rsidR="004747FA">
        <w:rPr>
          <w:rFonts w:ascii="Times New Roman" w:eastAsia="Calibri" w:hAnsi="Times New Roman" w:cs="Times New Roman"/>
          <w:sz w:val="28"/>
          <w:szCs w:val="28"/>
        </w:rPr>
        <w:t>910</w:t>
      </w:r>
      <w:r w:rsidR="004747FA" w:rsidRPr="003C78DF">
        <w:rPr>
          <w:rFonts w:ascii="Times New Roman" w:eastAsia="Calibri" w:hAnsi="Times New Roman" w:cs="Times New Roman"/>
          <w:sz w:val="28"/>
          <w:szCs w:val="28"/>
        </w:rPr>
        <w:t xml:space="preserve">), </w:t>
      </w:r>
      <w:r w:rsidR="004747FA" w:rsidRPr="003C78DF">
        <w:rPr>
          <w:rFonts w:ascii="Times New Roman" w:eastAsia="Calibri" w:hAnsi="Times New Roman" w:cs="Times New Roman"/>
          <w:sz w:val="28"/>
          <w:szCs w:val="28"/>
          <w:lang w:val="en-US"/>
        </w:rPr>
        <w:t>sIgE</w:t>
      </w:r>
      <w:r w:rsidR="004747FA" w:rsidRPr="003C78DF">
        <w:rPr>
          <w:rFonts w:ascii="Times New Roman" w:eastAsia="Calibri" w:hAnsi="Times New Roman" w:cs="Times New Roman"/>
          <w:sz w:val="28"/>
          <w:szCs w:val="28"/>
        </w:rPr>
        <w:t xml:space="preserve"> </w:t>
      </w:r>
      <w:r w:rsidR="004747FA" w:rsidRPr="003C78DF">
        <w:rPr>
          <w:rFonts w:ascii="Times New Roman" w:eastAsia="Calibri" w:hAnsi="Times New Roman" w:cs="Times New Roman"/>
          <w:sz w:val="28"/>
          <w:szCs w:val="28"/>
          <w:lang w:val="en-US"/>
        </w:rPr>
        <w:t>nArt</w:t>
      </w:r>
      <w:r w:rsidR="004747FA" w:rsidRPr="003C78DF">
        <w:rPr>
          <w:rFonts w:ascii="Times New Roman" w:eastAsia="Calibri" w:hAnsi="Times New Roman" w:cs="Times New Roman"/>
          <w:sz w:val="28"/>
          <w:szCs w:val="28"/>
        </w:rPr>
        <w:t xml:space="preserve"> </w:t>
      </w:r>
      <w:r w:rsidR="004747FA" w:rsidRPr="003C78DF">
        <w:rPr>
          <w:rFonts w:ascii="Times New Roman" w:eastAsia="Calibri" w:hAnsi="Times New Roman" w:cs="Times New Roman"/>
          <w:sz w:val="28"/>
          <w:szCs w:val="28"/>
          <w:lang w:val="en-US"/>
        </w:rPr>
        <w:t>v</w:t>
      </w:r>
      <w:r w:rsidR="004747FA" w:rsidRPr="003C78DF">
        <w:rPr>
          <w:rFonts w:ascii="Times New Roman" w:eastAsia="Calibri" w:hAnsi="Times New Roman" w:cs="Times New Roman"/>
          <w:sz w:val="28"/>
          <w:szCs w:val="28"/>
        </w:rPr>
        <w:t>1 (</w:t>
      </w:r>
      <w:r w:rsidR="004747FA" w:rsidRPr="003C78DF">
        <w:rPr>
          <w:rFonts w:ascii="Times New Roman" w:eastAsia="Calibri" w:hAnsi="Times New Roman" w:cs="Times New Roman"/>
          <w:sz w:val="28"/>
          <w:szCs w:val="28"/>
          <w:lang w:val="en-US"/>
        </w:rPr>
        <w:t>r</w:t>
      </w:r>
      <w:r w:rsidR="004747FA" w:rsidRPr="003C78DF">
        <w:rPr>
          <w:rFonts w:ascii="Times New Roman" w:eastAsia="Calibri" w:hAnsi="Times New Roman" w:cs="Times New Roman"/>
          <w:sz w:val="28"/>
          <w:szCs w:val="28"/>
        </w:rPr>
        <w:t xml:space="preserve">=0,7; </w:t>
      </w:r>
      <w:r w:rsidR="004747FA" w:rsidRPr="003C78DF">
        <w:rPr>
          <w:rFonts w:ascii="Times New Roman" w:eastAsia="Calibri" w:hAnsi="Times New Roman" w:cs="Times New Roman"/>
          <w:sz w:val="28"/>
          <w:szCs w:val="28"/>
          <w:lang w:val="en-US"/>
        </w:rPr>
        <w:t>p</w:t>
      </w:r>
      <w:r w:rsidR="004747FA" w:rsidRPr="003C78DF">
        <w:rPr>
          <w:rFonts w:ascii="Times New Roman" w:eastAsia="Calibri" w:hAnsi="Times New Roman" w:cs="Times New Roman"/>
          <w:sz w:val="28"/>
          <w:szCs w:val="28"/>
        </w:rPr>
        <w:t>&lt;0,00</w:t>
      </w:r>
      <w:r w:rsidR="004747FA">
        <w:rPr>
          <w:rFonts w:ascii="Times New Roman" w:eastAsia="Calibri" w:hAnsi="Times New Roman" w:cs="Times New Roman"/>
          <w:sz w:val="28"/>
          <w:szCs w:val="28"/>
        </w:rPr>
        <w:t>00</w:t>
      </w:r>
      <w:r w:rsidR="004747FA" w:rsidRPr="003C78DF">
        <w:rPr>
          <w:rFonts w:ascii="Times New Roman" w:eastAsia="Calibri" w:hAnsi="Times New Roman" w:cs="Times New Roman"/>
          <w:sz w:val="28"/>
          <w:szCs w:val="28"/>
        </w:rPr>
        <w:t>1). Слабую положительную корреляционную связь общий балл</w:t>
      </w:r>
      <w:r w:rsidR="004747FA" w:rsidRPr="00437528">
        <w:rPr>
          <w:rFonts w:ascii="Times New Roman" w:eastAsia="Calibri" w:hAnsi="Times New Roman" w:cs="Times New Roman"/>
          <w:sz w:val="28"/>
          <w:szCs w:val="28"/>
        </w:rPr>
        <w:t xml:space="preserve"> качества жизни имел с показателями sIgE nAmb a1 (</w:t>
      </w:r>
      <w:r w:rsidR="004747FA" w:rsidRPr="00437528">
        <w:rPr>
          <w:rFonts w:ascii="Times New Roman" w:eastAsia="Calibri" w:hAnsi="Times New Roman" w:cs="Times New Roman"/>
          <w:sz w:val="28"/>
          <w:szCs w:val="28"/>
          <w:lang w:val="en-US"/>
        </w:rPr>
        <w:t>r</w:t>
      </w:r>
      <w:r w:rsidR="004747FA">
        <w:rPr>
          <w:rFonts w:ascii="Times New Roman" w:eastAsia="Calibri" w:hAnsi="Times New Roman" w:cs="Times New Roman"/>
          <w:sz w:val="28"/>
          <w:szCs w:val="28"/>
        </w:rPr>
        <w:t>=0,1</w:t>
      </w:r>
      <w:r w:rsidR="004747FA" w:rsidRPr="00AB353E">
        <w:rPr>
          <w:rFonts w:ascii="Times New Roman" w:eastAsia="Calibri" w:hAnsi="Times New Roman" w:cs="Times New Roman"/>
          <w:sz w:val="28"/>
          <w:szCs w:val="28"/>
        </w:rPr>
        <w:t xml:space="preserve">; </w:t>
      </w:r>
      <w:r w:rsidR="004747FA" w:rsidRPr="00AB353E">
        <w:rPr>
          <w:rFonts w:ascii="Times New Roman" w:eastAsia="Calibri" w:hAnsi="Times New Roman" w:cs="Times New Roman"/>
          <w:sz w:val="28"/>
          <w:szCs w:val="28"/>
          <w:lang w:val="en-US"/>
        </w:rPr>
        <w:t>p</w:t>
      </w:r>
      <w:r w:rsidR="004747FA" w:rsidRPr="00AB353E">
        <w:rPr>
          <w:rFonts w:ascii="Times New Roman" w:eastAsia="Calibri" w:hAnsi="Times New Roman" w:cs="Times New Roman"/>
          <w:sz w:val="28"/>
          <w:szCs w:val="28"/>
        </w:rPr>
        <w:t>=</w:t>
      </w:r>
      <w:r w:rsidR="004747FA">
        <w:rPr>
          <w:rFonts w:ascii="Times New Roman" w:eastAsia="Calibri" w:hAnsi="Times New Roman" w:cs="Times New Roman"/>
          <w:sz w:val="28"/>
          <w:szCs w:val="28"/>
        </w:rPr>
        <w:t>0,6780</w:t>
      </w:r>
      <w:r w:rsidR="004747FA" w:rsidRPr="00437528">
        <w:rPr>
          <w:rFonts w:ascii="Times New Roman" w:eastAsia="Calibri" w:hAnsi="Times New Roman" w:cs="Times New Roman"/>
          <w:sz w:val="28"/>
          <w:szCs w:val="28"/>
        </w:rPr>
        <w:t>)</w:t>
      </w:r>
      <w:r w:rsidR="00FA25FF" w:rsidRPr="00437528">
        <w:rPr>
          <w:rFonts w:ascii="Times New Roman" w:eastAsia="Calibri" w:hAnsi="Times New Roman" w:cs="Times New Roman"/>
          <w:sz w:val="28"/>
          <w:szCs w:val="28"/>
        </w:rPr>
        <w:t xml:space="preserve">. </w:t>
      </w:r>
    </w:p>
    <w:p w14:paraId="2AF28B1B" w14:textId="7CEEFFB8" w:rsidR="00437528" w:rsidRPr="00A50362" w:rsidRDefault="00437528" w:rsidP="00E53683">
      <w:pPr>
        <w:spacing w:after="0" w:line="240" w:lineRule="auto"/>
        <w:ind w:firstLine="567"/>
        <w:jc w:val="both"/>
        <w:rPr>
          <w:rFonts w:ascii="Times New Roman" w:eastAsia="Calibri" w:hAnsi="Times New Roman" w:cs="Times New Roman"/>
          <w:strike/>
          <w:sz w:val="28"/>
          <w:szCs w:val="28"/>
        </w:rPr>
      </w:pPr>
      <w:r w:rsidRPr="00437528">
        <w:rPr>
          <w:rFonts w:ascii="Times New Roman" w:eastAsia="Calibri" w:hAnsi="Times New Roman" w:cs="Times New Roman"/>
          <w:sz w:val="28"/>
          <w:szCs w:val="28"/>
        </w:rPr>
        <w:t xml:space="preserve">Резюмируя данный раздел исследования, мы сделали вывод, что степень тяжести </w:t>
      </w:r>
      <w:r w:rsidRPr="007F2062">
        <w:rPr>
          <w:rFonts w:ascii="Times New Roman" w:eastAsia="Calibri" w:hAnsi="Times New Roman" w:cs="Times New Roman"/>
          <w:sz w:val="28"/>
          <w:szCs w:val="28"/>
        </w:rPr>
        <w:t xml:space="preserve">аллергического ринита </w:t>
      </w:r>
      <w:r w:rsidR="007D0AEF" w:rsidRPr="007F2062">
        <w:rPr>
          <w:rFonts w:ascii="Times New Roman" w:eastAsia="Calibri" w:hAnsi="Times New Roman" w:cs="Times New Roman"/>
          <w:sz w:val="28"/>
          <w:szCs w:val="28"/>
        </w:rPr>
        <w:t>связана с</w:t>
      </w:r>
      <w:r w:rsidRPr="007F2062">
        <w:rPr>
          <w:rFonts w:ascii="Times New Roman" w:eastAsia="Calibri" w:hAnsi="Times New Roman" w:cs="Times New Roman"/>
          <w:sz w:val="28"/>
          <w:szCs w:val="28"/>
        </w:rPr>
        <w:t xml:space="preserve"> базовы</w:t>
      </w:r>
      <w:r w:rsidR="007D0AEF" w:rsidRPr="007F2062">
        <w:rPr>
          <w:rFonts w:ascii="Times New Roman" w:eastAsia="Calibri" w:hAnsi="Times New Roman" w:cs="Times New Roman"/>
          <w:sz w:val="28"/>
          <w:szCs w:val="28"/>
        </w:rPr>
        <w:t>м</w:t>
      </w:r>
      <w:r w:rsidRPr="007F2062">
        <w:rPr>
          <w:rFonts w:ascii="Times New Roman" w:eastAsia="Calibri" w:hAnsi="Times New Roman" w:cs="Times New Roman"/>
          <w:sz w:val="28"/>
          <w:szCs w:val="28"/>
        </w:rPr>
        <w:t xml:space="preserve"> уров</w:t>
      </w:r>
      <w:r w:rsidR="007D0AEF" w:rsidRPr="007F2062">
        <w:rPr>
          <w:rFonts w:ascii="Times New Roman" w:eastAsia="Calibri" w:hAnsi="Times New Roman" w:cs="Times New Roman"/>
          <w:sz w:val="28"/>
          <w:szCs w:val="28"/>
        </w:rPr>
        <w:t>нем</w:t>
      </w:r>
      <w:r w:rsidRPr="007F2062">
        <w:rPr>
          <w:rFonts w:ascii="Times New Roman" w:eastAsia="Calibri" w:hAnsi="Times New Roman" w:cs="Times New Roman"/>
          <w:sz w:val="28"/>
          <w:szCs w:val="28"/>
        </w:rPr>
        <w:t xml:space="preserve"> эозинофильного катионного белка, общего и специфического иммуноглобулина Е так, что данные показатели имели более высокие значения при нарастании степени тяжести заболевания.</w:t>
      </w:r>
      <w:r w:rsidR="0007459B">
        <w:rPr>
          <w:rFonts w:ascii="Times New Roman" w:eastAsia="Calibri" w:hAnsi="Times New Roman" w:cs="Times New Roman"/>
          <w:sz w:val="28"/>
          <w:szCs w:val="28"/>
        </w:rPr>
        <w:t xml:space="preserve"> </w:t>
      </w:r>
      <w:r w:rsidR="00883670" w:rsidRPr="007F2062">
        <w:rPr>
          <w:rFonts w:ascii="Times New Roman" w:eastAsia="Calibri" w:hAnsi="Times New Roman" w:cs="Times New Roman"/>
          <w:sz w:val="28"/>
          <w:szCs w:val="28"/>
        </w:rPr>
        <w:t>Помимо этого, м</w:t>
      </w:r>
      <w:r w:rsidRPr="007F2062">
        <w:rPr>
          <w:rFonts w:ascii="Times New Roman" w:eastAsia="Calibri" w:hAnsi="Times New Roman" w:cs="Times New Roman"/>
          <w:sz w:val="28"/>
          <w:szCs w:val="28"/>
        </w:rPr>
        <w:t xml:space="preserve">ы обнаружили, что базовый уровень витамина Д в крови </w:t>
      </w:r>
      <w:r w:rsidR="00A50362" w:rsidRPr="007F2062">
        <w:rPr>
          <w:rFonts w:ascii="Times New Roman" w:eastAsia="Calibri" w:hAnsi="Times New Roman" w:cs="Times New Roman"/>
          <w:sz w:val="28"/>
          <w:szCs w:val="28"/>
        </w:rPr>
        <w:t xml:space="preserve">был </w:t>
      </w:r>
      <w:r w:rsidR="00883670" w:rsidRPr="007F2062">
        <w:rPr>
          <w:rFonts w:ascii="Times New Roman" w:eastAsia="Calibri" w:hAnsi="Times New Roman" w:cs="Times New Roman"/>
          <w:sz w:val="28"/>
          <w:szCs w:val="28"/>
        </w:rPr>
        <w:t xml:space="preserve">также сильно </w:t>
      </w:r>
      <w:r w:rsidR="00A50362" w:rsidRPr="007F2062">
        <w:rPr>
          <w:rFonts w:ascii="Times New Roman" w:eastAsia="Calibri" w:hAnsi="Times New Roman" w:cs="Times New Roman"/>
          <w:sz w:val="28"/>
          <w:szCs w:val="28"/>
        </w:rPr>
        <w:t xml:space="preserve">связан с </w:t>
      </w:r>
      <w:r w:rsidRPr="007F2062">
        <w:rPr>
          <w:rFonts w:ascii="Times New Roman" w:eastAsia="Calibri" w:hAnsi="Times New Roman" w:cs="Times New Roman"/>
          <w:sz w:val="28"/>
          <w:szCs w:val="28"/>
        </w:rPr>
        <w:t>тяжесть</w:t>
      </w:r>
      <w:r w:rsidR="00A50362" w:rsidRPr="007F2062">
        <w:rPr>
          <w:rFonts w:ascii="Times New Roman" w:eastAsia="Calibri" w:hAnsi="Times New Roman" w:cs="Times New Roman"/>
          <w:sz w:val="28"/>
          <w:szCs w:val="28"/>
        </w:rPr>
        <w:t>ю</w:t>
      </w:r>
      <w:r w:rsidRPr="007F2062">
        <w:rPr>
          <w:rFonts w:ascii="Times New Roman" w:eastAsia="Calibri" w:hAnsi="Times New Roman" w:cs="Times New Roman"/>
          <w:sz w:val="28"/>
          <w:szCs w:val="28"/>
        </w:rPr>
        <w:t xml:space="preserve"> аллергического ринита</w:t>
      </w:r>
      <w:r w:rsidR="00883670" w:rsidRPr="007F2062">
        <w:rPr>
          <w:rFonts w:ascii="Times New Roman" w:eastAsia="Calibri" w:hAnsi="Times New Roman" w:cs="Times New Roman"/>
          <w:sz w:val="28"/>
          <w:szCs w:val="28"/>
        </w:rPr>
        <w:t>.</w:t>
      </w:r>
      <w:r w:rsidRPr="00437528">
        <w:rPr>
          <w:rFonts w:ascii="Times New Roman" w:eastAsia="Calibri" w:hAnsi="Times New Roman" w:cs="Times New Roman"/>
          <w:sz w:val="28"/>
          <w:szCs w:val="28"/>
        </w:rPr>
        <w:t xml:space="preserve"> </w:t>
      </w:r>
    </w:p>
    <w:p w14:paraId="18D0C760" w14:textId="54ACAD42" w:rsidR="00E53683" w:rsidRDefault="00E53683" w:rsidP="00E53683">
      <w:pPr>
        <w:spacing w:after="0" w:line="240" w:lineRule="auto"/>
        <w:ind w:firstLine="567"/>
        <w:jc w:val="both"/>
        <w:rPr>
          <w:rFonts w:ascii="Times New Roman" w:eastAsia="Calibri" w:hAnsi="Times New Roman" w:cs="Times New Roman"/>
          <w:sz w:val="28"/>
          <w:szCs w:val="28"/>
        </w:rPr>
      </w:pPr>
    </w:p>
    <w:p w14:paraId="0F6AF61C" w14:textId="70DCFC09" w:rsidR="00073F0D" w:rsidRPr="00AC51CB" w:rsidRDefault="00073F0D" w:rsidP="00073F0D">
      <w:pPr>
        <w:keepNext/>
        <w:keepLines/>
        <w:spacing w:after="0" w:line="240" w:lineRule="auto"/>
        <w:ind w:firstLine="567"/>
        <w:jc w:val="both"/>
        <w:outlineLvl w:val="1"/>
        <w:rPr>
          <w:rFonts w:ascii="Times New Roman" w:eastAsiaTheme="majorEastAsia" w:hAnsi="Times New Roman" w:cs="Times New Roman"/>
          <w:i/>
          <w:sz w:val="28"/>
          <w:szCs w:val="28"/>
        </w:rPr>
      </w:pPr>
      <w:bookmarkStart w:id="54" w:name="_Toc101629908"/>
      <w:bookmarkStart w:id="55" w:name="_Toc121590258"/>
      <w:bookmarkStart w:id="56" w:name="_Toc137904365"/>
      <w:bookmarkEnd w:id="53"/>
      <w:r w:rsidRPr="00AC51CB">
        <w:rPr>
          <w:rFonts w:ascii="Times New Roman" w:eastAsiaTheme="majorEastAsia" w:hAnsi="Times New Roman" w:cs="Times New Roman"/>
          <w:i/>
          <w:sz w:val="28"/>
          <w:szCs w:val="28"/>
        </w:rPr>
        <w:t xml:space="preserve">3.3.2 </w:t>
      </w:r>
      <w:bookmarkEnd w:id="54"/>
      <w:r w:rsidRPr="00AC51CB">
        <w:rPr>
          <w:rFonts w:ascii="Times New Roman" w:eastAsiaTheme="majorEastAsia" w:hAnsi="Times New Roman" w:cs="Times New Roman"/>
          <w:i/>
          <w:sz w:val="28"/>
          <w:szCs w:val="28"/>
        </w:rPr>
        <w:t>Множественный логистический регрессионный анализ факторов, влияющих на эффективность терапии</w:t>
      </w:r>
      <w:bookmarkEnd w:id="55"/>
      <w:bookmarkEnd w:id="56"/>
    </w:p>
    <w:p w14:paraId="15705735" w14:textId="75F623FC" w:rsidR="00073F0D" w:rsidRDefault="00073F0D" w:rsidP="00073F0D">
      <w:pPr>
        <w:spacing w:after="0" w:line="240" w:lineRule="auto"/>
        <w:ind w:firstLine="567"/>
        <w:jc w:val="both"/>
        <w:rPr>
          <w:rFonts w:ascii="Times New Roman" w:eastAsia="Calibri" w:hAnsi="Times New Roman" w:cs="Times New Roman"/>
          <w:sz w:val="28"/>
          <w:szCs w:val="28"/>
        </w:rPr>
      </w:pPr>
      <w:r w:rsidRPr="00483C8C">
        <w:rPr>
          <w:rFonts w:ascii="Times New Roman" w:eastAsia="Calibri" w:hAnsi="Times New Roman" w:cs="Times New Roman"/>
          <w:sz w:val="28"/>
          <w:szCs w:val="28"/>
        </w:rPr>
        <w:t>Для выявления лабораторных маркеров эффективности АСИТ в комплексе с витамином Д с наибольшей прогностической значимостью после процедуры корреляционного анализа нами был проведен множественный логистический регрессионный</w:t>
      </w:r>
      <w:r w:rsidRPr="00483C8C">
        <w:rPr>
          <w:rFonts w:ascii="Times New Roman" w:eastAsia="Calibri" w:hAnsi="Times New Roman" w:cs="Times New Roman"/>
          <w:color w:val="FF0000"/>
          <w:sz w:val="28"/>
          <w:szCs w:val="28"/>
        </w:rPr>
        <w:t xml:space="preserve"> </w:t>
      </w:r>
      <w:r w:rsidRPr="00483C8C">
        <w:rPr>
          <w:rFonts w:ascii="Times New Roman" w:eastAsia="Calibri" w:hAnsi="Times New Roman" w:cs="Times New Roman"/>
          <w:sz w:val="28"/>
          <w:szCs w:val="28"/>
        </w:rPr>
        <w:t>анализ факторов, влияющих на эффективность терапии.</w:t>
      </w:r>
      <w:r w:rsidRPr="00E53683">
        <w:rPr>
          <w:rFonts w:ascii="Times New Roman" w:eastAsia="Calibri" w:hAnsi="Times New Roman" w:cs="Times New Roman"/>
          <w:sz w:val="28"/>
          <w:szCs w:val="28"/>
        </w:rPr>
        <w:t xml:space="preserve"> </w:t>
      </w:r>
    </w:p>
    <w:p w14:paraId="318F2DAD" w14:textId="4607D317" w:rsidR="00073F0D" w:rsidRPr="00483C8C" w:rsidRDefault="00073F0D" w:rsidP="00073F0D">
      <w:pPr>
        <w:spacing w:after="0" w:line="240" w:lineRule="auto"/>
        <w:ind w:firstLine="567"/>
        <w:jc w:val="both"/>
        <w:rPr>
          <w:rFonts w:ascii="Times New Roman" w:eastAsia="Calibri" w:hAnsi="Times New Roman" w:cs="Times New Roman"/>
          <w:sz w:val="28"/>
          <w:szCs w:val="28"/>
        </w:rPr>
      </w:pPr>
      <w:r w:rsidRPr="00E53683">
        <w:rPr>
          <w:rFonts w:ascii="Times New Roman" w:eastAsia="Calibri" w:hAnsi="Times New Roman" w:cs="Times New Roman"/>
          <w:sz w:val="28"/>
          <w:szCs w:val="28"/>
        </w:rPr>
        <w:t xml:space="preserve">В качестве зависимых переменных были взяты показатели общего балла симптомов тяжести заболевания после АСИТ на 3 визите. </w:t>
      </w:r>
      <w:r w:rsidRPr="00737032">
        <w:rPr>
          <w:rFonts w:ascii="Times New Roman" w:eastAsia="Calibri" w:hAnsi="Times New Roman" w:cs="Times New Roman"/>
          <w:sz w:val="28"/>
          <w:szCs w:val="28"/>
        </w:rPr>
        <w:t xml:space="preserve">После проведения комплексного анализа роли лабораторных биомаркеров в </w:t>
      </w:r>
      <w:r w:rsidRPr="00483C8C">
        <w:rPr>
          <w:rFonts w:ascii="Times New Roman" w:eastAsia="Calibri" w:hAnsi="Times New Roman" w:cs="Times New Roman"/>
          <w:sz w:val="28"/>
          <w:szCs w:val="28"/>
        </w:rPr>
        <w:t xml:space="preserve">процедуре </w:t>
      </w:r>
      <w:r w:rsidR="008F0CC2">
        <w:rPr>
          <w:rFonts w:ascii="Times New Roman" w:eastAsia="Calibri" w:hAnsi="Times New Roman" w:cs="Times New Roman"/>
          <w:sz w:val="28"/>
          <w:szCs w:val="28"/>
        </w:rPr>
        <w:t>множественного логистического регрессионного</w:t>
      </w:r>
      <w:r w:rsidR="008A465C" w:rsidRPr="008A465C">
        <w:rPr>
          <w:rFonts w:ascii="Times New Roman" w:eastAsia="Calibri" w:hAnsi="Times New Roman" w:cs="Times New Roman"/>
          <w:sz w:val="28"/>
          <w:szCs w:val="28"/>
        </w:rPr>
        <w:t xml:space="preserve"> анализ</w:t>
      </w:r>
      <w:r w:rsidR="008F0CC2">
        <w:rPr>
          <w:rFonts w:ascii="Times New Roman" w:eastAsia="Calibri" w:hAnsi="Times New Roman" w:cs="Times New Roman"/>
          <w:sz w:val="28"/>
          <w:szCs w:val="28"/>
        </w:rPr>
        <w:t>а</w:t>
      </w:r>
      <w:r w:rsidR="008A465C" w:rsidRPr="008A465C">
        <w:rPr>
          <w:rFonts w:ascii="Times New Roman" w:eastAsia="Calibri" w:hAnsi="Times New Roman" w:cs="Times New Roman"/>
          <w:sz w:val="28"/>
          <w:szCs w:val="28"/>
        </w:rPr>
        <w:t xml:space="preserve"> </w:t>
      </w:r>
      <w:r w:rsidRPr="00483C8C">
        <w:rPr>
          <w:rFonts w:ascii="Times New Roman" w:eastAsia="Calibri" w:hAnsi="Times New Roman" w:cs="Times New Roman"/>
          <w:sz w:val="28"/>
          <w:szCs w:val="28"/>
        </w:rPr>
        <w:t>нами был</w:t>
      </w:r>
      <w:r w:rsidR="00A865AD">
        <w:rPr>
          <w:rFonts w:ascii="Times New Roman" w:eastAsia="Calibri" w:hAnsi="Times New Roman" w:cs="Times New Roman"/>
          <w:sz w:val="28"/>
          <w:szCs w:val="28"/>
        </w:rPr>
        <w:t>о</w:t>
      </w:r>
      <w:r w:rsidRPr="00483C8C">
        <w:rPr>
          <w:rFonts w:ascii="Times New Roman" w:eastAsia="Calibri" w:hAnsi="Times New Roman" w:cs="Times New Roman"/>
          <w:sz w:val="28"/>
          <w:szCs w:val="28"/>
        </w:rPr>
        <w:t xml:space="preserve"> выявлено два ключевых предиктора эффективности АСИТ, которые были взяты в качестве переменной влияния: исходн</w:t>
      </w:r>
      <w:r w:rsidR="00B07E83">
        <w:rPr>
          <w:rFonts w:ascii="Times New Roman" w:eastAsia="Calibri" w:hAnsi="Times New Roman" w:cs="Times New Roman"/>
          <w:sz w:val="28"/>
          <w:szCs w:val="28"/>
        </w:rPr>
        <w:t>ые лабораторные показатели общего</w:t>
      </w:r>
      <w:r w:rsidRPr="00483C8C">
        <w:rPr>
          <w:rFonts w:ascii="Times New Roman" w:eastAsia="Calibri" w:hAnsi="Times New Roman" w:cs="Times New Roman"/>
          <w:sz w:val="28"/>
          <w:szCs w:val="28"/>
        </w:rPr>
        <w:t xml:space="preserve"> ИГЕ и витамин</w:t>
      </w:r>
      <w:r w:rsidR="00B07E83">
        <w:rPr>
          <w:rFonts w:ascii="Times New Roman" w:eastAsia="Calibri" w:hAnsi="Times New Roman" w:cs="Times New Roman"/>
          <w:sz w:val="28"/>
          <w:szCs w:val="28"/>
        </w:rPr>
        <w:t>а</w:t>
      </w:r>
      <w:r w:rsidRPr="00483C8C">
        <w:rPr>
          <w:rFonts w:ascii="Times New Roman" w:eastAsia="Calibri" w:hAnsi="Times New Roman" w:cs="Times New Roman"/>
          <w:sz w:val="28"/>
          <w:szCs w:val="28"/>
        </w:rPr>
        <w:t xml:space="preserve"> Д. </w:t>
      </w:r>
    </w:p>
    <w:p w14:paraId="5CD802C3" w14:textId="0403A439" w:rsidR="00073F0D" w:rsidRPr="00483C8C" w:rsidRDefault="00073F0D" w:rsidP="00073F0D">
      <w:pPr>
        <w:spacing w:after="0" w:line="240" w:lineRule="auto"/>
        <w:ind w:firstLine="567"/>
        <w:jc w:val="both"/>
        <w:rPr>
          <w:rFonts w:ascii="Times New Roman" w:eastAsia="Calibri" w:hAnsi="Times New Roman" w:cs="Times New Roman"/>
          <w:sz w:val="28"/>
          <w:szCs w:val="28"/>
        </w:rPr>
      </w:pPr>
      <w:r w:rsidRPr="00483C8C">
        <w:rPr>
          <w:rFonts w:ascii="Times New Roman" w:eastAsia="Calibri" w:hAnsi="Times New Roman" w:cs="Times New Roman"/>
          <w:sz w:val="28"/>
          <w:szCs w:val="28"/>
        </w:rPr>
        <w:t>Полученные данные подтверждают, что модель обладала высоким качеством и позволяла предсказать тяжесть заболевания на основании 2 основных предикторов – общего ИГЕ и витамина Д. Данные факторы были статистически связаны с исходом и значимо влияли на тяжесть заболевания.</w:t>
      </w:r>
      <w:r w:rsidR="0007459B">
        <w:rPr>
          <w:rFonts w:ascii="Times New Roman" w:eastAsia="Calibri" w:hAnsi="Times New Roman" w:cs="Times New Roman"/>
          <w:sz w:val="28"/>
          <w:szCs w:val="28"/>
        </w:rPr>
        <w:t xml:space="preserve"> </w:t>
      </w:r>
    </w:p>
    <w:p w14:paraId="65EEE687" w14:textId="4A4B79A1" w:rsidR="00073F0D" w:rsidRPr="00137CF8" w:rsidRDefault="00073F0D" w:rsidP="00073F0D">
      <w:pPr>
        <w:spacing w:after="0" w:line="240" w:lineRule="auto"/>
        <w:ind w:firstLine="709"/>
        <w:jc w:val="both"/>
        <w:rPr>
          <w:rFonts w:ascii="Times New Roman" w:eastAsia="Calibri" w:hAnsi="Times New Roman" w:cs="Times New Roman"/>
          <w:sz w:val="28"/>
          <w:szCs w:val="28"/>
        </w:rPr>
      </w:pPr>
      <w:r w:rsidRPr="00483C8C">
        <w:rPr>
          <w:rFonts w:ascii="Times New Roman" w:eastAsia="Calibri" w:hAnsi="Times New Roman" w:cs="Times New Roman"/>
          <w:sz w:val="28"/>
          <w:szCs w:val="28"/>
        </w:rPr>
        <w:t>При оценке предикторов влияния на тяжесть симптомов заболевания у регрессионной модели были получены значимые показатели общего ИГЕ у мужчин (</w:t>
      </w:r>
      <w:r w:rsidRPr="00483C8C">
        <w:rPr>
          <w:rFonts w:ascii="Times New Roman" w:eastAsia="Calibri" w:hAnsi="Times New Roman" w:cs="Times New Roman"/>
          <w:sz w:val="28"/>
          <w:szCs w:val="28"/>
        </w:rPr>
        <w:sym w:font="Symbol" w:char="F062"/>
      </w:r>
      <w:r w:rsidRPr="00483C8C">
        <w:rPr>
          <w:rFonts w:ascii="Times New Roman" w:eastAsia="Calibri" w:hAnsi="Times New Roman" w:cs="Times New Roman"/>
          <w:sz w:val="28"/>
          <w:szCs w:val="28"/>
        </w:rPr>
        <w:t>=0,9;</w:t>
      </w:r>
      <w:r w:rsidRPr="00483C8C">
        <w:rPr>
          <w:rFonts w:ascii="Times New Roman" w:eastAsia="Calibri" w:hAnsi="Times New Roman" w:cs="Times New Roman"/>
          <w:b/>
          <w:sz w:val="28"/>
          <w:szCs w:val="28"/>
        </w:rPr>
        <w:t xml:space="preserve"> </w:t>
      </w:r>
      <w:r w:rsidRPr="00483C8C">
        <w:rPr>
          <w:rFonts w:ascii="Times New Roman" w:eastAsiaTheme="majorEastAsia" w:hAnsi="Times New Roman" w:cs="Times New Roman"/>
          <w:sz w:val="28"/>
          <w:szCs w:val="28"/>
          <w:lang w:val="en-US"/>
        </w:rPr>
        <w:t>p</w:t>
      </w:r>
      <w:r>
        <w:rPr>
          <w:rFonts w:ascii="Times New Roman" w:eastAsiaTheme="majorEastAsia" w:hAnsi="Times New Roman" w:cs="Times New Roman"/>
          <w:sz w:val="28"/>
          <w:szCs w:val="28"/>
        </w:rPr>
        <w:t>≤0,01</w:t>
      </w:r>
      <w:r w:rsidRPr="00483C8C">
        <w:rPr>
          <w:rFonts w:ascii="Times New Roman" w:eastAsiaTheme="majorEastAsia" w:hAnsi="Times New Roman" w:cs="Times New Roman"/>
          <w:sz w:val="28"/>
          <w:szCs w:val="28"/>
        </w:rPr>
        <w:t>)</w:t>
      </w:r>
      <w:r w:rsidRPr="00483C8C">
        <w:rPr>
          <w:rFonts w:ascii="Times New Roman" w:eastAsia="Calibri" w:hAnsi="Times New Roman" w:cs="Times New Roman"/>
          <w:sz w:val="28"/>
          <w:szCs w:val="28"/>
        </w:rPr>
        <w:t xml:space="preserve"> и в общей популяции (</w:t>
      </w:r>
      <w:r w:rsidRPr="00483C8C">
        <w:rPr>
          <w:rFonts w:ascii="Times New Roman" w:eastAsia="Calibri" w:hAnsi="Times New Roman" w:cs="Times New Roman"/>
          <w:sz w:val="28"/>
          <w:szCs w:val="28"/>
        </w:rPr>
        <w:sym w:font="Symbol" w:char="F062"/>
      </w:r>
      <w:r w:rsidRPr="00483C8C">
        <w:rPr>
          <w:rFonts w:ascii="Times New Roman" w:eastAsia="Calibri" w:hAnsi="Times New Roman" w:cs="Times New Roman"/>
          <w:sz w:val="28"/>
          <w:szCs w:val="28"/>
        </w:rPr>
        <w:t>=0,6;</w:t>
      </w:r>
      <w:r w:rsidRPr="00483C8C">
        <w:rPr>
          <w:rFonts w:ascii="Times New Roman" w:eastAsia="Calibri" w:hAnsi="Times New Roman" w:cs="Times New Roman"/>
          <w:b/>
          <w:sz w:val="28"/>
          <w:szCs w:val="28"/>
        </w:rPr>
        <w:t xml:space="preserve"> </w:t>
      </w:r>
      <w:r w:rsidRPr="00483C8C">
        <w:rPr>
          <w:rFonts w:ascii="Times New Roman" w:eastAsiaTheme="majorEastAsia" w:hAnsi="Times New Roman" w:cs="Times New Roman"/>
          <w:sz w:val="28"/>
          <w:szCs w:val="28"/>
          <w:lang w:val="en-US"/>
        </w:rPr>
        <w:t>p</w:t>
      </w:r>
      <w:r>
        <w:rPr>
          <w:rFonts w:ascii="Times New Roman" w:eastAsiaTheme="majorEastAsia" w:hAnsi="Times New Roman" w:cs="Times New Roman"/>
          <w:sz w:val="28"/>
          <w:szCs w:val="28"/>
        </w:rPr>
        <w:t>≤0,001</w:t>
      </w:r>
      <w:r w:rsidRPr="00483C8C">
        <w:rPr>
          <w:rFonts w:ascii="Times New Roman" w:eastAsiaTheme="majorEastAsia" w:hAnsi="Times New Roman" w:cs="Times New Roman"/>
          <w:sz w:val="28"/>
          <w:szCs w:val="28"/>
        </w:rPr>
        <w:t xml:space="preserve">), а также показатель витамина Д у женщин </w:t>
      </w:r>
      <w:r w:rsidRPr="00483C8C">
        <w:rPr>
          <w:rFonts w:ascii="Times New Roman" w:eastAsia="Calibri" w:hAnsi="Times New Roman" w:cs="Times New Roman"/>
          <w:sz w:val="28"/>
          <w:szCs w:val="28"/>
        </w:rPr>
        <w:t>(</w:t>
      </w:r>
      <w:r w:rsidRPr="00483C8C">
        <w:rPr>
          <w:rFonts w:ascii="Times New Roman" w:eastAsia="Calibri" w:hAnsi="Times New Roman" w:cs="Times New Roman"/>
          <w:sz w:val="28"/>
          <w:szCs w:val="28"/>
        </w:rPr>
        <w:sym w:font="Symbol" w:char="F062"/>
      </w:r>
      <w:r w:rsidRPr="00483C8C">
        <w:rPr>
          <w:rFonts w:ascii="Times New Roman" w:eastAsia="Calibri" w:hAnsi="Times New Roman" w:cs="Times New Roman"/>
          <w:sz w:val="28"/>
          <w:szCs w:val="28"/>
        </w:rPr>
        <w:t>=-0,8;</w:t>
      </w:r>
      <w:r w:rsidRPr="00483C8C">
        <w:rPr>
          <w:rFonts w:ascii="Times New Roman" w:eastAsia="Calibri" w:hAnsi="Times New Roman" w:cs="Times New Roman"/>
          <w:b/>
          <w:sz w:val="28"/>
          <w:szCs w:val="28"/>
        </w:rPr>
        <w:t xml:space="preserve"> </w:t>
      </w:r>
      <w:r w:rsidRPr="00483C8C">
        <w:rPr>
          <w:rFonts w:ascii="Times New Roman" w:eastAsiaTheme="majorEastAsia" w:hAnsi="Times New Roman" w:cs="Times New Roman"/>
          <w:sz w:val="28"/>
          <w:szCs w:val="28"/>
          <w:lang w:val="en-US"/>
        </w:rPr>
        <w:t>p</w:t>
      </w:r>
      <w:r w:rsidRPr="00483C8C">
        <w:rPr>
          <w:rFonts w:ascii="Times New Roman" w:eastAsiaTheme="majorEastAsia" w:hAnsi="Times New Roman" w:cs="Times New Roman"/>
          <w:sz w:val="28"/>
          <w:szCs w:val="28"/>
        </w:rPr>
        <w:t>≤0,05)</w:t>
      </w:r>
      <w:r w:rsidRPr="00483C8C">
        <w:rPr>
          <w:rFonts w:ascii="Times New Roman" w:eastAsia="Calibri" w:hAnsi="Times New Roman" w:cs="Times New Roman"/>
          <w:sz w:val="28"/>
          <w:szCs w:val="28"/>
        </w:rPr>
        <w:t xml:space="preserve">, позволяющие прогнозировать недостаточную эффективность аллерген-специфической иммунотерапии на основе </w:t>
      </w:r>
      <w:r w:rsidRPr="000F47F1">
        <w:rPr>
          <w:rFonts w:ascii="Times New Roman" w:eastAsia="Calibri" w:hAnsi="Times New Roman" w:cs="Times New Roman"/>
          <w:sz w:val="28"/>
          <w:szCs w:val="28"/>
        </w:rPr>
        <w:t>оценки общего балла симптомов тяжести сезонного аллергического ринита</w:t>
      </w:r>
      <w:r w:rsidR="0007459B">
        <w:rPr>
          <w:rFonts w:ascii="Times New Roman" w:eastAsia="Calibri" w:hAnsi="Times New Roman" w:cs="Times New Roman"/>
          <w:sz w:val="28"/>
          <w:szCs w:val="28"/>
        </w:rPr>
        <w:t xml:space="preserve"> </w:t>
      </w:r>
      <w:r w:rsidRPr="000F47F1">
        <w:rPr>
          <w:rFonts w:ascii="Times New Roman" w:eastAsia="Calibri" w:hAnsi="Times New Roman" w:cs="Times New Roman"/>
          <w:sz w:val="28"/>
          <w:szCs w:val="28"/>
        </w:rPr>
        <w:t>(Таблица 1</w:t>
      </w:r>
      <w:r w:rsidR="004B10A7">
        <w:rPr>
          <w:rFonts w:ascii="Times New Roman" w:eastAsia="Calibri" w:hAnsi="Times New Roman" w:cs="Times New Roman"/>
          <w:sz w:val="28"/>
          <w:szCs w:val="28"/>
        </w:rPr>
        <w:t>8</w:t>
      </w:r>
      <w:r w:rsidRPr="000F47F1">
        <w:rPr>
          <w:rFonts w:ascii="Times New Roman" w:eastAsia="Calibri" w:hAnsi="Times New Roman" w:cs="Times New Roman"/>
          <w:sz w:val="28"/>
          <w:szCs w:val="28"/>
        </w:rPr>
        <w:t>).</w:t>
      </w:r>
      <w:r w:rsidRPr="00137CF8">
        <w:rPr>
          <w:rFonts w:ascii="Times New Roman" w:eastAsia="Calibri" w:hAnsi="Times New Roman" w:cs="Times New Roman"/>
          <w:sz w:val="28"/>
          <w:szCs w:val="28"/>
        </w:rPr>
        <w:t xml:space="preserve"> </w:t>
      </w:r>
    </w:p>
    <w:p w14:paraId="190EB445" w14:textId="45C1AE49" w:rsidR="00073F0D" w:rsidRPr="00E53683" w:rsidRDefault="00073F0D" w:rsidP="00073F0D">
      <w:pPr>
        <w:spacing w:after="0" w:line="240" w:lineRule="auto"/>
        <w:ind w:firstLine="567"/>
        <w:jc w:val="both"/>
        <w:rPr>
          <w:rFonts w:ascii="Times New Roman" w:eastAsia="Calibri" w:hAnsi="Times New Roman" w:cs="Times New Roman"/>
          <w:sz w:val="28"/>
          <w:szCs w:val="28"/>
        </w:rPr>
      </w:pPr>
    </w:p>
    <w:p w14:paraId="64266BC5" w14:textId="3175A483" w:rsidR="00073F0D" w:rsidRDefault="00073F0D" w:rsidP="006E62CF">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Таблица 1</w:t>
      </w:r>
      <w:r w:rsidR="004B10A7">
        <w:rPr>
          <w:rFonts w:ascii="Times New Roman" w:eastAsia="Calibri" w:hAnsi="Times New Roman" w:cs="Times New Roman"/>
          <w:sz w:val="28"/>
          <w:szCs w:val="28"/>
        </w:rPr>
        <w:t>8</w:t>
      </w:r>
      <w:r w:rsidRPr="00E53683">
        <w:rPr>
          <w:rFonts w:ascii="Times New Roman" w:eastAsia="Calibri" w:hAnsi="Times New Roman" w:cs="Times New Roman"/>
          <w:sz w:val="28"/>
          <w:szCs w:val="28"/>
        </w:rPr>
        <w:t xml:space="preserve"> – Множественная </w:t>
      </w:r>
      <w:r>
        <w:rPr>
          <w:rFonts w:ascii="Times New Roman" w:eastAsia="Calibri" w:hAnsi="Times New Roman" w:cs="Times New Roman"/>
          <w:sz w:val="28"/>
          <w:szCs w:val="28"/>
        </w:rPr>
        <w:t>логистическая</w:t>
      </w:r>
      <w:r w:rsidRPr="00834607">
        <w:rPr>
          <w:rFonts w:ascii="Times New Roman" w:eastAsia="Calibri" w:hAnsi="Times New Roman" w:cs="Times New Roman"/>
          <w:sz w:val="28"/>
          <w:szCs w:val="28"/>
        </w:rPr>
        <w:t xml:space="preserve"> </w:t>
      </w:r>
      <w:r w:rsidRPr="00E53683">
        <w:rPr>
          <w:rFonts w:ascii="Times New Roman" w:eastAsia="Calibri" w:hAnsi="Times New Roman" w:cs="Times New Roman"/>
          <w:sz w:val="28"/>
          <w:szCs w:val="28"/>
        </w:rPr>
        <w:t>регрессия факторов, влияющих на эффективность терапии</w:t>
      </w:r>
      <w:r>
        <w:rPr>
          <w:rFonts w:ascii="Times New Roman" w:eastAsia="Calibri" w:hAnsi="Times New Roman" w:cs="Times New Roman"/>
          <w:sz w:val="28"/>
          <w:szCs w:val="28"/>
        </w:rPr>
        <w:t xml:space="preserve"> </w:t>
      </w:r>
    </w:p>
    <w:p w14:paraId="310140F4" w14:textId="53011D59" w:rsidR="00073F0D" w:rsidRDefault="00073F0D" w:rsidP="00073F0D">
      <w:pPr>
        <w:spacing w:after="0" w:line="240" w:lineRule="auto"/>
        <w:ind w:firstLine="567"/>
        <w:jc w:val="both"/>
        <w:rPr>
          <w:rFonts w:ascii="Times New Roman" w:eastAsia="Calibri" w:hAnsi="Times New Roman" w:cs="Times New Roman"/>
          <w:sz w:val="28"/>
          <w:szCs w:val="28"/>
        </w:rPr>
      </w:pPr>
    </w:p>
    <w:tbl>
      <w:tblPr>
        <w:tblStyle w:val="41"/>
        <w:tblW w:w="5000" w:type="pct"/>
        <w:tblInd w:w="0" w:type="dxa"/>
        <w:tblLook w:val="04A0" w:firstRow="1" w:lastRow="0" w:firstColumn="1" w:lastColumn="0" w:noHBand="0" w:noVBand="1"/>
      </w:tblPr>
      <w:tblGrid>
        <w:gridCol w:w="3179"/>
        <w:gridCol w:w="3094"/>
        <w:gridCol w:w="1637"/>
        <w:gridCol w:w="1718"/>
      </w:tblGrid>
      <w:tr w:rsidR="00073F0D" w:rsidRPr="005C21FF" w14:paraId="03CF5A88" w14:textId="77777777" w:rsidTr="00A865AD">
        <w:tc>
          <w:tcPr>
            <w:tcW w:w="1651" w:type="pct"/>
            <w:vMerge w:val="restart"/>
            <w:tcBorders>
              <w:top w:val="single" w:sz="4" w:space="0" w:color="auto"/>
              <w:left w:val="single" w:sz="4" w:space="0" w:color="auto"/>
              <w:bottom w:val="single" w:sz="4" w:space="0" w:color="auto"/>
              <w:right w:val="single" w:sz="4" w:space="0" w:color="auto"/>
            </w:tcBorders>
            <w:hideMark/>
          </w:tcPr>
          <w:p w14:paraId="1825A90F" w14:textId="37D913CB" w:rsidR="00073F0D" w:rsidRPr="005C21FF" w:rsidRDefault="00073F0D" w:rsidP="00A865AD">
            <w:pPr>
              <w:spacing w:after="200" w:line="256" w:lineRule="auto"/>
              <w:rPr>
                <w:rFonts w:ascii="Times New Roman" w:hAnsi="Times New Roman"/>
                <w:sz w:val="24"/>
                <w:szCs w:val="24"/>
              </w:rPr>
            </w:pPr>
            <w:r w:rsidRPr="005C21FF">
              <w:rPr>
                <w:rFonts w:ascii="Times New Roman" w:hAnsi="Times New Roman"/>
                <w:sz w:val="24"/>
                <w:szCs w:val="24"/>
              </w:rPr>
              <w:t>Переменная влияния</w:t>
            </w:r>
          </w:p>
        </w:tc>
        <w:tc>
          <w:tcPr>
            <w:tcW w:w="3349" w:type="pct"/>
            <w:gridSpan w:val="3"/>
            <w:tcBorders>
              <w:top w:val="single" w:sz="4" w:space="0" w:color="auto"/>
              <w:left w:val="single" w:sz="4" w:space="0" w:color="auto"/>
              <w:bottom w:val="single" w:sz="4" w:space="0" w:color="auto"/>
              <w:right w:val="single" w:sz="4" w:space="0" w:color="auto"/>
            </w:tcBorders>
          </w:tcPr>
          <w:p w14:paraId="77D364CF" w14:textId="34E2084F" w:rsidR="00073F0D" w:rsidRPr="005C21FF" w:rsidRDefault="00073F0D" w:rsidP="00A865AD">
            <w:pPr>
              <w:spacing w:line="256" w:lineRule="auto"/>
              <w:jc w:val="center"/>
              <w:rPr>
                <w:rFonts w:ascii="Times New Roman" w:hAnsi="Times New Roman"/>
                <w:sz w:val="24"/>
                <w:szCs w:val="24"/>
              </w:rPr>
            </w:pPr>
            <w:r w:rsidRPr="005C21FF">
              <w:rPr>
                <w:rFonts w:ascii="Times New Roman" w:hAnsi="Times New Roman"/>
                <w:sz w:val="24"/>
                <w:szCs w:val="24"/>
              </w:rPr>
              <w:t>Зависимые переменные эффективности</w:t>
            </w:r>
          </w:p>
        </w:tc>
      </w:tr>
      <w:tr w:rsidR="00073F0D" w:rsidRPr="005C21FF" w14:paraId="78FCF96E" w14:textId="77777777" w:rsidTr="00A865AD">
        <w:tc>
          <w:tcPr>
            <w:tcW w:w="1651" w:type="pct"/>
            <w:vMerge/>
            <w:tcBorders>
              <w:top w:val="single" w:sz="4" w:space="0" w:color="auto"/>
              <w:left w:val="single" w:sz="4" w:space="0" w:color="auto"/>
              <w:bottom w:val="single" w:sz="4" w:space="0" w:color="auto"/>
              <w:right w:val="single" w:sz="4" w:space="0" w:color="auto"/>
            </w:tcBorders>
            <w:vAlign w:val="center"/>
            <w:hideMark/>
          </w:tcPr>
          <w:p w14:paraId="44D0B44D" w14:textId="77777777" w:rsidR="00073F0D" w:rsidRPr="005C21FF" w:rsidRDefault="00073F0D" w:rsidP="00A865AD">
            <w:pPr>
              <w:rPr>
                <w:rFonts w:ascii="Times New Roman" w:hAnsi="Times New Roman"/>
                <w:sz w:val="24"/>
                <w:szCs w:val="24"/>
              </w:rPr>
            </w:pPr>
          </w:p>
        </w:tc>
        <w:tc>
          <w:tcPr>
            <w:tcW w:w="3349" w:type="pct"/>
            <w:gridSpan w:val="3"/>
            <w:tcBorders>
              <w:top w:val="single" w:sz="4" w:space="0" w:color="auto"/>
              <w:left w:val="single" w:sz="4" w:space="0" w:color="auto"/>
              <w:bottom w:val="single" w:sz="4" w:space="0" w:color="auto"/>
              <w:right w:val="single" w:sz="4" w:space="0" w:color="auto"/>
            </w:tcBorders>
          </w:tcPr>
          <w:p w14:paraId="15A1BDD9" w14:textId="0050B0FD" w:rsidR="00073F0D" w:rsidRPr="005C21FF" w:rsidRDefault="00073F0D" w:rsidP="00A865AD">
            <w:pPr>
              <w:spacing w:line="256" w:lineRule="auto"/>
              <w:jc w:val="center"/>
              <w:rPr>
                <w:rFonts w:ascii="Times New Roman" w:hAnsi="Times New Roman"/>
                <w:sz w:val="24"/>
                <w:szCs w:val="24"/>
              </w:rPr>
            </w:pPr>
            <w:r w:rsidRPr="005C21FF">
              <w:rPr>
                <w:rFonts w:ascii="Times New Roman" w:hAnsi="Times New Roman"/>
                <w:sz w:val="24"/>
                <w:szCs w:val="24"/>
              </w:rPr>
              <w:t>Выраженность симптомов, балл</w:t>
            </w:r>
          </w:p>
        </w:tc>
      </w:tr>
      <w:tr w:rsidR="00073F0D" w:rsidRPr="005C21FF" w14:paraId="5840B704" w14:textId="77777777" w:rsidTr="006F7A2B">
        <w:tc>
          <w:tcPr>
            <w:tcW w:w="1651" w:type="pct"/>
            <w:vMerge/>
            <w:tcBorders>
              <w:top w:val="single" w:sz="4" w:space="0" w:color="auto"/>
              <w:left w:val="single" w:sz="4" w:space="0" w:color="auto"/>
              <w:bottom w:val="single" w:sz="4" w:space="0" w:color="auto"/>
              <w:right w:val="single" w:sz="4" w:space="0" w:color="auto"/>
            </w:tcBorders>
            <w:vAlign w:val="center"/>
            <w:hideMark/>
          </w:tcPr>
          <w:p w14:paraId="1BF9FBBB" w14:textId="77777777" w:rsidR="00073F0D" w:rsidRPr="005C21FF" w:rsidRDefault="00073F0D" w:rsidP="00A865AD">
            <w:pPr>
              <w:rPr>
                <w:rFonts w:ascii="Times New Roman" w:hAnsi="Times New Roman"/>
                <w:sz w:val="24"/>
                <w:szCs w:val="24"/>
              </w:rPr>
            </w:pPr>
          </w:p>
        </w:tc>
        <w:tc>
          <w:tcPr>
            <w:tcW w:w="1607" w:type="pct"/>
            <w:vMerge w:val="restart"/>
            <w:tcBorders>
              <w:top w:val="single" w:sz="4" w:space="0" w:color="auto"/>
              <w:left w:val="single" w:sz="4" w:space="0" w:color="auto"/>
              <w:bottom w:val="single" w:sz="4" w:space="0" w:color="auto"/>
              <w:right w:val="single" w:sz="4" w:space="0" w:color="auto"/>
            </w:tcBorders>
            <w:hideMark/>
          </w:tcPr>
          <w:p w14:paraId="603AF7B1" w14:textId="4E878C6A" w:rsidR="00073F0D" w:rsidRPr="00F97060" w:rsidRDefault="00073F0D" w:rsidP="00A865AD">
            <w:pPr>
              <w:spacing w:line="256" w:lineRule="auto"/>
              <w:rPr>
                <w:rFonts w:ascii="Times New Roman" w:hAnsi="Times New Roman"/>
                <w:sz w:val="24"/>
                <w:szCs w:val="24"/>
              </w:rPr>
            </w:pPr>
            <w:r w:rsidRPr="00F97060">
              <w:rPr>
                <w:rFonts w:ascii="Times New Roman" w:hAnsi="Times New Roman"/>
                <w:sz w:val="24"/>
                <w:szCs w:val="24"/>
              </w:rPr>
              <w:t xml:space="preserve">По показателю </w:t>
            </w:r>
            <w:r w:rsidRPr="00F97060">
              <w:rPr>
                <w:rFonts w:ascii="Times New Roman" w:hAnsi="Times New Roman"/>
                <w:sz w:val="24"/>
                <w:szCs w:val="24"/>
                <w:lang w:val="en-US"/>
              </w:rPr>
              <w:t>exp</w:t>
            </w:r>
            <w:r w:rsidRPr="00F97060">
              <w:rPr>
                <w:rFonts w:ascii="Times New Roman" w:hAnsi="Times New Roman"/>
                <w:sz w:val="24"/>
                <w:szCs w:val="24"/>
              </w:rPr>
              <w:sym w:font="Symbol" w:char="F062"/>
            </w:r>
          </w:p>
          <w:p w14:paraId="513D3B6F" w14:textId="77777777" w:rsidR="00073F0D" w:rsidRPr="00F97060" w:rsidRDefault="00073F0D" w:rsidP="00A865AD">
            <w:pPr>
              <w:spacing w:line="256" w:lineRule="auto"/>
              <w:rPr>
                <w:rFonts w:ascii="Times New Roman" w:eastAsiaTheme="majorEastAsia" w:hAnsi="Times New Roman"/>
              </w:rPr>
            </w:pPr>
          </w:p>
        </w:tc>
        <w:tc>
          <w:tcPr>
            <w:tcW w:w="1742" w:type="pct"/>
            <w:gridSpan w:val="2"/>
            <w:tcBorders>
              <w:top w:val="single" w:sz="4" w:space="0" w:color="auto"/>
              <w:left w:val="single" w:sz="4" w:space="0" w:color="auto"/>
              <w:bottom w:val="single" w:sz="4" w:space="0" w:color="auto"/>
              <w:right w:val="single" w:sz="4" w:space="0" w:color="auto"/>
            </w:tcBorders>
          </w:tcPr>
          <w:p w14:paraId="351DEE03" w14:textId="77777777" w:rsidR="00073F0D" w:rsidRPr="00F97060" w:rsidRDefault="00073F0D" w:rsidP="00A865AD">
            <w:pPr>
              <w:spacing w:line="256" w:lineRule="auto"/>
              <w:rPr>
                <w:rFonts w:ascii="Times New Roman" w:hAnsi="Times New Roman"/>
                <w:sz w:val="24"/>
                <w:szCs w:val="24"/>
              </w:rPr>
            </w:pPr>
            <w:r w:rsidRPr="00F97060">
              <w:rPr>
                <w:rFonts w:ascii="Times New Roman" w:hAnsi="Times New Roman"/>
                <w:sz w:val="24"/>
                <w:szCs w:val="24"/>
              </w:rPr>
              <w:t>С коррекцией по полу</w:t>
            </w:r>
          </w:p>
        </w:tc>
      </w:tr>
      <w:tr w:rsidR="00073F0D" w:rsidRPr="005C21FF" w14:paraId="14B7A538" w14:textId="77777777" w:rsidTr="006F7A2B">
        <w:tc>
          <w:tcPr>
            <w:tcW w:w="1651" w:type="pct"/>
            <w:vMerge/>
            <w:tcBorders>
              <w:top w:val="single" w:sz="4" w:space="0" w:color="auto"/>
              <w:left w:val="single" w:sz="4" w:space="0" w:color="auto"/>
              <w:bottom w:val="single" w:sz="4" w:space="0" w:color="auto"/>
              <w:right w:val="single" w:sz="4" w:space="0" w:color="auto"/>
            </w:tcBorders>
            <w:vAlign w:val="center"/>
            <w:hideMark/>
          </w:tcPr>
          <w:p w14:paraId="45B9EAB2" w14:textId="77777777" w:rsidR="00073F0D" w:rsidRPr="005C21FF" w:rsidRDefault="00073F0D" w:rsidP="00A865AD">
            <w:pPr>
              <w:rPr>
                <w:rFonts w:ascii="Times New Roman" w:hAnsi="Times New Roman"/>
                <w:sz w:val="24"/>
                <w:szCs w:val="24"/>
              </w:rPr>
            </w:pPr>
          </w:p>
        </w:tc>
        <w:tc>
          <w:tcPr>
            <w:tcW w:w="1607" w:type="pct"/>
            <w:vMerge/>
            <w:tcBorders>
              <w:top w:val="single" w:sz="4" w:space="0" w:color="auto"/>
              <w:left w:val="single" w:sz="4" w:space="0" w:color="auto"/>
              <w:bottom w:val="single" w:sz="4" w:space="0" w:color="auto"/>
              <w:right w:val="single" w:sz="4" w:space="0" w:color="auto"/>
            </w:tcBorders>
            <w:vAlign w:val="center"/>
            <w:hideMark/>
          </w:tcPr>
          <w:p w14:paraId="086D8B21" w14:textId="77777777" w:rsidR="00073F0D" w:rsidRPr="00F97060" w:rsidRDefault="00073F0D" w:rsidP="00A865AD">
            <w:pPr>
              <w:rPr>
                <w:rFonts w:ascii="Times New Roman" w:hAnsi="Times New Roman"/>
                <w:sz w:val="24"/>
                <w:szCs w:val="24"/>
              </w:rPr>
            </w:pPr>
          </w:p>
        </w:tc>
        <w:tc>
          <w:tcPr>
            <w:tcW w:w="850" w:type="pct"/>
            <w:tcBorders>
              <w:top w:val="single" w:sz="4" w:space="0" w:color="auto"/>
              <w:left w:val="single" w:sz="4" w:space="0" w:color="auto"/>
              <w:bottom w:val="single" w:sz="4" w:space="0" w:color="auto"/>
              <w:right w:val="single" w:sz="4" w:space="0" w:color="auto"/>
            </w:tcBorders>
            <w:hideMark/>
          </w:tcPr>
          <w:p w14:paraId="6D7F2A02" w14:textId="475850EA" w:rsidR="00073F0D" w:rsidRPr="00F97060" w:rsidRDefault="00073F0D" w:rsidP="00A865AD">
            <w:pPr>
              <w:spacing w:line="256" w:lineRule="auto"/>
              <w:rPr>
                <w:rFonts w:ascii="Times New Roman" w:hAnsi="Times New Roman"/>
                <w:sz w:val="24"/>
                <w:szCs w:val="24"/>
              </w:rPr>
            </w:pPr>
            <w:r w:rsidRPr="00F97060">
              <w:rPr>
                <w:rFonts w:ascii="Times New Roman" w:hAnsi="Times New Roman"/>
                <w:sz w:val="24"/>
                <w:szCs w:val="24"/>
              </w:rPr>
              <w:t>Жен</w:t>
            </w:r>
            <w:r w:rsidR="0007459B">
              <w:rPr>
                <w:rFonts w:ascii="Times New Roman" w:hAnsi="Times New Roman"/>
                <w:sz w:val="24"/>
                <w:szCs w:val="24"/>
              </w:rPr>
              <w:t xml:space="preserve"> </w:t>
            </w:r>
            <w:r w:rsidRPr="00F97060">
              <w:rPr>
                <w:rFonts w:ascii="Times New Roman" w:hAnsi="Times New Roman"/>
                <w:sz w:val="24"/>
                <w:szCs w:val="24"/>
              </w:rPr>
              <w:t xml:space="preserve"> </w:t>
            </w:r>
            <w:r w:rsidRPr="00F97060">
              <w:rPr>
                <w:rFonts w:ascii="Times New Roman" w:hAnsi="Times New Roman"/>
                <w:sz w:val="24"/>
                <w:szCs w:val="24"/>
              </w:rPr>
              <w:sym w:font="Symbol" w:char="F062"/>
            </w:r>
          </w:p>
        </w:tc>
        <w:tc>
          <w:tcPr>
            <w:tcW w:w="892" w:type="pct"/>
            <w:tcBorders>
              <w:top w:val="single" w:sz="4" w:space="0" w:color="auto"/>
              <w:left w:val="single" w:sz="4" w:space="0" w:color="auto"/>
              <w:bottom w:val="single" w:sz="4" w:space="0" w:color="auto"/>
              <w:right w:val="single" w:sz="4" w:space="0" w:color="auto"/>
            </w:tcBorders>
            <w:hideMark/>
          </w:tcPr>
          <w:p w14:paraId="427B7155" w14:textId="7FEBE62C" w:rsidR="00073F0D" w:rsidRPr="00F97060" w:rsidRDefault="00073F0D" w:rsidP="00A865AD">
            <w:pPr>
              <w:spacing w:line="256" w:lineRule="auto"/>
              <w:rPr>
                <w:rFonts w:ascii="Times New Roman" w:hAnsi="Times New Roman"/>
                <w:sz w:val="24"/>
                <w:szCs w:val="24"/>
              </w:rPr>
            </w:pPr>
            <w:r w:rsidRPr="00F97060">
              <w:rPr>
                <w:rFonts w:ascii="Times New Roman" w:hAnsi="Times New Roman"/>
                <w:sz w:val="24"/>
                <w:szCs w:val="24"/>
              </w:rPr>
              <w:t>Муж</w:t>
            </w:r>
            <w:r w:rsidR="0007459B">
              <w:rPr>
                <w:rFonts w:ascii="Times New Roman" w:hAnsi="Times New Roman"/>
                <w:sz w:val="24"/>
                <w:szCs w:val="24"/>
              </w:rPr>
              <w:t xml:space="preserve"> </w:t>
            </w:r>
            <w:r w:rsidRPr="00F97060">
              <w:rPr>
                <w:rFonts w:ascii="Times New Roman" w:hAnsi="Times New Roman"/>
                <w:sz w:val="24"/>
                <w:szCs w:val="24"/>
              </w:rPr>
              <w:t xml:space="preserve"> </w:t>
            </w:r>
            <w:r w:rsidRPr="00F97060">
              <w:rPr>
                <w:rFonts w:ascii="Times New Roman" w:hAnsi="Times New Roman"/>
                <w:sz w:val="24"/>
                <w:szCs w:val="24"/>
              </w:rPr>
              <w:sym w:font="Symbol" w:char="F062"/>
            </w:r>
          </w:p>
        </w:tc>
      </w:tr>
      <w:tr w:rsidR="00073F0D" w:rsidRPr="005C21FF" w14:paraId="0EA6E07B" w14:textId="77777777" w:rsidTr="006F7A2B">
        <w:tc>
          <w:tcPr>
            <w:tcW w:w="1651" w:type="pct"/>
            <w:tcBorders>
              <w:top w:val="single" w:sz="4" w:space="0" w:color="auto"/>
              <w:left w:val="single" w:sz="4" w:space="0" w:color="auto"/>
              <w:bottom w:val="single" w:sz="4" w:space="0" w:color="auto"/>
              <w:right w:val="single" w:sz="4" w:space="0" w:color="auto"/>
            </w:tcBorders>
            <w:hideMark/>
          </w:tcPr>
          <w:p w14:paraId="644A18ED" w14:textId="77777777" w:rsidR="00073F0D" w:rsidRPr="005C21FF" w:rsidRDefault="00073F0D" w:rsidP="00A865AD">
            <w:pPr>
              <w:spacing w:line="256" w:lineRule="auto"/>
              <w:rPr>
                <w:rFonts w:ascii="Times New Roman" w:hAnsi="Times New Roman"/>
                <w:sz w:val="24"/>
                <w:szCs w:val="24"/>
              </w:rPr>
            </w:pPr>
            <w:r w:rsidRPr="005C21FF">
              <w:rPr>
                <w:rFonts w:ascii="Times New Roman" w:hAnsi="Times New Roman"/>
                <w:sz w:val="24"/>
                <w:szCs w:val="24"/>
              </w:rPr>
              <w:t>Общий ИГЕ</w:t>
            </w:r>
          </w:p>
        </w:tc>
        <w:tc>
          <w:tcPr>
            <w:tcW w:w="1607" w:type="pct"/>
            <w:tcBorders>
              <w:top w:val="single" w:sz="4" w:space="0" w:color="auto"/>
              <w:left w:val="single" w:sz="4" w:space="0" w:color="auto"/>
              <w:bottom w:val="single" w:sz="4" w:space="0" w:color="auto"/>
              <w:right w:val="single" w:sz="4" w:space="0" w:color="auto"/>
            </w:tcBorders>
          </w:tcPr>
          <w:p w14:paraId="09AB3629" w14:textId="07DAF8DE" w:rsidR="00073F0D" w:rsidRPr="00F97060" w:rsidRDefault="00073F0D" w:rsidP="00A865AD">
            <w:pPr>
              <w:spacing w:line="256" w:lineRule="auto"/>
              <w:rPr>
                <w:rFonts w:ascii="Times New Roman" w:hAnsi="Times New Roman"/>
                <w:sz w:val="24"/>
                <w:szCs w:val="24"/>
                <w:lang w:val="en-US"/>
              </w:rPr>
            </w:pPr>
            <w:r w:rsidRPr="00F97060">
              <w:rPr>
                <w:rFonts w:ascii="Times New Roman" w:hAnsi="Times New Roman"/>
                <w:sz w:val="24"/>
                <w:szCs w:val="24"/>
                <w:lang w:val="en-US"/>
              </w:rPr>
              <w:t>0,6**</w:t>
            </w:r>
            <w:r w:rsidRPr="00F97060">
              <w:rPr>
                <w:rFonts w:ascii="Times New Roman" w:hAnsi="Times New Roman"/>
                <w:sz w:val="24"/>
                <w:szCs w:val="24"/>
              </w:rPr>
              <w:t xml:space="preserve"> </w:t>
            </w:r>
          </w:p>
        </w:tc>
        <w:tc>
          <w:tcPr>
            <w:tcW w:w="850" w:type="pct"/>
            <w:tcBorders>
              <w:top w:val="single" w:sz="4" w:space="0" w:color="auto"/>
              <w:left w:val="single" w:sz="4" w:space="0" w:color="auto"/>
              <w:bottom w:val="single" w:sz="4" w:space="0" w:color="auto"/>
              <w:right w:val="single" w:sz="4" w:space="0" w:color="auto"/>
            </w:tcBorders>
          </w:tcPr>
          <w:p w14:paraId="08497241" w14:textId="77777777" w:rsidR="00073F0D" w:rsidRPr="00F97060" w:rsidRDefault="00073F0D" w:rsidP="00A865AD">
            <w:pPr>
              <w:spacing w:line="256" w:lineRule="auto"/>
              <w:rPr>
                <w:rFonts w:ascii="Times New Roman" w:hAnsi="Times New Roman"/>
                <w:sz w:val="24"/>
                <w:szCs w:val="24"/>
                <w:lang w:val="en-US"/>
              </w:rPr>
            </w:pPr>
            <w:r w:rsidRPr="00F97060">
              <w:rPr>
                <w:rFonts w:ascii="Times New Roman" w:hAnsi="Times New Roman"/>
                <w:sz w:val="24"/>
                <w:szCs w:val="24"/>
                <w:lang w:val="en-US"/>
              </w:rPr>
              <w:t>0,1</w:t>
            </w:r>
          </w:p>
        </w:tc>
        <w:tc>
          <w:tcPr>
            <w:tcW w:w="892" w:type="pct"/>
            <w:tcBorders>
              <w:top w:val="single" w:sz="4" w:space="0" w:color="auto"/>
              <w:left w:val="single" w:sz="4" w:space="0" w:color="auto"/>
              <w:bottom w:val="single" w:sz="4" w:space="0" w:color="auto"/>
              <w:right w:val="single" w:sz="4" w:space="0" w:color="auto"/>
            </w:tcBorders>
          </w:tcPr>
          <w:p w14:paraId="04B0D34D" w14:textId="77777777" w:rsidR="00073F0D" w:rsidRPr="00F97060" w:rsidRDefault="00073F0D" w:rsidP="00A865AD">
            <w:pPr>
              <w:spacing w:line="256" w:lineRule="auto"/>
              <w:rPr>
                <w:rFonts w:ascii="Times New Roman" w:hAnsi="Times New Roman"/>
                <w:sz w:val="24"/>
                <w:szCs w:val="24"/>
              </w:rPr>
            </w:pPr>
            <w:r w:rsidRPr="00F97060">
              <w:rPr>
                <w:rFonts w:ascii="Times New Roman" w:hAnsi="Times New Roman"/>
                <w:sz w:val="24"/>
                <w:szCs w:val="24"/>
                <w:lang w:val="en-US"/>
              </w:rPr>
              <w:t>0,9*</w:t>
            </w:r>
            <w:r w:rsidRPr="00F97060">
              <w:rPr>
                <w:rFonts w:ascii="Times New Roman" w:hAnsi="Times New Roman"/>
                <w:sz w:val="24"/>
                <w:szCs w:val="24"/>
              </w:rPr>
              <w:t xml:space="preserve"> </w:t>
            </w:r>
          </w:p>
        </w:tc>
      </w:tr>
      <w:tr w:rsidR="00073F0D" w:rsidRPr="005C21FF" w14:paraId="79A00D6D" w14:textId="77777777" w:rsidTr="006F7A2B">
        <w:tc>
          <w:tcPr>
            <w:tcW w:w="1651" w:type="pct"/>
            <w:tcBorders>
              <w:top w:val="single" w:sz="4" w:space="0" w:color="auto"/>
              <w:left w:val="single" w:sz="4" w:space="0" w:color="auto"/>
              <w:bottom w:val="single" w:sz="4" w:space="0" w:color="auto"/>
              <w:right w:val="single" w:sz="4" w:space="0" w:color="auto"/>
            </w:tcBorders>
            <w:hideMark/>
          </w:tcPr>
          <w:p w14:paraId="32FE884E" w14:textId="77777777" w:rsidR="00073F0D" w:rsidRPr="005C21FF" w:rsidRDefault="00073F0D" w:rsidP="00A865AD">
            <w:pPr>
              <w:spacing w:line="256" w:lineRule="auto"/>
              <w:rPr>
                <w:rFonts w:ascii="Times New Roman" w:hAnsi="Times New Roman"/>
                <w:sz w:val="24"/>
                <w:szCs w:val="24"/>
              </w:rPr>
            </w:pPr>
            <w:r w:rsidRPr="005C21FF">
              <w:rPr>
                <w:rFonts w:ascii="Times New Roman" w:hAnsi="Times New Roman"/>
                <w:sz w:val="24"/>
                <w:szCs w:val="24"/>
              </w:rPr>
              <w:t>Витамин Д</w:t>
            </w:r>
          </w:p>
        </w:tc>
        <w:tc>
          <w:tcPr>
            <w:tcW w:w="1607" w:type="pct"/>
            <w:tcBorders>
              <w:top w:val="single" w:sz="4" w:space="0" w:color="auto"/>
              <w:left w:val="single" w:sz="4" w:space="0" w:color="auto"/>
              <w:bottom w:val="single" w:sz="4" w:space="0" w:color="auto"/>
              <w:right w:val="single" w:sz="4" w:space="0" w:color="auto"/>
            </w:tcBorders>
          </w:tcPr>
          <w:p w14:paraId="69BFE5F6" w14:textId="0BF3279C" w:rsidR="00073F0D" w:rsidRPr="00F97060" w:rsidRDefault="00073F0D" w:rsidP="00A865AD">
            <w:pPr>
              <w:spacing w:line="256" w:lineRule="auto"/>
              <w:rPr>
                <w:rFonts w:ascii="Times New Roman" w:hAnsi="Times New Roman"/>
                <w:sz w:val="24"/>
                <w:szCs w:val="24"/>
                <w:lang w:val="en-US"/>
              </w:rPr>
            </w:pPr>
            <w:r w:rsidRPr="00F97060">
              <w:rPr>
                <w:rFonts w:ascii="Times New Roman" w:hAnsi="Times New Roman"/>
                <w:sz w:val="24"/>
                <w:szCs w:val="24"/>
                <w:lang w:val="en-US"/>
              </w:rPr>
              <w:t>-0,2</w:t>
            </w:r>
          </w:p>
        </w:tc>
        <w:tc>
          <w:tcPr>
            <w:tcW w:w="850" w:type="pct"/>
            <w:tcBorders>
              <w:top w:val="single" w:sz="4" w:space="0" w:color="auto"/>
              <w:left w:val="single" w:sz="4" w:space="0" w:color="auto"/>
              <w:bottom w:val="single" w:sz="4" w:space="0" w:color="auto"/>
              <w:right w:val="single" w:sz="4" w:space="0" w:color="auto"/>
            </w:tcBorders>
          </w:tcPr>
          <w:p w14:paraId="01E5EF1B" w14:textId="77777777" w:rsidR="00073F0D" w:rsidRPr="00F97060" w:rsidRDefault="00073F0D" w:rsidP="00A865AD">
            <w:pPr>
              <w:spacing w:line="256" w:lineRule="auto"/>
              <w:rPr>
                <w:rFonts w:ascii="Times New Roman" w:hAnsi="Times New Roman"/>
                <w:sz w:val="24"/>
                <w:szCs w:val="24"/>
              </w:rPr>
            </w:pPr>
            <w:r w:rsidRPr="00F97060">
              <w:rPr>
                <w:rFonts w:ascii="Times New Roman" w:hAnsi="Times New Roman"/>
                <w:sz w:val="24"/>
                <w:szCs w:val="24"/>
                <w:lang w:val="en-US"/>
              </w:rPr>
              <w:t>-0,8**</w:t>
            </w:r>
            <w:r w:rsidRPr="00F97060">
              <w:rPr>
                <w:rFonts w:ascii="Times New Roman" w:hAnsi="Times New Roman"/>
                <w:sz w:val="24"/>
                <w:szCs w:val="24"/>
              </w:rPr>
              <w:t xml:space="preserve"> </w:t>
            </w:r>
          </w:p>
        </w:tc>
        <w:tc>
          <w:tcPr>
            <w:tcW w:w="892" w:type="pct"/>
            <w:tcBorders>
              <w:top w:val="single" w:sz="4" w:space="0" w:color="auto"/>
              <w:left w:val="single" w:sz="4" w:space="0" w:color="auto"/>
              <w:bottom w:val="single" w:sz="4" w:space="0" w:color="auto"/>
              <w:right w:val="single" w:sz="4" w:space="0" w:color="auto"/>
            </w:tcBorders>
          </w:tcPr>
          <w:p w14:paraId="6D127F06" w14:textId="77777777" w:rsidR="00073F0D" w:rsidRPr="00F97060" w:rsidRDefault="00073F0D" w:rsidP="00A865AD">
            <w:pPr>
              <w:spacing w:line="256" w:lineRule="auto"/>
              <w:rPr>
                <w:rFonts w:ascii="Times New Roman" w:hAnsi="Times New Roman"/>
                <w:sz w:val="24"/>
                <w:szCs w:val="24"/>
                <w:lang w:val="en-US"/>
              </w:rPr>
            </w:pPr>
            <w:r w:rsidRPr="00F97060">
              <w:rPr>
                <w:rFonts w:ascii="Times New Roman" w:hAnsi="Times New Roman"/>
                <w:sz w:val="24"/>
                <w:szCs w:val="24"/>
                <w:lang w:val="en-US"/>
              </w:rPr>
              <w:t>0,04</w:t>
            </w:r>
          </w:p>
        </w:tc>
      </w:tr>
      <w:tr w:rsidR="006F7A2B" w:rsidRPr="005C21FF" w14:paraId="14657884" w14:textId="77777777" w:rsidTr="006F7A2B">
        <w:tc>
          <w:tcPr>
            <w:tcW w:w="5000" w:type="pct"/>
            <w:gridSpan w:val="4"/>
            <w:tcBorders>
              <w:top w:val="single" w:sz="4" w:space="0" w:color="auto"/>
              <w:left w:val="single" w:sz="4" w:space="0" w:color="auto"/>
              <w:bottom w:val="single" w:sz="4" w:space="0" w:color="auto"/>
              <w:right w:val="single" w:sz="4" w:space="0" w:color="auto"/>
            </w:tcBorders>
          </w:tcPr>
          <w:p w14:paraId="7802B2F6" w14:textId="77777777" w:rsidR="006F7A2B" w:rsidRPr="006F7A2B" w:rsidRDefault="006F7A2B" w:rsidP="006F7A2B">
            <w:pPr>
              <w:spacing w:line="256" w:lineRule="auto"/>
              <w:ind w:firstLine="594"/>
              <w:jc w:val="both"/>
              <w:rPr>
                <w:rFonts w:ascii="Times New Roman" w:eastAsia="Times New Roman" w:hAnsi="Times New Roman"/>
                <w:color w:val="000000"/>
                <w:kern w:val="24"/>
                <w:sz w:val="24"/>
                <w:szCs w:val="24"/>
                <w:lang w:eastAsia="ru-RU"/>
              </w:rPr>
            </w:pPr>
            <w:r w:rsidRPr="006F7A2B">
              <w:rPr>
                <w:rFonts w:ascii="Times New Roman" w:eastAsia="Times New Roman" w:hAnsi="Times New Roman"/>
                <w:color w:val="000000"/>
                <w:kern w:val="24"/>
                <w:sz w:val="24"/>
                <w:szCs w:val="24"/>
                <w:lang w:val="en-US" w:eastAsia="ru-RU"/>
              </w:rPr>
              <w:t>Примечания</w:t>
            </w:r>
            <w:r w:rsidRPr="006F7A2B">
              <w:rPr>
                <w:rFonts w:ascii="Times New Roman" w:eastAsia="Times New Roman" w:hAnsi="Times New Roman"/>
                <w:color w:val="000000"/>
                <w:kern w:val="24"/>
                <w:sz w:val="24"/>
                <w:szCs w:val="24"/>
                <w:lang w:eastAsia="ru-RU"/>
              </w:rPr>
              <w:t>:</w:t>
            </w:r>
          </w:p>
          <w:p w14:paraId="306818EB" w14:textId="77777777" w:rsidR="006F7A2B" w:rsidRPr="006F7A2B" w:rsidRDefault="006F7A2B" w:rsidP="006F7A2B">
            <w:pPr>
              <w:spacing w:line="256" w:lineRule="auto"/>
              <w:rPr>
                <w:rFonts w:ascii="Times New Roman" w:eastAsiaTheme="majorEastAsia" w:hAnsi="Times New Roman"/>
                <w:sz w:val="24"/>
                <w:szCs w:val="24"/>
              </w:rPr>
            </w:pPr>
            <w:r w:rsidRPr="006F7A2B">
              <w:rPr>
                <w:rFonts w:ascii="Times New Roman" w:hAnsi="Times New Roman"/>
                <w:sz w:val="24"/>
                <w:szCs w:val="24"/>
              </w:rPr>
              <w:t xml:space="preserve">1 </w:t>
            </w:r>
            <w:r w:rsidRPr="006F7A2B">
              <w:rPr>
                <w:rFonts w:ascii="Times New Roman" w:eastAsiaTheme="majorEastAsia" w:hAnsi="Times New Roman"/>
                <w:sz w:val="24"/>
                <w:szCs w:val="24"/>
              </w:rPr>
              <w:t xml:space="preserve">* </w:t>
            </w:r>
            <w:r w:rsidRPr="006F7A2B">
              <w:rPr>
                <w:rFonts w:ascii="Times New Roman" w:eastAsiaTheme="majorEastAsia" w:hAnsi="Times New Roman"/>
                <w:sz w:val="24"/>
                <w:szCs w:val="24"/>
                <w:lang w:val="en-US"/>
              </w:rPr>
              <w:t>p</w:t>
            </w:r>
            <w:r w:rsidRPr="006F7A2B">
              <w:rPr>
                <w:rFonts w:ascii="Times New Roman" w:eastAsiaTheme="majorEastAsia" w:hAnsi="Times New Roman"/>
                <w:sz w:val="24"/>
                <w:szCs w:val="24"/>
              </w:rPr>
              <w:t>≤0,01</w:t>
            </w:r>
          </w:p>
          <w:p w14:paraId="484183AE" w14:textId="438682B3" w:rsidR="006F7A2B" w:rsidRPr="006F7A2B" w:rsidRDefault="006F7A2B" w:rsidP="00A865AD">
            <w:pPr>
              <w:spacing w:line="256" w:lineRule="auto"/>
              <w:rPr>
                <w:rFonts w:ascii="Times New Roman" w:eastAsiaTheme="majorEastAsia" w:hAnsi="Times New Roman"/>
                <w:sz w:val="24"/>
                <w:szCs w:val="24"/>
              </w:rPr>
            </w:pPr>
            <w:r w:rsidRPr="006F7A2B">
              <w:rPr>
                <w:rFonts w:ascii="Times New Roman" w:eastAsiaTheme="majorEastAsia" w:hAnsi="Times New Roman"/>
                <w:sz w:val="24"/>
                <w:szCs w:val="24"/>
              </w:rPr>
              <w:t xml:space="preserve">2 ** </w:t>
            </w:r>
            <w:r w:rsidRPr="006F7A2B">
              <w:rPr>
                <w:rFonts w:ascii="Times New Roman" w:eastAsiaTheme="majorEastAsia" w:hAnsi="Times New Roman"/>
                <w:sz w:val="24"/>
                <w:szCs w:val="24"/>
                <w:lang w:val="en-US"/>
              </w:rPr>
              <w:t>p</w:t>
            </w:r>
            <w:r w:rsidRPr="006F7A2B">
              <w:rPr>
                <w:rFonts w:ascii="Times New Roman" w:eastAsiaTheme="majorEastAsia" w:hAnsi="Times New Roman"/>
                <w:sz w:val="24"/>
                <w:szCs w:val="24"/>
              </w:rPr>
              <w:t>≤0,05</w:t>
            </w:r>
          </w:p>
        </w:tc>
      </w:tr>
    </w:tbl>
    <w:p w14:paraId="01F4C1C6" w14:textId="28400CE6" w:rsidR="00073F0D" w:rsidRPr="006E352B" w:rsidRDefault="00073F0D" w:rsidP="00073F0D">
      <w:pPr>
        <w:spacing w:after="0" w:line="256" w:lineRule="auto"/>
        <w:rPr>
          <w:rFonts w:ascii="Times New Roman" w:eastAsiaTheme="majorEastAsia" w:hAnsi="Times New Roman" w:cs="Times New Roman"/>
          <w:sz w:val="24"/>
          <w:szCs w:val="24"/>
        </w:rPr>
      </w:pPr>
    </w:p>
    <w:p w14:paraId="25BA6BC6" w14:textId="6B756D4B" w:rsidR="00073F0D" w:rsidRPr="00483C8C" w:rsidRDefault="00073F0D" w:rsidP="00073F0D">
      <w:pPr>
        <w:spacing w:after="0" w:line="240" w:lineRule="auto"/>
        <w:ind w:firstLine="709"/>
        <w:jc w:val="both"/>
        <w:rPr>
          <w:rFonts w:ascii="Times New Roman" w:eastAsia="MS Mincho" w:hAnsi="Times New Roman" w:cs="Times New Roman"/>
          <w:sz w:val="28"/>
          <w:szCs w:val="28"/>
          <w:lang w:val="en-US"/>
        </w:rPr>
      </w:pPr>
      <w:r w:rsidRPr="00483C8C">
        <w:rPr>
          <w:rFonts w:ascii="Times New Roman" w:eastAsia="MS Mincho" w:hAnsi="Times New Roman" w:cs="Times New Roman"/>
          <w:sz w:val="28"/>
          <w:szCs w:val="28"/>
        </w:rPr>
        <w:t xml:space="preserve">При оценке зависимости вероятности тяжести симптомов заболевания от общего ИГЕ с помощью </w:t>
      </w:r>
      <w:r w:rsidRPr="00483C8C">
        <w:rPr>
          <w:rFonts w:ascii="Times New Roman" w:eastAsia="MS Mincho" w:hAnsi="Times New Roman" w:cs="Times New Roman"/>
          <w:sz w:val="28"/>
          <w:szCs w:val="28"/>
          <w:lang w:val="en-US"/>
        </w:rPr>
        <w:t>ROC-анализа была получена следующая кривая</w:t>
      </w:r>
      <w:r w:rsidR="00AC51CB">
        <w:rPr>
          <w:rFonts w:ascii="Times New Roman" w:eastAsia="MS Mincho" w:hAnsi="Times New Roman" w:cs="Times New Roman"/>
          <w:sz w:val="28"/>
          <w:szCs w:val="28"/>
        </w:rPr>
        <w:t xml:space="preserve"> (Рисунок 7)</w:t>
      </w:r>
      <w:r w:rsidRPr="00483C8C">
        <w:rPr>
          <w:rFonts w:ascii="Times New Roman" w:eastAsia="MS Mincho" w:hAnsi="Times New Roman" w:cs="Times New Roman"/>
          <w:sz w:val="28"/>
          <w:szCs w:val="28"/>
          <w:lang w:val="en-US"/>
        </w:rPr>
        <w:t>.</w:t>
      </w:r>
    </w:p>
    <w:p w14:paraId="7BC5502A" w14:textId="3D502702" w:rsidR="00073F0D" w:rsidRPr="00057F1E" w:rsidRDefault="00073F0D" w:rsidP="00073F0D">
      <w:pPr>
        <w:spacing w:after="0" w:line="360" w:lineRule="auto"/>
        <w:rPr>
          <w:rFonts w:ascii="Times New Roman" w:eastAsia="MS Mincho" w:hAnsi="Times New Roman" w:cs="Times New Roman"/>
          <w:highlight w:val="green"/>
          <w:lang w:val="en-US"/>
        </w:rPr>
      </w:pPr>
    </w:p>
    <w:p w14:paraId="5BA145CE" w14:textId="498AB5CE" w:rsidR="00073F0D" w:rsidRPr="00057F1E" w:rsidRDefault="009B4D2C" w:rsidP="00073F0D">
      <w:pPr>
        <w:spacing w:after="0" w:line="240" w:lineRule="auto"/>
        <w:jc w:val="center"/>
        <w:rPr>
          <w:rFonts w:ascii="Times New Roman" w:eastAsia="MS Mincho" w:hAnsi="Times New Roman" w:cs="Times New Roman"/>
          <w:highlight w:val="green"/>
          <w:lang w:val="en-US"/>
        </w:rPr>
      </w:pPr>
      <w:r w:rsidRPr="009B4D2C">
        <w:rPr>
          <w:rFonts w:ascii="Times New Roman" w:eastAsia="MS Mincho" w:hAnsi="Times New Roman" w:cs="Times New Roman"/>
          <w:noProof/>
          <w:highlight w:val="green"/>
          <w:lang w:eastAsia="ru-RU"/>
        </w:rPr>
        <mc:AlternateContent>
          <mc:Choice Requires="wps">
            <w:drawing>
              <wp:anchor distT="0" distB="0" distL="114300" distR="114300" simplePos="0" relativeHeight="251752448" behindDoc="0" locked="0" layoutInCell="1" allowOverlap="1" wp14:anchorId="58E7D781" wp14:editId="5E037212">
                <wp:simplePos x="0" y="0"/>
                <wp:positionH relativeFrom="column">
                  <wp:posOffset>2945984</wp:posOffset>
                </wp:positionH>
                <wp:positionV relativeFrom="paragraph">
                  <wp:posOffset>1171991</wp:posOffset>
                </wp:positionV>
                <wp:extent cx="2131695" cy="368935"/>
                <wp:effectExtent l="0" t="0" r="0" b="0"/>
                <wp:wrapNone/>
                <wp:docPr id="12" name="Прямоугольник 11"/>
                <wp:cNvGraphicFramePr/>
                <a:graphic xmlns:a="http://schemas.openxmlformats.org/drawingml/2006/main">
                  <a:graphicData uri="http://schemas.microsoft.com/office/word/2010/wordprocessingShape">
                    <wps:wsp>
                      <wps:cNvSpPr/>
                      <wps:spPr>
                        <a:xfrm>
                          <a:off x="0" y="0"/>
                          <a:ext cx="2131695" cy="368935"/>
                        </a:xfrm>
                        <a:prstGeom prst="rect">
                          <a:avLst/>
                        </a:prstGeom>
                      </wps:spPr>
                      <wps:txbx>
                        <w:txbxContent>
                          <w:p w14:paraId="1A5FC7A2" w14:textId="77777777" w:rsidR="003006BE" w:rsidRPr="009B4D2C" w:rsidRDefault="003006BE" w:rsidP="009B4D2C">
                            <w:pPr>
                              <w:pStyle w:val="af4"/>
                              <w:spacing w:before="0" w:beforeAutospacing="0" w:after="0" w:afterAutospacing="0"/>
                              <w:rPr>
                                <w:sz w:val="20"/>
                              </w:rPr>
                            </w:pPr>
                            <w:r w:rsidRPr="009B4D2C">
                              <w:rPr>
                                <w:rFonts w:eastAsia="MS Mincho" w:cstheme="minorBidi"/>
                                <w:color w:val="000000" w:themeColor="text1"/>
                                <w:kern w:val="24"/>
                                <w:sz w:val="28"/>
                                <w:szCs w:val="36"/>
                                <w:lang w:val="en-US"/>
                              </w:rPr>
                              <w:t>AUC=</w:t>
                            </w:r>
                            <w:r w:rsidRPr="009B4D2C">
                              <w:rPr>
                                <w:rFonts w:eastAsia="MS Mincho" w:cstheme="minorBidi"/>
                                <w:color w:val="000000" w:themeColor="text1"/>
                                <w:kern w:val="24"/>
                                <w:sz w:val="28"/>
                                <w:szCs w:val="36"/>
                              </w:rPr>
                              <w:t xml:space="preserve">0,889 </w:t>
                            </w:r>
                            <w:r w:rsidRPr="009B4D2C">
                              <w:rPr>
                                <w:rFonts w:eastAsia="MS Mincho" w:cstheme="minorBidi" w:hint="eastAsia"/>
                                <w:color w:val="000000" w:themeColor="text1"/>
                                <w:kern w:val="24"/>
                                <w:sz w:val="28"/>
                                <w:szCs w:val="36"/>
                              </w:rPr>
                              <w:t>±</w:t>
                            </w:r>
                            <w:r w:rsidRPr="009B4D2C">
                              <w:rPr>
                                <w:rFonts w:eastAsia="MS Mincho" w:cstheme="minorBidi" w:hint="eastAsia"/>
                                <w:color w:val="000000" w:themeColor="text1"/>
                                <w:kern w:val="24"/>
                                <w:sz w:val="28"/>
                                <w:szCs w:val="36"/>
                              </w:rPr>
                              <w:t xml:space="preserve"> 0,118 </w:t>
                            </w:r>
                          </w:p>
                        </w:txbxContent>
                      </wps:txbx>
                      <wps:bodyPr wrap="none">
                        <a:sp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58E7D781" id="Прямоугольник 11" o:spid="_x0000_s1027" style="position:absolute;left:0;text-align:left;margin-left:231.95pt;margin-top:92.3pt;width:167.85pt;height:29.05pt;z-index:2517524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" filled="f" stroked="f">
                <v:textbox style="mso-fit-shape-to-text:t">
                  <w:txbxContent>
                    <w:p w14:paraId="1A5FC7A2" w14:textId="77777777" w:rsidR="003006BE" w:rsidRPr="009B4D2C" w:rsidRDefault="003006BE" w:rsidP="009B4D2C">
                      <w:pPr>
                        <w:pStyle w:val="af4"/>
                        <w:spacing w:before="0" w:beforeAutospacing="0" w:after="0" w:afterAutospacing="0"/>
                        <w:rPr>
                          <w:sz w:val="20"/>
                        </w:rPr>
                      </w:pPr>
                      <w:r w:rsidRPr="009B4D2C">
                        <w:rPr>
                          <w:rFonts w:eastAsia="MS Mincho" w:cstheme="minorBidi"/>
                          <w:color w:val="000000" w:themeColor="text1"/>
                          <w:kern w:val="24"/>
                          <w:sz w:val="28"/>
                          <w:szCs w:val="36"/>
                          <w:lang w:val="en-US"/>
                        </w:rPr>
                        <w:t>AUC=</w:t>
                      </w:r>
                      <w:r w:rsidRPr="009B4D2C">
                        <w:rPr>
                          <w:rFonts w:eastAsia="MS Mincho" w:cstheme="minorBidi"/>
                          <w:color w:val="000000" w:themeColor="text1"/>
                          <w:kern w:val="24"/>
                          <w:sz w:val="28"/>
                          <w:szCs w:val="36"/>
                        </w:rPr>
                        <w:t xml:space="preserve">0,889 </w:t>
                      </w:r>
                      <w:r w:rsidRPr="009B4D2C">
                        <w:rPr>
                          <w:rFonts w:eastAsia="MS Mincho" w:cstheme="minorBidi" w:hint="eastAsia"/>
                          <w:color w:val="000000" w:themeColor="text1"/>
                          <w:kern w:val="24"/>
                          <w:sz w:val="28"/>
                          <w:szCs w:val="36"/>
                        </w:rPr>
                        <w:t>±</w:t>
                      </w:r>
                      <w:r w:rsidRPr="009B4D2C">
                        <w:rPr>
                          <w:rFonts w:eastAsia="MS Mincho" w:cstheme="minorBidi" w:hint="eastAsia"/>
                          <w:color w:val="000000" w:themeColor="text1"/>
                          <w:kern w:val="24"/>
                          <w:sz w:val="28"/>
                          <w:szCs w:val="36"/>
                        </w:rPr>
                        <w:t xml:space="preserve"> 0,118 </w:t>
                      </w:r>
                    </w:p>
                  </w:txbxContent>
                </v:textbox>
              </v:rect>
            </w:pict>
          </mc:Fallback>
        </mc:AlternateContent>
      </w:r>
      <w:r w:rsidRPr="009B4D2C">
        <w:rPr>
          <w:rFonts w:ascii="Times New Roman" w:eastAsia="Calibri" w:hAnsi="Times New Roman" w:cs="Times New Roman"/>
          <w:noProof/>
          <w:sz w:val="28"/>
          <w:szCs w:val="28"/>
          <w:lang w:eastAsia="ru-RU"/>
        </w:rPr>
        <mc:AlternateContent>
          <mc:Choice Requires="wps">
            <w:drawing>
              <wp:anchor distT="0" distB="0" distL="114300" distR="114300" simplePos="0" relativeHeight="251750400" behindDoc="0" locked="0" layoutInCell="1" allowOverlap="1" wp14:anchorId="1C8CAE80" wp14:editId="5EBBDBDC">
                <wp:simplePos x="0" y="0"/>
                <wp:positionH relativeFrom="column">
                  <wp:posOffset>2435839</wp:posOffset>
                </wp:positionH>
                <wp:positionV relativeFrom="paragraph">
                  <wp:posOffset>153045</wp:posOffset>
                </wp:positionV>
                <wp:extent cx="3001339" cy="307777"/>
                <wp:effectExtent l="0" t="0" r="0" b="0"/>
                <wp:wrapNone/>
                <wp:docPr id="84" name="Прямоугольник 3"/>
                <wp:cNvGraphicFramePr/>
                <a:graphic xmlns:a="http://schemas.openxmlformats.org/drawingml/2006/main">
                  <a:graphicData uri="http://schemas.microsoft.com/office/word/2010/wordprocessingShape">
                    <wps:wsp>
                      <wps:cNvSpPr/>
                      <wps:spPr>
                        <a:xfrm>
                          <a:off x="0" y="0"/>
                          <a:ext cx="3001339" cy="307777"/>
                        </a:xfrm>
                        <a:prstGeom prst="rect">
                          <a:avLst/>
                        </a:prstGeom>
                      </wps:spPr>
                      <wps:txbx>
                        <w:txbxContent>
                          <w:p w14:paraId="3E8FB3D8" w14:textId="77777777" w:rsidR="003006BE" w:rsidRDefault="003006BE" w:rsidP="009B4D2C">
                            <w:pPr>
                              <w:pStyle w:val="af4"/>
                              <w:spacing w:before="0" w:beforeAutospacing="0" w:after="0" w:afterAutospacing="0"/>
                            </w:pPr>
                            <w:r>
                              <w:rPr>
                                <w:rFonts w:eastAsia="MS Mincho" w:cstheme="minorBidi"/>
                                <w:color w:val="FF0000"/>
                                <w:kern w:val="24"/>
                                <w:sz w:val="28"/>
                                <w:szCs w:val="28"/>
                              </w:rPr>
                              <w:t>368,7 (</w:t>
                            </w:r>
                            <w:r>
                              <w:rPr>
                                <w:rFonts w:eastAsia="Calibri" w:cstheme="minorBidi"/>
                                <w:color w:val="FF0000"/>
                                <w:kern w:val="24"/>
                                <w:sz w:val="28"/>
                                <w:szCs w:val="28"/>
                              </w:rPr>
                              <w:t>Sp:77,8 %, Se:100 %)</w:t>
                            </w:r>
                          </w:p>
                        </w:txbxContent>
                      </wps:txbx>
                      <wps:bodyPr wrap="square">
                        <a:sp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1C8CAE80" id="Прямоугольник 3" o:spid="_x0000_s1028" style="position:absolute;left:0;text-align:left;margin-left:191.8pt;margin-top:12.05pt;width:236.35pt;height:24.2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" filled="f" stroked="f">
                <v:textbox style="mso-fit-shape-to-text:t">
                  <w:txbxContent>
                    <w:p w14:paraId="3E8FB3D8" w14:textId="77777777" w:rsidR="003006BE" w:rsidRDefault="003006BE" w:rsidP="009B4D2C">
                      <w:pPr>
                        <w:pStyle w:val="af4"/>
                        <w:spacing w:before="0" w:beforeAutospacing="0" w:after="0" w:afterAutospacing="0"/>
                      </w:pPr>
                      <w:r>
                        <w:rPr>
                          <w:rFonts w:eastAsia="MS Mincho" w:cstheme="minorBidi"/>
                          <w:color w:val="FF0000"/>
                          <w:kern w:val="24"/>
                          <w:sz w:val="28"/>
                          <w:szCs w:val="28"/>
                        </w:rPr>
                        <w:t>368,7 (</w:t>
                      </w:r>
                      <w:r>
                        <w:rPr>
                          <w:rFonts w:eastAsia="Calibri" w:cstheme="minorBidi"/>
                          <w:color w:val="FF0000"/>
                          <w:kern w:val="24"/>
                          <w:sz w:val="28"/>
                          <w:szCs w:val="28"/>
                        </w:rPr>
                        <w:t>Sp:77,8 %, Se:100 %)</w:t>
                      </w:r>
                    </w:p>
                  </w:txbxContent>
                </v:textbox>
              </v:rect>
            </w:pict>
          </mc:Fallback>
        </mc:AlternateContent>
      </w:r>
      <w:r w:rsidR="00073F0D" w:rsidRPr="00A865AD">
        <w:rPr>
          <w:rFonts w:ascii="Times New Roman" w:eastAsia="MS Mincho" w:hAnsi="Times New Roman" w:cs="Times New Roman"/>
          <w:noProof/>
          <w:lang w:eastAsia="ru-RU"/>
        </w:rPr>
        <w:drawing>
          <wp:inline distT="0" distB="0" distL="0" distR="0" wp14:anchorId="5E3514DC" wp14:editId="7592422D">
            <wp:extent cx="4257618" cy="2620255"/>
            <wp:effectExtent l="0" t="0" r="0" b="8890"/>
            <wp:docPr id="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5.png"/>
                    <pic:cNvPicPr/>
                  </pic:nvPicPr>
                  <pic:blipFill>
                    <a:blip r:embed="rId26"/>
                    <a:stretch>
                      <a:fillRect/>
                    </a:stretch>
                  </pic:blipFill>
                  <pic:spPr>
                    <a:xfrm>
                      <a:off x="0" y="0"/>
                      <a:ext cx="4281525" cy="2634968"/>
                    </a:xfrm>
                    <a:prstGeom prst="rect">
                      <a:avLst/>
                    </a:prstGeom>
                  </pic:spPr>
                </pic:pic>
              </a:graphicData>
            </a:graphic>
          </wp:inline>
        </w:drawing>
      </w:r>
    </w:p>
    <w:p w14:paraId="54FFD510" w14:textId="77777777" w:rsidR="00073F0D" w:rsidRDefault="00073F0D" w:rsidP="00073F0D">
      <w:pPr>
        <w:spacing w:after="0" w:line="240" w:lineRule="auto"/>
        <w:jc w:val="center"/>
        <w:rPr>
          <w:rFonts w:ascii="Times New Roman" w:eastAsia="MS Mincho" w:hAnsi="Times New Roman" w:cs="Times New Roman"/>
          <w:highlight w:val="green"/>
        </w:rPr>
      </w:pPr>
    </w:p>
    <w:p w14:paraId="759DAFDC" w14:textId="7F498970" w:rsidR="00073F0D" w:rsidRPr="002249EC" w:rsidRDefault="00AC51CB" w:rsidP="00073F0D">
      <w:pPr>
        <w:spacing w:after="0" w:line="240" w:lineRule="auto"/>
        <w:jc w:val="center"/>
        <w:rPr>
          <w:rFonts w:ascii="Times New Roman" w:eastAsia="MS Mincho" w:hAnsi="Times New Roman" w:cs="Times New Roman"/>
          <w:sz w:val="28"/>
          <w:szCs w:val="28"/>
        </w:rPr>
      </w:pPr>
      <w:r>
        <w:rPr>
          <w:rFonts w:ascii="Times New Roman" w:eastAsia="MS Mincho" w:hAnsi="Times New Roman" w:cs="Times New Roman"/>
          <w:sz w:val="28"/>
          <w:szCs w:val="28"/>
        </w:rPr>
        <w:t>Рисунок 7</w:t>
      </w:r>
      <w:r w:rsidR="00073F0D" w:rsidRPr="002249EC">
        <w:rPr>
          <w:rFonts w:ascii="Times New Roman" w:eastAsia="MS Mincho" w:hAnsi="Times New Roman" w:cs="Times New Roman"/>
          <w:sz w:val="28"/>
          <w:szCs w:val="28"/>
        </w:rPr>
        <w:t xml:space="preserve"> – </w:t>
      </w:r>
      <w:r w:rsidR="00073F0D" w:rsidRPr="002249EC">
        <w:rPr>
          <w:rFonts w:ascii="Times New Roman" w:eastAsia="MS Mincho" w:hAnsi="Times New Roman" w:cs="Times New Roman"/>
          <w:sz w:val="28"/>
          <w:szCs w:val="28"/>
          <w:lang w:val="en-US"/>
        </w:rPr>
        <w:t>ROC</w:t>
      </w:r>
      <w:r w:rsidR="00073F0D" w:rsidRPr="002249EC">
        <w:rPr>
          <w:rFonts w:ascii="Times New Roman" w:eastAsia="MS Mincho" w:hAnsi="Times New Roman" w:cs="Times New Roman"/>
          <w:sz w:val="28"/>
          <w:szCs w:val="28"/>
        </w:rPr>
        <w:t xml:space="preserve">-кривая, характеризующая зависимость вероятности тяжести симптомов заболевания от общего ИГЕ </w:t>
      </w:r>
    </w:p>
    <w:p w14:paraId="3D707E16" w14:textId="77777777" w:rsidR="00073F0D" w:rsidRPr="00E47012" w:rsidRDefault="00073F0D" w:rsidP="00073F0D">
      <w:pPr>
        <w:spacing w:after="0" w:line="240" w:lineRule="auto"/>
        <w:rPr>
          <w:rFonts w:ascii="Times New Roman" w:eastAsia="MS Mincho" w:hAnsi="Times New Roman" w:cs="Times New Roman"/>
        </w:rPr>
      </w:pPr>
    </w:p>
    <w:p w14:paraId="1FA1F2E0" w14:textId="60C27F46" w:rsidR="00073F0D" w:rsidRPr="000F47F1" w:rsidRDefault="00073F0D" w:rsidP="00073F0D">
      <w:pPr>
        <w:spacing w:after="0" w:line="240" w:lineRule="auto"/>
        <w:ind w:firstLine="709"/>
        <w:jc w:val="both"/>
        <w:rPr>
          <w:rFonts w:ascii="Times New Roman" w:eastAsia="MS Mincho" w:hAnsi="Times New Roman" w:cs="Times New Roman"/>
          <w:sz w:val="28"/>
          <w:szCs w:val="28"/>
        </w:rPr>
      </w:pPr>
      <w:r w:rsidRPr="00E47012">
        <w:rPr>
          <w:rFonts w:ascii="Times New Roman" w:eastAsia="MS Mincho" w:hAnsi="Times New Roman" w:cs="Times New Roman"/>
          <w:sz w:val="28"/>
          <w:szCs w:val="28"/>
        </w:rPr>
        <w:t xml:space="preserve">Площадь под </w:t>
      </w:r>
      <w:r w:rsidRPr="00E47012">
        <w:rPr>
          <w:rFonts w:ascii="Times New Roman" w:eastAsia="MS Mincho" w:hAnsi="Times New Roman" w:cs="Times New Roman"/>
          <w:sz w:val="28"/>
          <w:szCs w:val="28"/>
          <w:lang w:val="en-US"/>
        </w:rPr>
        <w:t>ROC</w:t>
      </w:r>
      <w:r w:rsidRPr="00E47012">
        <w:rPr>
          <w:rFonts w:ascii="Times New Roman" w:eastAsia="MS Mincho" w:hAnsi="Times New Roman" w:cs="Times New Roman"/>
          <w:sz w:val="28"/>
          <w:szCs w:val="28"/>
        </w:rPr>
        <w:t>-кривой составила 0,889 ± 0,118 с 95% ДИ: 0,44-0,78. Полученная модель была статистически значимой (</w:t>
      </w:r>
      <w:r w:rsidRPr="00E47012">
        <w:rPr>
          <w:rFonts w:ascii="Times New Roman" w:eastAsia="MS Mincho" w:hAnsi="Times New Roman" w:cs="Times New Roman"/>
          <w:sz w:val="28"/>
          <w:szCs w:val="28"/>
          <w:lang w:val="en-US"/>
        </w:rPr>
        <w:t>p</w:t>
      </w:r>
      <w:r w:rsidRPr="00E47012">
        <w:rPr>
          <w:rFonts w:ascii="Times New Roman" w:eastAsia="MS Mincho" w:hAnsi="Times New Roman" w:cs="Times New Roman"/>
          <w:sz w:val="28"/>
          <w:szCs w:val="28"/>
        </w:rPr>
        <w:t xml:space="preserve"> = 0,031). Пороговое </w:t>
      </w:r>
      <w:r>
        <w:rPr>
          <w:rFonts w:ascii="Times New Roman" w:eastAsia="MS Mincho" w:hAnsi="Times New Roman" w:cs="Times New Roman"/>
          <w:sz w:val="28"/>
          <w:szCs w:val="28"/>
        </w:rPr>
        <w:t>значение общего ИГЕ</w:t>
      </w:r>
      <w:r w:rsidRPr="00E47012">
        <w:rPr>
          <w:rFonts w:ascii="Times New Roman" w:eastAsia="MS Mincho" w:hAnsi="Times New Roman" w:cs="Times New Roman"/>
          <w:sz w:val="28"/>
          <w:szCs w:val="28"/>
        </w:rPr>
        <w:t xml:space="preserve"> в точке </w:t>
      </w:r>
      <w:r w:rsidRPr="00E47012">
        <w:rPr>
          <w:rFonts w:ascii="Times New Roman" w:eastAsia="MS Mincho" w:hAnsi="Times New Roman" w:cs="Times New Roman"/>
          <w:sz w:val="28"/>
          <w:szCs w:val="28"/>
          <w:lang w:val="en-US"/>
        </w:rPr>
        <w:t>cut</w:t>
      </w:r>
      <w:r w:rsidRPr="00E47012">
        <w:rPr>
          <w:rFonts w:ascii="Times New Roman" w:eastAsia="MS Mincho" w:hAnsi="Times New Roman" w:cs="Times New Roman"/>
          <w:sz w:val="28"/>
          <w:szCs w:val="28"/>
        </w:rPr>
        <w:t>-</w:t>
      </w:r>
      <w:r w:rsidRPr="00E47012">
        <w:rPr>
          <w:rFonts w:ascii="Times New Roman" w:eastAsia="MS Mincho" w:hAnsi="Times New Roman" w:cs="Times New Roman"/>
          <w:sz w:val="28"/>
          <w:szCs w:val="28"/>
          <w:lang w:val="en-US"/>
        </w:rPr>
        <w:t>off</w:t>
      </w:r>
      <w:r w:rsidRPr="00E47012">
        <w:rPr>
          <w:rFonts w:ascii="Times New Roman" w:eastAsia="MS Mincho" w:hAnsi="Times New Roman" w:cs="Times New Roman"/>
          <w:sz w:val="28"/>
          <w:szCs w:val="28"/>
        </w:rPr>
        <w:t xml:space="preserve">, которому соответствовало наивысшее значение </w:t>
      </w:r>
      <w:r w:rsidR="00CC1DFC">
        <w:rPr>
          <w:rFonts w:ascii="Times New Roman" w:eastAsia="MS Mincho" w:hAnsi="Times New Roman" w:cs="Times New Roman"/>
          <w:sz w:val="28"/>
          <w:szCs w:val="28"/>
        </w:rPr>
        <w:t>индекса Юдена, составило 368,7</w:t>
      </w:r>
      <w:r w:rsidR="002643AD">
        <w:rPr>
          <w:rFonts w:ascii="Times New Roman" w:eastAsia="MS Mincho" w:hAnsi="Times New Roman" w:cs="Times New Roman"/>
          <w:sz w:val="28"/>
          <w:szCs w:val="28"/>
        </w:rPr>
        <w:t xml:space="preserve"> МЕ/мл</w:t>
      </w:r>
      <w:r w:rsidR="0054753C">
        <w:rPr>
          <w:rFonts w:ascii="Times New Roman" w:eastAsia="MS Mincho" w:hAnsi="Times New Roman" w:cs="Times New Roman"/>
          <w:sz w:val="28"/>
          <w:szCs w:val="28"/>
        </w:rPr>
        <w:t>. С</w:t>
      </w:r>
      <w:r w:rsidRPr="00E47012">
        <w:rPr>
          <w:rFonts w:ascii="Times New Roman" w:eastAsia="MS Mincho" w:hAnsi="Times New Roman" w:cs="Times New Roman"/>
          <w:sz w:val="28"/>
          <w:szCs w:val="28"/>
        </w:rPr>
        <w:t xml:space="preserve">редняя степень тяжести симптомов прогнозировалось при значении общего ИГЕ выше данной величины или равном ей. </w:t>
      </w:r>
      <w:r w:rsidRPr="000F47F1">
        <w:rPr>
          <w:rFonts w:ascii="Times New Roman" w:eastAsia="MS Mincho" w:hAnsi="Times New Roman" w:cs="Times New Roman"/>
          <w:sz w:val="28"/>
          <w:szCs w:val="28"/>
        </w:rPr>
        <w:t xml:space="preserve">Чувствительность и специфичность модели составили 100,0% и </w:t>
      </w:r>
      <w:r w:rsidR="00AC51CB" w:rsidRPr="000F47F1">
        <w:rPr>
          <w:rFonts w:ascii="Times New Roman" w:eastAsia="MS Mincho" w:hAnsi="Times New Roman" w:cs="Times New Roman"/>
          <w:sz w:val="28"/>
          <w:szCs w:val="28"/>
        </w:rPr>
        <w:t>77,8%, соответственно (Таблица 1</w:t>
      </w:r>
      <w:r w:rsidR="004B10A7">
        <w:rPr>
          <w:rFonts w:ascii="Times New Roman" w:eastAsia="MS Mincho" w:hAnsi="Times New Roman" w:cs="Times New Roman"/>
          <w:sz w:val="28"/>
          <w:szCs w:val="28"/>
        </w:rPr>
        <w:t>9</w:t>
      </w:r>
      <w:r w:rsidR="00AC51CB" w:rsidRPr="000F47F1">
        <w:rPr>
          <w:rFonts w:ascii="Times New Roman" w:eastAsia="MS Mincho" w:hAnsi="Times New Roman" w:cs="Times New Roman"/>
          <w:sz w:val="28"/>
          <w:szCs w:val="28"/>
        </w:rPr>
        <w:t>)</w:t>
      </w:r>
      <w:r w:rsidRPr="000F47F1">
        <w:rPr>
          <w:rFonts w:ascii="Times New Roman" w:eastAsia="MS Mincho" w:hAnsi="Times New Roman" w:cs="Times New Roman"/>
          <w:sz w:val="28"/>
          <w:szCs w:val="28"/>
        </w:rPr>
        <w:t>.</w:t>
      </w:r>
      <w:r w:rsidR="00CC1DFC" w:rsidRPr="000F47F1">
        <w:rPr>
          <w:rFonts w:ascii="Times New Roman" w:eastAsia="MS Mincho" w:hAnsi="Times New Roman" w:cs="Times New Roman"/>
          <w:sz w:val="28"/>
          <w:szCs w:val="28"/>
        </w:rPr>
        <w:t xml:space="preserve"> </w:t>
      </w:r>
    </w:p>
    <w:p w14:paraId="22EF4FE5" w14:textId="77777777" w:rsidR="00073F0D" w:rsidRPr="000F47F1" w:rsidRDefault="00073F0D" w:rsidP="00073F0D">
      <w:pPr>
        <w:spacing w:after="0" w:line="240" w:lineRule="auto"/>
        <w:rPr>
          <w:rFonts w:ascii="Times New Roman" w:eastAsia="MS Mincho" w:hAnsi="Times New Roman" w:cs="Times New Roman"/>
        </w:rPr>
      </w:pPr>
    </w:p>
    <w:p w14:paraId="51D8D9D5" w14:textId="51748957" w:rsidR="00073F0D" w:rsidRPr="002249EC" w:rsidRDefault="00AC51CB" w:rsidP="006E62CF">
      <w:pPr>
        <w:spacing w:after="0" w:line="240" w:lineRule="auto"/>
        <w:jc w:val="both"/>
        <w:rPr>
          <w:rFonts w:ascii="Times New Roman" w:eastAsia="MS Mincho" w:hAnsi="Times New Roman" w:cs="Times New Roman"/>
          <w:sz w:val="28"/>
          <w:szCs w:val="28"/>
        </w:rPr>
      </w:pPr>
      <w:r>
        <w:rPr>
          <w:rFonts w:ascii="Times New Roman" w:eastAsia="MS Mincho" w:hAnsi="Times New Roman" w:cs="Times New Roman"/>
          <w:sz w:val="28"/>
          <w:szCs w:val="28"/>
        </w:rPr>
        <w:t>Таблица 1</w:t>
      </w:r>
      <w:r w:rsidR="004B10A7">
        <w:rPr>
          <w:rFonts w:ascii="Times New Roman" w:eastAsia="MS Mincho" w:hAnsi="Times New Roman" w:cs="Times New Roman"/>
          <w:sz w:val="28"/>
          <w:szCs w:val="28"/>
        </w:rPr>
        <w:t>9</w:t>
      </w:r>
      <w:r w:rsidR="00073F0D" w:rsidRPr="002249EC">
        <w:rPr>
          <w:rFonts w:ascii="Times New Roman" w:eastAsia="MS Mincho" w:hAnsi="Times New Roman" w:cs="Times New Roman"/>
          <w:sz w:val="28"/>
          <w:szCs w:val="28"/>
        </w:rPr>
        <w:t xml:space="preserve"> – Пороговые значения общего ИГЕ </w:t>
      </w:r>
    </w:p>
    <w:p w14:paraId="0729B1D3" w14:textId="46E1D6E4" w:rsidR="00073F0D" w:rsidRPr="00E47012" w:rsidRDefault="00073F0D" w:rsidP="00073F0D">
      <w:pPr>
        <w:spacing w:after="0" w:line="240" w:lineRule="auto"/>
        <w:ind w:firstLine="567"/>
        <w:jc w:val="both"/>
        <w:rPr>
          <w:rFonts w:ascii="Times New Roman" w:eastAsia="MS Mincho" w:hAnsi="Times New Roman" w:cs="Times New Roman"/>
        </w:rPr>
      </w:pPr>
    </w:p>
    <w:tbl>
      <w:tblPr>
        <w:tblStyle w:val="130"/>
        <w:tblW w:w="0" w:type="auto"/>
        <w:jc w:val="center"/>
        <w:tblLook w:val="04A0" w:firstRow="1" w:lastRow="0" w:firstColumn="1" w:lastColumn="0" w:noHBand="0" w:noVBand="1"/>
      </w:tblPr>
      <w:tblGrid>
        <w:gridCol w:w="1774"/>
        <w:gridCol w:w="1976"/>
        <w:gridCol w:w="1930"/>
        <w:gridCol w:w="1974"/>
        <w:gridCol w:w="1974"/>
      </w:tblGrid>
      <w:tr w:rsidR="00073F0D" w:rsidRPr="006E352B" w14:paraId="5DD1085E" w14:textId="77777777" w:rsidTr="00F528A5">
        <w:trPr>
          <w:jc w:val="center"/>
        </w:trPr>
        <w:tc>
          <w:tcPr>
            <w:tcW w:w="1774" w:type="dxa"/>
            <w:vAlign w:val="center"/>
          </w:tcPr>
          <w:p w14:paraId="65979F47" w14:textId="77777777" w:rsidR="00073F0D" w:rsidRPr="00E47012" w:rsidRDefault="00073F0D" w:rsidP="00A865AD">
            <w:pPr>
              <w:jc w:val="center"/>
              <w:rPr>
                <w:rFonts w:ascii="Times New Roman" w:hAnsi="Times New Roman" w:cs="Times New Roman"/>
                <w:lang w:val="ru-RU"/>
              </w:rPr>
            </w:pPr>
            <w:r w:rsidRPr="00E47012">
              <w:rPr>
                <w:rFonts w:ascii="Times New Roman" w:hAnsi="Times New Roman" w:cs="Times New Roman"/>
              </w:rPr>
              <w:t>Порог</w:t>
            </w:r>
            <w:r w:rsidRPr="00E47012">
              <w:rPr>
                <w:rFonts w:ascii="Times New Roman" w:hAnsi="Times New Roman" w:cs="Times New Roman"/>
                <w:lang w:val="ru-RU"/>
              </w:rPr>
              <w:t xml:space="preserve"> (</w:t>
            </w:r>
            <w:r>
              <w:rPr>
                <w:rFonts w:ascii="Times New Roman" w:hAnsi="Times New Roman" w:cs="Times New Roman"/>
                <w:lang w:val="ru-RU"/>
              </w:rPr>
              <w:t>МЕ</w:t>
            </w:r>
            <w:r w:rsidRPr="00E47012">
              <w:rPr>
                <w:rFonts w:ascii="Times New Roman" w:hAnsi="Times New Roman" w:cs="Times New Roman"/>
                <w:lang w:val="ru-RU"/>
              </w:rPr>
              <w:t>/мл)</w:t>
            </w:r>
          </w:p>
        </w:tc>
        <w:tc>
          <w:tcPr>
            <w:tcW w:w="1976" w:type="dxa"/>
            <w:vAlign w:val="center"/>
          </w:tcPr>
          <w:p w14:paraId="04C64668" w14:textId="77777777" w:rsidR="00073F0D" w:rsidRPr="00E47012" w:rsidRDefault="00073F0D" w:rsidP="00A865AD">
            <w:pPr>
              <w:jc w:val="center"/>
              <w:rPr>
                <w:rFonts w:ascii="Times New Roman" w:hAnsi="Times New Roman" w:cs="Times New Roman"/>
              </w:rPr>
            </w:pPr>
            <w:r w:rsidRPr="00E47012">
              <w:rPr>
                <w:rFonts w:ascii="Times New Roman" w:hAnsi="Times New Roman" w:cs="Times New Roman"/>
              </w:rPr>
              <w:t>Чувствительность (Se), %</w:t>
            </w:r>
          </w:p>
        </w:tc>
        <w:tc>
          <w:tcPr>
            <w:tcW w:w="1930" w:type="dxa"/>
            <w:vAlign w:val="center"/>
          </w:tcPr>
          <w:p w14:paraId="4587AE91" w14:textId="77777777" w:rsidR="00073F0D" w:rsidRPr="00E47012" w:rsidRDefault="00073F0D" w:rsidP="00A865AD">
            <w:pPr>
              <w:jc w:val="center"/>
              <w:rPr>
                <w:rFonts w:ascii="Times New Roman" w:hAnsi="Times New Roman" w:cs="Times New Roman"/>
              </w:rPr>
            </w:pPr>
            <w:r w:rsidRPr="00E47012">
              <w:rPr>
                <w:rFonts w:ascii="Times New Roman" w:hAnsi="Times New Roman" w:cs="Times New Roman"/>
              </w:rPr>
              <w:t>Специфичность (Sp), %</w:t>
            </w:r>
          </w:p>
        </w:tc>
        <w:tc>
          <w:tcPr>
            <w:tcW w:w="1974" w:type="dxa"/>
            <w:vAlign w:val="center"/>
          </w:tcPr>
          <w:p w14:paraId="0140BFA8" w14:textId="77777777" w:rsidR="00073F0D" w:rsidRPr="00052BCB" w:rsidRDefault="00073F0D" w:rsidP="00A865AD">
            <w:pPr>
              <w:jc w:val="center"/>
              <w:rPr>
                <w:rFonts w:ascii="Times New Roman" w:hAnsi="Times New Roman" w:cs="Times New Roman"/>
                <w:highlight w:val="green"/>
                <w:lang w:val="ru-RU"/>
              </w:rPr>
            </w:pPr>
            <w:r w:rsidRPr="00052BCB">
              <w:rPr>
                <w:rFonts w:ascii="Times New Roman" w:hAnsi="Times New Roman" w:cs="Times New Roman"/>
                <w:lang w:val="ru-RU"/>
              </w:rPr>
              <w:t>Предсказательная ценность положительного результата</w:t>
            </w:r>
            <w:r>
              <w:rPr>
                <w:rFonts w:ascii="Times New Roman" w:hAnsi="Times New Roman" w:cs="Times New Roman"/>
                <w:lang w:val="ru-RU"/>
              </w:rPr>
              <w:t xml:space="preserve"> (</w:t>
            </w:r>
            <w:r w:rsidRPr="00052BCB">
              <w:rPr>
                <w:rFonts w:ascii="Times New Roman" w:hAnsi="Times New Roman" w:cs="Times New Roman"/>
                <w:lang w:val="ru-RU"/>
              </w:rPr>
              <w:t>PPV</w:t>
            </w:r>
            <w:r>
              <w:rPr>
                <w:rFonts w:ascii="Times New Roman" w:hAnsi="Times New Roman" w:cs="Times New Roman"/>
                <w:lang w:val="ru-RU"/>
              </w:rPr>
              <w:t>, %)</w:t>
            </w:r>
          </w:p>
        </w:tc>
        <w:tc>
          <w:tcPr>
            <w:tcW w:w="1974" w:type="dxa"/>
            <w:vAlign w:val="center"/>
          </w:tcPr>
          <w:p w14:paraId="2C052E61" w14:textId="77777777" w:rsidR="00073F0D" w:rsidRPr="00052BCB" w:rsidRDefault="00073F0D" w:rsidP="00A865AD">
            <w:pPr>
              <w:jc w:val="center"/>
              <w:rPr>
                <w:rFonts w:ascii="Times New Roman" w:hAnsi="Times New Roman" w:cs="Times New Roman"/>
                <w:highlight w:val="green"/>
                <w:lang w:val="ru-RU"/>
              </w:rPr>
            </w:pPr>
            <w:r w:rsidRPr="00052BCB">
              <w:rPr>
                <w:rFonts w:ascii="Times New Roman" w:hAnsi="Times New Roman" w:cs="Times New Roman"/>
                <w:lang w:val="ru-RU"/>
              </w:rPr>
              <w:t>Предсказательная ценность отрицательного результата</w:t>
            </w:r>
            <w:r>
              <w:rPr>
                <w:rFonts w:ascii="Times New Roman" w:hAnsi="Times New Roman" w:cs="Times New Roman"/>
                <w:lang w:val="ru-RU"/>
              </w:rPr>
              <w:t xml:space="preserve"> (</w:t>
            </w:r>
            <w:r w:rsidRPr="00052BCB">
              <w:rPr>
                <w:rFonts w:ascii="Times New Roman" w:hAnsi="Times New Roman" w:cs="Times New Roman"/>
                <w:lang w:val="ru-RU"/>
              </w:rPr>
              <w:t>NPV</w:t>
            </w:r>
            <w:r>
              <w:rPr>
                <w:rFonts w:ascii="Times New Roman" w:hAnsi="Times New Roman" w:cs="Times New Roman"/>
                <w:lang w:val="ru-RU"/>
              </w:rPr>
              <w:t>, %)</w:t>
            </w:r>
          </w:p>
        </w:tc>
      </w:tr>
      <w:tr w:rsidR="00073F0D" w:rsidRPr="00057F1E" w14:paraId="201B5477" w14:textId="77777777" w:rsidTr="00F528A5">
        <w:trPr>
          <w:jc w:val="center"/>
        </w:trPr>
        <w:tc>
          <w:tcPr>
            <w:tcW w:w="1774" w:type="dxa"/>
            <w:vAlign w:val="center"/>
          </w:tcPr>
          <w:p w14:paraId="1701883A" w14:textId="77777777" w:rsidR="00073F0D" w:rsidRPr="00E47012" w:rsidRDefault="00073F0D" w:rsidP="00A865AD">
            <w:pPr>
              <w:jc w:val="center"/>
              <w:rPr>
                <w:rFonts w:ascii="Times New Roman" w:hAnsi="Times New Roman" w:cs="Times New Roman"/>
              </w:rPr>
            </w:pPr>
            <w:r w:rsidRPr="00E47012">
              <w:rPr>
                <w:rFonts w:ascii="Times New Roman" w:hAnsi="Times New Roman" w:cs="Times New Roman"/>
                <w:b/>
              </w:rPr>
              <w:t>368,7</w:t>
            </w:r>
          </w:p>
        </w:tc>
        <w:tc>
          <w:tcPr>
            <w:tcW w:w="1976" w:type="dxa"/>
            <w:vAlign w:val="center"/>
          </w:tcPr>
          <w:p w14:paraId="30D3D96F" w14:textId="77777777" w:rsidR="00073F0D" w:rsidRPr="00E47012" w:rsidRDefault="00073F0D" w:rsidP="00A865AD">
            <w:pPr>
              <w:jc w:val="center"/>
              <w:rPr>
                <w:rFonts w:ascii="Times New Roman" w:hAnsi="Times New Roman" w:cs="Times New Roman"/>
              </w:rPr>
            </w:pPr>
            <w:r w:rsidRPr="00E47012">
              <w:rPr>
                <w:rFonts w:ascii="Times New Roman" w:hAnsi="Times New Roman" w:cs="Times New Roman"/>
                <w:b/>
              </w:rPr>
              <w:t>100,0</w:t>
            </w:r>
          </w:p>
        </w:tc>
        <w:tc>
          <w:tcPr>
            <w:tcW w:w="1930" w:type="dxa"/>
            <w:vAlign w:val="center"/>
          </w:tcPr>
          <w:p w14:paraId="4A495249" w14:textId="77777777" w:rsidR="00073F0D" w:rsidRPr="00E47012" w:rsidRDefault="00073F0D" w:rsidP="00A865AD">
            <w:pPr>
              <w:jc w:val="center"/>
              <w:rPr>
                <w:rFonts w:ascii="Times New Roman" w:hAnsi="Times New Roman" w:cs="Times New Roman"/>
              </w:rPr>
            </w:pPr>
            <w:r w:rsidRPr="00E47012">
              <w:rPr>
                <w:rFonts w:ascii="Times New Roman" w:hAnsi="Times New Roman" w:cs="Times New Roman"/>
                <w:b/>
              </w:rPr>
              <w:t>77,8</w:t>
            </w:r>
          </w:p>
        </w:tc>
        <w:tc>
          <w:tcPr>
            <w:tcW w:w="1974" w:type="dxa"/>
            <w:vAlign w:val="center"/>
          </w:tcPr>
          <w:p w14:paraId="79E6A7FD" w14:textId="77777777" w:rsidR="00073F0D" w:rsidRPr="00052BCB" w:rsidRDefault="00073F0D" w:rsidP="00A865AD">
            <w:pPr>
              <w:jc w:val="center"/>
              <w:rPr>
                <w:rFonts w:ascii="Times New Roman" w:hAnsi="Times New Roman" w:cs="Times New Roman"/>
              </w:rPr>
            </w:pPr>
            <w:r w:rsidRPr="00052BCB">
              <w:rPr>
                <w:rFonts w:ascii="Times New Roman" w:hAnsi="Times New Roman" w:cs="Times New Roman"/>
                <w:b/>
              </w:rPr>
              <w:t>66,7</w:t>
            </w:r>
          </w:p>
        </w:tc>
        <w:tc>
          <w:tcPr>
            <w:tcW w:w="1974" w:type="dxa"/>
            <w:vAlign w:val="center"/>
          </w:tcPr>
          <w:p w14:paraId="20C77D36" w14:textId="77777777" w:rsidR="00073F0D" w:rsidRPr="00052BCB" w:rsidRDefault="00073F0D" w:rsidP="00A865AD">
            <w:pPr>
              <w:jc w:val="center"/>
              <w:rPr>
                <w:rFonts w:ascii="Times New Roman" w:hAnsi="Times New Roman" w:cs="Times New Roman"/>
              </w:rPr>
            </w:pPr>
            <w:r w:rsidRPr="00052BCB">
              <w:rPr>
                <w:rFonts w:ascii="Times New Roman" w:hAnsi="Times New Roman" w:cs="Times New Roman"/>
                <w:b/>
              </w:rPr>
              <w:t>100,0</w:t>
            </w:r>
          </w:p>
        </w:tc>
      </w:tr>
    </w:tbl>
    <w:p w14:paraId="53841685" w14:textId="081699F3" w:rsidR="00073F0D" w:rsidRPr="002249EC" w:rsidRDefault="00073F0D" w:rsidP="00073F0D">
      <w:pPr>
        <w:spacing w:after="0" w:line="240" w:lineRule="auto"/>
        <w:rPr>
          <w:rFonts w:ascii="Times New Roman" w:eastAsia="MS Mincho" w:hAnsi="Times New Roman" w:cs="Times New Roman"/>
          <w:sz w:val="28"/>
          <w:szCs w:val="28"/>
          <w:highlight w:val="green"/>
          <w:lang w:val="en-US"/>
        </w:rPr>
      </w:pPr>
    </w:p>
    <w:p w14:paraId="0D60DC7D" w14:textId="2CB55CCE" w:rsidR="00073F0D" w:rsidRPr="00BE4145" w:rsidRDefault="00073F0D" w:rsidP="00073F0D">
      <w:pPr>
        <w:spacing w:after="0" w:line="240" w:lineRule="auto"/>
        <w:ind w:firstLine="709"/>
        <w:jc w:val="both"/>
        <w:rPr>
          <w:rFonts w:ascii="Times New Roman" w:eastAsia="MS Mincho" w:hAnsi="Times New Roman" w:cs="Times New Roman"/>
          <w:sz w:val="28"/>
          <w:szCs w:val="28"/>
          <w:highlight w:val="green"/>
        </w:rPr>
      </w:pPr>
      <w:r w:rsidRPr="00EE716E">
        <w:rPr>
          <w:rFonts w:ascii="Times New Roman" w:eastAsia="MS Mincho" w:hAnsi="Times New Roman" w:cs="Times New Roman"/>
          <w:sz w:val="28"/>
          <w:szCs w:val="28"/>
        </w:rPr>
        <w:t xml:space="preserve">Референсные нормы общего ИГЕ обозначены в пределах до 100 ЕД/мл </w:t>
      </w:r>
      <w:r w:rsidRPr="00EE716E">
        <w:rPr>
          <w:rFonts w:ascii="Times New Roman" w:eastAsia="MS Mincho" w:hAnsi="Times New Roman" w:cs="Times New Roman"/>
          <w:sz w:val="28"/>
          <w:szCs w:val="28"/>
        </w:rPr>
        <w:fldChar w:fldCharType="begin" w:fldLock="1"/>
      </w:r>
      <w:r w:rsidR="00765C06">
        <w:rPr>
          <w:rFonts w:ascii="Times New Roman" w:eastAsia="MS Mincho" w:hAnsi="Times New Roman" w:cs="Times New Roman"/>
          <w:sz w:val="28"/>
          <w:szCs w:val="28"/>
        </w:rPr>
        <w:instrText>ADDIN CSL_CITATION {"citationItems":[{"id":"ITEM-1","itemData":{"author":[{"dropping-particle":"","family":"Нурпеисов","given":"Т.Т.","non-dropping-particle":"","parse-names":false,"suffix":""},{"dropping-particle":"","family":"Испаева","given":"Ж.Б.","non-dropping-particle":"","parse-names":false,"suffix":""},{"dropping-particle":"","family":"Розенсон","given":"Р.И.","non-dropping-particle":"","parse-names":false,"suffix":""},{"dropping-particle":"","family":"Юхневич","given":"Е.А.","non-dropping-particle":"","parse-names":false,"suffix":""}],"id":"ITEM-1","issued":{"date-parts":[["2017"]]},"number-of-pages":"11","title":"Протокол. Аллергический ринит","type":"report"},"uris":["http://www.mendeley.com/documents/?uuid=54753850-ddd7-4ffe-ab74-0c09dc9f2c14"]}],"mendeley":{"formattedCitation":"[146]","plainTextFormattedCitation":"[146]","previouslyFormattedCitation":"[146]"},"properties":{"noteIndex":0},"schema":"https://github.com/citation-style-language/schema/raw/master/csl-citation.json"}</w:instrText>
      </w:r>
      <w:r w:rsidRPr="00EE716E">
        <w:rPr>
          <w:rFonts w:ascii="Times New Roman" w:eastAsia="MS Mincho" w:hAnsi="Times New Roman" w:cs="Times New Roman"/>
          <w:sz w:val="28"/>
          <w:szCs w:val="28"/>
        </w:rPr>
        <w:fldChar w:fldCharType="separate"/>
      </w:r>
      <w:r w:rsidR="00877069" w:rsidRPr="00877069">
        <w:rPr>
          <w:rFonts w:ascii="Times New Roman" w:eastAsia="MS Mincho" w:hAnsi="Times New Roman" w:cs="Times New Roman"/>
          <w:noProof/>
          <w:sz w:val="28"/>
          <w:szCs w:val="28"/>
        </w:rPr>
        <w:t>[146]</w:t>
      </w:r>
      <w:r w:rsidRPr="00EE716E">
        <w:rPr>
          <w:rFonts w:ascii="Times New Roman" w:eastAsia="MS Mincho" w:hAnsi="Times New Roman" w:cs="Times New Roman"/>
          <w:sz w:val="28"/>
          <w:szCs w:val="28"/>
        </w:rPr>
        <w:fldChar w:fldCharType="end"/>
      </w:r>
      <w:r w:rsidRPr="00EE716E">
        <w:rPr>
          <w:rFonts w:ascii="Times New Roman" w:eastAsia="MS Mincho" w:hAnsi="Times New Roman" w:cs="Times New Roman"/>
          <w:sz w:val="28"/>
          <w:szCs w:val="28"/>
        </w:rPr>
        <w:t xml:space="preserve">. Мы вычислили, что пороговые значения общего ИГЕ для прогнозирования тяжести симптомов аллергического ринита будут начинаться от 368,7 МЕ/мл, то есть от данной точки мы можем ожидать, что при увеличении концентрации общего ИГЕ будут наблюдаться тяжелые симптомы. </w:t>
      </w:r>
      <w:r w:rsidRPr="004B63A6">
        <w:rPr>
          <w:rFonts w:ascii="Times New Roman" w:eastAsia="MS Mincho" w:hAnsi="Times New Roman" w:cs="Times New Roman"/>
          <w:sz w:val="28"/>
          <w:szCs w:val="28"/>
        </w:rPr>
        <w:t>Концентрация общего ИГЕ менее 368,7 МЕ/мл</w:t>
      </w:r>
      <w:r>
        <w:rPr>
          <w:rFonts w:ascii="Times New Roman" w:eastAsia="MS Mincho" w:hAnsi="Times New Roman" w:cs="Times New Roman"/>
          <w:sz w:val="28"/>
          <w:szCs w:val="28"/>
        </w:rPr>
        <w:t xml:space="preserve"> предполагает стабильное течение, но должно рассматриваться как группа риска с учётом превышения референсных норм. </w:t>
      </w:r>
      <w:r w:rsidRPr="00607C27">
        <w:rPr>
          <w:rFonts w:ascii="Times New Roman" w:eastAsia="MS Mincho" w:hAnsi="Times New Roman" w:cs="Times New Roman"/>
          <w:sz w:val="28"/>
          <w:szCs w:val="28"/>
        </w:rPr>
        <w:t xml:space="preserve">Предсказательная ценность положительного результата </w:t>
      </w:r>
      <w:r>
        <w:rPr>
          <w:rFonts w:ascii="Times New Roman" w:eastAsia="MS Mincho" w:hAnsi="Times New Roman" w:cs="Times New Roman"/>
          <w:sz w:val="28"/>
          <w:szCs w:val="28"/>
        </w:rPr>
        <w:t xml:space="preserve">анализа показывает, что в 66,7% случаев мы можем прогнозировать тяжесть симптомов аллергического ринита при </w:t>
      </w:r>
      <w:r w:rsidR="00381537">
        <w:rPr>
          <w:rFonts w:ascii="Times New Roman" w:eastAsia="MS Mincho" w:hAnsi="Times New Roman" w:cs="Times New Roman"/>
          <w:sz w:val="28"/>
          <w:szCs w:val="28"/>
        </w:rPr>
        <w:t>нарастании</w:t>
      </w:r>
      <w:r>
        <w:rPr>
          <w:rFonts w:ascii="Times New Roman" w:eastAsia="MS Mincho" w:hAnsi="Times New Roman" w:cs="Times New Roman"/>
          <w:sz w:val="28"/>
          <w:szCs w:val="28"/>
        </w:rPr>
        <w:t xml:space="preserve"> уровня общего ИГЕ выше референсных норм. </w:t>
      </w:r>
      <w:r w:rsidRPr="00BE4145">
        <w:rPr>
          <w:rFonts w:ascii="Times New Roman" w:eastAsia="MS Mincho" w:hAnsi="Times New Roman" w:cs="Times New Roman"/>
          <w:sz w:val="28"/>
          <w:szCs w:val="28"/>
        </w:rPr>
        <w:t>Предсказательная ценность отрицательного результата</w:t>
      </w:r>
      <w:r>
        <w:rPr>
          <w:rFonts w:ascii="Times New Roman" w:eastAsia="MS Mincho" w:hAnsi="Times New Roman" w:cs="Times New Roman"/>
          <w:sz w:val="28"/>
          <w:szCs w:val="28"/>
        </w:rPr>
        <w:t xml:space="preserve"> показывает, что в 100% случаев мы можем прогнозировать отсутствие симптомов аллергического ринита в случае обнаружения общего ИГЕ в пределах референсных норм.</w:t>
      </w:r>
    </w:p>
    <w:p w14:paraId="46EAEDB3" w14:textId="555CE3E8" w:rsidR="00073F0D" w:rsidRPr="00E47012" w:rsidRDefault="00073F0D" w:rsidP="00073F0D">
      <w:pPr>
        <w:spacing w:after="0" w:line="240" w:lineRule="auto"/>
        <w:ind w:firstLine="709"/>
        <w:jc w:val="both"/>
        <w:rPr>
          <w:rFonts w:ascii="Times New Roman" w:eastAsia="MS Mincho" w:hAnsi="Times New Roman" w:cs="Times New Roman"/>
          <w:sz w:val="28"/>
          <w:szCs w:val="28"/>
          <w:lang w:val="en-US"/>
        </w:rPr>
      </w:pPr>
      <w:r w:rsidRPr="00E47012">
        <w:rPr>
          <w:rFonts w:ascii="Times New Roman" w:eastAsia="MS Mincho" w:hAnsi="Times New Roman" w:cs="Times New Roman"/>
          <w:sz w:val="28"/>
          <w:szCs w:val="28"/>
        </w:rPr>
        <w:t xml:space="preserve">При оценке зависимости вероятности тяжести симптомов заболевания у женщин от </w:t>
      </w:r>
      <w:r w:rsidRPr="000F47F1">
        <w:rPr>
          <w:rFonts w:ascii="Times New Roman" w:eastAsia="MS Mincho" w:hAnsi="Times New Roman" w:cs="Times New Roman"/>
          <w:sz w:val="28"/>
          <w:szCs w:val="28"/>
        </w:rPr>
        <w:t xml:space="preserve">витамина Д с помощью </w:t>
      </w:r>
      <w:r w:rsidRPr="000F47F1">
        <w:rPr>
          <w:rFonts w:ascii="Times New Roman" w:eastAsia="MS Mincho" w:hAnsi="Times New Roman" w:cs="Times New Roman"/>
          <w:sz w:val="28"/>
          <w:szCs w:val="28"/>
          <w:lang w:val="en-US"/>
        </w:rPr>
        <w:t>ROC</w:t>
      </w:r>
      <w:r w:rsidRPr="000F47F1">
        <w:rPr>
          <w:rFonts w:ascii="Times New Roman" w:eastAsia="MS Mincho" w:hAnsi="Times New Roman" w:cs="Times New Roman"/>
          <w:sz w:val="28"/>
          <w:szCs w:val="28"/>
        </w:rPr>
        <w:t xml:space="preserve">-анализа </w:t>
      </w:r>
      <w:r w:rsidRPr="000F47F1">
        <w:rPr>
          <w:rFonts w:ascii="Times New Roman" w:eastAsia="MS Mincho" w:hAnsi="Times New Roman" w:cs="Times New Roman"/>
          <w:sz w:val="28"/>
          <w:szCs w:val="28"/>
          <w:lang w:val="en-US"/>
        </w:rPr>
        <w:t>была получена следующая кривая</w:t>
      </w:r>
      <w:r w:rsidR="00C9159E" w:rsidRPr="000F47F1">
        <w:rPr>
          <w:rFonts w:ascii="Times New Roman" w:eastAsia="MS Mincho" w:hAnsi="Times New Roman" w:cs="Times New Roman"/>
          <w:sz w:val="28"/>
          <w:szCs w:val="28"/>
        </w:rPr>
        <w:t xml:space="preserve"> (Рисунок</w:t>
      </w:r>
      <w:r w:rsidR="00C9159E">
        <w:rPr>
          <w:rFonts w:ascii="Times New Roman" w:eastAsia="MS Mincho" w:hAnsi="Times New Roman" w:cs="Times New Roman"/>
          <w:sz w:val="28"/>
          <w:szCs w:val="28"/>
        </w:rPr>
        <w:t xml:space="preserve"> 8</w:t>
      </w:r>
      <w:r w:rsidRPr="00E47012">
        <w:rPr>
          <w:rFonts w:ascii="Times New Roman" w:eastAsia="MS Mincho" w:hAnsi="Times New Roman" w:cs="Times New Roman"/>
          <w:sz w:val="28"/>
          <w:szCs w:val="28"/>
        </w:rPr>
        <w:t>)</w:t>
      </w:r>
      <w:r w:rsidRPr="00E47012">
        <w:rPr>
          <w:rFonts w:ascii="Times New Roman" w:eastAsia="MS Mincho" w:hAnsi="Times New Roman" w:cs="Times New Roman"/>
          <w:sz w:val="28"/>
          <w:szCs w:val="28"/>
          <w:lang w:val="en-US"/>
        </w:rPr>
        <w:t>.</w:t>
      </w:r>
    </w:p>
    <w:p w14:paraId="3DADB6CE" w14:textId="764D320C" w:rsidR="00073F0D" w:rsidRPr="00DE5274" w:rsidRDefault="00073F0D" w:rsidP="00073F0D">
      <w:pPr>
        <w:spacing w:after="0" w:line="360" w:lineRule="auto"/>
        <w:rPr>
          <w:rFonts w:ascii="Times New Roman" w:eastAsia="MS Mincho" w:hAnsi="Times New Roman" w:cs="Times New Roman"/>
          <w:highlight w:val="green"/>
          <w:lang w:val="en-US"/>
        </w:rPr>
      </w:pPr>
    </w:p>
    <w:p w14:paraId="4C4AE150" w14:textId="5941C86C" w:rsidR="00073F0D" w:rsidRPr="00DE5274" w:rsidRDefault="0043423F" w:rsidP="00073F0D">
      <w:pPr>
        <w:spacing w:after="0" w:line="360" w:lineRule="auto"/>
        <w:jc w:val="center"/>
        <w:rPr>
          <w:rFonts w:ascii="Times New Roman" w:eastAsia="MS Mincho" w:hAnsi="Times New Roman" w:cs="Times New Roman"/>
          <w:highlight w:val="green"/>
          <w:lang w:val="en-US"/>
        </w:rPr>
      </w:pPr>
      <w:r w:rsidRPr="0043423F">
        <w:rPr>
          <w:rFonts w:ascii="Times New Roman" w:eastAsia="MS Mincho" w:hAnsi="Times New Roman" w:cs="Times New Roman"/>
          <w:noProof/>
          <w:highlight w:val="green"/>
          <w:lang w:eastAsia="ru-RU"/>
        </w:rPr>
        <mc:AlternateContent>
          <mc:Choice Requires="wps">
            <w:drawing>
              <wp:anchor distT="0" distB="0" distL="114300" distR="114300" simplePos="0" relativeHeight="251756544" behindDoc="0" locked="0" layoutInCell="1" allowOverlap="1" wp14:anchorId="4BB2ABD4" wp14:editId="26D285A2">
                <wp:simplePos x="0" y="0"/>
                <wp:positionH relativeFrom="column">
                  <wp:posOffset>2981359</wp:posOffset>
                </wp:positionH>
                <wp:positionV relativeFrom="paragraph">
                  <wp:posOffset>1304390</wp:posOffset>
                </wp:positionV>
                <wp:extent cx="2127505" cy="369332"/>
                <wp:effectExtent l="0" t="0" r="0" b="0"/>
                <wp:wrapNone/>
                <wp:docPr id="87" name="Прямоугольник 2"/>
                <wp:cNvGraphicFramePr/>
                <a:graphic xmlns:a="http://schemas.openxmlformats.org/drawingml/2006/main">
                  <a:graphicData uri="http://schemas.microsoft.com/office/word/2010/wordprocessingShape">
                    <wps:wsp>
                      <wps:cNvSpPr/>
                      <wps:spPr>
                        <a:xfrm>
                          <a:off x="0" y="0"/>
                          <a:ext cx="2127505" cy="369332"/>
                        </a:xfrm>
                        <a:prstGeom prst="rect">
                          <a:avLst/>
                        </a:prstGeom>
                      </wps:spPr>
                      <wps:txbx>
                        <w:txbxContent>
                          <w:p w14:paraId="002214C2" w14:textId="77777777" w:rsidR="003006BE" w:rsidRPr="0043423F" w:rsidRDefault="003006BE" w:rsidP="0043423F">
                            <w:pPr>
                              <w:pStyle w:val="af4"/>
                              <w:spacing w:before="0" w:beforeAutospacing="0" w:after="0" w:afterAutospacing="0"/>
                              <w:rPr>
                                <w:sz w:val="20"/>
                              </w:rPr>
                            </w:pPr>
                            <w:r w:rsidRPr="0043423F">
                              <w:rPr>
                                <w:rFonts w:eastAsia="MS Mincho"/>
                                <w:color w:val="000000" w:themeColor="text1"/>
                                <w:kern w:val="24"/>
                                <w:sz w:val="28"/>
                                <w:szCs w:val="36"/>
                                <w:lang w:val="en-US"/>
                              </w:rPr>
                              <w:t>AUC=</w:t>
                            </w:r>
                            <w:r w:rsidRPr="0043423F">
                              <w:rPr>
                                <w:color w:val="000000" w:themeColor="text1"/>
                                <w:kern w:val="24"/>
                                <w:sz w:val="28"/>
                                <w:szCs w:val="36"/>
                              </w:rPr>
                              <w:t xml:space="preserve">0,917 ± 0,080 </w:t>
                            </w:r>
                          </w:p>
                        </w:txbxContent>
                      </wps:txbx>
                      <wps:bodyPr wrap="none">
                        <a:sp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4BB2ABD4" id="Прямоугольник 2" o:spid="_x0000_s1029" style="position:absolute;left:0;text-align:left;margin-left:234.75pt;margin-top:102.7pt;width:167.5pt;height:29.1pt;z-index:2517565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" filled="f" stroked="f">
                <v:textbox style="mso-fit-shape-to-text:t">
                  <w:txbxContent>
                    <w:p w14:paraId="002214C2" w14:textId="77777777" w:rsidR="003006BE" w:rsidRPr="0043423F" w:rsidRDefault="003006BE" w:rsidP="0043423F">
                      <w:pPr>
                        <w:pStyle w:val="af4"/>
                        <w:spacing w:before="0" w:beforeAutospacing="0" w:after="0" w:afterAutospacing="0"/>
                        <w:rPr>
                          <w:sz w:val="20"/>
                        </w:rPr>
                      </w:pPr>
                      <w:r w:rsidRPr="0043423F">
                        <w:rPr>
                          <w:rFonts w:eastAsia="MS Mincho"/>
                          <w:color w:val="000000" w:themeColor="text1"/>
                          <w:kern w:val="24"/>
                          <w:sz w:val="28"/>
                          <w:szCs w:val="36"/>
                          <w:lang w:val="en-US"/>
                        </w:rPr>
                        <w:t>AUC=</w:t>
                      </w:r>
                      <w:r w:rsidRPr="0043423F">
                        <w:rPr>
                          <w:color w:val="000000" w:themeColor="text1"/>
                          <w:kern w:val="24"/>
                          <w:sz w:val="28"/>
                          <w:szCs w:val="36"/>
                        </w:rPr>
                        <w:t xml:space="preserve">0,917 ± 0,080 </w:t>
                      </w:r>
                    </w:p>
                  </w:txbxContent>
                </v:textbox>
              </v:rect>
            </w:pict>
          </mc:Fallback>
        </mc:AlternateContent>
      </w:r>
      <w:r w:rsidRPr="0043423F">
        <w:rPr>
          <w:rFonts w:ascii="Times New Roman" w:eastAsia="MS Mincho" w:hAnsi="Times New Roman" w:cs="Times New Roman"/>
          <w:noProof/>
          <w:lang w:eastAsia="ru-RU"/>
        </w:rPr>
        <mc:AlternateContent>
          <mc:Choice Requires="wps">
            <w:drawing>
              <wp:anchor distT="0" distB="0" distL="114300" distR="114300" simplePos="0" relativeHeight="251754496" behindDoc="0" locked="0" layoutInCell="1" allowOverlap="1" wp14:anchorId="62B2334A" wp14:editId="203C038B">
                <wp:simplePos x="0" y="0"/>
                <wp:positionH relativeFrom="column">
                  <wp:posOffset>2673283</wp:posOffset>
                </wp:positionH>
                <wp:positionV relativeFrom="paragraph">
                  <wp:posOffset>197485</wp:posOffset>
                </wp:positionV>
                <wp:extent cx="2056973" cy="307777"/>
                <wp:effectExtent l="0" t="0" r="0" b="0"/>
                <wp:wrapNone/>
                <wp:docPr id="86" name="Прямоугольник 10"/>
                <wp:cNvGraphicFramePr/>
                <a:graphic xmlns:a="http://schemas.openxmlformats.org/drawingml/2006/main">
                  <a:graphicData uri="http://schemas.microsoft.com/office/word/2010/wordprocessingShape">
                    <wps:wsp>
                      <wps:cNvSpPr/>
                      <wps:spPr>
                        <a:xfrm>
                          <a:off x="0" y="0"/>
                          <a:ext cx="2056973" cy="307777"/>
                        </a:xfrm>
                        <a:prstGeom prst="rect">
                          <a:avLst/>
                        </a:prstGeom>
                      </wps:spPr>
                      <wps:txbx>
                        <w:txbxContent>
                          <w:p w14:paraId="6C48FFD9" w14:textId="75000FFC" w:rsidR="003006BE" w:rsidRDefault="003006BE" w:rsidP="0043423F">
                            <w:pPr>
                              <w:pStyle w:val="af4"/>
                              <w:spacing w:before="0" w:beforeAutospacing="0" w:after="0" w:afterAutospacing="0"/>
                            </w:pPr>
                            <w:r>
                              <w:rPr>
                                <w:rFonts w:eastAsia="MS Mincho" w:cstheme="minorBidi"/>
                                <w:color w:val="FF0000"/>
                                <w:kern w:val="24"/>
                                <w:sz w:val="28"/>
                                <w:szCs w:val="28"/>
                              </w:rPr>
                              <w:t>18,6 (</w:t>
                            </w:r>
                            <w:r>
                              <w:rPr>
                                <w:rFonts w:eastAsia="Calibri" w:cstheme="minorBidi"/>
                                <w:color w:val="FF0000"/>
                                <w:kern w:val="24"/>
                                <w:sz w:val="28"/>
                                <w:szCs w:val="28"/>
                              </w:rPr>
                              <w:t>Sp:66,7 %, Se:75 %)</w:t>
                            </w:r>
                          </w:p>
                        </w:txbxContent>
                      </wps:txbx>
                      <wps:bodyPr wrap="none">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2B2334A" id="Прямоугольник 10" o:spid="_x0000_s1030" style="position:absolute;left:0;text-align:left;margin-left:210.5pt;margin-top:15.55pt;width:161.95pt;height:24.25pt;z-index:251754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" filled="f" stroked="f">
                <v:textbox style="mso-fit-shape-to-text:t">
                  <w:txbxContent>
                    <w:p w14:paraId="6C48FFD9" w14:textId="75000FFC" w:rsidR="003006BE" w:rsidRDefault="003006BE" w:rsidP="0043423F">
                      <w:pPr>
                        <w:pStyle w:val="af4"/>
                        <w:spacing w:before="0" w:beforeAutospacing="0" w:after="0" w:afterAutospacing="0"/>
                      </w:pPr>
                      <w:r>
                        <w:rPr>
                          <w:rFonts w:eastAsia="MS Mincho" w:cstheme="minorBidi"/>
                          <w:color w:val="FF0000"/>
                          <w:kern w:val="24"/>
                          <w:sz w:val="28"/>
                          <w:szCs w:val="28"/>
                        </w:rPr>
                        <w:t>18,6 (</w:t>
                      </w:r>
                      <w:r>
                        <w:rPr>
                          <w:rFonts w:eastAsia="Calibri" w:cstheme="minorBidi"/>
                          <w:color w:val="FF0000"/>
                          <w:kern w:val="24"/>
                          <w:sz w:val="28"/>
                          <w:szCs w:val="28"/>
                        </w:rPr>
                        <w:t>Sp:66,7 %, Se:75 %)</w:t>
                      </w:r>
                    </w:p>
                  </w:txbxContent>
                </v:textbox>
              </v:rect>
            </w:pict>
          </mc:Fallback>
        </mc:AlternateContent>
      </w:r>
      <w:r w:rsidR="00073F0D" w:rsidRPr="00BF6BE0">
        <w:rPr>
          <w:rFonts w:ascii="Times New Roman" w:eastAsia="MS Mincho" w:hAnsi="Times New Roman" w:cs="Times New Roman"/>
          <w:noProof/>
          <w:lang w:eastAsia="ru-RU"/>
        </w:rPr>
        <w:drawing>
          <wp:inline distT="0" distB="0" distL="0" distR="0" wp14:anchorId="5D6D92AE" wp14:editId="5FFF783E">
            <wp:extent cx="4316629" cy="2656572"/>
            <wp:effectExtent l="0" t="0" r="8255" b="0"/>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png"/>
                    <pic:cNvPicPr/>
                  </pic:nvPicPr>
                  <pic:blipFill>
                    <a:blip r:embed="rId27"/>
                    <a:stretch>
                      <a:fillRect/>
                    </a:stretch>
                  </pic:blipFill>
                  <pic:spPr>
                    <a:xfrm>
                      <a:off x="0" y="0"/>
                      <a:ext cx="4329461" cy="2664469"/>
                    </a:xfrm>
                    <a:prstGeom prst="rect">
                      <a:avLst/>
                    </a:prstGeom>
                  </pic:spPr>
                </pic:pic>
              </a:graphicData>
            </a:graphic>
          </wp:inline>
        </w:drawing>
      </w:r>
    </w:p>
    <w:p w14:paraId="6FB2AA27" w14:textId="19784640" w:rsidR="00073F0D" w:rsidRPr="002249EC" w:rsidRDefault="00C9159E" w:rsidP="00073F0D">
      <w:pPr>
        <w:spacing w:after="0" w:line="240" w:lineRule="auto"/>
        <w:jc w:val="center"/>
        <w:rPr>
          <w:rFonts w:ascii="Times New Roman" w:eastAsia="MS Mincho" w:hAnsi="Times New Roman" w:cs="Times New Roman"/>
          <w:sz w:val="28"/>
          <w:szCs w:val="28"/>
        </w:rPr>
      </w:pPr>
      <w:r>
        <w:rPr>
          <w:rFonts w:ascii="Times New Roman" w:eastAsia="MS Mincho" w:hAnsi="Times New Roman" w:cs="Times New Roman"/>
          <w:sz w:val="28"/>
          <w:szCs w:val="28"/>
        </w:rPr>
        <w:t>Рисунок 8</w:t>
      </w:r>
      <w:r w:rsidR="00073F0D" w:rsidRPr="002249EC">
        <w:rPr>
          <w:rFonts w:ascii="Times New Roman" w:eastAsia="MS Mincho" w:hAnsi="Times New Roman" w:cs="Times New Roman"/>
          <w:sz w:val="28"/>
          <w:szCs w:val="28"/>
        </w:rPr>
        <w:t xml:space="preserve"> – </w:t>
      </w:r>
      <w:r w:rsidR="00073F0D" w:rsidRPr="002249EC">
        <w:rPr>
          <w:rFonts w:ascii="Times New Roman" w:eastAsia="MS Mincho" w:hAnsi="Times New Roman" w:cs="Times New Roman"/>
          <w:sz w:val="28"/>
          <w:szCs w:val="28"/>
          <w:lang w:val="en-US"/>
        </w:rPr>
        <w:t>ROC</w:t>
      </w:r>
      <w:r w:rsidR="00073F0D" w:rsidRPr="002249EC">
        <w:rPr>
          <w:rFonts w:ascii="Times New Roman" w:eastAsia="MS Mincho" w:hAnsi="Times New Roman" w:cs="Times New Roman"/>
          <w:sz w:val="28"/>
          <w:szCs w:val="28"/>
        </w:rPr>
        <w:t xml:space="preserve">-кривая, характеризующая зависимость вероятности тяжести симптомов заболевания от витамина Д </w:t>
      </w:r>
    </w:p>
    <w:p w14:paraId="3436902E" w14:textId="362D1E98" w:rsidR="00073F0D" w:rsidRPr="00E47012" w:rsidRDefault="0043423F" w:rsidP="0043423F">
      <w:pPr>
        <w:tabs>
          <w:tab w:val="left" w:pos="7746"/>
        </w:tabs>
        <w:spacing w:after="0" w:line="360" w:lineRule="auto"/>
        <w:rPr>
          <w:rFonts w:ascii="Times New Roman" w:eastAsia="MS Mincho" w:hAnsi="Times New Roman" w:cs="Times New Roman"/>
        </w:rPr>
      </w:pPr>
      <w:r>
        <w:rPr>
          <w:rFonts w:ascii="Times New Roman" w:eastAsia="MS Mincho" w:hAnsi="Times New Roman" w:cs="Times New Roman"/>
        </w:rPr>
        <w:tab/>
      </w:r>
    </w:p>
    <w:p w14:paraId="2C4611D9" w14:textId="1AAB963F" w:rsidR="00073F0D" w:rsidRPr="00E47012" w:rsidRDefault="00073F0D" w:rsidP="00073F0D">
      <w:pPr>
        <w:spacing w:after="0" w:line="240" w:lineRule="auto"/>
        <w:ind w:firstLine="709"/>
        <w:jc w:val="both"/>
        <w:rPr>
          <w:rFonts w:ascii="Times New Roman" w:eastAsia="MS Mincho" w:hAnsi="Times New Roman" w:cs="Times New Roman"/>
          <w:sz w:val="28"/>
          <w:szCs w:val="28"/>
        </w:rPr>
      </w:pPr>
      <w:r w:rsidRPr="00E47012">
        <w:rPr>
          <w:rFonts w:ascii="Times New Roman" w:eastAsia="MS Mincho" w:hAnsi="Times New Roman" w:cs="Times New Roman"/>
          <w:sz w:val="28"/>
          <w:szCs w:val="28"/>
        </w:rPr>
        <w:t xml:space="preserve">Площадь под </w:t>
      </w:r>
      <w:r w:rsidRPr="00E47012">
        <w:rPr>
          <w:rFonts w:ascii="Times New Roman" w:eastAsia="MS Mincho" w:hAnsi="Times New Roman" w:cs="Times New Roman"/>
          <w:sz w:val="28"/>
          <w:szCs w:val="28"/>
          <w:lang w:val="en-US"/>
        </w:rPr>
        <w:t>ROC</w:t>
      </w:r>
      <w:r w:rsidRPr="00E47012">
        <w:rPr>
          <w:rFonts w:ascii="Times New Roman" w:eastAsia="MS Mincho" w:hAnsi="Times New Roman" w:cs="Times New Roman"/>
          <w:sz w:val="28"/>
          <w:szCs w:val="28"/>
        </w:rPr>
        <w:t>-кривой составила 0,917 ± 0,080 с 95% ДИ: 0,759 – 1,000. Полученная модель была статистически значимой (</w:t>
      </w:r>
      <w:r w:rsidRPr="00E47012">
        <w:rPr>
          <w:rFonts w:ascii="Times New Roman" w:eastAsia="MS Mincho" w:hAnsi="Times New Roman" w:cs="Times New Roman"/>
          <w:sz w:val="28"/>
          <w:szCs w:val="28"/>
          <w:lang w:val="en-US"/>
        </w:rPr>
        <w:t>p</w:t>
      </w:r>
      <w:r w:rsidRPr="00E47012">
        <w:rPr>
          <w:rFonts w:ascii="Times New Roman" w:eastAsia="MS Mincho" w:hAnsi="Times New Roman" w:cs="Times New Roman"/>
          <w:sz w:val="28"/>
          <w:szCs w:val="28"/>
        </w:rPr>
        <w:t xml:space="preserve"> = 0,021). Пороговое значение витамина Д в точке </w:t>
      </w:r>
      <w:r w:rsidRPr="00E47012">
        <w:rPr>
          <w:rFonts w:ascii="Times New Roman" w:eastAsia="MS Mincho" w:hAnsi="Times New Roman" w:cs="Times New Roman"/>
          <w:sz w:val="28"/>
          <w:szCs w:val="28"/>
          <w:lang w:val="en-US"/>
        </w:rPr>
        <w:t>cut</w:t>
      </w:r>
      <w:r w:rsidRPr="00E47012">
        <w:rPr>
          <w:rFonts w:ascii="Times New Roman" w:eastAsia="MS Mincho" w:hAnsi="Times New Roman" w:cs="Times New Roman"/>
          <w:sz w:val="28"/>
          <w:szCs w:val="28"/>
        </w:rPr>
        <w:t>-</w:t>
      </w:r>
      <w:r w:rsidRPr="00E47012">
        <w:rPr>
          <w:rFonts w:ascii="Times New Roman" w:eastAsia="MS Mincho" w:hAnsi="Times New Roman" w:cs="Times New Roman"/>
          <w:sz w:val="28"/>
          <w:szCs w:val="28"/>
          <w:lang w:val="en-US"/>
        </w:rPr>
        <w:t>off</w:t>
      </w:r>
      <w:r w:rsidRPr="00E47012">
        <w:rPr>
          <w:rFonts w:ascii="Times New Roman" w:eastAsia="MS Mincho" w:hAnsi="Times New Roman" w:cs="Times New Roman"/>
          <w:sz w:val="28"/>
          <w:szCs w:val="28"/>
        </w:rPr>
        <w:t>, которому соответствовало наивысшее значен</w:t>
      </w:r>
      <w:r w:rsidR="009E788D">
        <w:rPr>
          <w:rFonts w:ascii="Times New Roman" w:eastAsia="MS Mincho" w:hAnsi="Times New Roman" w:cs="Times New Roman"/>
          <w:sz w:val="28"/>
          <w:szCs w:val="28"/>
        </w:rPr>
        <w:t>ие индекса Юдена, составило 18,6</w:t>
      </w:r>
      <w:r w:rsidRPr="00E47012">
        <w:rPr>
          <w:rFonts w:ascii="Times New Roman" w:eastAsia="MS Mincho" w:hAnsi="Times New Roman" w:cs="Times New Roman"/>
          <w:sz w:val="28"/>
          <w:szCs w:val="28"/>
        </w:rPr>
        <w:t xml:space="preserve">00 нг/мл. </w:t>
      </w:r>
      <w:r w:rsidR="00194F4A">
        <w:rPr>
          <w:rFonts w:ascii="Times New Roman" w:eastAsia="MS Mincho" w:hAnsi="Times New Roman" w:cs="Times New Roman"/>
          <w:sz w:val="28"/>
          <w:szCs w:val="28"/>
        </w:rPr>
        <w:t>С</w:t>
      </w:r>
      <w:r w:rsidRPr="00E47012">
        <w:rPr>
          <w:rFonts w:ascii="Times New Roman" w:eastAsia="MS Mincho" w:hAnsi="Times New Roman" w:cs="Times New Roman"/>
          <w:sz w:val="28"/>
          <w:szCs w:val="28"/>
        </w:rPr>
        <w:t>редняя степень тяжести симптомов прогнозировал</w:t>
      </w:r>
      <w:r w:rsidR="00D210F2">
        <w:rPr>
          <w:rFonts w:ascii="Times New Roman" w:eastAsia="MS Mincho" w:hAnsi="Times New Roman" w:cs="Times New Roman"/>
          <w:sz w:val="28"/>
          <w:szCs w:val="28"/>
        </w:rPr>
        <w:t>а</w:t>
      </w:r>
      <w:r w:rsidRPr="00E47012">
        <w:rPr>
          <w:rFonts w:ascii="Times New Roman" w:eastAsia="MS Mincho" w:hAnsi="Times New Roman" w:cs="Times New Roman"/>
          <w:sz w:val="28"/>
          <w:szCs w:val="28"/>
        </w:rPr>
        <w:t xml:space="preserve">сь при значении витамина Д ниже данной величины. Чувствительность </w:t>
      </w:r>
      <w:r w:rsidRPr="000F47F1">
        <w:rPr>
          <w:rFonts w:ascii="Times New Roman" w:eastAsia="MS Mincho" w:hAnsi="Times New Roman" w:cs="Times New Roman"/>
          <w:sz w:val="28"/>
          <w:szCs w:val="28"/>
        </w:rPr>
        <w:t>и специфичность</w:t>
      </w:r>
      <w:r w:rsidR="009E788D">
        <w:rPr>
          <w:rFonts w:ascii="Times New Roman" w:eastAsia="MS Mincho" w:hAnsi="Times New Roman" w:cs="Times New Roman"/>
          <w:sz w:val="28"/>
          <w:szCs w:val="28"/>
        </w:rPr>
        <w:t xml:space="preserve"> модели составили 75,0% и 66,7</w:t>
      </w:r>
      <w:r w:rsidR="008811A8" w:rsidRPr="000F47F1">
        <w:rPr>
          <w:rFonts w:ascii="Times New Roman" w:eastAsia="MS Mincho" w:hAnsi="Times New Roman" w:cs="Times New Roman"/>
          <w:sz w:val="28"/>
          <w:szCs w:val="28"/>
        </w:rPr>
        <w:t xml:space="preserve">%, соответственно (Таблица </w:t>
      </w:r>
      <w:r w:rsidR="00D94F3E">
        <w:rPr>
          <w:rFonts w:ascii="Times New Roman" w:eastAsia="MS Mincho" w:hAnsi="Times New Roman" w:cs="Times New Roman"/>
          <w:sz w:val="28"/>
          <w:szCs w:val="28"/>
        </w:rPr>
        <w:t>20</w:t>
      </w:r>
      <w:r w:rsidRPr="00E47012">
        <w:rPr>
          <w:rFonts w:ascii="Times New Roman" w:eastAsia="MS Mincho" w:hAnsi="Times New Roman" w:cs="Times New Roman"/>
          <w:sz w:val="28"/>
          <w:szCs w:val="28"/>
        </w:rPr>
        <w:t>).</w:t>
      </w:r>
    </w:p>
    <w:p w14:paraId="17278335" w14:textId="77777777" w:rsidR="00073F0D" w:rsidRPr="00DE5274" w:rsidRDefault="00073F0D" w:rsidP="002249EC">
      <w:pPr>
        <w:spacing w:after="0" w:line="240" w:lineRule="auto"/>
        <w:rPr>
          <w:rFonts w:ascii="Times New Roman" w:eastAsia="MS Mincho" w:hAnsi="Times New Roman" w:cs="Times New Roman"/>
          <w:highlight w:val="green"/>
        </w:rPr>
      </w:pPr>
    </w:p>
    <w:p w14:paraId="61E145C5" w14:textId="15A18FA2" w:rsidR="00073F0D" w:rsidRPr="002249EC" w:rsidRDefault="008811A8" w:rsidP="006E62CF">
      <w:pPr>
        <w:spacing w:after="0" w:line="240" w:lineRule="auto"/>
        <w:jc w:val="both"/>
        <w:rPr>
          <w:rFonts w:ascii="Times New Roman" w:eastAsia="MS Mincho" w:hAnsi="Times New Roman" w:cs="Times New Roman"/>
          <w:sz w:val="28"/>
          <w:szCs w:val="28"/>
        </w:rPr>
      </w:pPr>
      <w:r>
        <w:rPr>
          <w:rFonts w:ascii="Times New Roman" w:eastAsia="MS Mincho" w:hAnsi="Times New Roman" w:cs="Times New Roman"/>
          <w:sz w:val="28"/>
          <w:szCs w:val="28"/>
        </w:rPr>
        <w:t xml:space="preserve">Таблица </w:t>
      </w:r>
      <w:r w:rsidR="00D94F3E">
        <w:rPr>
          <w:rFonts w:ascii="Times New Roman" w:eastAsia="MS Mincho" w:hAnsi="Times New Roman" w:cs="Times New Roman"/>
          <w:sz w:val="28"/>
          <w:szCs w:val="28"/>
        </w:rPr>
        <w:t>20</w:t>
      </w:r>
      <w:r w:rsidR="00073F0D" w:rsidRPr="002249EC">
        <w:rPr>
          <w:rFonts w:ascii="Times New Roman" w:eastAsia="MS Mincho" w:hAnsi="Times New Roman" w:cs="Times New Roman"/>
          <w:sz w:val="28"/>
          <w:szCs w:val="28"/>
        </w:rPr>
        <w:t xml:space="preserve"> – Пороговые значения витамина Д</w:t>
      </w:r>
    </w:p>
    <w:p w14:paraId="1A3E7547" w14:textId="77777777" w:rsidR="00073F0D" w:rsidRPr="00E47012" w:rsidRDefault="00073F0D" w:rsidP="00073F0D">
      <w:pPr>
        <w:spacing w:after="0" w:line="240" w:lineRule="auto"/>
        <w:ind w:firstLine="567"/>
        <w:jc w:val="both"/>
        <w:rPr>
          <w:rFonts w:ascii="Times New Roman" w:eastAsia="MS Mincho" w:hAnsi="Times New Roman" w:cs="Times New Roman"/>
        </w:rPr>
      </w:pPr>
    </w:p>
    <w:tbl>
      <w:tblPr>
        <w:tblStyle w:val="100"/>
        <w:tblW w:w="0" w:type="auto"/>
        <w:jc w:val="center"/>
        <w:tblLook w:val="04A0" w:firstRow="1" w:lastRow="0" w:firstColumn="1" w:lastColumn="0" w:noHBand="0" w:noVBand="1"/>
      </w:tblPr>
      <w:tblGrid>
        <w:gridCol w:w="1661"/>
        <w:gridCol w:w="1971"/>
        <w:gridCol w:w="1909"/>
        <w:gridCol w:w="1902"/>
        <w:gridCol w:w="1902"/>
      </w:tblGrid>
      <w:tr w:rsidR="00073F0D" w:rsidRPr="00DE5274" w14:paraId="6BD69633" w14:textId="77777777" w:rsidTr="00A865AD">
        <w:trPr>
          <w:jc w:val="center"/>
        </w:trPr>
        <w:tc>
          <w:tcPr>
            <w:tcW w:w="1661" w:type="dxa"/>
            <w:vAlign w:val="center"/>
          </w:tcPr>
          <w:p w14:paraId="6925EF0B" w14:textId="77777777" w:rsidR="00073F0D" w:rsidRPr="00E47012" w:rsidRDefault="00073F0D" w:rsidP="00A865AD">
            <w:pPr>
              <w:jc w:val="center"/>
              <w:rPr>
                <w:rFonts w:ascii="Times New Roman" w:hAnsi="Times New Roman" w:cs="Times New Roman"/>
                <w:lang w:val="ru-RU"/>
              </w:rPr>
            </w:pPr>
            <w:r w:rsidRPr="00E47012">
              <w:rPr>
                <w:rFonts w:ascii="Times New Roman" w:hAnsi="Times New Roman" w:cs="Times New Roman"/>
              </w:rPr>
              <w:t>Порог</w:t>
            </w:r>
            <w:r>
              <w:rPr>
                <w:rFonts w:ascii="Times New Roman" w:hAnsi="Times New Roman" w:cs="Times New Roman"/>
              </w:rPr>
              <w:t xml:space="preserve"> (</w:t>
            </w:r>
            <w:r>
              <w:rPr>
                <w:rFonts w:ascii="Times New Roman" w:hAnsi="Times New Roman" w:cs="Times New Roman"/>
                <w:lang w:val="ru-RU"/>
              </w:rPr>
              <w:t>нг/мл)</w:t>
            </w:r>
          </w:p>
        </w:tc>
        <w:tc>
          <w:tcPr>
            <w:tcW w:w="1971" w:type="dxa"/>
            <w:vAlign w:val="center"/>
          </w:tcPr>
          <w:p w14:paraId="6F50796C" w14:textId="77777777" w:rsidR="00073F0D" w:rsidRPr="00E47012" w:rsidRDefault="00073F0D" w:rsidP="00A865AD">
            <w:pPr>
              <w:jc w:val="center"/>
              <w:rPr>
                <w:rFonts w:ascii="Times New Roman" w:hAnsi="Times New Roman" w:cs="Times New Roman"/>
              </w:rPr>
            </w:pPr>
            <w:r w:rsidRPr="00E47012">
              <w:rPr>
                <w:rFonts w:ascii="Times New Roman" w:hAnsi="Times New Roman" w:cs="Times New Roman"/>
              </w:rPr>
              <w:t>Чувствительность (Se), %</w:t>
            </w:r>
          </w:p>
        </w:tc>
        <w:tc>
          <w:tcPr>
            <w:tcW w:w="1909" w:type="dxa"/>
            <w:vAlign w:val="center"/>
          </w:tcPr>
          <w:p w14:paraId="7D4F0ACF" w14:textId="77777777" w:rsidR="00073F0D" w:rsidRPr="00E47012" w:rsidRDefault="00073F0D" w:rsidP="00A865AD">
            <w:pPr>
              <w:jc w:val="center"/>
              <w:rPr>
                <w:rFonts w:ascii="Times New Roman" w:hAnsi="Times New Roman" w:cs="Times New Roman"/>
              </w:rPr>
            </w:pPr>
            <w:r w:rsidRPr="00E47012">
              <w:rPr>
                <w:rFonts w:ascii="Times New Roman" w:hAnsi="Times New Roman" w:cs="Times New Roman"/>
              </w:rPr>
              <w:t>Специфичность (Sp), %</w:t>
            </w:r>
          </w:p>
        </w:tc>
        <w:tc>
          <w:tcPr>
            <w:tcW w:w="1902" w:type="dxa"/>
            <w:vAlign w:val="center"/>
          </w:tcPr>
          <w:p w14:paraId="5C5E9AAA" w14:textId="77777777" w:rsidR="00073F0D" w:rsidRPr="00862891" w:rsidRDefault="00073F0D" w:rsidP="00A865AD">
            <w:pPr>
              <w:jc w:val="center"/>
              <w:rPr>
                <w:rFonts w:ascii="Times New Roman" w:hAnsi="Times New Roman" w:cs="Times New Roman"/>
                <w:highlight w:val="green"/>
                <w:lang w:val="ru-RU"/>
              </w:rPr>
            </w:pPr>
            <w:r w:rsidRPr="00052BCB">
              <w:rPr>
                <w:rFonts w:ascii="Times New Roman" w:hAnsi="Times New Roman" w:cs="Times New Roman"/>
                <w:lang w:val="ru-RU"/>
              </w:rPr>
              <w:t>Предсказательная ценность положительного результата</w:t>
            </w:r>
            <w:r>
              <w:rPr>
                <w:rFonts w:ascii="Times New Roman" w:hAnsi="Times New Roman" w:cs="Times New Roman"/>
                <w:lang w:val="ru-RU"/>
              </w:rPr>
              <w:t xml:space="preserve"> (</w:t>
            </w:r>
            <w:r w:rsidRPr="00052BCB">
              <w:rPr>
                <w:rFonts w:ascii="Times New Roman" w:hAnsi="Times New Roman" w:cs="Times New Roman"/>
                <w:lang w:val="ru-RU"/>
              </w:rPr>
              <w:t>PPV</w:t>
            </w:r>
            <w:r>
              <w:rPr>
                <w:rFonts w:ascii="Times New Roman" w:hAnsi="Times New Roman" w:cs="Times New Roman"/>
                <w:lang w:val="ru-RU"/>
              </w:rPr>
              <w:t>, %)</w:t>
            </w:r>
          </w:p>
        </w:tc>
        <w:tc>
          <w:tcPr>
            <w:tcW w:w="1902" w:type="dxa"/>
            <w:vAlign w:val="center"/>
          </w:tcPr>
          <w:p w14:paraId="34604227" w14:textId="77777777" w:rsidR="00073F0D" w:rsidRPr="00862891" w:rsidRDefault="00073F0D" w:rsidP="00A865AD">
            <w:pPr>
              <w:jc w:val="center"/>
              <w:rPr>
                <w:rFonts w:ascii="Times New Roman" w:hAnsi="Times New Roman" w:cs="Times New Roman"/>
                <w:highlight w:val="green"/>
                <w:lang w:val="ru-RU"/>
              </w:rPr>
            </w:pPr>
            <w:r w:rsidRPr="00052BCB">
              <w:rPr>
                <w:rFonts w:ascii="Times New Roman" w:hAnsi="Times New Roman" w:cs="Times New Roman"/>
                <w:lang w:val="ru-RU"/>
              </w:rPr>
              <w:t>Предсказательная ценность отрицательного результата</w:t>
            </w:r>
            <w:r>
              <w:rPr>
                <w:rFonts w:ascii="Times New Roman" w:hAnsi="Times New Roman" w:cs="Times New Roman"/>
                <w:lang w:val="ru-RU"/>
              </w:rPr>
              <w:t xml:space="preserve"> (</w:t>
            </w:r>
            <w:r w:rsidRPr="00052BCB">
              <w:rPr>
                <w:rFonts w:ascii="Times New Roman" w:hAnsi="Times New Roman" w:cs="Times New Roman"/>
                <w:lang w:val="ru-RU"/>
              </w:rPr>
              <w:t>NPV</w:t>
            </w:r>
            <w:r>
              <w:rPr>
                <w:rFonts w:ascii="Times New Roman" w:hAnsi="Times New Roman" w:cs="Times New Roman"/>
                <w:lang w:val="ru-RU"/>
              </w:rPr>
              <w:t>, %)</w:t>
            </w:r>
          </w:p>
        </w:tc>
      </w:tr>
      <w:tr w:rsidR="00073F0D" w:rsidRPr="00DE5274" w14:paraId="648035F1" w14:textId="77777777" w:rsidTr="00A865AD">
        <w:trPr>
          <w:jc w:val="center"/>
        </w:trPr>
        <w:tc>
          <w:tcPr>
            <w:tcW w:w="1661" w:type="dxa"/>
            <w:vAlign w:val="center"/>
          </w:tcPr>
          <w:p w14:paraId="3A3599EE" w14:textId="77777777" w:rsidR="00073F0D" w:rsidRPr="00E47012" w:rsidRDefault="00073F0D" w:rsidP="00A865AD">
            <w:pPr>
              <w:jc w:val="center"/>
              <w:rPr>
                <w:rFonts w:ascii="Times New Roman" w:hAnsi="Times New Roman" w:cs="Times New Roman"/>
              </w:rPr>
            </w:pPr>
            <w:r w:rsidRPr="00E47012">
              <w:rPr>
                <w:rFonts w:ascii="Times New Roman" w:hAnsi="Times New Roman" w:cs="Times New Roman"/>
                <w:b/>
              </w:rPr>
              <w:t>18,6</w:t>
            </w:r>
          </w:p>
        </w:tc>
        <w:tc>
          <w:tcPr>
            <w:tcW w:w="1971" w:type="dxa"/>
            <w:vAlign w:val="center"/>
          </w:tcPr>
          <w:p w14:paraId="355F0A8A" w14:textId="77777777" w:rsidR="00073F0D" w:rsidRPr="00E47012" w:rsidRDefault="00073F0D" w:rsidP="00A865AD">
            <w:pPr>
              <w:jc w:val="center"/>
              <w:rPr>
                <w:rFonts w:ascii="Times New Roman" w:hAnsi="Times New Roman" w:cs="Times New Roman"/>
              </w:rPr>
            </w:pPr>
            <w:r w:rsidRPr="00E47012">
              <w:rPr>
                <w:rFonts w:ascii="Times New Roman" w:hAnsi="Times New Roman" w:cs="Times New Roman"/>
                <w:b/>
              </w:rPr>
              <w:t>75,0</w:t>
            </w:r>
          </w:p>
        </w:tc>
        <w:tc>
          <w:tcPr>
            <w:tcW w:w="1909" w:type="dxa"/>
            <w:vAlign w:val="center"/>
          </w:tcPr>
          <w:p w14:paraId="1A242A20" w14:textId="77777777" w:rsidR="00073F0D" w:rsidRPr="00E47012" w:rsidRDefault="00073F0D" w:rsidP="00A865AD">
            <w:pPr>
              <w:jc w:val="center"/>
              <w:rPr>
                <w:rFonts w:ascii="Times New Roman" w:hAnsi="Times New Roman" w:cs="Times New Roman"/>
              </w:rPr>
            </w:pPr>
            <w:r w:rsidRPr="00E47012">
              <w:rPr>
                <w:rFonts w:ascii="Times New Roman" w:hAnsi="Times New Roman" w:cs="Times New Roman"/>
                <w:b/>
              </w:rPr>
              <w:t>66,7</w:t>
            </w:r>
          </w:p>
        </w:tc>
        <w:tc>
          <w:tcPr>
            <w:tcW w:w="1902" w:type="dxa"/>
            <w:vAlign w:val="center"/>
          </w:tcPr>
          <w:p w14:paraId="7870C6DE" w14:textId="77777777" w:rsidR="00073F0D" w:rsidRPr="00273E53" w:rsidRDefault="00073F0D" w:rsidP="00A865AD">
            <w:pPr>
              <w:jc w:val="center"/>
              <w:rPr>
                <w:rFonts w:ascii="Times New Roman" w:hAnsi="Times New Roman" w:cs="Times New Roman"/>
              </w:rPr>
            </w:pPr>
            <w:r w:rsidRPr="00273E53">
              <w:rPr>
                <w:rFonts w:ascii="Times New Roman" w:hAnsi="Times New Roman" w:cs="Times New Roman"/>
                <w:b/>
              </w:rPr>
              <w:t>50,0</w:t>
            </w:r>
          </w:p>
        </w:tc>
        <w:tc>
          <w:tcPr>
            <w:tcW w:w="1902" w:type="dxa"/>
            <w:vAlign w:val="center"/>
          </w:tcPr>
          <w:p w14:paraId="198A2A29" w14:textId="77777777" w:rsidR="00073F0D" w:rsidRPr="00273E53" w:rsidRDefault="00073F0D" w:rsidP="00A865AD">
            <w:pPr>
              <w:jc w:val="center"/>
              <w:rPr>
                <w:rFonts w:ascii="Times New Roman" w:hAnsi="Times New Roman" w:cs="Times New Roman"/>
              </w:rPr>
            </w:pPr>
            <w:r w:rsidRPr="00273E53">
              <w:rPr>
                <w:rFonts w:ascii="Times New Roman" w:hAnsi="Times New Roman" w:cs="Times New Roman"/>
                <w:b/>
              </w:rPr>
              <w:t>85,7</w:t>
            </w:r>
          </w:p>
        </w:tc>
      </w:tr>
    </w:tbl>
    <w:p w14:paraId="6D9E3BE6" w14:textId="77777777" w:rsidR="00073F0D" w:rsidRPr="002249EC" w:rsidRDefault="00073F0D" w:rsidP="002249EC">
      <w:pPr>
        <w:spacing w:after="0" w:line="240" w:lineRule="auto"/>
        <w:rPr>
          <w:rFonts w:ascii="Times New Roman" w:eastAsia="MS Mincho" w:hAnsi="Times New Roman" w:cs="Times New Roman"/>
          <w:sz w:val="28"/>
          <w:szCs w:val="28"/>
          <w:highlight w:val="green"/>
          <w:lang w:val="en-US"/>
        </w:rPr>
      </w:pPr>
    </w:p>
    <w:p w14:paraId="6A6CD7C5" w14:textId="58DB96A2" w:rsidR="00073F0D" w:rsidRDefault="00073F0D" w:rsidP="00073F0D">
      <w:pPr>
        <w:spacing w:after="0" w:line="240" w:lineRule="auto"/>
        <w:ind w:firstLine="709"/>
        <w:jc w:val="both"/>
        <w:rPr>
          <w:rFonts w:ascii="Times New Roman" w:eastAsia="MS Mincho" w:hAnsi="Times New Roman" w:cs="Times New Roman"/>
          <w:sz w:val="28"/>
          <w:szCs w:val="28"/>
        </w:rPr>
      </w:pPr>
      <w:r w:rsidRPr="00D56A9D">
        <w:rPr>
          <w:rFonts w:ascii="Times New Roman" w:eastAsia="MS Mincho" w:hAnsi="Times New Roman" w:cs="Times New Roman"/>
          <w:sz w:val="28"/>
          <w:szCs w:val="28"/>
        </w:rPr>
        <w:t xml:space="preserve">Референсные нормы витамина Д обозначены в пределах </w:t>
      </w:r>
      <w:r w:rsidRPr="00D56A9D">
        <w:rPr>
          <w:rFonts w:ascii="Times New Roman" w:hAnsi="Times New Roman" w:cs="Times New Roman"/>
          <w:sz w:val="28"/>
          <w:szCs w:val="28"/>
        </w:rPr>
        <w:t xml:space="preserve">30-100 нг/мл </w:t>
      </w:r>
      <w:r w:rsidRPr="00D56A9D">
        <w:rPr>
          <w:rFonts w:ascii="Times New Roman" w:eastAsia="MS Mincho" w:hAnsi="Times New Roman" w:cs="Times New Roman"/>
          <w:sz w:val="28"/>
          <w:szCs w:val="28"/>
        </w:rPr>
        <w:fldChar w:fldCharType="begin" w:fldLock="1"/>
      </w:r>
      <w:r w:rsidR="00765C06">
        <w:rPr>
          <w:rFonts w:ascii="Times New Roman" w:eastAsia="MS Mincho" w:hAnsi="Times New Roman" w:cs="Times New Roman"/>
          <w:sz w:val="28"/>
          <w:szCs w:val="28"/>
        </w:rPr>
        <w:instrText>ADDIN CSL_CITATION {"citationItems":[{"id":"ITEM-1","itemData":{"DOI":"10.14341/probl201662460-84","ISSN":"03759660","abstract":"Adequate intake of Vitamin D and its concentration in serum is important for the health of bones and calcium-phosphorus metabolism and for the optimal functioning of many organs and tissues. Most epidemiological studies have shown that Vitamin D deficiency is widespread among the population in Russian Federation. Material and methods. We reviewed relevant literature on the epidemiology of insufficiency and deficiency, skeletal and extraskeletal effects of Vitamin D and summarized recommendations for the diagnosis, prevention and treatment of Vitamin D deficiency in the general population, which were subsequently discussed and amended in conjunction with leading endocrinologists of the Russian Federation who are experts in this subject. Results. The optimal concentration of 25(OH)D in the serum as the best indicator of Vitamin D body stores is recognized as 30-100 ng/ml (75-250 nmol/l), insufficiency - from 20 to 30 ng/ml (50 to 75 nmol/l), deficiency - less than 20 ng/ml (less than 50 nmol/l). In prevention and treatment it is recommended to stick to the target serum levels of 25(OH)D in the range of 30-60 ng/ml (75-150 nmol/l). We've developed a general practice recommendations for the prevention, diagnosis and treatment of Vitamin D deficiency in adults, including pregnant and lactating women, persons over 50 years old and subjects suffering from various diseases affecting the metabolism of Vitamin D. Conclusions. Increased sufficiency of Vitamin D in the population should be included as one of the priorities of modern healthcare due to proven preventive health effects on the musculoskeletal system and the potential positive impact on many socially significant diseases. This publication is a detailed version of the Federal Guideline.","author":[{"dropping-particle":"","family":"Пигарова","given":"Е.А.","non-dropping-particle":"","parse-names":false,"suffix":""},{"dropping-particle":"","family":"Рожинская","given":"Л.Я.","non-dropping-particle":"","parse-names":false,"suffix":""},{"dropping-particle":"","family":"Белая","given":"Ж.Е.","non-dropping-particle":"","parse-names":false,"suffix":""},{"dropping-particle":"","family":"Дзеранова","given":"Л.К.","non-dropping-particle":"","parse-names":false,"suffix":""},{"dropping-particle":"","family":"Каронова","given":"Т.Л.","non-dropping-particle":"","parse-names":false,"suffix":""},{"dropping-particle":"","family":"Ильин","given":"А.В.","non-dropping-particle":"","parse-names":false,"suffix":""},{"dropping-particle":"","family":"Мельниченко","given":"Г.А.","non-dropping-particle":"","parse-names":false,"suffix":""},{"dropping-particle":"","family":"Дедов","given":"И.И.","non-dropping-particle":"","parse-names":false,"suffix":""}],"container-title":"Проблемы эндокринологии","id":"ITEM-1","issue":"4","issued":{"date-parts":[["2016"]]},"page":"60-84","title":"Клинические рекомендации Российской ассоциации эндокринологов по диагностике, лечению и профилактике дефицита витамина D у взрослых","type":"article-journal","volume":"62"},"uris":["http://www.mendeley.com/documents/?uuid=de53e64c-3371-45e5-9bb6-b09d986a8998"]}],"mendeley":{"formattedCitation":"[149]","plainTextFormattedCitation":"[149]","previouslyFormattedCitation":"[149]"},"properties":{"noteIndex":0},"schema":"https://github.com/citation-style-language/schema/raw/master/csl-citation.json"}</w:instrText>
      </w:r>
      <w:r w:rsidRPr="00D56A9D">
        <w:rPr>
          <w:rFonts w:ascii="Times New Roman" w:eastAsia="MS Mincho" w:hAnsi="Times New Roman" w:cs="Times New Roman"/>
          <w:sz w:val="28"/>
          <w:szCs w:val="28"/>
        </w:rPr>
        <w:fldChar w:fldCharType="separate"/>
      </w:r>
      <w:r w:rsidR="00877069" w:rsidRPr="00877069">
        <w:rPr>
          <w:rFonts w:ascii="Times New Roman" w:eastAsia="MS Mincho" w:hAnsi="Times New Roman" w:cs="Times New Roman"/>
          <w:noProof/>
          <w:sz w:val="28"/>
          <w:szCs w:val="28"/>
        </w:rPr>
        <w:t>[149]</w:t>
      </w:r>
      <w:r w:rsidRPr="00D56A9D">
        <w:rPr>
          <w:rFonts w:ascii="Times New Roman" w:eastAsia="MS Mincho" w:hAnsi="Times New Roman" w:cs="Times New Roman"/>
          <w:sz w:val="28"/>
          <w:szCs w:val="28"/>
        </w:rPr>
        <w:fldChar w:fldCharType="end"/>
      </w:r>
      <w:r w:rsidRPr="00D56A9D">
        <w:rPr>
          <w:rFonts w:ascii="Times New Roman" w:eastAsia="MS Mincho" w:hAnsi="Times New Roman" w:cs="Times New Roman"/>
          <w:sz w:val="28"/>
          <w:szCs w:val="28"/>
        </w:rPr>
        <w:t xml:space="preserve">. Мы вычислили, что пороговые значения витамина Д для прогнозирования тяжести симптомов аллергического ринита будут </w:t>
      </w:r>
      <w:r w:rsidRPr="001F0531">
        <w:rPr>
          <w:rFonts w:ascii="Times New Roman" w:eastAsia="MS Mincho" w:hAnsi="Times New Roman" w:cs="Times New Roman"/>
          <w:sz w:val="28"/>
          <w:szCs w:val="28"/>
        </w:rPr>
        <w:t xml:space="preserve">начинаться от </w:t>
      </w:r>
      <w:r w:rsidR="009E788D">
        <w:rPr>
          <w:rFonts w:ascii="Times New Roman" w:eastAsia="MS Mincho" w:hAnsi="Times New Roman" w:cs="Times New Roman"/>
          <w:sz w:val="28"/>
          <w:szCs w:val="28"/>
        </w:rPr>
        <w:t>18,6</w:t>
      </w:r>
      <w:r w:rsidR="00696E33" w:rsidRPr="001F0531">
        <w:rPr>
          <w:rFonts w:ascii="Times New Roman" w:eastAsia="MS Mincho" w:hAnsi="Times New Roman" w:cs="Times New Roman"/>
          <w:sz w:val="28"/>
          <w:szCs w:val="28"/>
        </w:rPr>
        <w:t xml:space="preserve"> </w:t>
      </w:r>
      <w:r w:rsidRPr="001F0531">
        <w:rPr>
          <w:rFonts w:ascii="Times New Roman" w:eastAsia="MS Mincho" w:hAnsi="Times New Roman" w:cs="Times New Roman"/>
          <w:sz w:val="28"/>
          <w:szCs w:val="28"/>
        </w:rPr>
        <w:t xml:space="preserve">нг/мл, то есть от данной точки мы можем ожидать, что при уменьшении концентрации витамина Д будут наблюдаться тяжелые симптомы. Концентрация витамина Д более </w:t>
      </w:r>
      <w:r w:rsidR="009E788D">
        <w:rPr>
          <w:rFonts w:ascii="Times New Roman" w:eastAsia="MS Mincho" w:hAnsi="Times New Roman" w:cs="Times New Roman"/>
          <w:sz w:val="28"/>
          <w:szCs w:val="28"/>
        </w:rPr>
        <w:t>18,6</w:t>
      </w:r>
      <w:r w:rsidR="009E788D" w:rsidRPr="001F0531">
        <w:rPr>
          <w:rFonts w:ascii="Times New Roman" w:eastAsia="MS Mincho" w:hAnsi="Times New Roman" w:cs="Times New Roman"/>
          <w:sz w:val="28"/>
          <w:szCs w:val="28"/>
        </w:rPr>
        <w:t xml:space="preserve"> </w:t>
      </w:r>
      <w:r w:rsidRPr="001F0531">
        <w:rPr>
          <w:rFonts w:ascii="Times New Roman" w:eastAsia="MS Mincho" w:hAnsi="Times New Roman" w:cs="Times New Roman"/>
          <w:sz w:val="28"/>
          <w:szCs w:val="28"/>
        </w:rPr>
        <w:t>нг/мл предполагает стабильное течение, но должно рассматр</w:t>
      </w:r>
      <w:r>
        <w:rPr>
          <w:rFonts w:ascii="Times New Roman" w:eastAsia="MS Mincho" w:hAnsi="Times New Roman" w:cs="Times New Roman"/>
          <w:sz w:val="28"/>
          <w:szCs w:val="28"/>
        </w:rPr>
        <w:t>иваться как группа риска с учёто</w:t>
      </w:r>
      <w:r w:rsidRPr="001F0531">
        <w:rPr>
          <w:rFonts w:ascii="Times New Roman" w:eastAsia="MS Mincho" w:hAnsi="Times New Roman" w:cs="Times New Roman"/>
          <w:sz w:val="28"/>
          <w:szCs w:val="28"/>
        </w:rPr>
        <w:t>м уменьшения</w:t>
      </w:r>
      <w:r w:rsidR="00BC6D47">
        <w:rPr>
          <w:rFonts w:ascii="Times New Roman" w:eastAsia="MS Mincho" w:hAnsi="Times New Roman" w:cs="Times New Roman"/>
          <w:sz w:val="28"/>
          <w:szCs w:val="28"/>
        </w:rPr>
        <w:t xml:space="preserve"> показателя</w:t>
      </w:r>
      <w:r w:rsidRPr="001F0531">
        <w:rPr>
          <w:rFonts w:ascii="Times New Roman" w:eastAsia="MS Mincho" w:hAnsi="Times New Roman" w:cs="Times New Roman"/>
          <w:sz w:val="28"/>
          <w:szCs w:val="28"/>
        </w:rPr>
        <w:t xml:space="preserve"> ниже референсных норм.</w:t>
      </w:r>
      <w:r>
        <w:rPr>
          <w:rFonts w:ascii="Times New Roman" w:eastAsia="MS Mincho" w:hAnsi="Times New Roman" w:cs="Times New Roman"/>
          <w:sz w:val="28"/>
          <w:szCs w:val="28"/>
        </w:rPr>
        <w:t xml:space="preserve"> </w:t>
      </w:r>
      <w:r w:rsidRPr="00607C27">
        <w:rPr>
          <w:rFonts w:ascii="Times New Roman" w:eastAsia="MS Mincho" w:hAnsi="Times New Roman" w:cs="Times New Roman"/>
          <w:sz w:val="28"/>
          <w:szCs w:val="28"/>
        </w:rPr>
        <w:t xml:space="preserve">Предсказательная ценность положительного результата </w:t>
      </w:r>
      <w:r>
        <w:rPr>
          <w:rFonts w:ascii="Times New Roman" w:eastAsia="MS Mincho" w:hAnsi="Times New Roman" w:cs="Times New Roman"/>
          <w:sz w:val="28"/>
          <w:szCs w:val="28"/>
        </w:rPr>
        <w:t>анализа показывает, что в 50% случаев мы можем прогнозировать тяж</w:t>
      </w:r>
      <w:r w:rsidR="003C78A0">
        <w:rPr>
          <w:rFonts w:ascii="Times New Roman" w:eastAsia="MS Mincho" w:hAnsi="Times New Roman" w:cs="Times New Roman"/>
          <w:sz w:val="28"/>
          <w:szCs w:val="28"/>
        </w:rPr>
        <w:t>ёл</w:t>
      </w:r>
      <w:r w:rsidR="00FE3E10">
        <w:rPr>
          <w:rFonts w:ascii="Times New Roman" w:eastAsia="MS Mincho" w:hAnsi="Times New Roman" w:cs="Times New Roman"/>
          <w:sz w:val="28"/>
          <w:szCs w:val="28"/>
        </w:rPr>
        <w:t xml:space="preserve">ое течение </w:t>
      </w:r>
      <w:r>
        <w:rPr>
          <w:rFonts w:ascii="Times New Roman" w:eastAsia="MS Mincho" w:hAnsi="Times New Roman" w:cs="Times New Roman"/>
          <w:sz w:val="28"/>
          <w:szCs w:val="28"/>
        </w:rPr>
        <w:t xml:space="preserve">аллергического ринита при снижении уровня витамина Д ниже референсных норм. </w:t>
      </w:r>
      <w:r w:rsidRPr="00BE4145">
        <w:rPr>
          <w:rFonts w:ascii="Times New Roman" w:eastAsia="MS Mincho" w:hAnsi="Times New Roman" w:cs="Times New Roman"/>
          <w:sz w:val="28"/>
          <w:szCs w:val="28"/>
        </w:rPr>
        <w:t>Предсказательная ценность отрицательного результата</w:t>
      </w:r>
      <w:r>
        <w:rPr>
          <w:rFonts w:ascii="Times New Roman" w:eastAsia="MS Mincho" w:hAnsi="Times New Roman" w:cs="Times New Roman"/>
          <w:sz w:val="28"/>
          <w:szCs w:val="28"/>
        </w:rPr>
        <w:t xml:space="preserve"> показывает, что в 85,7% случаев мы можем прогнозировать </w:t>
      </w:r>
      <w:r w:rsidR="00A911C9">
        <w:rPr>
          <w:rFonts w:ascii="Times New Roman" w:eastAsia="MS Mincho" w:hAnsi="Times New Roman" w:cs="Times New Roman"/>
          <w:sz w:val="28"/>
          <w:szCs w:val="28"/>
        </w:rPr>
        <w:t xml:space="preserve">лёгкое течение </w:t>
      </w:r>
      <w:r>
        <w:rPr>
          <w:rFonts w:ascii="Times New Roman" w:eastAsia="MS Mincho" w:hAnsi="Times New Roman" w:cs="Times New Roman"/>
          <w:sz w:val="28"/>
          <w:szCs w:val="28"/>
        </w:rPr>
        <w:t>аллергического ринита в случае обнаружения витамина Д в пределах референсных норм.</w:t>
      </w:r>
    </w:p>
    <w:p w14:paraId="000E3205" w14:textId="3FC4AA1B" w:rsidR="00073F0D" w:rsidRDefault="00073F0D" w:rsidP="00073F0D">
      <w:pPr>
        <w:spacing w:after="0" w:line="240" w:lineRule="auto"/>
        <w:ind w:firstLine="709"/>
        <w:jc w:val="both"/>
        <w:rPr>
          <w:rFonts w:ascii="Times New Roman" w:eastAsia="Calibri" w:hAnsi="Times New Roman" w:cs="Times New Roman"/>
          <w:sz w:val="28"/>
          <w:szCs w:val="28"/>
        </w:rPr>
      </w:pPr>
      <w:r w:rsidRPr="00694D4D">
        <w:rPr>
          <w:rFonts w:ascii="Times New Roman" w:eastAsia="Calibri" w:hAnsi="Times New Roman" w:cs="Times New Roman"/>
          <w:sz w:val="28"/>
          <w:szCs w:val="28"/>
        </w:rPr>
        <w:t>Таким образом, проведенный множественный логистический регрессионный</w:t>
      </w:r>
      <w:r w:rsidRPr="00694D4D">
        <w:rPr>
          <w:rFonts w:ascii="Times New Roman" w:eastAsia="Calibri" w:hAnsi="Times New Roman" w:cs="Times New Roman"/>
          <w:color w:val="FF0000"/>
          <w:sz w:val="28"/>
          <w:szCs w:val="28"/>
        </w:rPr>
        <w:t xml:space="preserve"> </w:t>
      </w:r>
      <w:r w:rsidRPr="00694D4D">
        <w:rPr>
          <w:rFonts w:ascii="Times New Roman" w:eastAsia="Calibri" w:hAnsi="Times New Roman" w:cs="Times New Roman"/>
          <w:sz w:val="28"/>
          <w:szCs w:val="28"/>
        </w:rPr>
        <w:t>анализ лабораторных предикторов эффективности АСИТ в комплексе с витамином Д с наибольшей прогностической значимостью выявил два ключевых предиктора эффективности АСИТ – общий ИГЕ и витамин Д. Данные исследования показали наибольшее прогностическое влияние общего ИГЕ на исход тяжести симптомов аллергического ринита после АСИТ у мужчин (</w:t>
      </w:r>
      <w:r w:rsidRPr="00694D4D">
        <w:rPr>
          <w:rFonts w:ascii="Times New Roman" w:eastAsia="Calibri" w:hAnsi="Times New Roman" w:cs="Times New Roman"/>
          <w:sz w:val="28"/>
          <w:szCs w:val="28"/>
        </w:rPr>
        <w:sym w:font="Symbol" w:char="F062"/>
      </w:r>
      <w:r w:rsidRPr="00694D4D">
        <w:rPr>
          <w:rFonts w:ascii="Times New Roman" w:eastAsia="Calibri" w:hAnsi="Times New Roman" w:cs="Times New Roman"/>
          <w:sz w:val="28"/>
          <w:szCs w:val="28"/>
        </w:rPr>
        <w:t>=0,9;</w:t>
      </w:r>
      <w:r w:rsidRPr="00694D4D">
        <w:rPr>
          <w:rFonts w:ascii="Times New Roman" w:eastAsia="Calibri" w:hAnsi="Times New Roman" w:cs="Times New Roman"/>
          <w:b/>
          <w:sz w:val="28"/>
          <w:szCs w:val="28"/>
        </w:rPr>
        <w:t xml:space="preserve"> </w:t>
      </w:r>
      <w:r w:rsidRPr="00694D4D">
        <w:rPr>
          <w:rFonts w:ascii="Times New Roman" w:eastAsiaTheme="majorEastAsia" w:hAnsi="Times New Roman" w:cs="Times New Roman"/>
          <w:sz w:val="28"/>
          <w:szCs w:val="28"/>
          <w:lang w:val="en-US"/>
        </w:rPr>
        <w:t>p</w:t>
      </w:r>
      <w:r w:rsidRPr="00694D4D">
        <w:rPr>
          <w:rFonts w:ascii="Times New Roman" w:eastAsiaTheme="majorEastAsia" w:hAnsi="Times New Roman" w:cs="Times New Roman"/>
          <w:sz w:val="28"/>
          <w:szCs w:val="28"/>
        </w:rPr>
        <w:t>≤0,01)</w:t>
      </w:r>
      <w:r w:rsidRPr="00694D4D">
        <w:rPr>
          <w:rFonts w:ascii="Times New Roman" w:eastAsia="Calibri" w:hAnsi="Times New Roman" w:cs="Times New Roman"/>
          <w:sz w:val="28"/>
          <w:szCs w:val="28"/>
        </w:rPr>
        <w:t xml:space="preserve"> и в общей популяции (</w:t>
      </w:r>
      <w:r w:rsidRPr="00694D4D">
        <w:rPr>
          <w:rFonts w:ascii="Times New Roman" w:eastAsia="Calibri" w:hAnsi="Times New Roman" w:cs="Times New Roman"/>
          <w:sz w:val="28"/>
          <w:szCs w:val="28"/>
        </w:rPr>
        <w:sym w:font="Symbol" w:char="F062"/>
      </w:r>
      <w:r w:rsidRPr="00694D4D">
        <w:rPr>
          <w:rFonts w:ascii="Times New Roman" w:eastAsia="Calibri" w:hAnsi="Times New Roman" w:cs="Times New Roman"/>
          <w:sz w:val="28"/>
          <w:szCs w:val="28"/>
        </w:rPr>
        <w:t>=0,6;</w:t>
      </w:r>
      <w:r w:rsidRPr="00694D4D">
        <w:rPr>
          <w:rFonts w:ascii="Times New Roman" w:eastAsia="Calibri" w:hAnsi="Times New Roman" w:cs="Times New Roman"/>
          <w:b/>
          <w:sz w:val="28"/>
          <w:szCs w:val="28"/>
        </w:rPr>
        <w:t xml:space="preserve"> </w:t>
      </w:r>
      <w:r w:rsidRPr="00694D4D">
        <w:rPr>
          <w:rFonts w:ascii="Times New Roman" w:eastAsiaTheme="majorEastAsia" w:hAnsi="Times New Roman" w:cs="Times New Roman"/>
          <w:sz w:val="28"/>
          <w:szCs w:val="28"/>
          <w:lang w:val="en-US"/>
        </w:rPr>
        <w:t>p</w:t>
      </w:r>
      <w:r w:rsidRPr="00694D4D">
        <w:rPr>
          <w:rFonts w:ascii="Times New Roman" w:eastAsiaTheme="majorEastAsia" w:hAnsi="Times New Roman" w:cs="Times New Roman"/>
          <w:sz w:val="28"/>
          <w:szCs w:val="28"/>
        </w:rPr>
        <w:t>≤0,001),</w:t>
      </w:r>
      <w:r w:rsidR="0007459B">
        <w:rPr>
          <w:rFonts w:ascii="Times New Roman" w:eastAsiaTheme="majorEastAsia" w:hAnsi="Times New Roman" w:cs="Times New Roman"/>
          <w:sz w:val="28"/>
          <w:szCs w:val="28"/>
        </w:rPr>
        <w:t xml:space="preserve"> </w:t>
      </w:r>
      <w:r w:rsidRPr="00694D4D">
        <w:rPr>
          <w:rFonts w:ascii="Times New Roman" w:eastAsiaTheme="majorEastAsia" w:hAnsi="Times New Roman" w:cs="Times New Roman"/>
          <w:sz w:val="28"/>
          <w:szCs w:val="28"/>
        </w:rPr>
        <w:t xml:space="preserve">а также витамина Д у женщин </w:t>
      </w:r>
      <w:r w:rsidRPr="00694D4D">
        <w:rPr>
          <w:rFonts w:ascii="Times New Roman" w:eastAsia="Calibri" w:hAnsi="Times New Roman" w:cs="Times New Roman"/>
          <w:sz w:val="28"/>
          <w:szCs w:val="28"/>
        </w:rPr>
        <w:t>(</w:t>
      </w:r>
      <w:r w:rsidRPr="00694D4D">
        <w:rPr>
          <w:rFonts w:ascii="Times New Roman" w:eastAsia="Calibri" w:hAnsi="Times New Roman" w:cs="Times New Roman"/>
          <w:sz w:val="28"/>
          <w:szCs w:val="28"/>
        </w:rPr>
        <w:sym w:font="Symbol" w:char="F062"/>
      </w:r>
      <w:r w:rsidRPr="00694D4D">
        <w:rPr>
          <w:rFonts w:ascii="Times New Roman" w:eastAsia="Calibri" w:hAnsi="Times New Roman" w:cs="Times New Roman"/>
          <w:sz w:val="28"/>
          <w:szCs w:val="28"/>
        </w:rPr>
        <w:t>=-0,8;</w:t>
      </w:r>
      <w:r w:rsidRPr="00694D4D">
        <w:rPr>
          <w:rFonts w:ascii="Times New Roman" w:eastAsia="Calibri" w:hAnsi="Times New Roman" w:cs="Times New Roman"/>
          <w:b/>
          <w:sz w:val="28"/>
          <w:szCs w:val="28"/>
        </w:rPr>
        <w:t xml:space="preserve"> </w:t>
      </w:r>
      <w:r w:rsidRPr="00694D4D">
        <w:rPr>
          <w:rFonts w:ascii="Times New Roman" w:eastAsiaTheme="majorEastAsia" w:hAnsi="Times New Roman" w:cs="Times New Roman"/>
          <w:sz w:val="28"/>
          <w:szCs w:val="28"/>
          <w:lang w:val="en-US"/>
        </w:rPr>
        <w:t>p</w:t>
      </w:r>
      <w:r w:rsidRPr="00694D4D">
        <w:rPr>
          <w:rFonts w:ascii="Times New Roman" w:eastAsiaTheme="majorEastAsia" w:hAnsi="Times New Roman" w:cs="Times New Roman"/>
          <w:sz w:val="28"/>
          <w:szCs w:val="28"/>
        </w:rPr>
        <w:t>≤0,05)</w:t>
      </w:r>
      <w:r w:rsidRPr="00694D4D">
        <w:rPr>
          <w:rFonts w:ascii="Times New Roman" w:eastAsia="Calibri" w:hAnsi="Times New Roman" w:cs="Times New Roman"/>
          <w:sz w:val="28"/>
          <w:szCs w:val="28"/>
        </w:rPr>
        <w:t>.</w:t>
      </w:r>
      <w:r w:rsidR="0007459B">
        <w:rPr>
          <w:rFonts w:ascii="Times New Roman" w:eastAsia="Calibri" w:hAnsi="Times New Roman" w:cs="Times New Roman"/>
          <w:sz w:val="28"/>
          <w:szCs w:val="28"/>
        </w:rPr>
        <w:t xml:space="preserve"> </w:t>
      </w:r>
      <w:r w:rsidRPr="00694D4D">
        <w:rPr>
          <w:rFonts w:ascii="Times New Roman" w:eastAsia="Calibri" w:hAnsi="Times New Roman" w:cs="Times New Roman"/>
          <w:sz w:val="28"/>
          <w:szCs w:val="28"/>
        </w:rPr>
        <w:t xml:space="preserve">Витамин Д можно рассчитывать в качестве неспецифического предиктора тяжести заболевания при аллергических ринитах. </w:t>
      </w:r>
    </w:p>
    <w:p w14:paraId="3BA18E3B" w14:textId="636DBB07" w:rsidR="00073F0D" w:rsidRPr="00694D4D" w:rsidRDefault="00073F0D" w:rsidP="00073F0D">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Нами получены</w:t>
      </w:r>
      <w:r w:rsidRPr="00694D4D">
        <w:rPr>
          <w:rFonts w:ascii="Times New Roman" w:eastAsia="Calibri" w:hAnsi="Times New Roman" w:cs="Times New Roman"/>
          <w:sz w:val="28"/>
          <w:szCs w:val="28"/>
        </w:rPr>
        <w:t xml:space="preserve"> пороговые значения общего ИГЕ для прогнозирования тяжести </w:t>
      </w:r>
      <w:r>
        <w:rPr>
          <w:rFonts w:ascii="Times New Roman" w:eastAsia="Calibri" w:hAnsi="Times New Roman" w:cs="Times New Roman"/>
          <w:sz w:val="28"/>
          <w:szCs w:val="28"/>
        </w:rPr>
        <w:t>симптомов аллергического ринита, которые составили 368,7 МЕ/мл. Таким образом,</w:t>
      </w:r>
      <w:r w:rsidRPr="00694D4D">
        <w:rPr>
          <w:rFonts w:ascii="Times New Roman" w:eastAsia="Calibri" w:hAnsi="Times New Roman" w:cs="Times New Roman"/>
          <w:sz w:val="28"/>
          <w:szCs w:val="28"/>
        </w:rPr>
        <w:t xml:space="preserve"> при увеличении концентрации общего ИГЕ будут наб</w:t>
      </w:r>
      <w:r>
        <w:rPr>
          <w:rFonts w:ascii="Times New Roman" w:eastAsia="Calibri" w:hAnsi="Times New Roman" w:cs="Times New Roman"/>
          <w:sz w:val="28"/>
          <w:szCs w:val="28"/>
        </w:rPr>
        <w:t>людаться более тяжелые симптомы, а при</w:t>
      </w:r>
      <w:r w:rsidRPr="00694D4D">
        <w:rPr>
          <w:rFonts w:ascii="Times New Roman" w:eastAsia="Calibri" w:hAnsi="Times New Roman" w:cs="Times New Roman"/>
          <w:sz w:val="28"/>
          <w:szCs w:val="28"/>
        </w:rPr>
        <w:t xml:space="preserve"> </w:t>
      </w:r>
      <w:r>
        <w:rPr>
          <w:rFonts w:ascii="Times New Roman" w:eastAsia="Calibri" w:hAnsi="Times New Roman" w:cs="Times New Roman"/>
          <w:sz w:val="28"/>
          <w:szCs w:val="28"/>
        </w:rPr>
        <w:t>снижении</w:t>
      </w:r>
      <w:r w:rsidRPr="00694D4D">
        <w:rPr>
          <w:rFonts w:ascii="Times New Roman" w:eastAsia="Calibri" w:hAnsi="Times New Roman" w:cs="Times New Roman"/>
          <w:sz w:val="28"/>
          <w:szCs w:val="28"/>
        </w:rPr>
        <w:t xml:space="preserve"> менее 368,7 МЕ/мл предполагает стабильное течение, но должно рассматриваться как группа риска с учётом превышения референсных норм. </w:t>
      </w:r>
      <w:r w:rsidR="00B54628" w:rsidRPr="00607C27">
        <w:rPr>
          <w:rFonts w:ascii="Times New Roman" w:eastAsia="MS Mincho" w:hAnsi="Times New Roman" w:cs="Times New Roman"/>
          <w:sz w:val="28"/>
          <w:szCs w:val="28"/>
        </w:rPr>
        <w:t xml:space="preserve">Предсказательная ценность положительного результата </w:t>
      </w:r>
      <w:r w:rsidR="00B54628">
        <w:rPr>
          <w:rFonts w:ascii="Times New Roman" w:eastAsia="MS Mincho" w:hAnsi="Times New Roman" w:cs="Times New Roman"/>
          <w:sz w:val="28"/>
          <w:szCs w:val="28"/>
        </w:rPr>
        <w:t xml:space="preserve">анализа показывает, что в 66,7% случаев мы можем прогнозировать тяжесть симптомов аллергического ринита при повышении уровня общего ИГЕ выше референсных норм. </w:t>
      </w:r>
      <w:r w:rsidR="00B54628" w:rsidRPr="00BE4145">
        <w:rPr>
          <w:rFonts w:ascii="Times New Roman" w:eastAsia="MS Mincho" w:hAnsi="Times New Roman" w:cs="Times New Roman"/>
          <w:sz w:val="28"/>
          <w:szCs w:val="28"/>
        </w:rPr>
        <w:t>Предсказательная ценность отрицательного результата</w:t>
      </w:r>
      <w:r w:rsidR="00B54628">
        <w:rPr>
          <w:rFonts w:ascii="Times New Roman" w:eastAsia="MS Mincho" w:hAnsi="Times New Roman" w:cs="Times New Roman"/>
          <w:sz w:val="28"/>
          <w:szCs w:val="28"/>
        </w:rPr>
        <w:t xml:space="preserve"> показывает, что в 100% случаев мы можем прогнозировать отсутствие симптомов аллергического ринита в случае обнаружения общего ИГЕ в пределах референсных норм</w:t>
      </w:r>
      <w:r w:rsidRPr="00694D4D">
        <w:rPr>
          <w:rFonts w:ascii="Times New Roman" w:eastAsia="Calibri" w:hAnsi="Times New Roman" w:cs="Times New Roman"/>
          <w:sz w:val="28"/>
          <w:szCs w:val="28"/>
        </w:rPr>
        <w:t>.</w:t>
      </w:r>
    </w:p>
    <w:p w14:paraId="2B21D0DE" w14:textId="77777777" w:rsidR="00ED552C" w:rsidRDefault="00073F0D" w:rsidP="00ED552C">
      <w:pPr>
        <w:spacing w:after="0" w:line="240" w:lineRule="auto"/>
        <w:ind w:firstLine="709"/>
        <w:jc w:val="both"/>
        <w:rPr>
          <w:rFonts w:ascii="Times New Roman" w:eastAsia="MS Mincho" w:hAnsi="Times New Roman" w:cs="Times New Roman"/>
          <w:sz w:val="28"/>
          <w:szCs w:val="28"/>
        </w:rPr>
      </w:pPr>
      <w:r>
        <w:rPr>
          <w:rFonts w:ascii="Times New Roman" w:eastAsia="Calibri" w:hAnsi="Times New Roman" w:cs="Times New Roman"/>
          <w:sz w:val="28"/>
          <w:szCs w:val="28"/>
        </w:rPr>
        <w:t>Также мы получили</w:t>
      </w:r>
      <w:r w:rsidRPr="00694D4D">
        <w:rPr>
          <w:rFonts w:ascii="Times New Roman" w:eastAsia="Calibri" w:hAnsi="Times New Roman" w:cs="Times New Roman"/>
          <w:sz w:val="28"/>
          <w:szCs w:val="28"/>
        </w:rPr>
        <w:t xml:space="preserve"> пороговые значения витамина Д для прогнозирования тяжести симптомов аллергического ринита</w:t>
      </w:r>
      <w:r w:rsidR="00803A56">
        <w:rPr>
          <w:rFonts w:ascii="Times New Roman" w:eastAsia="Calibri" w:hAnsi="Times New Roman" w:cs="Times New Roman"/>
          <w:sz w:val="28"/>
          <w:szCs w:val="28"/>
        </w:rPr>
        <w:t>, которые будут начинаться от</w:t>
      </w:r>
      <w:r w:rsidR="002904EF" w:rsidRPr="001F0531">
        <w:rPr>
          <w:rFonts w:ascii="Times New Roman" w:eastAsia="MS Mincho" w:hAnsi="Times New Roman" w:cs="Times New Roman"/>
          <w:sz w:val="28"/>
          <w:szCs w:val="28"/>
        </w:rPr>
        <w:t xml:space="preserve"> </w:t>
      </w:r>
      <w:r w:rsidR="002904EF">
        <w:rPr>
          <w:rFonts w:ascii="Times New Roman" w:eastAsia="MS Mincho" w:hAnsi="Times New Roman" w:cs="Times New Roman"/>
          <w:sz w:val="28"/>
          <w:szCs w:val="28"/>
        </w:rPr>
        <w:t>18,6</w:t>
      </w:r>
      <w:r w:rsidR="002904EF" w:rsidRPr="001F0531">
        <w:rPr>
          <w:rFonts w:ascii="Times New Roman" w:eastAsia="MS Mincho" w:hAnsi="Times New Roman" w:cs="Times New Roman"/>
          <w:sz w:val="28"/>
          <w:szCs w:val="28"/>
        </w:rPr>
        <w:t xml:space="preserve"> нг/мл, то есть от данной точки мы можем ожидать, что при уменьшении концентрации витамина Д будут наблюдаться более тяжелые симптомы. Концентрация витамина Д более </w:t>
      </w:r>
      <w:r w:rsidR="00803A56">
        <w:rPr>
          <w:rFonts w:ascii="Times New Roman" w:eastAsia="MS Mincho" w:hAnsi="Times New Roman" w:cs="Times New Roman"/>
          <w:sz w:val="28"/>
          <w:szCs w:val="28"/>
        </w:rPr>
        <w:t>18,6</w:t>
      </w:r>
      <w:r w:rsidR="00803A56" w:rsidRPr="001F0531">
        <w:rPr>
          <w:rFonts w:ascii="Times New Roman" w:eastAsia="MS Mincho" w:hAnsi="Times New Roman" w:cs="Times New Roman"/>
          <w:sz w:val="28"/>
          <w:szCs w:val="28"/>
        </w:rPr>
        <w:t xml:space="preserve"> </w:t>
      </w:r>
      <w:r w:rsidR="002904EF" w:rsidRPr="001F0531">
        <w:rPr>
          <w:rFonts w:ascii="Times New Roman" w:eastAsia="MS Mincho" w:hAnsi="Times New Roman" w:cs="Times New Roman"/>
          <w:sz w:val="28"/>
          <w:szCs w:val="28"/>
        </w:rPr>
        <w:t>нг/мл предполагает стабильное течение, но должно рассматр</w:t>
      </w:r>
      <w:r w:rsidR="002904EF">
        <w:rPr>
          <w:rFonts w:ascii="Times New Roman" w:eastAsia="MS Mincho" w:hAnsi="Times New Roman" w:cs="Times New Roman"/>
          <w:sz w:val="28"/>
          <w:szCs w:val="28"/>
        </w:rPr>
        <w:t>иваться как группа риска с учёто</w:t>
      </w:r>
      <w:r w:rsidR="002904EF" w:rsidRPr="001F0531">
        <w:rPr>
          <w:rFonts w:ascii="Times New Roman" w:eastAsia="MS Mincho" w:hAnsi="Times New Roman" w:cs="Times New Roman"/>
          <w:sz w:val="28"/>
          <w:szCs w:val="28"/>
        </w:rPr>
        <w:t>м уменьшения ниже референсных норм.</w:t>
      </w:r>
      <w:r w:rsidR="002904EF">
        <w:rPr>
          <w:rFonts w:ascii="Times New Roman" w:eastAsia="MS Mincho" w:hAnsi="Times New Roman" w:cs="Times New Roman"/>
          <w:sz w:val="28"/>
          <w:szCs w:val="28"/>
        </w:rPr>
        <w:t xml:space="preserve"> </w:t>
      </w:r>
      <w:r w:rsidR="00ED552C" w:rsidRPr="00607C27">
        <w:rPr>
          <w:rFonts w:ascii="Times New Roman" w:eastAsia="MS Mincho" w:hAnsi="Times New Roman" w:cs="Times New Roman"/>
          <w:sz w:val="28"/>
          <w:szCs w:val="28"/>
        </w:rPr>
        <w:t xml:space="preserve">Предсказательная ценность положительного результата </w:t>
      </w:r>
      <w:r w:rsidR="00ED552C">
        <w:rPr>
          <w:rFonts w:ascii="Times New Roman" w:eastAsia="MS Mincho" w:hAnsi="Times New Roman" w:cs="Times New Roman"/>
          <w:sz w:val="28"/>
          <w:szCs w:val="28"/>
        </w:rPr>
        <w:t xml:space="preserve">анализа показывает, что в 50% случаев мы можем прогнозировать тяжёлое течение аллергического ринита при снижении уровня витамина Д ниже референсных норм. </w:t>
      </w:r>
      <w:r w:rsidR="00ED552C" w:rsidRPr="00BE4145">
        <w:rPr>
          <w:rFonts w:ascii="Times New Roman" w:eastAsia="MS Mincho" w:hAnsi="Times New Roman" w:cs="Times New Roman"/>
          <w:sz w:val="28"/>
          <w:szCs w:val="28"/>
        </w:rPr>
        <w:t>Предсказательная ценность отрицательного результата</w:t>
      </w:r>
      <w:r w:rsidR="00ED552C">
        <w:rPr>
          <w:rFonts w:ascii="Times New Roman" w:eastAsia="MS Mincho" w:hAnsi="Times New Roman" w:cs="Times New Roman"/>
          <w:sz w:val="28"/>
          <w:szCs w:val="28"/>
        </w:rPr>
        <w:t xml:space="preserve"> показывает, что в 85,7% случаев мы можем прогнозировать лёгкое течение аллергического ринита в случае обнаружения витамина Д в пределах референсных норм.</w:t>
      </w:r>
    </w:p>
    <w:p w14:paraId="11B951D1" w14:textId="0E353AEA" w:rsidR="00A865AD" w:rsidRPr="00A50362" w:rsidRDefault="00A865AD" w:rsidP="00ED552C">
      <w:pPr>
        <w:spacing w:after="0" w:line="240" w:lineRule="auto"/>
        <w:ind w:firstLine="709"/>
        <w:jc w:val="both"/>
        <w:rPr>
          <w:rFonts w:ascii="Times New Roman" w:eastAsia="Calibri" w:hAnsi="Times New Roman" w:cs="Times New Roman"/>
          <w:strike/>
          <w:sz w:val="28"/>
          <w:szCs w:val="28"/>
        </w:rPr>
      </w:pPr>
      <w:r w:rsidRPr="00437528">
        <w:rPr>
          <w:rFonts w:ascii="Times New Roman" w:eastAsia="Calibri" w:hAnsi="Times New Roman" w:cs="Times New Roman"/>
          <w:sz w:val="28"/>
          <w:szCs w:val="28"/>
        </w:rPr>
        <w:t>Резюмируя данный раздел исследования, мы сделали вывод, что</w:t>
      </w:r>
      <w:r>
        <w:rPr>
          <w:rFonts w:ascii="Times New Roman" w:eastAsia="Calibri" w:hAnsi="Times New Roman" w:cs="Times New Roman"/>
          <w:sz w:val="28"/>
          <w:szCs w:val="28"/>
        </w:rPr>
        <w:t xml:space="preserve"> предикторами</w:t>
      </w:r>
      <w:r w:rsidRPr="00437528">
        <w:rPr>
          <w:rFonts w:ascii="Times New Roman" w:eastAsia="Calibri" w:hAnsi="Times New Roman" w:cs="Times New Roman"/>
          <w:sz w:val="28"/>
          <w:szCs w:val="28"/>
        </w:rPr>
        <w:t xml:space="preserve"> </w:t>
      </w:r>
      <w:r w:rsidRPr="00694D4D">
        <w:rPr>
          <w:rFonts w:ascii="Times New Roman" w:eastAsia="Calibri" w:hAnsi="Times New Roman" w:cs="Times New Roman"/>
          <w:sz w:val="28"/>
          <w:szCs w:val="28"/>
        </w:rPr>
        <w:t>эффективности АСИТ в комплексе с витамином Д с наибольшей прогностической значимостью выявил два ключевых предиктора эффективности АСИТ – общий ИГЕ и витамин Д</w:t>
      </w:r>
      <w:r w:rsidR="007D1FA9">
        <w:rPr>
          <w:rFonts w:ascii="Times New Roman" w:eastAsia="Calibri" w:hAnsi="Times New Roman" w:cs="Times New Roman"/>
          <w:sz w:val="28"/>
          <w:szCs w:val="28"/>
        </w:rPr>
        <w:t>.</w:t>
      </w:r>
    </w:p>
    <w:p w14:paraId="29AE36C2" w14:textId="77777777" w:rsidR="00A865AD" w:rsidRPr="00437528" w:rsidRDefault="00A865AD" w:rsidP="00073F0D">
      <w:pPr>
        <w:spacing w:after="0" w:line="240" w:lineRule="auto"/>
        <w:ind w:firstLine="709"/>
        <w:jc w:val="both"/>
        <w:rPr>
          <w:rFonts w:ascii="Times New Roman" w:eastAsia="Calibri" w:hAnsi="Times New Roman" w:cs="Times New Roman"/>
          <w:sz w:val="28"/>
          <w:szCs w:val="28"/>
        </w:rPr>
      </w:pPr>
    </w:p>
    <w:p w14:paraId="7318DCAE" w14:textId="0EC337CC" w:rsidR="00437528" w:rsidRDefault="00437528" w:rsidP="00775DE3">
      <w:pPr>
        <w:keepNext/>
        <w:keepLines/>
        <w:spacing w:after="0" w:line="240" w:lineRule="auto"/>
        <w:ind w:firstLine="567"/>
        <w:jc w:val="both"/>
        <w:outlineLvl w:val="0"/>
        <w:rPr>
          <w:rFonts w:ascii="Times New Roman" w:eastAsiaTheme="majorEastAsia" w:hAnsi="Times New Roman" w:cs="Times New Roman"/>
          <w:b/>
          <w:sz w:val="28"/>
          <w:szCs w:val="28"/>
        </w:rPr>
      </w:pPr>
      <w:bookmarkStart w:id="57" w:name="_Toc121590259"/>
      <w:bookmarkStart w:id="58" w:name="_Toc137904366"/>
      <w:r w:rsidRPr="00437528">
        <w:rPr>
          <w:rFonts w:ascii="Times New Roman" w:eastAsiaTheme="majorEastAsia" w:hAnsi="Times New Roman" w:cs="Times New Roman"/>
          <w:b/>
          <w:sz w:val="28"/>
          <w:szCs w:val="28"/>
        </w:rPr>
        <w:t>3.4.</w:t>
      </w:r>
      <w:r w:rsidRPr="00437528">
        <w:rPr>
          <w:rFonts w:ascii="Times New Roman" w:eastAsiaTheme="majorEastAsia" w:hAnsi="Times New Roman" w:cs="Times New Roman"/>
          <w:b/>
          <w:sz w:val="28"/>
          <w:szCs w:val="28"/>
        </w:rPr>
        <w:tab/>
        <w:t>Клинико-диагностический алгоритм мене</w:t>
      </w:r>
      <w:r w:rsidR="004F3B83">
        <w:rPr>
          <w:rFonts w:ascii="Times New Roman" w:eastAsiaTheme="majorEastAsia" w:hAnsi="Times New Roman" w:cs="Times New Roman"/>
          <w:b/>
          <w:sz w:val="28"/>
          <w:szCs w:val="28"/>
        </w:rPr>
        <w:t>джмента больных с сезонным</w:t>
      </w:r>
      <w:r w:rsidRPr="00437528">
        <w:rPr>
          <w:rFonts w:ascii="Times New Roman" w:eastAsiaTheme="majorEastAsia" w:hAnsi="Times New Roman" w:cs="Times New Roman"/>
          <w:b/>
          <w:sz w:val="28"/>
          <w:szCs w:val="28"/>
        </w:rPr>
        <w:t xml:space="preserve"> </w:t>
      </w:r>
      <w:r w:rsidR="004F3B83">
        <w:rPr>
          <w:rFonts w:ascii="Times New Roman" w:eastAsiaTheme="majorEastAsia" w:hAnsi="Times New Roman" w:cs="Times New Roman"/>
          <w:b/>
          <w:sz w:val="28"/>
          <w:szCs w:val="28"/>
        </w:rPr>
        <w:t>аллергическим</w:t>
      </w:r>
      <w:r w:rsidRPr="00437528">
        <w:rPr>
          <w:rFonts w:ascii="Times New Roman" w:eastAsiaTheme="majorEastAsia" w:hAnsi="Times New Roman" w:cs="Times New Roman"/>
          <w:b/>
          <w:sz w:val="28"/>
          <w:szCs w:val="28"/>
        </w:rPr>
        <w:t xml:space="preserve"> ринит</w:t>
      </w:r>
      <w:bookmarkEnd w:id="57"/>
      <w:bookmarkEnd w:id="58"/>
      <w:r w:rsidR="004F3B83">
        <w:rPr>
          <w:rFonts w:ascii="Times New Roman" w:eastAsiaTheme="majorEastAsia" w:hAnsi="Times New Roman" w:cs="Times New Roman"/>
          <w:b/>
          <w:sz w:val="28"/>
          <w:szCs w:val="28"/>
        </w:rPr>
        <w:t>ом</w:t>
      </w:r>
    </w:p>
    <w:p w14:paraId="5EFD52CA" w14:textId="77777777" w:rsidR="004F3B83" w:rsidRPr="00437528" w:rsidRDefault="004F3B83" w:rsidP="00775DE3">
      <w:pPr>
        <w:keepNext/>
        <w:keepLines/>
        <w:spacing w:after="0" w:line="240" w:lineRule="auto"/>
        <w:ind w:firstLine="567"/>
        <w:jc w:val="both"/>
        <w:outlineLvl w:val="0"/>
        <w:rPr>
          <w:rFonts w:ascii="Times New Roman" w:eastAsiaTheme="majorEastAsia" w:hAnsi="Times New Roman" w:cs="Times New Roman"/>
          <w:sz w:val="28"/>
          <w:szCs w:val="28"/>
        </w:rPr>
      </w:pPr>
    </w:p>
    <w:p w14:paraId="6A5A31F0" w14:textId="2BDB0EB1" w:rsidR="00341965" w:rsidRPr="00D7504D" w:rsidRDefault="00437528" w:rsidP="00775DE3">
      <w:pPr>
        <w:spacing w:after="0" w:line="240" w:lineRule="auto"/>
        <w:ind w:firstLine="567"/>
        <w:jc w:val="both"/>
        <w:rPr>
          <w:rFonts w:ascii="Times New Roman" w:eastAsia="Calibri" w:hAnsi="Times New Roman" w:cs="Times New Roman"/>
          <w:sz w:val="28"/>
          <w:szCs w:val="28"/>
        </w:rPr>
      </w:pPr>
      <w:r w:rsidRPr="00437528">
        <w:rPr>
          <w:rFonts w:ascii="Times New Roman" w:eastAsia="Calibri" w:hAnsi="Times New Roman" w:cs="Times New Roman"/>
          <w:sz w:val="28"/>
          <w:szCs w:val="28"/>
        </w:rPr>
        <w:t>Ранее аналогичная инициатива была предложена для ведения пациентов с бронхиальной астмой. В работе Абдушукуровой Г.З</w:t>
      </w:r>
      <w:r w:rsidRPr="00D7504D">
        <w:rPr>
          <w:rFonts w:ascii="Times New Roman" w:eastAsia="Calibri" w:hAnsi="Times New Roman" w:cs="Times New Roman"/>
          <w:sz w:val="28"/>
          <w:szCs w:val="28"/>
        </w:rPr>
        <w:t>.</w:t>
      </w:r>
      <w:r w:rsidR="00341965" w:rsidRPr="00D7504D">
        <w:rPr>
          <w:rFonts w:ascii="Times New Roman" w:eastAsia="Calibri" w:hAnsi="Times New Roman" w:cs="Times New Roman"/>
          <w:sz w:val="28"/>
          <w:szCs w:val="28"/>
        </w:rPr>
        <w:t>, где</w:t>
      </w:r>
      <w:r w:rsidRPr="00D7504D">
        <w:rPr>
          <w:rFonts w:ascii="Times New Roman" w:eastAsia="Calibri" w:hAnsi="Times New Roman" w:cs="Times New Roman"/>
          <w:sz w:val="28"/>
          <w:szCs w:val="28"/>
        </w:rPr>
        <w:t xml:space="preserve"> был предложен алгоритм менеджмента бронхиальной астмы на основе адаптации рекомендаций GINA </w:t>
      </w:r>
      <w:r w:rsidRPr="00D7504D">
        <w:rPr>
          <w:rFonts w:ascii="Times New Roman" w:eastAsia="Calibri" w:hAnsi="Times New Roman" w:cs="Times New Roman"/>
          <w:sz w:val="28"/>
          <w:szCs w:val="28"/>
        </w:rPr>
        <w:fldChar w:fldCharType="begin" w:fldLock="1"/>
      </w:r>
      <w:r w:rsidR="006B2D4C">
        <w:rPr>
          <w:rFonts w:ascii="Times New Roman" w:eastAsia="Calibri" w:hAnsi="Times New Roman" w:cs="Times New Roman"/>
          <w:sz w:val="28"/>
          <w:szCs w:val="28"/>
        </w:rPr>
        <w:instrText>ADDIN CSL_CITATION {"citationItems":[{"id":"ITEM-1","itemData":{"author":[{"dropping-particle":"","family":"АБДУШУКУРОВА","given":"","non-dropping-particle":"","parse-names":false,"suffix":""}],"container-title":"диссертация доктора философии (PhD)","id":"ITEM-1","issued":{"date-parts":[["2016"]]},"page":"114","title":"Клинико-эпидемиологические особенности менеджмента астмы в Южном Казахстане с точки зрения современных международных рекомендаций","type":"article-journal"},"uris":["http://www.mendeley.com/documents/?uuid=fc52ec35-a434-4994-976f-166784ff5b4f"]}],"mendeley":{"formattedCitation":"[171]","plainTextFormattedCitation":"[171]","previouslyFormattedCitation":"[171]"},"properties":{"noteIndex":0},"schema":"https://github.com/citation-style-language/schema/raw/master/csl-citation.json"}</w:instrText>
      </w:r>
      <w:r w:rsidRPr="00D7504D">
        <w:rPr>
          <w:rFonts w:ascii="Times New Roman" w:eastAsia="Calibri" w:hAnsi="Times New Roman" w:cs="Times New Roman"/>
          <w:sz w:val="28"/>
          <w:szCs w:val="28"/>
        </w:rPr>
        <w:fldChar w:fldCharType="separate"/>
      </w:r>
      <w:r w:rsidR="004028FD" w:rsidRPr="004028FD">
        <w:rPr>
          <w:rFonts w:ascii="Times New Roman" w:eastAsia="Calibri" w:hAnsi="Times New Roman" w:cs="Times New Roman"/>
          <w:noProof/>
          <w:sz w:val="28"/>
          <w:szCs w:val="28"/>
        </w:rPr>
        <w:t>[171]</w:t>
      </w:r>
      <w:r w:rsidRPr="00D7504D">
        <w:rPr>
          <w:rFonts w:ascii="Times New Roman" w:eastAsia="Calibri" w:hAnsi="Times New Roman" w:cs="Times New Roman"/>
          <w:sz w:val="28"/>
          <w:szCs w:val="28"/>
        </w:rPr>
        <w:fldChar w:fldCharType="end"/>
      </w:r>
      <w:r w:rsidRPr="00D7504D">
        <w:rPr>
          <w:rFonts w:ascii="Times New Roman" w:eastAsia="Calibri" w:hAnsi="Times New Roman" w:cs="Times New Roman"/>
          <w:sz w:val="28"/>
          <w:szCs w:val="28"/>
        </w:rPr>
        <w:t xml:space="preserve">. </w:t>
      </w:r>
    </w:p>
    <w:p w14:paraId="20CF65BE" w14:textId="656FAE4C" w:rsidR="00437528" w:rsidRPr="00D7504D" w:rsidRDefault="00437528" w:rsidP="00775DE3">
      <w:pPr>
        <w:spacing w:after="0" w:line="240" w:lineRule="auto"/>
        <w:ind w:firstLine="567"/>
        <w:jc w:val="both"/>
        <w:rPr>
          <w:rFonts w:ascii="Times New Roman" w:eastAsia="Calibri" w:hAnsi="Times New Roman" w:cs="Times New Roman"/>
          <w:sz w:val="28"/>
          <w:szCs w:val="28"/>
        </w:rPr>
      </w:pPr>
      <w:r w:rsidRPr="00D7504D">
        <w:rPr>
          <w:rFonts w:ascii="Times New Roman" w:eastAsia="Calibri" w:hAnsi="Times New Roman" w:cs="Times New Roman"/>
          <w:sz w:val="28"/>
          <w:szCs w:val="28"/>
        </w:rPr>
        <w:t xml:space="preserve">Мы в своей работе аналогично, опираясь на последние клинические рекомендации </w:t>
      </w:r>
      <w:r w:rsidRPr="00D7504D">
        <w:rPr>
          <w:rFonts w:ascii="Times New Roman" w:eastAsia="Calibri" w:hAnsi="Times New Roman" w:cs="Times New Roman"/>
          <w:sz w:val="28"/>
          <w:szCs w:val="28"/>
          <w:lang w:val="en-US"/>
        </w:rPr>
        <w:t>EAACI</w:t>
      </w:r>
      <w:r w:rsidRPr="00D7504D">
        <w:rPr>
          <w:rFonts w:ascii="Times New Roman" w:eastAsia="Calibri" w:hAnsi="Times New Roman" w:cs="Times New Roman"/>
          <w:sz w:val="28"/>
          <w:szCs w:val="28"/>
        </w:rPr>
        <w:t xml:space="preserve"> </w:t>
      </w:r>
      <w:r w:rsidRPr="00D7504D">
        <w:rPr>
          <w:rFonts w:ascii="Times New Roman" w:eastAsia="Calibri" w:hAnsi="Times New Roman" w:cs="Times New Roman"/>
          <w:sz w:val="28"/>
          <w:szCs w:val="28"/>
        </w:rPr>
        <w:fldChar w:fldCharType="begin" w:fldLock="1"/>
      </w:r>
      <w:r w:rsidR="00A02E0E">
        <w:rPr>
          <w:rFonts w:ascii="Times New Roman" w:eastAsia="Calibri" w:hAnsi="Times New Roman" w:cs="Times New Roman"/>
          <w:sz w:val="28"/>
          <w:szCs w:val="28"/>
        </w:rPr>
        <w:instrText>ADDIN CSL_CITATION {"citationItems":[{"id":"ITEM-1","itemData":{"DOI":"10.1111/all.13138","ISSN":"13989995","PMID":"28152201","abstract":"Background: Allergen immunotherapy (AIT) is an effective treatment for allergic rhinoconjunctivitis (AR) with or without asthma. It is important to note that due to the complex interaction between patient, allergy triggers, symptomatology and vaccines used for AIT, some patients do not respond optimally to the treatment. Furthermore, there are no validated or generally accepted candidate biomarkers that are predictive of the clinical response to AIT. Clinical management of patients receiving AIT and efficacy in randomised controlled trials for drug development could be enhanced by predictive biomarkers. Method: The EAACI taskforce reviewed all candidate biomarkers used in clinical trials of AR patients with/without asthma in a literature review. Biomarkers were grouped into seven domains: (i) IgE (total IgE, specific IgE and sIgE/Total IgE ratio), (ii) IgG-subclasses (sIgG1, sIgG4 including SIgE/IgG4 ratio), (iii) Serum inhibitory activity for IgE (IgE-FAB and IgE-BF), (iv) Basophil activation, (v) Cytokines and Chemokines, (vi) Cellular markers (T regulatory cells, B regulatory cells and dendritic cells) and (vii) In vivo biomarkers (including provocation tests?). Results: All biomarkers were reviewed in the light of their potential advantages as well as their respective drawbacks. Unmet needs and specific recommendations on all seven domains were addressed. Conclusions: It is recommended to explore the use of allergen-specific IgG4 as a biomarker for compliance. sIgE/tIgE and IgE-FAB are considered as potential surrogate candidate biomarkers. Cytokine/chemokines and cellular reponses provided insight into the mechanisms of AIT. More studies for confirmation and interpretation of the possible association with the clinical response to AIT are needed.","author":[{"dropping-particle":"","family":"Shamji","given":"M. H.","non-dropping-particle":"","parse-names":false,"suffix":""},{"dropping-particle":"","family":"Kappen","given":"J. H.","non-dropping-particle":"","parse-names":false,"suffix":""},{"dropping-particle":"","family":"Akdis","given":"M.","non-dropping-particle":"","parse-names":false,"suffix":""},{"dropping-particle":"","family":"Jensen-Jarolim","given":"E.","non-dropping-particle":"","parse-names":false,"suffix":""},{"dropping-particle":"","family":"Knol","given":"E. F.","non-dropping-particle":"","parse-names":false,"suffix":""},{"dropping-particle":"","family":"Kleine-Tebbe","given":"J.","non-dropping-particle":"","parse-names":false,"suffix":""},{"dropping-particle":"","family":"Bohle","given":"B.","non-dropping-particle":"","parse-names":false,"suffix":""},{"dropping-particle":"","family":"Chaker","given":"A. M.","non-dropping-particle":"","parse-names":false,"suffix":""},{"dropping-particle":"","family":"Till","given":"S. J.","non-dropping-particle":"","parse-names":false,"suffix":""},{"dropping-particle":"","family":"Valenta","given":"R.","non-dropping-particle":"","parse-names":false,"suffix":""},{"dropping-particle":"","family":"Poulsen","given":"L. K.","non-dropping-particle":"","parse-names":false,"suffix":""},{"dropping-particle":"","family":"Calderon","given":"M. A.","non-dropping-particle":"","parse-names":false,"suffix":""},{"dropping-particle":"","family":"Demoly","given":"P.","non-dropping-particle":"","parse-names":false,"suffix":""},{"dropping-particle":"","family":"Pfaar","given":"O.","non-dropping-particle":"","parse-names":false,"suffix":""},{"dropping-particle":"","family":"Jacobsen","given":"L.","non-dropping-particle":"","parse-names":false,"suffix":""},{"dropping-particle":"","family":"Durham","given":"S. R.","non-dropping-particle":"","parse-names":false,"suffix":""},{"dropping-particle":"","family":"Schmidt-Weber","given":"C. B.","non-dropping-particle":"","parse-names":false,"suffix":""}],"container-title":"Allergy: European Journal of Allergy and Clinical Immunology","id":"ITEM-1","issue":"8","issued":{"date-parts":[["2017"]]},"page":"1156-1173","title":"Biomarkers for monitoring clinical efficacy of allergen immunotherapy for allergic rhinoconjunctivitis and allergic asthma: an EAACI Position Paper","type":"article-journal","volume":"72"},"uris":["http://www.mendeley.com/documents/?uuid=6a45e986-b728-4595-bfab-23ad3ed433d6"]},{"id":"ITEM-2","itemData":{"DOI":"10.1111/pai.13189","ISSN":"13993038","PMID":"32436290","abstract":"Allergen immunotherapy is a cornerstone in the treatment of allergic children. The clinical efficiency relies on a well-defined immunologic mechanism promoting regulatory T cells and downplaying the immune response induced by allergens. Clinical indications have been well documented for respiratory allergy in the presence of rhinitis and/or allergic asthma, to pollens and dust mites. Patients who have had an anaphylactic reaction to hymenoptera venom are also good candidates for allergen immunotherapy. Administration of allergen is currently mostly either by subcutaneous injections or by sublingual administration. Both methods have been extensively studied and have pros and cons. Specifically in children, the choice of the method of administration according to the patient's profile is important. Although allergen immunotherapy is widely used, there is a need for improvement. More particularly, biomarkers for prediction of the success of the treatments are needed. The strength and efficiency of the immune response may also be boosted by the use of better adjuvants. Finally, novel formulations might be more efficient and might improve the patient's adherence to the treatment. This user's guide reviews current knowledge and aims to provide clinical guidance to healthcare professionals taking care of children undergoing allergen immunotherapy.","author":[{"dropping-particle":"","family":"Alvaro-Lozano","given":"Montserrat","non-dropping-particle":"","parse-names":false,"suffix":""},{"dropping-particle":"","family":"Akdis","given":"Cezmi A.","non-dropping-particle":"","parse-names":false,"suffix":""},{"dropping-particle":"","family":"Akdis","given":"Mubeccel","non-dropping-particle":"","parse-names":false,"suffix":""},{"dropping-particle":"","family":"Alviani","given":"Cherry","non-dropping-particle":"","parse-names":false,"suffix":""},{"dropping-particle":"","family":"Angier","given":"Elisabeth","non-dropping-particle":"","parse-names":false,"suffix":""},{"dropping-particle":"","family":"Arasi","given":"Stefania","non-dropping-particle":"","parse-names":false,"suffix":""},{"dropping-particle":"","family":"Arzt-Gradwohl","given":"Lisa","non-dropping-particle":"","parse-names":false,"suffix":""},{"dropping-particle":"","family":"Barber","given":"Domingo","non-dropping-particle":"","parse-names":false,"suffix":""},{"dropping-particle":"","family":"Bazire","given":"Raphaëlle","non-dropping-particle":"","parse-names":false,"suffix":""},{"dropping-particle":"","family":"Cavkaytar","given":"Ozlem","non-dropping-particle":"","parse-names":false,"suffix":""},{"dropping-particle":"","family":"Comberiati","given":"Pasquale","non-dropping-particle":"","parse-names":false,"suffix":""},{"dropping-particle":"","family":"Dramburg","given":"Stephanie","non-dropping-particle":"","parse-names":false,"suffix":""},{"dropping-particle":"","family":"Durham","given":"Stephen R.","non-dropping-particle":"","parse-names":false,"suffix":""},{"dropping-particle":"","family":"Eifan","given":"Aarif O.","non-dropping-particle":"","parse-names":false,"suffix":""},{"dropping-particle":"","family":"Forchert","given":"Leandra","non-dropping-particle":"","parse-names":false,"suffix":""},{"dropping-particle":"","family":"Halken","given":"Susanne","non-dropping-particle":"","parse-names":false,"suffix":""},{"dropping-particle":"","family":"Kirtland","given":"Max","non-dropping-particle":"","parse-names":false,"suffix":""},{"dropping-particle":"","family":"Kucuksezer","given":"Umut C.","non-dropping-particle":"","parse-names":false,"suffix":""},{"dropping-particle":"","family":"Layhadi","given":"Janice A.","non-dropping-particle":"","parse-names":false,"suffix":""},{"dropping-particle":"","family":"Matricardi","given":"Paolo Maria","non-dropping-particle":"","parse-names":false,"suffix":""},{"dropping-particle":"","family":"Muraro","given":"Antonella","non-dropping-particle":"","parse-names":false,"suffix":""},{"dropping-particle":"","family":"Ozdemir","given":"Cevdet","non-dropping-particle":"","parse-names":false,"suffix":""},{"dropping-particle":"","family":"Pajno","given":"Giovanni Battista","non-dropping-particle":"","parse-names":false,"suffix":""},{"dropping-particle":"","family":"Pfaar","given":"Oliver","non-dropping-particle":"","parse-names":false,"suffix":""},{"dropping-particle":"","family":"Potapova","given":"Ekaterina","non-dropping-particle":"","parse-names":false,"suffix":""},{"dropping-particle":"","family":"Riggioni","given":"Carmen","non-dropping-particle":"","parse-names":false,"suffix":""},{"dropping-particle":"","family":"Roberts","given":"Graham","non-dropping-particle":"","parse-names":false,"suffix":""},{"dropping-particle":"","family":"Rodríguez del Río","given":"Pablo","non-dropping-particle":"","parse-names":false,"suffix":""},{"dropping-particle":"","family":"Shamji","given":"Mohamed H.","non-dropping-particle":"","parse-names":false,"suffix":""},{"dropping-particle":"","family":"Sturm","given":"Gunter J.","non-dropping-particle":"","parse-names":false,"suffix":""},{"dropping-particle":"","family":"Vazquez-Ortiz","given":"Marta","non-dropping-particle":"","parse-names":false,"suffix":""}],"container-title":"Pediatric Allergy and Immunology","id":"ITEM-2","issue":"S25","issued":{"date-parts":[["2020"]]},"page":"1-101","title":"EAACI Allergen Immunotherapy User's Guide","type":"article-journal","volume":"31"},"uris":["http://www.mendeley.com/documents/?uuid=e9deb66c-13fe-450e-b4d4-b3f64404532f"]}],"mendeley":{"formattedCitation":"[67,144]","plainTextFormattedCitation":"[67,144]","previouslyFormattedCitation":"[67,144]"},"properties":{"noteIndex":0},"schema":"https://github.com/citation-style-language/schema/raw/master/csl-citation.json"}</w:instrText>
      </w:r>
      <w:r w:rsidRPr="00D7504D">
        <w:rPr>
          <w:rFonts w:ascii="Times New Roman" w:eastAsia="Calibri" w:hAnsi="Times New Roman" w:cs="Times New Roman"/>
          <w:sz w:val="28"/>
          <w:szCs w:val="28"/>
        </w:rPr>
        <w:fldChar w:fldCharType="separate"/>
      </w:r>
      <w:r w:rsidR="00332566" w:rsidRPr="00332566">
        <w:rPr>
          <w:rFonts w:ascii="Times New Roman" w:eastAsia="Calibri" w:hAnsi="Times New Roman" w:cs="Times New Roman"/>
          <w:noProof/>
          <w:sz w:val="28"/>
          <w:szCs w:val="28"/>
        </w:rPr>
        <w:t>[67,144]</w:t>
      </w:r>
      <w:r w:rsidRPr="00D7504D">
        <w:rPr>
          <w:rFonts w:ascii="Times New Roman" w:eastAsia="Calibri" w:hAnsi="Times New Roman" w:cs="Times New Roman"/>
          <w:sz w:val="28"/>
          <w:szCs w:val="28"/>
        </w:rPr>
        <w:fldChar w:fldCharType="end"/>
      </w:r>
      <w:r w:rsidRPr="00D7504D">
        <w:rPr>
          <w:rFonts w:ascii="Times New Roman" w:eastAsia="Calibri" w:hAnsi="Times New Roman" w:cs="Times New Roman"/>
          <w:sz w:val="28"/>
          <w:szCs w:val="28"/>
        </w:rPr>
        <w:t xml:space="preserve"> и анализы протокола лечения и диагностики аллергического ринита РК от 15 сентября 2017 года </w:t>
      </w:r>
      <w:r w:rsidRPr="00D7504D">
        <w:rPr>
          <w:rFonts w:ascii="Times New Roman" w:eastAsia="Calibri" w:hAnsi="Times New Roman" w:cs="Times New Roman"/>
          <w:sz w:val="28"/>
          <w:szCs w:val="28"/>
        </w:rPr>
        <w:fldChar w:fldCharType="begin" w:fldLock="1"/>
      </w:r>
      <w:r w:rsidR="00765C06">
        <w:rPr>
          <w:rFonts w:ascii="Times New Roman" w:eastAsia="Calibri" w:hAnsi="Times New Roman" w:cs="Times New Roman"/>
          <w:sz w:val="28"/>
          <w:szCs w:val="28"/>
        </w:rPr>
        <w:instrText>ADDIN CSL_CITATION {"citationItems":[{"id":"ITEM-1","itemData":{"author":[{"dropping-particle":"","family":"Нурпеисов","given":"Т.Т.","non-dropping-particle":"","parse-names":false,"suffix":""},{"dropping-particle":"","family":"Испаева","given":"Ж.Б.","non-dropping-particle":"","parse-names":false,"suffix":""},{"dropping-particle":"","family":"Розенсон","given":"Р.И.","non-dropping-particle":"","parse-names":false,"suffix":""},{"dropping-particle":"","family":"Юхневич","given":"Е.А.","non-dropping-particle":"","parse-names":false,"suffix":""}],"id":"ITEM-1","issued":{"date-parts":[["2017"]]},"number-of-pages":"11","title":"Протокол. Аллергический ринит","type":"report"},"uris":["http://www.mendeley.com/documents/?uuid=54753850-ddd7-4ffe-ab74-0c09dc9f2c14"]}],"mendeley":{"formattedCitation":"[146]","plainTextFormattedCitation":"[146]","previouslyFormattedCitation":"[146]"},"properties":{"noteIndex":0},"schema":"https://github.com/citation-style-language/schema/raw/master/csl-citation.json"}</w:instrText>
      </w:r>
      <w:r w:rsidRPr="00D7504D">
        <w:rPr>
          <w:rFonts w:ascii="Times New Roman" w:eastAsia="Calibri" w:hAnsi="Times New Roman" w:cs="Times New Roman"/>
          <w:sz w:val="28"/>
          <w:szCs w:val="28"/>
        </w:rPr>
        <w:fldChar w:fldCharType="separate"/>
      </w:r>
      <w:r w:rsidR="00877069" w:rsidRPr="00877069">
        <w:rPr>
          <w:rFonts w:ascii="Times New Roman" w:eastAsia="Calibri" w:hAnsi="Times New Roman" w:cs="Times New Roman"/>
          <w:noProof/>
          <w:sz w:val="28"/>
          <w:szCs w:val="28"/>
        </w:rPr>
        <w:t>[146]</w:t>
      </w:r>
      <w:r w:rsidRPr="00D7504D">
        <w:rPr>
          <w:rFonts w:ascii="Times New Roman" w:eastAsia="Calibri" w:hAnsi="Times New Roman" w:cs="Times New Roman"/>
          <w:sz w:val="28"/>
          <w:szCs w:val="28"/>
        </w:rPr>
        <w:fldChar w:fldCharType="end"/>
      </w:r>
      <w:r w:rsidRPr="00D7504D">
        <w:rPr>
          <w:rFonts w:ascii="Times New Roman" w:eastAsia="Calibri" w:hAnsi="Times New Roman" w:cs="Times New Roman"/>
          <w:sz w:val="28"/>
          <w:szCs w:val="28"/>
        </w:rPr>
        <w:t>,</w:t>
      </w:r>
      <w:r w:rsidR="00341965" w:rsidRPr="00D7504D">
        <w:rPr>
          <w:rFonts w:ascii="Times New Roman" w:eastAsia="Calibri" w:hAnsi="Times New Roman" w:cs="Times New Roman"/>
          <w:sz w:val="28"/>
          <w:szCs w:val="28"/>
        </w:rPr>
        <w:t xml:space="preserve"> а также результаты собственных исследований</w:t>
      </w:r>
      <w:r w:rsidRPr="00D7504D">
        <w:rPr>
          <w:rFonts w:ascii="Times New Roman" w:eastAsia="Calibri" w:hAnsi="Times New Roman" w:cs="Times New Roman"/>
          <w:sz w:val="28"/>
          <w:szCs w:val="28"/>
        </w:rPr>
        <w:t xml:space="preserve"> предлагаем использовать </w:t>
      </w:r>
      <w:r w:rsidR="00341965" w:rsidRPr="00D7504D">
        <w:rPr>
          <w:rFonts w:ascii="Times New Roman" w:eastAsia="Calibri" w:hAnsi="Times New Roman" w:cs="Times New Roman"/>
          <w:sz w:val="28"/>
          <w:szCs w:val="28"/>
        </w:rPr>
        <w:t xml:space="preserve">разработанный нами </w:t>
      </w:r>
      <w:r w:rsidRPr="00D7504D">
        <w:rPr>
          <w:rFonts w:ascii="Times New Roman" w:eastAsia="Calibri" w:hAnsi="Times New Roman" w:cs="Times New Roman"/>
          <w:sz w:val="28"/>
          <w:szCs w:val="28"/>
        </w:rPr>
        <w:t xml:space="preserve">алгоритм менеджмента сезонного аллергического ринита. </w:t>
      </w:r>
    </w:p>
    <w:p w14:paraId="4F7EE537" w14:textId="5FB22633" w:rsidR="00437528" w:rsidRPr="00437528" w:rsidRDefault="00437528" w:rsidP="00775DE3">
      <w:pPr>
        <w:spacing w:after="0" w:line="240" w:lineRule="auto"/>
        <w:ind w:firstLine="567"/>
        <w:jc w:val="both"/>
        <w:rPr>
          <w:rFonts w:ascii="Times New Roman" w:eastAsia="Calibri" w:hAnsi="Times New Roman" w:cs="Times New Roman"/>
          <w:sz w:val="28"/>
          <w:szCs w:val="28"/>
        </w:rPr>
      </w:pPr>
      <w:r w:rsidRPr="00D7504D">
        <w:rPr>
          <w:rFonts w:ascii="Times New Roman" w:eastAsia="Calibri" w:hAnsi="Times New Roman" w:cs="Times New Roman"/>
          <w:sz w:val="28"/>
          <w:szCs w:val="28"/>
        </w:rPr>
        <w:t>С учетом того, что в протоколе РК нет рекомендаций</w:t>
      </w:r>
      <w:r w:rsidRPr="00437528">
        <w:rPr>
          <w:rFonts w:ascii="Times New Roman" w:eastAsia="Calibri" w:hAnsi="Times New Roman" w:cs="Times New Roman"/>
          <w:sz w:val="28"/>
          <w:szCs w:val="28"/>
        </w:rPr>
        <w:t xml:space="preserve"> по использованию эозинофильного катионного белка, определения рекомбинантных аллергенов путем </w:t>
      </w:r>
      <w:r w:rsidRPr="00437528">
        <w:rPr>
          <w:rFonts w:ascii="Times New Roman" w:eastAsia="Calibri" w:hAnsi="Times New Roman" w:cs="Times New Roman"/>
          <w:sz w:val="28"/>
          <w:szCs w:val="28"/>
          <w:lang w:val="en-US"/>
        </w:rPr>
        <w:t>ISAC</w:t>
      </w:r>
      <w:r w:rsidRPr="00437528">
        <w:rPr>
          <w:rFonts w:ascii="Times New Roman" w:eastAsia="Calibri" w:hAnsi="Times New Roman" w:cs="Times New Roman"/>
          <w:sz w:val="28"/>
          <w:szCs w:val="28"/>
        </w:rPr>
        <w:t xml:space="preserve"> теста, витамина Д, в нашем исследовании </w:t>
      </w:r>
      <w:r w:rsidRPr="00437528">
        <w:rPr>
          <w:rFonts w:ascii="Times New Roman" w:eastAsia="Calibri" w:hAnsi="Times New Roman" w:cs="Times New Roman"/>
          <w:sz w:val="28"/>
          <w:szCs w:val="28"/>
        </w:rPr>
        <w:fldChar w:fldCharType="begin" w:fldLock="1"/>
      </w:r>
      <w:r w:rsidR="006B2D4C">
        <w:rPr>
          <w:rFonts w:ascii="Times New Roman" w:eastAsia="Calibri" w:hAnsi="Times New Roman" w:cs="Times New Roman"/>
          <w:sz w:val="28"/>
          <w:szCs w:val="28"/>
        </w:rPr>
        <w:instrText>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Измайлович","given":"М.Р.","non-dropping-particle":"","parse-names":false,"suffix":""},{"dropping-particle":"","family":"Газалиева","given":"М.А.","non-dropping-particle":"","parse-names":false,"suffix":""},{"dropping-particle":"","family":"Глушкова","given":"Н.Е.","non-dropping-particle":"","parse-names":false,"suffix":""}],"container-title":"Интернаука","id":"ITEM-1","issue":"46","issued":{"date-parts":[["2020"]]},"page":"152-156","title":"Взаимосвязь уровня эозинофильного катионного белка, общего иммуноглобулина Е и степени тяжести сезонного аллергического ринита","type":"article-journal","volume":"193"},"uris":["http://www.mendeley.com/documents/?uuid=6db93575-e9fb-453f-88c9-d90d88e1cadd"]},{"id":"ITEM-2","itemData":{"DOI":"10.34689/SH.2020.22.1.004","author":[{"dropping-particle":"","family":"Измайлович","given":"М.Р.","non-dropping-particle":"","parse-names":false,"suffix":""},{"dropping-particle":"","family":"Газалиева","given":"М.А.","non-dropping-particle":"","parse-names":false,"suffix":""},{"dropping-particle":"","family":"Глушкова","given":"Н.Е.","non-dropping-particle":"","parse-names":false,"suffix":""},{"dropping-particle":"","family":"Абуова","given":"Г.Т.","non-dropping-particle":"","parse-names":false,"suffix":""},{"dropping-particle":"","family":"Касымбекова","given":"Б.К.","non-dropping-particle":"","parse-names":false,"suffix":""},{"dropping-particle":"","family":"Кошкарбаева","given":"Б.С.","non-dropping-particle":"","parse-names":false,"suffix":""}],"container-title":"Наука и Здравоохранение","id":"ITEM-2","issue":"1","issued":{"date-parts":[["2020"]]},"page":"39-46","title":"Эозинофильный катионный белок у пациентов с аллергическими ринитами","type":"article-journal","volume":"22"},"uris":["http://www.mendeley.com/documents/?uuid=516549a1-2039-4131-b69c-05d1c7941030"]},{"id":"ITEM-3","itemData":{"ISBN":"9783540773405","author":[{"dropping-particle":"","family":"Измайлович","given":"М.Р.","non-dropping-particle":"","parse-names":false,"suffix":""},{"dropping-particle":"","family":"Газалиева","given":"М.А.","non-dropping-particle":"","parse-names":false,"suffix":""},{"dropping-particle":"","family":"Глушкова","given":"Н.Е.","non-dropping-particle":"","parse-names":false,"suffix":""},{"dropping-particle":"","family":"Сулейменов","given":"Е.М.","non-dropping-particle":"","parse-names":false,"suffix":""}],"container-title":"Интернаука","id":"ITEM-3","issue":"2","issued":{"date-parts":[["2021"]]},"page":"43-46","title":"Витамин Д как биомаркер эффективности аллерген-специфической иммунотерапии при сезонном аллергическом рините","type":"article-journal","volume":"178"},"uris":["http://www.mendeley.com/documents/?uuid=7936fa95-5e47-491a-aed2-e8acc4282da8"]}],"mendeley":{"formattedCitation":"[114,172,173]","plainTextFormattedCitation":"[114,172,173]","previouslyFormattedCitation":"[114,172,173]"},"properties":{"noteIndex":0},"schema":"https://github.com/citation-style-language/schema/raw/master/csl-citation.json"}</w:instrText>
      </w:r>
      <w:r w:rsidRPr="00437528">
        <w:rPr>
          <w:rFonts w:ascii="Times New Roman" w:eastAsia="Calibri" w:hAnsi="Times New Roman" w:cs="Times New Roman"/>
          <w:sz w:val="28"/>
          <w:szCs w:val="28"/>
        </w:rPr>
        <w:fldChar w:fldCharType="separate"/>
      </w:r>
      <w:r w:rsidR="004028FD" w:rsidRPr="004028FD">
        <w:rPr>
          <w:rFonts w:ascii="Times New Roman" w:eastAsia="Calibri" w:hAnsi="Times New Roman" w:cs="Times New Roman"/>
          <w:noProof/>
          <w:sz w:val="28"/>
          <w:szCs w:val="28"/>
        </w:rPr>
        <w:t>[114,172,173]</w:t>
      </w:r>
      <w:r w:rsidRPr="00437528">
        <w:rPr>
          <w:rFonts w:ascii="Times New Roman" w:eastAsia="Calibri" w:hAnsi="Times New Roman" w:cs="Times New Roman"/>
          <w:sz w:val="28"/>
          <w:szCs w:val="28"/>
        </w:rPr>
        <w:fldChar w:fldCharType="end"/>
      </w:r>
      <w:r w:rsidRPr="00437528">
        <w:rPr>
          <w:rFonts w:ascii="Times New Roman" w:eastAsia="Calibri" w:hAnsi="Times New Roman" w:cs="Times New Roman"/>
          <w:sz w:val="28"/>
          <w:szCs w:val="28"/>
        </w:rPr>
        <w:t xml:space="preserve"> и других исследованиях </w:t>
      </w:r>
      <w:r w:rsidRPr="00437528">
        <w:rPr>
          <w:rFonts w:ascii="Times New Roman" w:eastAsia="Calibri" w:hAnsi="Times New Roman" w:cs="Times New Roman"/>
          <w:sz w:val="28"/>
          <w:szCs w:val="28"/>
        </w:rPr>
        <w:fldChar w:fldCharType="begin" w:fldLock="1"/>
      </w:r>
      <w:r w:rsidR="006B2D4C">
        <w:rPr>
          <w:rFonts w:ascii="Times New Roman" w:eastAsia="Calibri" w:hAnsi="Times New Roman" w:cs="Times New Roman"/>
          <w:sz w:val="28"/>
          <w:szCs w:val="28"/>
        </w:rPr>
        <w:instrText>ADDIN CSL_CITATION {"citationItems":[{"id":"ITEM-1","itemData":{"DOI":"10.3310/hta20670","ISSN":"20464924","PMID":"27623692","abstract":"Background Allergy is a form of immune-mediated exaggerated sensitivity (hypersensitivity) to a substance that is either inhaled, swallowed, injected or comes into contact with the skin. Foreign substances that provoke allergies are called allergens. It has been claimed that multiplex allergen testing may help in diagnosing the cause of symptoms in patients with an unclear cause of allergy or who are allergic to more than one substance. Objectives To evaluate multiplex allergen testing [devices that can measure the presence of multiple immunoglobulin E (IgE) antibodies in a patient’s blood at the same time], by assessing (1) clinical effectiveness (allergy symptoms, incidence of acute exacerbations, mortality, adverse events of testing and treatment, health-care presentations or admissions, health-related quality of life); (2) effects on treatment (diet, immunotherapy medications, other potential testing); (3) any additional diagnostic information provided by multiplex allergen testing; and (4) cost-effectiveness (cost of different assessment strategies). Methods Fifteen databases were searched from 2005 to April 2015, including MEDLINE (via OvidSp), MEDLINE In-Process Citations, MEDLINE Daily Update, PubMed (National Library of Medicine), EMBASE, Cochrane Database of Systematic Reviews (CDSR), Cochrane Central Register of Controlled Trials (CENTRAL), Database of Abstracts of Reviews of Effects (DARE), Health Technology Assessment (HTA) database, Science Citation Index (SCI), Conference Proceedings Citation Index-Science (CPCI-S), BIOSIS Previews, Latin American and Caribbean Health Sciences Literature (LILACS), National Institute for Health Research (NIHR) HTA programme, and the US Food and Drug Administration (FDA); supplementary searches of conference proceedings and trials registries were performed. Review methods followed published guidance from the Cochrane Collaboration and the Centre for Reviews and Dissemination, University of York, UK. The methodological quality of included studies was assessed using appropriate published tools or a review-specific tool designed by the project team. Studies were summarised in a narrative synthesis. Owing to a lack of data on the clinical effectiveness of multiplex allergen testing, no long-term cost-effectiveness model was developed. A conceptual model structure was developed and cost analyses were performed to examine the short-term costs of various possible diagnostic pathways. Results Fifteen studies were i…","author":[{"dropping-particle":"","family":"Westwood","given":"Marie","non-dropping-particle":"","parse-names":false,"suffix":""},{"dropping-particle":"","family":"Ramaekers","given":"Bram","non-dropping-particle":"","parse-names":false,"suffix":""},{"dropping-particle":"","family":"Lang","given":"Shona","non-dropping-particle":"","parse-names":false,"suffix":""},{"dropping-particle":"","family":"Armstrong","given":"Nigel","non-dropping-particle":"","parse-names":false,"suffix":""},{"dropping-particle":"","family":"Noake","given":"Caro","non-dropping-particle":"","parse-names":false,"suffix":""},{"dropping-particle":"","family":"Kock","given":"Shelley","non-dropping-particle":"De","parse-names":false,"suffix":""},{"dropping-particle":"","family":"Joore","given":"Manuela","non-dropping-particle":"","parse-names":false,"suffix":""},{"dropping-particle":"","family":"Severens","given":"Johan","non-dropping-particle":"","parse-names":false,"suffix":""},{"dropping-particle":"","family":"Kleijnen","given":"Jos","non-dropping-particle":"","parse-names":false,"suffix":""}],"container-title":"Health Technology Assessment","id":"ITEM-1","issue":"67","issued":{"date-parts":[["2016"]]},"title":"Immunocap® ISAC and microtest for multiplex allergen testing in people with difficult to manage allergic disease: A systematic review and cost analysis","type":"article-journal","volume":"20"},"uris":["http://www.mendeley.com/documents/?uuid=1232cda3-d417-40a5-bd7b-8e3261229b28"]},{"id":"ITEM-2","itemData":{"DOI":"10.1111/j.1398-9995.2012.02808.x","ISBN":"3491549949","ISSN":"01054538","PMID":"22379958","abstract":"Background: The identification of disease-eliciting allergens is a prerequisite for accurate prescription of allergen-specific immunotherapy (SIT). The aim of this study was to determine whether molecular diagnosis (MD) may change indication and allergen prescription of SIT. Methods: A total of 141 patients with allergic rhinoconjunctivitis and/or asthma sensitized to pollen with or without concomitant food allergy were included. Skin prick testing with a panel of aeroallergens and a microarray-based panel of allergens (ISAC®; Phadia, Sweden) was performed in all patients. Prior to learning the results of molecular diagnosis, three of the authors reached a consensus on the indication of SIT and use of allergens following EAACI recommendations, basing their judgment on clinical history and skin prick test results before and after obtaining the ISAC results. The agreement coefficient (kappa index) was used to analyze the results. Results: Fifty-nine percent of the patients were women with a mean age of 31 ± 13.63. Agreement in SIT indication before and after ISAC® results was found in only 62 (46%) patients (kappa = 0.1057 ± 0.0413). Concerning allergens used in the most common prescriptions before and after MD results, we obtained the following results: κ = 0.117 ± 0.0825 for grass; κ = 0.1624 ± 0.0639 for olive; κ = 0.0505 ± 0.0548 for olive and grass; κ = 0.1711 ± 0.0471 for grass and cypress; κ = 0.1897 ± 0.0493 for grass and London plane; κ = 1 ± 0.0842 for olive and cypress, and κ = 0.3586 ± 0.0798 for other combinations. Conclusions: There was very low agreement concerning indication and use of allergens for SIT before and after performing MD. This discrepancy emphasizes the usefulness of MD, at least in areas of complex sensitization to pollen, in determining correct indication of SIT. © 2012 John Wiley &amp; Sons A/S.","author":[{"dropping-particle":"","family":"Sastre","given":"Joaquín","non-dropping-particle":"","parse-names":false,"suffix":""},{"dropping-particle":"","family":"Landivar","given":"M. E.","non-dropping-particle":"","parse-names":false,"suffix":""},{"dropping-particle":"","family":"Ruiz-García","given":"M.","non-dropping-particle":"","parse-names":false,"suffix":""},{"dropping-particle":"V.","family":"Andregnette-Rosigno","given":"M.","non-dropping-particle":"","parse-names":false,"suffix":""},{"dropping-particle":"","family":"Mahillo","given":"I.","non-dropping-particle":"","parse-names":false,"suffix":""}],"container-title":"Allergy","id":"ITEM-2","issue":"5","issued":{"date-parts":[["2012","5"]]},"page":"709-711","title":"How molecular diagnosis can change allergen-specific immunotherapy prescription in a complex pollen area","type":"article-journal","volume":"67"},"uris":["http://www.mendeley.com/documents/?uuid=69ab2770-e46c-446d-8099-1317f4fd7426"]},{"id":"ITEM-3","itemData":{"DOI":"10.12932/AP0739","ISSN":"22288694","abstract":"Background: Eosinophil cationic protein (ECP) is present in eosinophil granules. It has been associated with eosinophil-associated disorders. Objective: We compared serum ECP levels in allergic and non-allergic rhinitis patients and evaluated the association with the eosinophil count and the total IgE level. Method: We retrospectively reviewed medical records and categorized enrolled patients into the allergic (AR) and non-allergic rhinitis (NAR) groups. ECP, eosinophil count, and total IgE levels were reviewed in both groups. The association between ECP and the eosinophil count and total IgE level was further evaluated according to commonly detected specific antigens. Results: Six hundred and ten adults were included in the study. In the AR group (n=349), the median age was 27.0(23.0-42.0) years and the female:male ratio was 0.26:1. In the NAR group (n=261), the median age was 32.0(24.0-45.5) years and the female:male ratio was 0.33:1. We found that ECP (AR: 18.8(9.9-31.4), NAR: 14.8(8.2-24.9), p=0.003), eosinophil count (AR: 191.0(112.0-308.5), NAR: 149.0(91.0-249.0), p=0.002) and total IgE (AR: 166.0(58.4-422.5), NAR: 68.8(24.5-141.0), p&lt;0.001) were higher in AR than in NAR patients. The ECP level was associated with the eosinophil count in both the AR (p&lt;0.001) and NAR groups (p&lt;0.001). A significant correlation between the ECP level and eosinophil count was demonstrated in AR patients who were skin test positive against house dust mite, animal and pollen allergens. Conclusions: We suggest that ECP could be an important mediator in the pathogenesis of AR. The level of serum ECP was positively correlated with eosinophilia in AR patients regardless of the type of allergen sensitization. However, further study is warranted to verify the role of ECP in the clinical management of allergic rhinitis.","author":[{"dropping-particle":"","family":"Min","given":"Hyun Jin","non-dropping-particle":"","parse-names":false,"suffix":""},{"dropping-particle":"","family":"Hong","given":"Young Ho","non-dropping-particle":"","parse-names":false,"suffix":""},{"dropping-particle":"","family":"Yang","given":"Hoon Shik","non-dropping-particle":"","parse-names":false,"suffix":""},{"dropping-particle":"","family":"Kim","given":"Kyung Soo","non-dropping-particle":"","parse-names":false,"suffix":""}],"container-title":"Asian Pacific Journal of Allergy and Immunology","id":"ITEM-3","issue":"4","issued":{"date-parts":[["2016"]]},"page":"290-294","title":"The correlation of serum eosinophil cationic protein level with eosinophil count, and total IgE level in Korean adult allergic rhinitis patients","type":"article-journal","volume":"34"},"uris":["http://www.mendeley.com/documents/?uuid=942e0c57-fe64-47b4-8b36-c6957f80f7fd"]},{"id":"ITEM-4","itemData":{"DOI":"10.1186/1471-2172-15-21","ISSN":"14712172","PMID":"24884430","abstract":"Background: Allergen immunotherapy (SIT) is the only treatment for allergic disease capable of modifying disease long term. To reduce the risk of anaphylaxis from SIT, allergen-extracts have been modified by polymerisation with glutaraldehyde to reduce IgE binding. It is suggested that these allergoid extracts also have reduced T cell activity, which could compromise clinical efficacy. Effective SIT is thought to act through regulatory T cells (Tregs) rather than activation of effector T cells. There is no published data on the activity of modified extracts on Tregs.Results: We compared the capacity of modified (depigmented-polymerised) versus unmodified (native) allergen extracts of grass pollen and house dust mite to stimulate proliferation/cytokine production and to modulate Treg/effector T cell frequency in cultures of peripheral blood mononuclear cells (PBMC), from volunteers sensitised to both allergens in vitro. Depigmented-polymerised allergen extracts stimulated less proliferation of PBMC, and reduced effector cell numbers after 7 days in culture than did native extracts. However, the frequency of Foxp3+ Tregs in cultures were similar to those seen with native extract so that ratios of regulatory to effector T cells were significantly increased in cultures stimulated with depigmented-polymerised extracts. Addition of 1α, 25-dihydroxyvitamin D3 further favoured Treg, and reduced effector cytokine production, but not interleukin-10.Conclusions: Depigmented-polymerised allergen extracts appear to favour Treg expansion over activation of effector T cells and this may relate to their demonstrated efficacy and safety in SIT. 1α, 25-dihydroxyvitamin D3 further reduces effector T cell activation by allergen extracts and may be a useful adjuvant for SIT. © 2014 Urry et al.; licensee BioMed Central Ltd.","author":[{"dropping-particle":"","family":"Urry","given":"Zoe L.","non-dropping-particle":"","parse-names":false,"suffix":""},{"dropping-particle":"","family":"Richards","given":"David F.","non-dropping-particle":"","parse-names":false,"suffix":""},{"dropping-particle":"","family":"Black","given":"Cheryl","non-dropping-particle":"","parse-names":false,"suffix":""},{"dropping-particle":"","family":"Morales","given":"Maria","non-dropping-particle":"","parse-names":false,"suffix":""},{"dropping-particle":"","family":"Carnés","given":"Jerónimo","non-dropping-particle":"","parse-names":false,"suffix":""},{"dropping-particle":"","family":"Hawrylowicz","given":"Catherine M.","non-dropping-particle":"","parse-names":false,"suffix":""},{"dropping-particle":"","family":"Robinson","given":"Douglas S.","non-dropping-particle":"","parse-names":false,"suffix":""}],"container-title":"BMC Immunology","id":"ITEM-4","issue":"1","issued":{"date-parts":[["2014"]]},"page":"4-11","title":"Depigmented-polymerised allergoids favour regulatory over effector T cells: Enhancement by 1α, 25-dihydroxyvitamin D3","type":"article-journal","volume":"15"},"uris":["http://www.mendeley.com/documents/?uuid=830e3d9b-0098-4983-bf5f-9b831433c85f"]},{"id":"ITEM-5","itemData":{"DOI":"10.3126/ajms.v8i3.16508","ISSN":"2467-9100","abstract":"Background: Allergic rhinitis (AR) known to be a common type of chronic rhinitis which affects 10-20% of the general population while asthma is another major health problem and leading cause of morbidity in the worldwide. Vitamin D, a steroid hormone known for its important role in immunological effects has a role in AR and asthma.Aims and Objectives: The aim of our study was to assess the serum vitamin D levels in patients with asthma and seasonal AR pre-treatment or post treatment with oral vitamin D supplementation (cholecalciferol – 1000 IU) and to study the pathogenesis of the disease.Materials and Methods: The study included 66 AR and asthma patients and 46 control subjects.Fasting serum samples of control and AR subjects were analyzed for routine biochemical parameters immediately after collection while aliquots of the samples were also stored at - 200 C for the assay of 25-hydroxyvitamin D by ELISA.Results: Serum vitamin D levels were found to be significantly lower in AR and asthma patients compared with controls (p &lt; 0.0001). On receiving vitamin D supplementation (cholecalciferol – 1000 IU) we found an increase in vitamin D serum levels in AR and asthma patients as compared to controls (p &lt; 0.0001).Conclusion: Supplementation of vitamin D may be beneficial in the prevention of the pathogenesis of AR and asthma.Asian Journal of Medical Sciences Vol.8(3) 2017 26-29","author":[{"dropping-particle":"","family":"Sharma","given":"Manuprita","non-dropping-particle":"","parse-names":false,"suffix":""},{"dropping-particle":"","family":"Banerjee","given":"Anindita","non-dropping-particle":"","parse-names":false,"suffix":""},{"dropping-particle":"","family":"Khemka","given":"Vineet Kumar","non-dropping-particle":"","parse-names":false,"suffix":""},{"dropping-particle":"","family":"Malathi","given":"Ravela","non-dropping-particle":"","parse-names":false,"suffix":""},{"dropping-particle":"","family":"Sen","given":"Sukanta","non-dropping-particle":"","parse-names":false,"suffix":""},{"dropping-particle":"","family":"Ray","given":"Bidhan","non-dropping-particle":"","parse-names":false,"suffix":""},{"dropping-particle":"","family":"Raman","given":"Santosh","non-dropping-particle":"","parse-names":false,"suffix":""}],"container-title":"Asian Journal of Medical Sciences","id":"ITEM-5","issue":"3","issued":{"date-parts":[["2017"]]},"page":"26-29","title":"Role of vitamin D supplementation in asthma and seasonal allergic rhinitis in eastern India","type":"article-journal","volume":"8"},"uris":["http://www.mendeley.com/documents/?uuid=2be63941-8863-41eb-ba68-1703b3553319"]},{"id":"ITEM-6","itemData":{"DOI":"10.1186/s12948-016-0044-1","ISBN":"1294801600","ISSN":"1476-7961","author":[{"dropping-particle":"","family":"Petrarca","given":"Claudia","non-dropping-particle":"","parse-names":false,"suffix":""},{"dropping-particle":"","family":"Clemente","given":"Emanuela","non-dropping-particle":"","parse-names":false,"suffix":""},{"dropping-particle":"","family":"Amato","given":"Valentina","non-dropping-particle":"","parse-names":false,"suffix":""},{"dropping-particle":"","family":"Gatta","given":"Alessia","non-dropping-particle":"","parse-names":false,"suffix":""},{"dropping-particle":"","family":"Cortese","given":"Sara","non-dropping-particle":"","parse-names":false,"suffix":""},{"dropping-particle":"","family":"Lamolinara","given":"Alessia","non-dropping-particle":"","parse-names":false,"suffix":""},{"dropping-particle":"","family":"Rossi","given":"Cosmo","non-dropping-particle":"","parse-names":false,"suffix":""},{"dropping-particle":"","family":"Zanotta","given":"Stefania","non-dropping-particle":"","parse-names":false,"suffix":""},{"dropping-particle":"","family":"Mistrello","given":"Gianni","non-dropping-particle":"","parse-names":false,"suffix":""},{"dropping-particle":"","family":"Paganelli","given":"Roberto","non-dropping-particle":"","parse-names":false,"suffix":""},{"dropping-particle":"Di","family":"Gioacchino","given":"Mario","non-dropping-particle":"","parse-names":false,"suffix":""}],"container-title":"Clinical and Molecular Allergy","id":"ITEM-6","issued":{"date-parts":[["2016"]]},"page":"1-10","publisher":"BioMed Central","title":"Vitamin D3 improves the effects of low dose Der p 2 allergoid treatment in Der p 2 sensitized BALB / c mice","type":"article-journal"},"uris":["http://www.mendeley.com/documents/?uuid=803280b3-25bc-4e25-b300-9095939460a9"]}],"mendeley":{"formattedCitation":"[106,157,174–177]","plainTextFormattedCitation":"[106,157,174–177]","previouslyFormattedCitation":"[106,157,174–177]"},"properties":{"noteIndex":0},"schema":"https://github.com/citation-style-language/schema/raw/master/csl-citation.json"}</w:instrText>
      </w:r>
      <w:r w:rsidRPr="00437528">
        <w:rPr>
          <w:rFonts w:ascii="Times New Roman" w:eastAsia="Calibri" w:hAnsi="Times New Roman" w:cs="Times New Roman"/>
          <w:sz w:val="28"/>
          <w:szCs w:val="28"/>
        </w:rPr>
        <w:fldChar w:fldCharType="separate"/>
      </w:r>
      <w:r w:rsidR="004028FD" w:rsidRPr="004028FD">
        <w:rPr>
          <w:rFonts w:ascii="Times New Roman" w:eastAsia="Calibri" w:hAnsi="Times New Roman" w:cs="Times New Roman"/>
          <w:noProof/>
          <w:sz w:val="28"/>
          <w:szCs w:val="28"/>
        </w:rPr>
        <w:t>[106,157,174–177]</w:t>
      </w:r>
      <w:r w:rsidRPr="00437528">
        <w:rPr>
          <w:rFonts w:ascii="Times New Roman" w:eastAsia="Calibri" w:hAnsi="Times New Roman" w:cs="Times New Roman"/>
          <w:sz w:val="28"/>
          <w:szCs w:val="28"/>
        </w:rPr>
        <w:fldChar w:fldCharType="end"/>
      </w:r>
      <w:r w:rsidRPr="00437528">
        <w:rPr>
          <w:rFonts w:ascii="Times New Roman" w:eastAsia="Calibri" w:hAnsi="Times New Roman" w:cs="Times New Roman"/>
          <w:sz w:val="28"/>
          <w:szCs w:val="28"/>
        </w:rPr>
        <w:t xml:space="preserve"> есть данные, подтверждающие эффективность включения </w:t>
      </w:r>
      <w:r w:rsidRPr="000F47F1">
        <w:rPr>
          <w:rFonts w:ascii="Times New Roman" w:eastAsia="Calibri" w:hAnsi="Times New Roman" w:cs="Times New Roman"/>
          <w:sz w:val="28"/>
          <w:szCs w:val="28"/>
        </w:rPr>
        <w:t xml:space="preserve">в диагностику </w:t>
      </w:r>
      <w:r w:rsidRPr="000F47F1">
        <w:rPr>
          <w:rFonts w:ascii="Times New Roman" w:eastAsia="Calibri" w:hAnsi="Times New Roman" w:cs="Times New Roman"/>
          <w:sz w:val="28"/>
          <w:szCs w:val="28"/>
          <w:lang w:val="en-US"/>
        </w:rPr>
        <w:t>ISAC</w:t>
      </w:r>
      <w:r w:rsidRPr="000F47F1">
        <w:rPr>
          <w:rFonts w:ascii="Times New Roman" w:eastAsia="Calibri" w:hAnsi="Times New Roman" w:cs="Times New Roman"/>
          <w:sz w:val="28"/>
          <w:szCs w:val="28"/>
        </w:rPr>
        <w:t xml:space="preserve"> теста, эозинофильного катион</w:t>
      </w:r>
      <w:r w:rsidR="005F7F6C" w:rsidRPr="000F47F1">
        <w:rPr>
          <w:rFonts w:ascii="Times New Roman" w:eastAsia="Calibri" w:hAnsi="Times New Roman" w:cs="Times New Roman"/>
          <w:sz w:val="28"/>
          <w:szCs w:val="28"/>
        </w:rPr>
        <w:t>ного белка, и в</w:t>
      </w:r>
      <w:r w:rsidR="002B0955">
        <w:rPr>
          <w:rFonts w:ascii="Times New Roman" w:eastAsia="Calibri" w:hAnsi="Times New Roman" w:cs="Times New Roman"/>
          <w:sz w:val="28"/>
          <w:szCs w:val="28"/>
        </w:rPr>
        <w:t xml:space="preserve"> схему лечения витамин</w:t>
      </w:r>
      <w:r w:rsidR="00AD1782">
        <w:rPr>
          <w:rFonts w:ascii="Times New Roman" w:eastAsia="Calibri" w:hAnsi="Times New Roman" w:cs="Times New Roman"/>
          <w:sz w:val="28"/>
          <w:szCs w:val="28"/>
        </w:rPr>
        <w:t>а</w:t>
      </w:r>
      <w:r w:rsidRPr="000F47F1">
        <w:rPr>
          <w:rFonts w:ascii="Times New Roman" w:eastAsia="Calibri" w:hAnsi="Times New Roman" w:cs="Times New Roman"/>
          <w:sz w:val="28"/>
          <w:szCs w:val="28"/>
        </w:rPr>
        <w:t xml:space="preserve"> Д. Мы включили в предлагаемый алгор</w:t>
      </w:r>
      <w:r w:rsidR="003C1787" w:rsidRPr="000F47F1">
        <w:rPr>
          <w:rFonts w:ascii="Times New Roman" w:eastAsia="Calibri" w:hAnsi="Times New Roman" w:cs="Times New Roman"/>
          <w:sz w:val="28"/>
          <w:szCs w:val="28"/>
        </w:rPr>
        <w:t>итм данные показатели (рисунок</w:t>
      </w:r>
      <w:r w:rsidR="001E0873">
        <w:rPr>
          <w:rFonts w:ascii="Times New Roman" w:eastAsia="Calibri" w:hAnsi="Times New Roman" w:cs="Times New Roman"/>
          <w:sz w:val="28"/>
          <w:szCs w:val="28"/>
        </w:rPr>
        <w:t xml:space="preserve"> 11</w:t>
      </w:r>
      <w:r w:rsidRPr="00437528">
        <w:rPr>
          <w:rFonts w:ascii="Times New Roman" w:eastAsia="Calibri" w:hAnsi="Times New Roman" w:cs="Times New Roman"/>
          <w:sz w:val="28"/>
          <w:szCs w:val="28"/>
        </w:rPr>
        <w:t>).</w:t>
      </w:r>
    </w:p>
    <w:p w14:paraId="522C5BDA" w14:textId="77777777" w:rsidR="00437528" w:rsidRPr="00437528" w:rsidRDefault="00437528" w:rsidP="00775DE3">
      <w:pPr>
        <w:spacing w:after="0" w:line="240" w:lineRule="auto"/>
        <w:ind w:firstLine="567"/>
        <w:jc w:val="both"/>
        <w:rPr>
          <w:rFonts w:ascii="Times New Roman" w:eastAsia="Calibri" w:hAnsi="Times New Roman" w:cs="Times New Roman"/>
          <w:sz w:val="28"/>
          <w:szCs w:val="28"/>
        </w:rPr>
      </w:pPr>
    </w:p>
    <w:p w14:paraId="0ACC911E" w14:textId="0FAECCDA" w:rsidR="00437528" w:rsidRPr="00437528" w:rsidRDefault="00266904" w:rsidP="00775DE3">
      <w:pPr>
        <w:spacing w:after="0" w:line="240" w:lineRule="auto"/>
        <w:jc w:val="center"/>
        <w:rPr>
          <w:rFonts w:ascii="Times New Roman" w:eastAsia="Calibri" w:hAnsi="Times New Roman" w:cs="Times New Roman"/>
          <w:sz w:val="28"/>
          <w:szCs w:val="28"/>
        </w:rPr>
      </w:pPr>
      <w:r w:rsidRPr="00266904">
        <w:rPr>
          <w:rFonts w:ascii="Times New Roman" w:eastAsia="Calibri" w:hAnsi="Times New Roman" w:cs="Times New Roman"/>
          <w:noProof/>
          <w:sz w:val="28"/>
          <w:szCs w:val="28"/>
          <w:lang w:eastAsia="ru-RU"/>
        </w:rPr>
        <w:drawing>
          <wp:inline distT="0" distB="0" distL="0" distR="0" wp14:anchorId="3FF57760" wp14:editId="43F3A4E2">
            <wp:extent cx="6120130" cy="4441825"/>
            <wp:effectExtent l="0" t="0" r="0" b="0"/>
            <wp:docPr id="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6120130" cy="4441825"/>
                    </a:xfrm>
                    <a:prstGeom prst="rect">
                      <a:avLst/>
                    </a:prstGeom>
                  </pic:spPr>
                </pic:pic>
              </a:graphicData>
            </a:graphic>
          </wp:inline>
        </w:drawing>
      </w:r>
    </w:p>
    <w:p w14:paraId="64E7D3FC" w14:textId="77777777" w:rsidR="00437528" w:rsidRPr="00437528" w:rsidRDefault="00437528" w:rsidP="00775DE3">
      <w:pPr>
        <w:spacing w:after="0" w:line="240" w:lineRule="auto"/>
        <w:ind w:firstLine="567"/>
        <w:jc w:val="both"/>
        <w:rPr>
          <w:rFonts w:ascii="Times New Roman" w:eastAsia="Calibri" w:hAnsi="Times New Roman" w:cs="Times New Roman"/>
          <w:b/>
          <w:sz w:val="28"/>
          <w:szCs w:val="28"/>
        </w:rPr>
      </w:pPr>
    </w:p>
    <w:p w14:paraId="2CBC4B35" w14:textId="0F888D1C" w:rsidR="00437528" w:rsidRPr="00437528" w:rsidRDefault="001E0873" w:rsidP="001E0873">
      <w:pPr>
        <w:spacing w:after="0" w:line="240" w:lineRule="auto"/>
        <w:ind w:firstLine="567"/>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11</w:t>
      </w:r>
      <w:r w:rsidR="00437528" w:rsidRPr="00437528">
        <w:rPr>
          <w:rFonts w:ascii="Times New Roman" w:eastAsia="Calibri" w:hAnsi="Times New Roman" w:cs="Times New Roman"/>
          <w:sz w:val="28"/>
          <w:szCs w:val="28"/>
        </w:rPr>
        <w:t xml:space="preserve"> - Алгоритм менеджмента сезонного аллергического ринита</w:t>
      </w:r>
    </w:p>
    <w:p w14:paraId="4E9DEFDE" w14:textId="77777777" w:rsidR="00437528" w:rsidRPr="00437528" w:rsidRDefault="00437528" w:rsidP="00775DE3">
      <w:pPr>
        <w:spacing w:after="0" w:line="240" w:lineRule="auto"/>
        <w:ind w:firstLine="567"/>
        <w:jc w:val="both"/>
        <w:rPr>
          <w:rFonts w:ascii="Times New Roman" w:eastAsia="Calibri" w:hAnsi="Times New Roman" w:cs="Times New Roman"/>
          <w:b/>
          <w:sz w:val="28"/>
          <w:szCs w:val="28"/>
        </w:rPr>
      </w:pPr>
    </w:p>
    <w:p w14:paraId="1C07F9A8" w14:textId="25C17710" w:rsidR="00437528" w:rsidRPr="00877069" w:rsidRDefault="00437528" w:rsidP="00775DE3">
      <w:pPr>
        <w:spacing w:after="0" w:line="240" w:lineRule="auto"/>
        <w:ind w:firstLine="567"/>
        <w:jc w:val="both"/>
        <w:rPr>
          <w:rFonts w:ascii="Times New Roman" w:hAnsi="Times New Roman" w:cs="Times New Roman"/>
          <w:sz w:val="28"/>
          <w:szCs w:val="28"/>
        </w:rPr>
      </w:pPr>
      <w:r w:rsidRPr="00437528">
        <w:rPr>
          <w:rFonts w:ascii="Times New Roman" w:hAnsi="Times New Roman" w:cs="Times New Roman"/>
          <w:sz w:val="28"/>
          <w:szCs w:val="28"/>
        </w:rPr>
        <w:t xml:space="preserve">В рaмкaх диссертационной работы были проведены исследования, посвященные диагностике и лечению аллергического ринита, в результате которых опрeдeлeна стрaтeгия мeнeджмeнтa сезонного аллергического ринита нa всeх этaпaх окaзaния мeдицинской помощи </w:t>
      </w:r>
      <w:r w:rsidRPr="00437528">
        <w:rPr>
          <w:rFonts w:ascii="Times New Roman" w:hAnsi="Times New Roman" w:cs="Times New Roman"/>
          <w:sz w:val="28"/>
          <w:szCs w:val="28"/>
        </w:rPr>
        <w:fldChar w:fldCharType="begin" w:fldLock="1"/>
      </w:r>
      <w:r w:rsidR="006B2D4C">
        <w:rPr>
          <w:rFonts w:ascii="Times New Roman" w:hAnsi="Times New Roman" w:cs="Times New Roman"/>
          <w:sz w:val="28"/>
          <w:szCs w:val="28"/>
        </w:rPr>
        <w:instrText>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Измайлович","given":"М.Р.","non-dropping-particle":"","parse-names":false,"suffix":""},{"dropping-particle":"","family":"Газалиева","given":"М.А.","non-dropping-particle":"","parse-names":false,"suffix":""},{"dropping-particle":"","family":"Глушкова","given":"Н.Е.","non-dropping-particle":"","parse-names":false,"suffix":""}],"container-title":"Интернаука","id":"ITEM-1","issue":"46","issued":{"date-parts":[["2020"]]},"page":"152-156","title":"Взаимосвязь уровня эозинофильного катионного белка, общего иммуноглобулина Е и степени тяжести сезонного аллергического ринита","type":"article-journal","volume":"193"},"uris":["http://www.mendeley.com/documents/?uuid=6db93575-e9fb-453f-88c9-d90d88e1cadd"]},{"id":"ITEM-2","itemData":{"ISBN":"9783540773405","author":[{"dropping-particle":"","family":"Измайлович","given":"М.Р.","non-dropping-particle":"","parse-names":false,"suffix":""},{"dropping-particle":"","family":"Газалиева","given":"М.А.","non-dropping-particle":"","parse-names":false,"suffix":""},{"dropping-particle":"","family":"Глушкова","given":"Н.Е.","non-dropping-particle":"","parse-names":false,"suffix":""},{"dropping-particle":"","family":"Сулейменов","given":"Е.М.","non-dropping-particle":"","parse-names":false,"suffix":""}],"container-title":"Интернаука","id":"ITEM-2","issue":"2","issued":{"date-parts":[["2021"]]},"page":"43-46","title":"Витамин Д как биомаркер эффективности аллерген-специфической иммунотерапии при сезонном аллергическом рините","type":"article-journal","volume":"178"},"uris":["http://www.mendeley.com/documents/?uuid=7936fa95-5e47-491a-aed2-e8acc4282da8"]},{"id":"ITEM-3","itemData":{"author":[{"dropping-particle":"","family":"Измайлович","given":"М.Р.","non-dropping-particle":"","parse-names":false,"suffix":""},{"dropping-particle":"","family":"Газалиева","given":"М.А.","non-dropping-particle":"","parse-names":false,"suffix":""},{"dropping-particle":"","family":"Глушкова","given":"Н.Е.","non-dropping-particle":"","parse-names":false,"suffix":""},{"dropping-particle":"","family":"Дедова","given":"О.Ю.","non-dropping-particle":"","parse-names":false,"suffix":""}],"container-title":"Вестник КазНМУ","id":"ITEM-3","issued":{"date-parts":[["2020"]]},"page":"46 - 53","title":"Корреляция эозинофильного катионного белка и общего иммуноглобулина Е у подростков с сезонным аллергическим ринитом в Карагандинской области","type":"article-journal","volume":"2"},"uris":["http://www.mendeley.com/documents/?uuid=520273e1-14be-47eb-a95d-cc6928a695bd"]},{"id":"ITEM-4","itemData":{"author":[{"dropping-particle":"","family":"Валиева","given":"С.Р.","non-dropping-particle":"","parse-names":false,"suffix":""},{"dropping-particle":"","family":"Сарбасова","given":"Д.Н.","non-dropping-particle":"","parse-names":false,"suffix":""},{"dropping-particle":"","family":"Сыдыкбаева","given":"Ж.Б.","non-dropping-particle":"","parse-names":false,"suffix":""},{"dropping-particle":"","family":"Измайлович М.Р.","given":"","non-dropping-particle":"","parse-names":false,"suffix":""},{"dropping-particle":"","family":"Дедова","given":"О.Ю.","non-dropping-particle":"","parse-names":false,"suffix":""},{"dropping-particle":"","family":"Кошкарбаева","given":"Б.С.","non-dropping-particle":"","parse-names":false,"suffix":""},{"dropping-particle":"","family":"Сексенова","given":"Л.Ш.","non-dropping-particle":"","parse-names":false,"suffix":""}],"container-title":"Juvenis scientia","id":"ITEM-4","issue":"3","issued":{"date-parts":[["2022"]]},"page":"5-14","title":"Корреляционный анализ лабораторных показателей при сезонном аллергическом рините в Карагандинской области.","type":"article-journal","volume":"8"},"uris":["http://www.mendeley.com/documents/?uuid=5c63d1e9-492d-4327-ab80-65095886f1f7"]},{"id":"ITEM-5","itemData":{"author":[{"dropping-particle":"","family":"Валиева","given":"С.Р.","non-dropping-particle":"","parse-names":false,"suffix":""},{"dropping-particle":"","family":"Cарбасова Д.Н.","given":"","non-dropping-particle":"","parse-names":false,"suffix":""},{"dropping-particle":"","family":"Сыдыкбаева","given":"Ж.Б.","non-dropping-particle":"","parse-names":false,"suffix":""},{"dropping-particle":"","family":"Измайлович","given":"М.Р","non-dropping-particle":"","parse-names":false,"suffix":""},{"dropping-particle":"","family":"Сексенова Л.Ш.","given":"","non-dropping-particle":"","parse-names":false,"suffix":""},{"dropping-particle":"","family":"Дедова","given":"О.Ю.","non-dropping-particle":"","parse-names":false,"suffix":""},{"dropping-particle":"","family":"Кошкарбаева","given":"Б.С.","non-dropping-particle":"","parse-names":false,"suffix":""}],"container-title":"ХVI Международная научно-практическая конференция «GLOBAL SCIENCE AND INNOVATIONS 2022: CENTRAL ASIA»","id":"ITEM-5","issue":"16","issued":{"date-parts":[["2022"]]},"number-of-pages":"65-69","title":"Связь тяжести сезонного аллергического ринита со статусом витамина д у пациентов с сезонным аллергическим ринитом","type":"thesis","volume":"2"},"uris":["http://www.mendeley.com/documents/?uuid=36533868-5d36-4280-921b-8fcd9e35ea8b"]},{"id":"ITEM-6","itemData":{"DOI":"10.15275/rusomj.2022.0205","author":[{"dropping-particle":"","family":"Izmailovich","given":"Marina R","non-dropping-particle":"","parse-names":false,"suffix":""},{"dropping-particle":"","family":"Gazalieva","given":"Meruert A","non-dropping-particle":"","parse-names":false,"suffix":""},{"dropping-particle":"","family":"Glushkova","given":"Natalya Ye","non-dropping-particle":"","parse-names":false,"suffix":""},{"dropping-particle":"","family":"Suleimenov","given":"Erlan M","non-dropping-particle":"","parse-names":false,"suffix":""},{"dropping-particle":"","family":"Suleimenov","given":"Yerzhan A","non-dropping-particle":"","parse-names":false,"suffix":""}],"container-title":"Russian Open Medical Journal","id":"ITEM-6","issue":"2","issued":{"date-parts":[["2022"]]},"page":"1-7","title":"Allergen-specific immunotherapy in combination with vitamin D in patients with seasonal allergic rhinitis","type":"article-journal","volume":"11"},"uris":["http://www.mendeley.com/documents/?uuid=02a1bc23-53e5-4c64-8901-5824eda823a1"]}],"mendeley":{"formattedCitation":"[152,172,173,178–180]","plainTextFormattedCitation":"[152,172,173,178–180]","previouslyFormattedCitation":"[152,172,173,178–180]"},"properties":{"noteIndex":0},"schema":"https://github.com/citation-style-language/schema/raw/master/csl-citation.json"}</w:instrText>
      </w:r>
      <w:r w:rsidRPr="00437528">
        <w:rPr>
          <w:rFonts w:ascii="Times New Roman" w:hAnsi="Times New Roman" w:cs="Times New Roman"/>
          <w:sz w:val="28"/>
          <w:szCs w:val="28"/>
        </w:rPr>
        <w:fldChar w:fldCharType="separate"/>
      </w:r>
      <w:r w:rsidR="004028FD" w:rsidRPr="004028FD">
        <w:rPr>
          <w:rFonts w:ascii="Times New Roman" w:hAnsi="Times New Roman" w:cs="Times New Roman"/>
          <w:noProof/>
          <w:sz w:val="28"/>
          <w:szCs w:val="28"/>
        </w:rPr>
        <w:t>[152,172,173,178–180]</w:t>
      </w:r>
      <w:r w:rsidRPr="00437528">
        <w:rPr>
          <w:rFonts w:ascii="Times New Roman" w:hAnsi="Times New Roman" w:cs="Times New Roman"/>
          <w:sz w:val="28"/>
          <w:szCs w:val="28"/>
        </w:rPr>
        <w:fldChar w:fldCharType="end"/>
      </w:r>
      <w:r w:rsidRPr="00437528">
        <w:rPr>
          <w:rFonts w:ascii="Times New Roman" w:hAnsi="Times New Roman" w:cs="Times New Roman"/>
          <w:sz w:val="28"/>
          <w:szCs w:val="28"/>
        </w:rPr>
        <w:t>.</w:t>
      </w:r>
      <w:r w:rsidR="0007459B">
        <w:rPr>
          <w:rFonts w:ascii="Times New Roman" w:hAnsi="Times New Roman" w:cs="Times New Roman"/>
          <w:sz w:val="28"/>
          <w:szCs w:val="28"/>
        </w:rPr>
        <w:t xml:space="preserve"> </w:t>
      </w:r>
      <w:r w:rsidRPr="00437528">
        <w:rPr>
          <w:rFonts w:ascii="Times New Roman" w:hAnsi="Times New Roman" w:cs="Times New Roman"/>
          <w:sz w:val="28"/>
          <w:szCs w:val="28"/>
        </w:rPr>
        <w:t xml:space="preserve">На </w:t>
      </w:r>
      <w:r w:rsidRPr="00877069">
        <w:rPr>
          <w:rFonts w:ascii="Times New Roman" w:hAnsi="Times New Roman" w:cs="Times New Roman"/>
          <w:sz w:val="28"/>
          <w:szCs w:val="28"/>
        </w:rPr>
        <w:t>основании данных исследований были получены свидетельства о внесении сведений в государственный реестр прав на объекты, охраняемые авторским правом</w:t>
      </w:r>
      <w:r w:rsidR="00A54628" w:rsidRPr="00877069">
        <w:rPr>
          <w:rFonts w:ascii="Times New Roman" w:hAnsi="Times New Roman" w:cs="Times New Roman"/>
          <w:sz w:val="28"/>
          <w:szCs w:val="28"/>
        </w:rPr>
        <w:t xml:space="preserve"> (Приложение </w:t>
      </w:r>
      <w:r w:rsidR="00863B22" w:rsidRPr="00877069">
        <w:rPr>
          <w:rFonts w:ascii="Times New Roman" w:hAnsi="Times New Roman" w:cs="Times New Roman"/>
          <w:sz w:val="28"/>
          <w:szCs w:val="28"/>
        </w:rPr>
        <w:t>В</w:t>
      </w:r>
      <w:r w:rsidR="00A54628" w:rsidRPr="00877069">
        <w:rPr>
          <w:rFonts w:ascii="Times New Roman" w:hAnsi="Times New Roman" w:cs="Times New Roman"/>
          <w:sz w:val="28"/>
          <w:szCs w:val="28"/>
        </w:rPr>
        <w:t>)</w:t>
      </w:r>
      <w:r w:rsidRPr="00877069">
        <w:rPr>
          <w:rFonts w:ascii="Times New Roman" w:hAnsi="Times New Roman" w:cs="Times New Roman"/>
          <w:sz w:val="28"/>
          <w:szCs w:val="28"/>
        </w:rPr>
        <w:t xml:space="preserve">: </w:t>
      </w:r>
    </w:p>
    <w:p w14:paraId="79016BFB" w14:textId="42DF27E8" w:rsidR="00437528" w:rsidRPr="00877069" w:rsidRDefault="00437528" w:rsidP="008335E2">
      <w:pPr>
        <w:numPr>
          <w:ilvl w:val="0"/>
          <w:numId w:val="7"/>
        </w:numPr>
        <w:spacing w:after="0" w:line="240" w:lineRule="auto"/>
        <w:ind w:left="0" w:firstLine="567"/>
        <w:contextualSpacing/>
        <w:jc w:val="both"/>
        <w:rPr>
          <w:rFonts w:ascii="Times New Roman" w:hAnsi="Times New Roman" w:cs="Times New Roman"/>
          <w:sz w:val="28"/>
          <w:szCs w:val="28"/>
        </w:rPr>
      </w:pPr>
      <w:r w:rsidRPr="00877069">
        <w:rPr>
          <w:rFonts w:ascii="Times New Roman" w:hAnsi="Times New Roman" w:cs="Times New Roman"/>
          <w:sz w:val="28"/>
          <w:szCs w:val="28"/>
        </w:rPr>
        <w:t xml:space="preserve">была </w:t>
      </w:r>
      <w:r w:rsidR="008335E2" w:rsidRPr="008335E2">
        <w:rPr>
          <w:rFonts w:ascii="Times New Roman" w:hAnsi="Times New Roman" w:cs="Times New Roman"/>
          <w:sz w:val="28"/>
          <w:szCs w:val="28"/>
        </w:rPr>
        <w:t>адаптирована, апробирована и внедрена</w:t>
      </w:r>
      <w:r w:rsidR="00186E88">
        <w:rPr>
          <w:rFonts w:ascii="Times New Roman" w:hAnsi="Times New Roman" w:cs="Times New Roman"/>
          <w:sz w:val="28"/>
          <w:szCs w:val="28"/>
        </w:rPr>
        <w:t xml:space="preserve"> </w:t>
      </w:r>
      <w:r w:rsidR="00C90347">
        <w:rPr>
          <w:rFonts w:ascii="Times New Roman" w:hAnsi="Times New Roman" w:cs="Times New Roman"/>
          <w:sz w:val="28"/>
          <w:szCs w:val="28"/>
        </w:rPr>
        <w:t>анкета для диагностики аллергиче</w:t>
      </w:r>
      <w:r w:rsidRPr="00877069">
        <w:rPr>
          <w:rFonts w:ascii="Times New Roman" w:hAnsi="Times New Roman" w:cs="Times New Roman"/>
          <w:sz w:val="28"/>
          <w:szCs w:val="28"/>
        </w:rPr>
        <w:t xml:space="preserve">ского ринита: «Способ оценки тяжести симптомов и качества жизни у пациентов с сезонными аллергическими ринитами»; </w:t>
      </w:r>
    </w:p>
    <w:p w14:paraId="4698871A" w14:textId="681E1F5D" w:rsidR="00437528" w:rsidRPr="00877069" w:rsidRDefault="00437528" w:rsidP="00775DE3">
      <w:pPr>
        <w:numPr>
          <w:ilvl w:val="0"/>
          <w:numId w:val="7"/>
        </w:numPr>
        <w:spacing w:after="0" w:line="240" w:lineRule="auto"/>
        <w:ind w:left="0" w:firstLine="556"/>
        <w:contextualSpacing/>
        <w:jc w:val="both"/>
        <w:rPr>
          <w:rFonts w:ascii="Times New Roman" w:hAnsi="Times New Roman" w:cs="Times New Roman"/>
          <w:sz w:val="28"/>
          <w:szCs w:val="28"/>
        </w:rPr>
      </w:pPr>
      <w:r w:rsidRPr="00877069">
        <w:rPr>
          <w:rFonts w:ascii="Times New Roman" w:hAnsi="Times New Roman" w:cs="Times New Roman"/>
          <w:sz w:val="28"/>
          <w:szCs w:val="28"/>
        </w:rPr>
        <w:t>разработан алгоритм менеджмента сезонного аллергического ринита;</w:t>
      </w:r>
    </w:p>
    <w:p w14:paraId="6483C14B" w14:textId="15B1D318" w:rsidR="00437528" w:rsidRPr="00877069" w:rsidRDefault="00251A7A" w:rsidP="00775DE3">
      <w:pPr>
        <w:numPr>
          <w:ilvl w:val="0"/>
          <w:numId w:val="7"/>
        </w:numPr>
        <w:spacing w:after="0" w:line="240" w:lineRule="auto"/>
        <w:ind w:left="0" w:firstLine="556"/>
        <w:contextualSpacing/>
        <w:jc w:val="both"/>
        <w:rPr>
          <w:rFonts w:ascii="Times New Roman" w:hAnsi="Times New Roman" w:cs="Times New Roman"/>
          <w:sz w:val="28"/>
          <w:szCs w:val="28"/>
        </w:rPr>
      </w:pPr>
      <w:r w:rsidRPr="00251A7A">
        <w:rPr>
          <w:rFonts w:ascii="Times New Roman" w:hAnsi="Times New Roman" w:cs="Times New Roman"/>
          <w:sz w:val="28"/>
          <w:szCs w:val="28"/>
        </w:rPr>
        <w:t>разработаны и внедрены </w:t>
      </w:r>
      <w:r w:rsidR="00437528" w:rsidRPr="00877069">
        <w:rPr>
          <w:rFonts w:ascii="Times New Roman" w:hAnsi="Times New Roman" w:cs="Times New Roman"/>
          <w:sz w:val="28"/>
          <w:szCs w:val="28"/>
        </w:rPr>
        <w:t xml:space="preserve">методические рекомендации для врачей «Способ лечения сезонных аллергических ринитов с помощью аллерген-специфической иммунотерапии в комплексе с витамином Д». </w:t>
      </w:r>
    </w:p>
    <w:p w14:paraId="2D9B33B6" w14:textId="0CF80DCD" w:rsidR="00437528" w:rsidRDefault="00437528" w:rsidP="00775DE3">
      <w:pPr>
        <w:spacing w:after="0" w:line="240" w:lineRule="auto"/>
        <w:ind w:firstLine="567"/>
        <w:jc w:val="both"/>
        <w:rPr>
          <w:rFonts w:ascii="Times New Roman" w:eastAsiaTheme="minorEastAsia" w:hAnsi="Times New Roman" w:cs="Times New Roman"/>
          <w:sz w:val="28"/>
          <w:szCs w:val="28"/>
          <w:lang w:eastAsia="ru-RU"/>
        </w:rPr>
      </w:pPr>
      <w:r w:rsidRPr="00877069">
        <w:rPr>
          <w:rFonts w:ascii="Times New Roman" w:eastAsiaTheme="minorEastAsia" w:hAnsi="Times New Roman" w:cs="Times New Roman"/>
          <w:sz w:val="28"/>
          <w:szCs w:val="28"/>
          <w:lang w:eastAsia="ru-RU"/>
        </w:rPr>
        <w:t>Результаты проделанной исследовательской работы апробированы и внедрены в клиническую практику на базе городских поликлиник №1,3,4,5 (</w:t>
      </w:r>
      <w:r w:rsidR="00863B22" w:rsidRPr="00877069">
        <w:rPr>
          <w:rFonts w:ascii="Times New Roman" w:eastAsiaTheme="minorEastAsia" w:hAnsi="Times New Roman" w:cs="Times New Roman"/>
          <w:sz w:val="28"/>
          <w:szCs w:val="28"/>
          <w:lang w:eastAsia="ru-RU"/>
        </w:rPr>
        <w:t>Приложение А</w:t>
      </w:r>
      <w:r w:rsidRPr="00877069">
        <w:rPr>
          <w:rFonts w:ascii="Times New Roman" w:eastAsiaTheme="minorEastAsia" w:hAnsi="Times New Roman" w:cs="Times New Roman"/>
          <w:sz w:val="28"/>
          <w:szCs w:val="28"/>
          <w:lang w:eastAsia="ru-RU"/>
        </w:rPr>
        <w:t>).</w:t>
      </w:r>
    </w:p>
    <w:p w14:paraId="093BBAF4" w14:textId="37A3C5A3" w:rsidR="0091122F" w:rsidRDefault="0091122F" w:rsidP="00775DE3">
      <w:pPr>
        <w:spacing w:after="0" w:line="240" w:lineRule="auto"/>
        <w:ind w:firstLine="567"/>
        <w:jc w:val="both"/>
        <w:rPr>
          <w:rFonts w:ascii="Times New Roman" w:eastAsiaTheme="minorEastAsia" w:hAnsi="Times New Roman" w:cs="Times New Roman"/>
          <w:sz w:val="28"/>
          <w:szCs w:val="28"/>
          <w:lang w:eastAsia="ru-RU"/>
        </w:rPr>
      </w:pPr>
    </w:p>
    <w:p w14:paraId="37A753F5" w14:textId="4DE52504" w:rsidR="0091122F" w:rsidRPr="00437528" w:rsidRDefault="0091122F" w:rsidP="0091122F">
      <w:pPr>
        <w:spacing w:after="0" w:line="240" w:lineRule="auto"/>
        <w:ind w:firstLine="567"/>
        <w:jc w:val="both"/>
        <w:rPr>
          <w:rFonts w:ascii="Times New Roman" w:eastAsiaTheme="minorEastAsia" w:hAnsi="Times New Roman" w:cs="Times New Roman"/>
          <w:sz w:val="28"/>
          <w:szCs w:val="28"/>
          <w:lang w:eastAsia="ru-RU"/>
        </w:rPr>
      </w:pPr>
      <w:r w:rsidRPr="005237BC">
        <w:rPr>
          <w:rFonts w:ascii="Times New Roman" w:eastAsiaTheme="minorEastAsia" w:hAnsi="Times New Roman" w:cs="Times New Roman"/>
          <w:sz w:val="28"/>
          <w:szCs w:val="28"/>
          <w:lang w:eastAsia="ru-RU"/>
        </w:rPr>
        <w:t xml:space="preserve">В ходе оценки эффективности алгоритма </w:t>
      </w:r>
      <w:r w:rsidRPr="005237BC">
        <w:rPr>
          <w:rFonts w:ascii="Times New Roman" w:eastAsia="Calibri" w:hAnsi="Times New Roman" w:cs="Times New Roman"/>
          <w:sz w:val="28"/>
          <w:szCs w:val="28"/>
        </w:rPr>
        <w:t xml:space="preserve">менеджмента сезонного аллергического </w:t>
      </w:r>
      <w:r w:rsidRPr="00217162">
        <w:rPr>
          <w:rFonts w:ascii="Times New Roman" w:eastAsia="Calibri" w:hAnsi="Times New Roman" w:cs="Times New Roman"/>
          <w:sz w:val="28"/>
          <w:szCs w:val="28"/>
        </w:rPr>
        <w:t>ринита были использованы сравнительные характеристики медианного значения баллов тяжести симптомов до и после АСИТ с витамином Д</w:t>
      </w:r>
      <w:r w:rsidR="00111F81" w:rsidRPr="001E756C">
        <w:rPr>
          <w:rFonts w:ascii="Times New Roman" w:eastAsia="Calibri" w:hAnsi="Times New Roman" w:cs="Times New Roman"/>
          <w:sz w:val="28"/>
          <w:szCs w:val="28"/>
        </w:rPr>
        <w:t>, а также на основании лабораторных биомаркеров: общий ИГЕ снижен с 387,2 Ед/мл до 209,6 Ед/мл (</w:t>
      </w:r>
      <w:r w:rsidR="00111F81" w:rsidRPr="001E756C">
        <w:rPr>
          <w:rFonts w:ascii="Times New Roman" w:eastAsia="Calibri" w:hAnsi="Times New Roman" w:cs="Times New Roman"/>
          <w:sz w:val="28"/>
          <w:szCs w:val="28"/>
          <w:lang w:val="en-US"/>
        </w:rPr>
        <w:t>p</w:t>
      </w:r>
      <w:r w:rsidR="00111F81" w:rsidRPr="001E756C">
        <w:rPr>
          <w:rFonts w:ascii="Times New Roman" w:eastAsia="Calibri" w:hAnsi="Times New Roman" w:cs="Times New Roman"/>
          <w:sz w:val="28"/>
          <w:szCs w:val="28"/>
        </w:rPr>
        <w:t>&lt;0,005), уровень витамина Д показал прирост показателя с 16,32 нг/мл до 37,6 нг/л (p&lt;0,001)</w:t>
      </w:r>
      <w:r w:rsidRPr="001E756C">
        <w:rPr>
          <w:rFonts w:ascii="Times New Roman" w:eastAsia="Calibri" w:hAnsi="Times New Roman" w:cs="Times New Roman"/>
          <w:sz w:val="28"/>
          <w:szCs w:val="28"/>
        </w:rPr>
        <w:t>. Полученные данные показали улучшение клинического состояния пациентов с сезонным</w:t>
      </w:r>
      <w:r w:rsidRPr="005237BC">
        <w:rPr>
          <w:rFonts w:ascii="Times New Roman" w:eastAsia="Calibri" w:hAnsi="Times New Roman" w:cs="Times New Roman"/>
          <w:sz w:val="28"/>
          <w:szCs w:val="28"/>
        </w:rPr>
        <w:t xml:space="preserve"> а</w:t>
      </w:r>
      <w:r w:rsidR="00C9182F" w:rsidRPr="005237BC">
        <w:rPr>
          <w:rFonts w:ascii="Times New Roman" w:eastAsia="Calibri" w:hAnsi="Times New Roman" w:cs="Times New Roman"/>
          <w:sz w:val="28"/>
          <w:szCs w:val="28"/>
        </w:rPr>
        <w:t>л</w:t>
      </w:r>
      <w:r w:rsidRPr="005237BC">
        <w:rPr>
          <w:rFonts w:ascii="Times New Roman" w:eastAsia="Calibri" w:hAnsi="Times New Roman" w:cs="Times New Roman"/>
          <w:sz w:val="28"/>
          <w:szCs w:val="28"/>
        </w:rPr>
        <w:t>лергическим ринитом на фоне использования алгоритма менеджмента сезонного аллергического ринита (рисунок 12).</w:t>
      </w:r>
    </w:p>
    <w:p w14:paraId="294CBDEA" w14:textId="77777777" w:rsidR="0091122F" w:rsidRDefault="0091122F" w:rsidP="0091122F">
      <w:pPr>
        <w:spacing w:after="0" w:line="240" w:lineRule="auto"/>
        <w:ind w:firstLine="567"/>
        <w:jc w:val="both"/>
        <w:rPr>
          <w:rFonts w:ascii="Times New Roman" w:eastAsiaTheme="minorEastAsia" w:hAnsi="Times New Roman" w:cs="Times New Roman"/>
          <w:sz w:val="28"/>
          <w:szCs w:val="28"/>
          <w:lang w:eastAsia="ru-RU"/>
        </w:rPr>
      </w:pPr>
    </w:p>
    <w:p w14:paraId="658737BA" w14:textId="7E633D46" w:rsidR="00A31E7B" w:rsidRDefault="00A31E7B" w:rsidP="0091122F">
      <w:pPr>
        <w:spacing w:after="0" w:line="240" w:lineRule="auto"/>
        <w:jc w:val="center"/>
        <w:rPr>
          <w:noProof/>
          <w:lang w:eastAsia="ru-RU"/>
        </w:rPr>
      </w:pPr>
      <w:r w:rsidRPr="00A31E7B">
        <w:rPr>
          <w:noProof/>
          <w:lang w:eastAsia="ru-RU"/>
        </w:rPr>
        <mc:AlternateContent>
          <mc:Choice Requires="wps">
            <w:drawing>
              <wp:anchor distT="0" distB="0" distL="114300" distR="114300" simplePos="0" relativeHeight="251758592" behindDoc="0" locked="0" layoutInCell="1" allowOverlap="1" wp14:anchorId="2ECFA3C2" wp14:editId="768D0BCA">
                <wp:simplePos x="0" y="0"/>
                <wp:positionH relativeFrom="column">
                  <wp:posOffset>-1310138</wp:posOffset>
                </wp:positionH>
                <wp:positionV relativeFrom="paragraph">
                  <wp:posOffset>1115060</wp:posOffset>
                </wp:positionV>
                <wp:extent cx="4235948" cy="707886"/>
                <wp:effectExtent l="0" t="0" r="0" b="0"/>
                <wp:wrapNone/>
                <wp:docPr id="90" name="Прямоугольник 1"/>
                <wp:cNvGraphicFramePr/>
                <a:graphic xmlns:a="http://schemas.openxmlformats.org/drawingml/2006/main">
                  <a:graphicData uri="http://schemas.microsoft.com/office/word/2010/wordprocessingShape">
                    <wps:wsp>
                      <wps:cNvSpPr/>
                      <wps:spPr>
                        <a:xfrm rot="16200000">
                          <a:off x="0" y="0"/>
                          <a:ext cx="4235948" cy="707886"/>
                        </a:xfrm>
                        <a:prstGeom prst="rect">
                          <a:avLst/>
                        </a:prstGeom>
                      </wps:spPr>
                      <wps:txbx>
                        <w:txbxContent>
                          <w:p w14:paraId="35B57E8E" w14:textId="77777777" w:rsidR="003006BE" w:rsidRDefault="003006BE" w:rsidP="00A31E7B">
                            <w:pPr>
                              <w:pStyle w:val="af4"/>
                              <w:spacing w:before="0" w:beforeAutospacing="0" w:after="0" w:afterAutospacing="0"/>
                              <w:jc w:val="center"/>
                              <w:rPr>
                                <w:b/>
                                <w:bCs/>
                                <w:color w:val="0D0D0D" w:themeColor="text1" w:themeTint="F2"/>
                                <w:kern w:val="24"/>
                                <w:sz w:val="28"/>
                                <w:szCs w:val="40"/>
                              </w:rPr>
                            </w:pPr>
                            <w:r w:rsidRPr="00A31E7B">
                              <w:rPr>
                                <w:b/>
                                <w:bCs/>
                                <w:color w:val="0D0D0D" w:themeColor="text1" w:themeTint="F2"/>
                                <w:kern w:val="24"/>
                                <w:sz w:val="28"/>
                                <w:szCs w:val="40"/>
                              </w:rPr>
                              <w:t>Общий балл тяжести</w:t>
                            </w:r>
                          </w:p>
                          <w:p w14:paraId="07F5EFEC" w14:textId="6653BE39" w:rsidR="003006BE" w:rsidRPr="00A31E7B" w:rsidRDefault="003006BE" w:rsidP="00A31E7B">
                            <w:pPr>
                              <w:pStyle w:val="af4"/>
                              <w:spacing w:before="0" w:beforeAutospacing="0" w:after="0" w:afterAutospacing="0"/>
                              <w:jc w:val="center"/>
                              <w:rPr>
                                <w:sz w:val="18"/>
                              </w:rPr>
                            </w:pPr>
                            <w:r w:rsidRPr="00A31E7B">
                              <w:rPr>
                                <w:b/>
                                <w:bCs/>
                                <w:color w:val="0D0D0D" w:themeColor="text1" w:themeTint="F2"/>
                                <w:kern w:val="24"/>
                                <w:sz w:val="28"/>
                                <w:szCs w:val="40"/>
                              </w:rPr>
                              <w:t xml:space="preserve"> симптомов (Баллы) </w:t>
                            </w:r>
                          </w:p>
                        </w:txbxContent>
                      </wps:txbx>
                      <wps:bodyPr wrap="square">
                        <a:sp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2ECFA3C2" id="Прямоугольник 1" o:spid="_x0000_s1031" style="position:absolute;left:0;text-align:left;margin-left:-103.15pt;margin-top:87.8pt;width:333.55pt;height:55.75pt;rotation:-90;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" filled="f" stroked="f">
                <v:textbox style="mso-fit-shape-to-text:t">
                  <w:txbxContent>
                    <w:p w14:paraId="35B57E8E" w14:textId="77777777" w:rsidR="003006BE" w:rsidRDefault="003006BE" w:rsidP="00A31E7B">
                      <w:pPr>
                        <w:pStyle w:val="af4"/>
                        <w:spacing w:before="0" w:beforeAutospacing="0" w:after="0" w:afterAutospacing="0"/>
                        <w:jc w:val="center"/>
                        <w:rPr>
                          <w:b/>
                          <w:bCs/>
                          <w:color w:val="0D0D0D" w:themeColor="text1" w:themeTint="F2"/>
                          <w:kern w:val="24"/>
                          <w:sz w:val="28"/>
                          <w:szCs w:val="40"/>
                        </w:rPr>
                      </w:pPr>
                      <w:r w:rsidRPr="00A31E7B">
                        <w:rPr>
                          <w:b/>
                          <w:bCs/>
                          <w:color w:val="0D0D0D" w:themeColor="text1" w:themeTint="F2"/>
                          <w:kern w:val="24"/>
                          <w:sz w:val="28"/>
                          <w:szCs w:val="40"/>
                        </w:rPr>
                        <w:t>Общий балл тяжести</w:t>
                      </w:r>
                    </w:p>
                    <w:p w14:paraId="07F5EFEC" w14:textId="6653BE39" w:rsidR="003006BE" w:rsidRPr="00A31E7B" w:rsidRDefault="003006BE" w:rsidP="00A31E7B">
                      <w:pPr>
                        <w:pStyle w:val="af4"/>
                        <w:spacing w:before="0" w:beforeAutospacing="0" w:after="0" w:afterAutospacing="0"/>
                        <w:jc w:val="center"/>
                        <w:rPr>
                          <w:sz w:val="18"/>
                        </w:rPr>
                      </w:pPr>
                      <w:r w:rsidRPr="00A31E7B">
                        <w:rPr>
                          <w:b/>
                          <w:bCs/>
                          <w:color w:val="0D0D0D" w:themeColor="text1" w:themeTint="F2"/>
                          <w:kern w:val="24"/>
                          <w:sz w:val="28"/>
                          <w:szCs w:val="40"/>
                        </w:rPr>
                        <w:t xml:space="preserve"> симптомов (Баллы) </w:t>
                      </w:r>
                    </w:p>
                  </w:txbxContent>
                </v:textbox>
              </v:rect>
            </w:pict>
          </mc:Fallback>
        </mc:AlternateContent>
      </w:r>
    </w:p>
    <w:p w14:paraId="200EA6D6" w14:textId="1027E30E" w:rsidR="00A31E7B" w:rsidRDefault="0075420A" w:rsidP="0091122F">
      <w:pPr>
        <w:spacing w:after="0" w:line="240" w:lineRule="auto"/>
        <w:jc w:val="center"/>
        <w:rPr>
          <w:noProof/>
          <w:lang w:eastAsia="ru-RU"/>
        </w:rPr>
      </w:pPr>
      <w:r w:rsidRPr="00A31E7B">
        <w:rPr>
          <w:noProof/>
          <w:lang w:eastAsia="ru-RU"/>
        </w:rPr>
        <w:drawing>
          <wp:inline distT="0" distB="0" distL="0" distR="0" wp14:anchorId="346073E2" wp14:editId="7A26B8CE">
            <wp:extent cx="4207947" cy="2733575"/>
            <wp:effectExtent l="0" t="0" r="2540" b="0"/>
            <wp:docPr id="8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29">
                      <a:extLst>
                        <a:ext uri="{28A0092B-C50C-407E-A947-70E740481C1C}">
                          <a14:useLocalDpi xmlns:a14="http://schemas.microsoft.com/office/drawing/2010/main" val="0"/>
                        </a:ext>
                      </a:extLst>
                    </a:blip>
                    <a:srcRect b="13370"/>
                    <a:stretch/>
                  </pic:blipFill>
                  <pic:spPr>
                    <a:xfrm>
                      <a:off x="0" y="0"/>
                      <a:ext cx="4218758" cy="2740598"/>
                    </a:xfrm>
                    <a:prstGeom prst="rect">
                      <a:avLst/>
                    </a:prstGeom>
                  </pic:spPr>
                </pic:pic>
              </a:graphicData>
            </a:graphic>
          </wp:inline>
        </w:drawing>
      </w:r>
    </w:p>
    <w:p w14:paraId="2E86EF76" w14:textId="78FD0C2D" w:rsidR="00A31E7B" w:rsidRDefault="0075420A" w:rsidP="0091122F">
      <w:pPr>
        <w:spacing w:after="0" w:line="240" w:lineRule="auto"/>
        <w:jc w:val="center"/>
        <w:rPr>
          <w:noProof/>
          <w:lang w:eastAsia="ru-RU"/>
        </w:rPr>
      </w:pPr>
      <w:r w:rsidRPr="00A31E7B">
        <w:rPr>
          <w:noProof/>
          <w:lang w:eastAsia="ru-RU"/>
        </w:rPr>
        <mc:AlternateContent>
          <mc:Choice Requires="wps">
            <w:drawing>
              <wp:anchor distT="0" distB="0" distL="114300" distR="114300" simplePos="0" relativeHeight="251760640" behindDoc="0" locked="0" layoutInCell="1" allowOverlap="1" wp14:anchorId="4DABB911" wp14:editId="4DE7268F">
                <wp:simplePos x="0" y="0"/>
                <wp:positionH relativeFrom="column">
                  <wp:posOffset>1985645</wp:posOffset>
                </wp:positionH>
                <wp:positionV relativeFrom="paragraph">
                  <wp:posOffset>4445</wp:posOffset>
                </wp:positionV>
                <wp:extent cx="3383915" cy="368935"/>
                <wp:effectExtent l="0" t="0" r="0" b="0"/>
                <wp:wrapNone/>
                <wp:docPr id="91" name="Прямоугольник 2"/>
                <wp:cNvGraphicFramePr/>
                <a:graphic xmlns:a="http://schemas.openxmlformats.org/drawingml/2006/main">
                  <a:graphicData uri="http://schemas.microsoft.com/office/word/2010/wordprocessingShape">
                    <wps:wsp>
                      <wps:cNvSpPr/>
                      <wps:spPr>
                        <a:xfrm>
                          <a:off x="0" y="0"/>
                          <a:ext cx="3383915" cy="368935"/>
                        </a:xfrm>
                        <a:prstGeom prst="rect">
                          <a:avLst/>
                        </a:prstGeom>
                        <a:noFill/>
                      </wps:spPr>
                      <wps:txbx>
                        <w:txbxContent>
                          <w:p w14:paraId="6CA0118C" w14:textId="7A666985" w:rsidR="003006BE" w:rsidRPr="00A31E7B" w:rsidRDefault="003006BE" w:rsidP="00A31E7B">
                            <w:pPr>
                              <w:pStyle w:val="af4"/>
                              <w:spacing w:before="0" w:beforeAutospacing="0" w:after="0" w:afterAutospacing="0"/>
                              <w:rPr>
                                <w:sz w:val="20"/>
                              </w:rPr>
                            </w:pPr>
                            <w:r w:rsidRPr="00A31E7B">
                              <w:rPr>
                                <w:b/>
                                <w:bCs/>
                                <w:color w:val="000000"/>
                                <w:kern w:val="24"/>
                                <w:sz w:val="28"/>
                                <w:szCs w:val="36"/>
                              </w:rPr>
                              <w:t>До лечения</w:t>
                            </w:r>
                            <w:r>
                              <w:rPr>
                                <w:b/>
                                <w:bCs/>
                                <w:color w:val="000000"/>
                                <w:kern w:val="24"/>
                                <w:sz w:val="28"/>
                                <w:szCs w:val="36"/>
                              </w:rPr>
                              <w:t xml:space="preserve">  </w:t>
                            </w:r>
                            <w:r w:rsidRPr="00A31E7B">
                              <w:rPr>
                                <w:b/>
                                <w:bCs/>
                                <w:color w:val="000000"/>
                                <w:kern w:val="24"/>
                                <w:sz w:val="28"/>
                                <w:szCs w:val="36"/>
                              </w:rPr>
                              <w:t>После лечения</w:t>
                            </w:r>
                          </w:p>
                        </w:txbxContent>
                      </wps:txbx>
                      <wps:bodyPr wrap="square">
                        <a:sp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4DABB911" id="_x0000_s1032" style="position:absolute;left:0;text-align:left;margin-left:156.35pt;margin-top:.35pt;width:266.45pt;height:29.0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" filled="f" stroked="f">
                <v:textbox style="mso-fit-shape-to-text:t">
                  <w:txbxContent>
                    <w:p w14:paraId="6CA0118C" w14:textId="7A666985" w:rsidR="003006BE" w:rsidRPr="00A31E7B" w:rsidRDefault="003006BE" w:rsidP="00A31E7B">
                      <w:pPr>
                        <w:pStyle w:val="af4"/>
                        <w:spacing w:before="0" w:beforeAutospacing="0" w:after="0" w:afterAutospacing="0"/>
                        <w:rPr>
                          <w:sz w:val="20"/>
                        </w:rPr>
                      </w:pPr>
                      <w:r w:rsidRPr="00A31E7B">
                        <w:rPr>
                          <w:b/>
                          <w:bCs/>
                          <w:color w:val="000000"/>
                          <w:kern w:val="24"/>
                          <w:sz w:val="28"/>
                          <w:szCs w:val="36"/>
                        </w:rPr>
                        <w:t xml:space="preserve">До </w:t>
                      </w:r>
                      <w:proofErr w:type="gramStart"/>
                      <w:r w:rsidRPr="00A31E7B">
                        <w:rPr>
                          <w:b/>
                          <w:bCs/>
                          <w:color w:val="000000"/>
                          <w:kern w:val="24"/>
                          <w:sz w:val="28"/>
                          <w:szCs w:val="36"/>
                        </w:rPr>
                        <w:t>лечения</w:t>
                      </w:r>
                      <w:r>
                        <w:rPr>
                          <w:b/>
                          <w:bCs/>
                          <w:color w:val="000000"/>
                          <w:kern w:val="24"/>
                          <w:sz w:val="28"/>
                          <w:szCs w:val="36"/>
                        </w:rPr>
                        <w:t xml:space="preserve">  </w:t>
                      </w:r>
                      <w:r w:rsidRPr="00A31E7B">
                        <w:rPr>
                          <w:b/>
                          <w:bCs/>
                          <w:color w:val="000000"/>
                          <w:kern w:val="24"/>
                          <w:sz w:val="28"/>
                          <w:szCs w:val="36"/>
                        </w:rPr>
                        <w:t>После</w:t>
                      </w:r>
                      <w:proofErr w:type="gramEnd"/>
                      <w:r w:rsidRPr="00A31E7B">
                        <w:rPr>
                          <w:b/>
                          <w:bCs/>
                          <w:color w:val="000000"/>
                          <w:kern w:val="24"/>
                          <w:sz w:val="28"/>
                          <w:szCs w:val="36"/>
                        </w:rPr>
                        <w:t xml:space="preserve"> лечения</w:t>
                      </w:r>
                    </w:p>
                  </w:txbxContent>
                </v:textbox>
              </v:rect>
            </w:pict>
          </mc:Fallback>
        </mc:AlternateContent>
      </w:r>
    </w:p>
    <w:p w14:paraId="0DB64558" w14:textId="77777777" w:rsidR="0075420A" w:rsidRDefault="0075420A" w:rsidP="0091122F">
      <w:pPr>
        <w:spacing w:after="0" w:line="240" w:lineRule="auto"/>
        <w:jc w:val="center"/>
        <w:rPr>
          <w:rFonts w:ascii="Times New Roman" w:eastAsiaTheme="minorEastAsia" w:hAnsi="Times New Roman" w:cs="Times New Roman"/>
          <w:sz w:val="28"/>
          <w:szCs w:val="28"/>
          <w:lang w:eastAsia="ru-RU"/>
        </w:rPr>
      </w:pPr>
    </w:p>
    <w:p w14:paraId="33F1FF72" w14:textId="120187BC" w:rsidR="00BD256B" w:rsidRPr="00126DA5" w:rsidRDefault="0091122F" w:rsidP="00126DA5">
      <w:pPr>
        <w:spacing w:after="0" w:line="240" w:lineRule="auto"/>
        <w:jc w:val="center"/>
        <w:rPr>
          <w:rFonts w:ascii="Times New Roman" w:hAnsi="Times New Roman" w:cs="Times New Roman"/>
          <w:sz w:val="28"/>
          <w:szCs w:val="28"/>
        </w:rPr>
      </w:pPr>
      <w:r>
        <w:rPr>
          <w:rFonts w:ascii="Times New Roman" w:eastAsiaTheme="minorEastAsia" w:hAnsi="Times New Roman" w:cs="Times New Roman"/>
          <w:sz w:val="28"/>
          <w:szCs w:val="28"/>
          <w:lang w:eastAsia="ru-RU"/>
        </w:rPr>
        <w:t xml:space="preserve">Рисунок 12 – Оценка эффективности алгоритма </w:t>
      </w:r>
      <w:r w:rsidRPr="00437528">
        <w:rPr>
          <w:rFonts w:ascii="Times New Roman" w:eastAsia="Calibri" w:hAnsi="Times New Roman" w:cs="Times New Roman"/>
          <w:sz w:val="28"/>
          <w:szCs w:val="28"/>
        </w:rPr>
        <w:t xml:space="preserve">менеджмента сезонного аллергического </w:t>
      </w:r>
      <w:r w:rsidRPr="00C9182F">
        <w:rPr>
          <w:rFonts w:ascii="Times New Roman" w:eastAsia="Calibri" w:hAnsi="Times New Roman" w:cs="Times New Roman"/>
          <w:sz w:val="28"/>
          <w:szCs w:val="28"/>
        </w:rPr>
        <w:t>ринита</w:t>
      </w:r>
      <w:r w:rsidR="00C9182F" w:rsidRPr="00C9182F">
        <w:rPr>
          <w:rFonts w:ascii="Times New Roman" w:eastAsia="Calibri" w:hAnsi="Times New Roman" w:cs="Times New Roman"/>
          <w:sz w:val="28"/>
          <w:szCs w:val="28"/>
        </w:rPr>
        <w:t xml:space="preserve">; </w:t>
      </w:r>
      <w:r w:rsidR="0075420A" w:rsidRPr="0075420A">
        <w:rPr>
          <w:rFonts w:ascii="Times New Roman" w:eastAsia="Calibri" w:hAnsi="Times New Roman" w:cs="Times New Roman"/>
          <w:sz w:val="28"/>
          <w:szCs w:val="28"/>
        </w:rPr>
        <w:t>сравнение внутри групп статистический критерий Уилкоксона</w:t>
      </w:r>
      <w:r w:rsidR="0075420A">
        <w:rPr>
          <w:rFonts w:ascii="Times New Roman" w:eastAsia="Calibri" w:hAnsi="Times New Roman" w:cs="Times New Roman"/>
          <w:sz w:val="28"/>
          <w:szCs w:val="28"/>
        </w:rPr>
        <w:t xml:space="preserve"> (</w:t>
      </w:r>
      <w:r w:rsidR="00C9182F" w:rsidRPr="00C9182F">
        <w:rPr>
          <w:rFonts w:ascii="Times New Roman" w:hAnsi="Times New Roman" w:cs="Times New Roman"/>
          <w:sz w:val="28"/>
          <w:szCs w:val="28"/>
        </w:rPr>
        <w:t>p&lt;0,001</w:t>
      </w:r>
      <w:r w:rsidR="0075420A">
        <w:rPr>
          <w:rFonts w:ascii="Times New Roman" w:hAnsi="Times New Roman" w:cs="Times New Roman"/>
          <w:sz w:val="28"/>
          <w:szCs w:val="28"/>
        </w:rPr>
        <w:t>)</w:t>
      </w:r>
    </w:p>
    <w:p w14:paraId="5A830DC2" w14:textId="64CC40B4" w:rsidR="0091122F" w:rsidRPr="00437528" w:rsidRDefault="0091122F" w:rsidP="00775DE3">
      <w:pPr>
        <w:spacing w:after="0" w:line="240" w:lineRule="auto"/>
        <w:ind w:firstLine="567"/>
        <w:jc w:val="both"/>
        <w:rPr>
          <w:rFonts w:ascii="Times New Roman" w:eastAsiaTheme="minorEastAsia" w:hAnsi="Times New Roman" w:cs="Times New Roman"/>
          <w:sz w:val="28"/>
          <w:szCs w:val="28"/>
          <w:lang w:eastAsia="ru-RU"/>
        </w:rPr>
      </w:pPr>
    </w:p>
    <w:p w14:paraId="361BA250" w14:textId="04CBC146" w:rsidR="00437528" w:rsidRDefault="00437528" w:rsidP="00775DE3">
      <w:pPr>
        <w:spacing w:after="0" w:line="240" w:lineRule="auto"/>
        <w:ind w:firstLine="567"/>
        <w:jc w:val="both"/>
        <w:rPr>
          <w:rFonts w:ascii="Times New Roman" w:hAnsi="Times New Roman" w:cs="Times New Roman"/>
          <w:noProof/>
          <w:sz w:val="28"/>
          <w:szCs w:val="28"/>
          <w:lang w:eastAsia="ru-RU"/>
        </w:rPr>
      </w:pPr>
      <w:r w:rsidRPr="00437528">
        <w:rPr>
          <w:rFonts w:ascii="Times New Roman" w:eastAsiaTheme="minorEastAsia" w:hAnsi="Times New Roman" w:cs="Times New Roman"/>
          <w:sz w:val="28"/>
          <w:szCs w:val="28"/>
          <w:lang w:eastAsia="ru-RU"/>
        </w:rPr>
        <w:t xml:space="preserve">Рeзюмируя содeржaниe данного этaпa рaботы, нужно скaзaть, что в ходe aнaлизa всeх взятых для контроля эффeктивности вмeшaтeльствa покaзaтeлeй были получeны сущeствeнныe, стaтистичeски знaчимые рaзличия в группaх. Дaнный фaкт говорит о нaличии клиничeской эффeктивности внeдрeния (АСИТ в комплексе с витамином Д) в мeнeджмeнт сезонного аллергического ринита. </w:t>
      </w:r>
      <w:r w:rsidRPr="00437528">
        <w:rPr>
          <w:rFonts w:ascii="Times New Roman" w:hAnsi="Times New Roman" w:cs="Times New Roman"/>
          <w:noProof/>
          <w:sz w:val="28"/>
          <w:szCs w:val="28"/>
          <w:lang w:eastAsia="ru-RU"/>
        </w:rPr>
        <w:t xml:space="preserve">Использование валидизированной анкеты в качестве способа оценки тяжести симптомов и прменения препаратов, а также включение лабораторных биомаркеров </w:t>
      </w:r>
      <w:r w:rsidRPr="00437528">
        <w:rPr>
          <w:rFonts w:ascii="Times New Roman" w:eastAsiaTheme="minorEastAsia" w:hAnsi="Times New Roman" w:cs="Times New Roman"/>
          <w:sz w:val="28"/>
          <w:szCs w:val="28"/>
          <w:lang w:eastAsia="ru-RU"/>
        </w:rPr>
        <w:t>для мониторинга клинической эффективности АСИТ дают исчерпывающее описывание динамики проведенного лечения</w:t>
      </w:r>
      <w:r w:rsidRPr="00437528">
        <w:rPr>
          <w:rFonts w:ascii="Times New Roman" w:hAnsi="Times New Roman" w:cs="Times New Roman"/>
          <w:noProof/>
          <w:sz w:val="28"/>
          <w:szCs w:val="28"/>
          <w:lang w:eastAsia="ru-RU"/>
        </w:rPr>
        <w:t>. Таким образом, данный алгортм менеджмента сезонного аллергического ринита наглядно демонстрирует все этапы необходимого объема диагностики заболевания на амбулаторном уровне.</w:t>
      </w:r>
    </w:p>
    <w:p w14:paraId="5DF5A635" w14:textId="77096DDC" w:rsidR="00FA6D93" w:rsidRDefault="00FA6D93" w:rsidP="00775DE3">
      <w:pPr>
        <w:spacing w:after="0" w:line="240" w:lineRule="auto"/>
        <w:ind w:firstLine="567"/>
        <w:jc w:val="both"/>
        <w:rPr>
          <w:rFonts w:ascii="Times New Roman" w:hAnsi="Times New Roman" w:cs="Times New Roman"/>
          <w:noProof/>
          <w:sz w:val="28"/>
          <w:szCs w:val="28"/>
          <w:lang w:eastAsia="ru-RU"/>
        </w:rPr>
      </w:pPr>
    </w:p>
    <w:p w14:paraId="4AC38EF9" w14:textId="49A11CCD" w:rsidR="00FA6D93" w:rsidRDefault="00FA6D93">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br w:type="page"/>
      </w:r>
    </w:p>
    <w:p w14:paraId="44DAC774" w14:textId="56EA7B71" w:rsidR="00FA6D93" w:rsidRDefault="00FA6D93" w:rsidP="00FA6D93">
      <w:pPr>
        <w:pStyle w:val="1"/>
        <w:numPr>
          <w:ilvl w:val="0"/>
          <w:numId w:val="0"/>
        </w:numPr>
        <w:spacing w:before="0" w:line="240" w:lineRule="auto"/>
        <w:jc w:val="center"/>
        <w:rPr>
          <w:rFonts w:ascii="Times New Roman" w:hAnsi="Times New Roman" w:cs="Times New Roman"/>
          <w:b/>
          <w:noProof/>
          <w:color w:val="auto"/>
          <w:sz w:val="28"/>
          <w:szCs w:val="28"/>
          <w:lang w:eastAsia="ru-RU"/>
        </w:rPr>
      </w:pPr>
      <w:bookmarkStart w:id="59" w:name="_Toc137904367"/>
      <w:r w:rsidRPr="00FA6D93">
        <w:rPr>
          <w:rFonts w:ascii="Times New Roman" w:hAnsi="Times New Roman" w:cs="Times New Roman"/>
          <w:b/>
          <w:noProof/>
          <w:color w:val="auto"/>
          <w:sz w:val="28"/>
          <w:szCs w:val="28"/>
          <w:lang w:eastAsia="ru-RU"/>
        </w:rPr>
        <w:t>ЗАКЛЮЧЕНИЕ</w:t>
      </w:r>
      <w:bookmarkEnd w:id="59"/>
    </w:p>
    <w:p w14:paraId="7C8E769D" w14:textId="77777777" w:rsidR="004F3B83" w:rsidRPr="004F3B83" w:rsidRDefault="004F3B83" w:rsidP="004F3B83">
      <w:pPr>
        <w:spacing w:after="0" w:line="240" w:lineRule="auto"/>
        <w:rPr>
          <w:lang w:eastAsia="ru-RU"/>
        </w:rPr>
      </w:pPr>
    </w:p>
    <w:p w14:paraId="040A93E3" w14:textId="77777777" w:rsidR="005C0281" w:rsidRPr="005C0281" w:rsidRDefault="005C0281" w:rsidP="005C0281">
      <w:pPr>
        <w:spacing w:after="0" w:line="240" w:lineRule="auto"/>
        <w:ind w:firstLine="567"/>
        <w:jc w:val="both"/>
        <w:rPr>
          <w:rFonts w:ascii="Times New Roman" w:eastAsia="Calibri" w:hAnsi="Times New Roman" w:cs="Times New Roman"/>
          <w:sz w:val="28"/>
          <w:szCs w:val="28"/>
        </w:rPr>
      </w:pPr>
      <w:r w:rsidRPr="005C0281">
        <w:rPr>
          <w:rFonts w:ascii="Times New Roman" w:eastAsia="Calibri" w:hAnsi="Times New Roman" w:cs="Times New Roman"/>
          <w:sz w:val="28"/>
          <w:szCs w:val="28"/>
        </w:rPr>
        <w:t>Целью диссертационной работы являлась оптимизация алгоритма аллерген-специфической иммунотерапии при сезонных аллергических заболеваниях, на примере сезонного аллергического ринита.</w:t>
      </w:r>
    </w:p>
    <w:p w14:paraId="24D830A0" w14:textId="77777777" w:rsidR="005C0281" w:rsidRPr="005C0281" w:rsidRDefault="005C0281" w:rsidP="005C0281">
      <w:pPr>
        <w:spacing w:after="0" w:line="240" w:lineRule="auto"/>
        <w:ind w:firstLine="567"/>
        <w:jc w:val="both"/>
        <w:rPr>
          <w:rFonts w:ascii="Times New Roman" w:eastAsia="Calibri" w:hAnsi="Times New Roman" w:cs="Times New Roman"/>
          <w:sz w:val="28"/>
          <w:szCs w:val="28"/>
        </w:rPr>
      </w:pPr>
      <w:r w:rsidRPr="005C0281">
        <w:rPr>
          <w:rFonts w:ascii="Times New Roman" w:eastAsia="Calibri" w:hAnsi="Times New Roman" w:cs="Times New Roman"/>
          <w:sz w:val="28"/>
          <w:szCs w:val="28"/>
        </w:rPr>
        <w:t xml:space="preserve">В ходе проведения систематического обзора исследований, посвященных проведению аллерген-специфической иммунотерапии на сегодняшний день обнаружено, что снижение заболеваемости сезонным аллергическим ринитом является приоритетом для современных аллергослужб. В связи с этим молекулярная аллергодиагностика имеет большое значение для выявления полисенсибилизации у пациентов с сезонным аллергическим ринитом и необходим для последующего проведения аллерген-специфической иммунотерапии. Несмотря на то, что аллерген-специфическая иммунотерапия применяется в течение много лет, решение о ее назначении требует комплексного подхода. С этой целью необходимо оценить биомаркеры истинной и перекрестной сенсибилизации перед проведением терапии. Кроме того, необходимо продолжить поиск прогностических критериев, позволяющих прогнозировать эффективность АСИТ. </w:t>
      </w:r>
    </w:p>
    <w:p w14:paraId="14CE36B4" w14:textId="77777777" w:rsidR="005C0281" w:rsidRPr="005C0281" w:rsidRDefault="005C0281" w:rsidP="005C0281">
      <w:pPr>
        <w:spacing w:after="0" w:line="240" w:lineRule="auto"/>
        <w:ind w:firstLine="567"/>
        <w:jc w:val="both"/>
        <w:rPr>
          <w:rFonts w:ascii="Times New Roman" w:eastAsia="Calibri" w:hAnsi="Times New Roman" w:cs="Times New Roman"/>
          <w:sz w:val="28"/>
          <w:szCs w:val="28"/>
        </w:rPr>
      </w:pPr>
      <w:r w:rsidRPr="005C0281">
        <w:rPr>
          <w:rFonts w:ascii="Times New Roman" w:eastAsia="Calibri" w:hAnsi="Times New Roman" w:cs="Times New Roman"/>
          <w:sz w:val="28"/>
          <w:szCs w:val="28"/>
        </w:rPr>
        <w:t>Таким образом, выявление надежных маркеров, позволяющих оценивать реакцию на лечение и прогнозировать исходы у пациентов с различными профилями сенсибилизации, было бы весьма желательно. Наконец, представляется необходимым идти в ногу с развитием новых подходов к диагностике аллергии для выбора наиболее важных параметров, влияющих на стратегию лечения.</w:t>
      </w:r>
    </w:p>
    <w:p w14:paraId="4615634B" w14:textId="484CF4DD" w:rsidR="005C0281" w:rsidRDefault="005C0281" w:rsidP="005C0281">
      <w:pPr>
        <w:spacing w:after="0" w:line="240" w:lineRule="auto"/>
        <w:ind w:firstLine="567"/>
        <w:jc w:val="both"/>
        <w:rPr>
          <w:rFonts w:ascii="Times New Roman" w:hAnsi="Times New Roman" w:cs="Times New Roman"/>
          <w:sz w:val="28"/>
          <w:szCs w:val="28"/>
        </w:rPr>
      </w:pPr>
      <w:r w:rsidRPr="005C0281">
        <w:rPr>
          <w:rFonts w:ascii="Times New Roman" w:hAnsi="Times New Roman" w:cs="Times New Roman"/>
          <w:sz w:val="28"/>
          <w:szCs w:val="28"/>
        </w:rPr>
        <w:t xml:space="preserve">В результате проведенного лечения, </w:t>
      </w:r>
      <w:r w:rsidRPr="005C0281">
        <w:rPr>
          <w:rFonts w:ascii="Times New Roman" w:eastAsia="Calibri" w:hAnsi="Times New Roman" w:cs="Times New Roman"/>
          <w:sz w:val="28"/>
          <w:szCs w:val="28"/>
        </w:rPr>
        <w:t>в группе вмешательства и в группе контроля</w:t>
      </w:r>
      <w:r w:rsidRPr="005C0281">
        <w:rPr>
          <w:rFonts w:ascii="Times New Roman" w:hAnsi="Times New Roman" w:cs="Times New Roman"/>
          <w:sz w:val="28"/>
          <w:szCs w:val="28"/>
        </w:rPr>
        <w:t xml:space="preserve"> были отмечены клинические улучшения симптоматики сезонного аллергического ринита. </w:t>
      </w:r>
      <w:r w:rsidR="00B15957" w:rsidRPr="00437528">
        <w:rPr>
          <w:rFonts w:ascii="Times New Roman" w:hAnsi="Times New Roman" w:cs="Times New Roman"/>
          <w:sz w:val="28"/>
          <w:szCs w:val="28"/>
        </w:rPr>
        <w:t>Группа вмешательства (АСИТ + витамин Д) продемонстрировала высокую клиническую эффективность проведенного лечения в виде снижения динамики общего балла тяжести симптомов с 11 до 6 баллов (</w:t>
      </w:r>
      <w:r w:rsidR="00B15957" w:rsidRPr="00437528">
        <w:rPr>
          <w:rFonts w:ascii="Times New Roman" w:hAnsi="Times New Roman" w:cs="Times New Roman"/>
          <w:sz w:val="28"/>
          <w:szCs w:val="28"/>
          <w:lang w:val="en-US"/>
        </w:rPr>
        <w:t>p</w:t>
      </w:r>
      <w:r w:rsidR="00B15957" w:rsidRPr="00437528">
        <w:rPr>
          <w:rFonts w:ascii="Times New Roman" w:hAnsi="Times New Roman" w:cs="Times New Roman"/>
          <w:sz w:val="28"/>
          <w:szCs w:val="28"/>
        </w:rPr>
        <w:t>&lt;0,001), снижения кратности применения антигистаминных препаратов с 5 до 2 раз в неделю (</w:t>
      </w:r>
      <w:r w:rsidR="00B15957" w:rsidRPr="00437528">
        <w:rPr>
          <w:rFonts w:ascii="Times New Roman" w:hAnsi="Times New Roman" w:cs="Times New Roman"/>
          <w:sz w:val="28"/>
          <w:szCs w:val="28"/>
          <w:lang w:val="en-US"/>
        </w:rPr>
        <w:t>p</w:t>
      </w:r>
      <w:r w:rsidR="00B15957" w:rsidRPr="00437528">
        <w:rPr>
          <w:rFonts w:ascii="Times New Roman" w:hAnsi="Times New Roman" w:cs="Times New Roman"/>
          <w:sz w:val="28"/>
          <w:szCs w:val="28"/>
        </w:rPr>
        <w:t>&lt;0,001), снижения кратности применения назальных ГКС с 10 до 4 раз в неделю (</w:t>
      </w:r>
      <w:r w:rsidR="00B15957" w:rsidRPr="00437528">
        <w:rPr>
          <w:rFonts w:ascii="Times New Roman" w:hAnsi="Times New Roman" w:cs="Times New Roman"/>
          <w:sz w:val="28"/>
          <w:szCs w:val="28"/>
          <w:lang w:val="en-US"/>
        </w:rPr>
        <w:t>p</w:t>
      </w:r>
      <w:r w:rsidR="00B15957" w:rsidRPr="00437528">
        <w:rPr>
          <w:rFonts w:ascii="Times New Roman" w:hAnsi="Times New Roman" w:cs="Times New Roman"/>
          <w:sz w:val="28"/>
          <w:szCs w:val="28"/>
        </w:rPr>
        <w:t>&lt;0,001</w:t>
      </w:r>
      <w:r w:rsidR="00B15957" w:rsidRPr="00B15957">
        <w:rPr>
          <w:rFonts w:ascii="Times New Roman" w:hAnsi="Times New Roman" w:cs="Times New Roman"/>
          <w:sz w:val="28"/>
          <w:szCs w:val="28"/>
        </w:rPr>
        <w:t xml:space="preserve">). </w:t>
      </w:r>
      <w:r w:rsidRPr="00B15957">
        <w:rPr>
          <w:rFonts w:ascii="Times New Roman" w:hAnsi="Times New Roman" w:cs="Times New Roman"/>
          <w:sz w:val="28"/>
          <w:szCs w:val="28"/>
        </w:rPr>
        <w:t>В группе контроля (АСИТ) клиническая эффективность достигнута в меньшей степени, где динамика общего балла снижена с 11,5 до 9 баллов (</w:t>
      </w:r>
      <w:r w:rsidRPr="00B15957">
        <w:rPr>
          <w:rFonts w:ascii="Times New Roman" w:hAnsi="Times New Roman" w:cs="Times New Roman"/>
          <w:sz w:val="28"/>
          <w:szCs w:val="28"/>
          <w:lang w:val="en-US"/>
        </w:rPr>
        <w:t>p</w:t>
      </w:r>
      <w:r w:rsidRPr="00B15957">
        <w:rPr>
          <w:rFonts w:ascii="Times New Roman" w:hAnsi="Times New Roman" w:cs="Times New Roman"/>
          <w:sz w:val="28"/>
          <w:szCs w:val="28"/>
        </w:rPr>
        <w:t>&lt;0,001), снижения кратности применения антигистаминных препаратов с 5 до 3 раз в неделю (</w:t>
      </w:r>
      <w:r w:rsidRPr="00B15957">
        <w:rPr>
          <w:rFonts w:ascii="Times New Roman" w:hAnsi="Times New Roman" w:cs="Times New Roman"/>
          <w:sz w:val="28"/>
          <w:szCs w:val="28"/>
          <w:lang w:val="en-US"/>
        </w:rPr>
        <w:t>p</w:t>
      </w:r>
      <w:r w:rsidRPr="00B15957">
        <w:rPr>
          <w:rFonts w:ascii="Times New Roman" w:hAnsi="Times New Roman" w:cs="Times New Roman"/>
          <w:sz w:val="28"/>
          <w:szCs w:val="28"/>
        </w:rPr>
        <w:t>&lt;0,001), снижения кратности применения назальных ГКС с 12 до 9,5 раз в неделю (</w:t>
      </w:r>
      <w:r w:rsidRPr="00B15957">
        <w:rPr>
          <w:rFonts w:ascii="Times New Roman" w:hAnsi="Times New Roman" w:cs="Times New Roman"/>
          <w:sz w:val="28"/>
          <w:szCs w:val="28"/>
          <w:lang w:val="en-US"/>
        </w:rPr>
        <w:t>p</w:t>
      </w:r>
      <w:r w:rsidRPr="00B15957">
        <w:rPr>
          <w:rFonts w:ascii="Times New Roman" w:hAnsi="Times New Roman" w:cs="Times New Roman"/>
          <w:sz w:val="28"/>
          <w:szCs w:val="28"/>
        </w:rPr>
        <w:t>&lt;0,001).</w:t>
      </w:r>
    </w:p>
    <w:p w14:paraId="3D8F0E29" w14:textId="0E06198D" w:rsidR="005C0281" w:rsidRPr="005C0281" w:rsidRDefault="005C0281" w:rsidP="005C0281">
      <w:pPr>
        <w:spacing w:after="0" w:line="240" w:lineRule="auto"/>
        <w:ind w:firstLine="567"/>
        <w:jc w:val="both"/>
        <w:rPr>
          <w:rFonts w:ascii="Times New Roman" w:eastAsia="Calibri" w:hAnsi="Times New Roman" w:cs="Times New Roman"/>
          <w:sz w:val="28"/>
          <w:szCs w:val="28"/>
        </w:rPr>
      </w:pPr>
      <w:r w:rsidRPr="005C0281">
        <w:rPr>
          <w:rFonts w:ascii="Times New Roman" w:eastAsia="Calibri" w:hAnsi="Times New Roman" w:cs="Times New Roman"/>
          <w:sz w:val="28"/>
          <w:szCs w:val="28"/>
        </w:rPr>
        <w:t xml:space="preserve">В нашем исследовании </w:t>
      </w:r>
      <w:r w:rsidR="00422A60">
        <w:rPr>
          <w:rFonts w:ascii="Times New Roman" w:eastAsia="Calibri" w:hAnsi="Times New Roman" w:cs="Times New Roman"/>
          <w:sz w:val="28"/>
          <w:szCs w:val="28"/>
        </w:rPr>
        <w:t>установлено</w:t>
      </w:r>
      <w:r w:rsidRPr="005C0281">
        <w:rPr>
          <w:rFonts w:ascii="Times New Roman" w:eastAsia="Calibri" w:hAnsi="Times New Roman" w:cs="Times New Roman"/>
          <w:sz w:val="28"/>
          <w:szCs w:val="28"/>
        </w:rPr>
        <w:t>, что в группе вмешательства (АСИТ</w:t>
      </w:r>
      <w:r w:rsidR="00422A60">
        <w:rPr>
          <w:rFonts w:ascii="Times New Roman" w:eastAsia="Calibri" w:hAnsi="Times New Roman" w:cs="Times New Roman"/>
          <w:sz w:val="28"/>
          <w:szCs w:val="28"/>
        </w:rPr>
        <w:t xml:space="preserve"> + витамин Д) после лечения было достигнуто эффективное улучшение качества жизни</w:t>
      </w:r>
      <w:r w:rsidRPr="005C0281">
        <w:rPr>
          <w:rFonts w:ascii="Times New Roman" w:eastAsia="Calibri" w:hAnsi="Times New Roman" w:cs="Times New Roman"/>
          <w:sz w:val="28"/>
          <w:szCs w:val="28"/>
        </w:rPr>
        <w:t xml:space="preserve"> </w:t>
      </w:r>
      <w:r w:rsidR="00255978" w:rsidRPr="00437528">
        <w:rPr>
          <w:rFonts w:ascii="Times New Roman" w:hAnsi="Times New Roman" w:cs="Times New Roman"/>
          <w:sz w:val="28"/>
          <w:szCs w:val="28"/>
        </w:rPr>
        <w:t>в виде снижения</w:t>
      </w:r>
      <w:r w:rsidR="00255978" w:rsidRPr="0018468C">
        <w:rPr>
          <w:rFonts w:ascii="Times New Roman" w:eastAsia="Calibri" w:hAnsi="Times New Roman" w:cs="Times New Roman"/>
          <w:sz w:val="28"/>
          <w:szCs w:val="28"/>
        </w:rPr>
        <w:t xml:space="preserve"> </w:t>
      </w:r>
      <w:r w:rsidR="00255978">
        <w:rPr>
          <w:rFonts w:ascii="Times New Roman" w:eastAsia="Calibri" w:hAnsi="Times New Roman" w:cs="Times New Roman"/>
          <w:sz w:val="28"/>
          <w:szCs w:val="28"/>
        </w:rPr>
        <w:t xml:space="preserve">ограничения </w:t>
      </w:r>
      <w:r w:rsidR="00255978" w:rsidRPr="00437528">
        <w:rPr>
          <w:rFonts w:ascii="Times New Roman" w:eastAsia="Calibri" w:hAnsi="Times New Roman" w:cs="Times New Roman"/>
          <w:sz w:val="28"/>
          <w:szCs w:val="28"/>
        </w:rPr>
        <w:t>повседневной деятельности</w:t>
      </w:r>
      <w:r w:rsidR="00255978">
        <w:rPr>
          <w:rFonts w:ascii="Times New Roman" w:eastAsia="Calibri" w:hAnsi="Times New Roman" w:cs="Times New Roman"/>
          <w:sz w:val="28"/>
          <w:szCs w:val="28"/>
        </w:rPr>
        <w:t>,</w:t>
      </w:r>
      <w:r w:rsidR="0007459B">
        <w:rPr>
          <w:rFonts w:ascii="Times New Roman" w:hAnsi="Times New Roman" w:cs="Times New Roman"/>
          <w:sz w:val="28"/>
          <w:szCs w:val="28"/>
        </w:rPr>
        <w:t xml:space="preserve"> </w:t>
      </w:r>
      <w:r w:rsidR="00255978" w:rsidRPr="00437528">
        <w:rPr>
          <w:rFonts w:ascii="Times New Roman" w:hAnsi="Times New Roman" w:cs="Times New Roman"/>
          <w:sz w:val="28"/>
          <w:szCs w:val="28"/>
        </w:rPr>
        <w:t>выраженности</w:t>
      </w:r>
      <w:r w:rsidR="00255978" w:rsidRPr="00437528">
        <w:rPr>
          <w:rFonts w:ascii="Times New Roman" w:eastAsia="Calibri" w:hAnsi="Times New Roman" w:cs="Times New Roman"/>
          <w:sz w:val="28"/>
          <w:szCs w:val="28"/>
        </w:rPr>
        <w:t xml:space="preserve"> симптомов раздражительности и усталости,</w:t>
      </w:r>
      <w:r w:rsidR="00255978">
        <w:rPr>
          <w:rFonts w:ascii="Times New Roman" w:eastAsia="Calibri" w:hAnsi="Times New Roman" w:cs="Times New Roman"/>
          <w:sz w:val="28"/>
          <w:szCs w:val="28"/>
        </w:rPr>
        <w:t xml:space="preserve"> а также улучшения качества сна</w:t>
      </w:r>
      <w:r w:rsidR="00255978" w:rsidRPr="00437528">
        <w:rPr>
          <w:rFonts w:ascii="Times New Roman" w:eastAsia="Calibri" w:hAnsi="Times New Roman" w:cs="Times New Roman"/>
          <w:sz w:val="28"/>
          <w:szCs w:val="28"/>
        </w:rPr>
        <w:t xml:space="preserve"> относительно группы контроля.</w:t>
      </w:r>
      <w:r w:rsidRPr="005C0281">
        <w:rPr>
          <w:rFonts w:ascii="Times New Roman" w:eastAsia="Calibri" w:hAnsi="Times New Roman" w:cs="Times New Roman"/>
          <w:sz w:val="28"/>
          <w:szCs w:val="28"/>
        </w:rPr>
        <w:t xml:space="preserve"> </w:t>
      </w:r>
      <w:r w:rsidR="00395656">
        <w:rPr>
          <w:rFonts w:ascii="Times New Roman" w:eastAsia="Calibri" w:hAnsi="Times New Roman" w:cs="Times New Roman"/>
          <w:sz w:val="28"/>
          <w:szCs w:val="28"/>
        </w:rPr>
        <w:t>В г</w:t>
      </w:r>
      <w:r w:rsidRPr="005C0281">
        <w:rPr>
          <w:rFonts w:ascii="Times New Roman" w:eastAsia="Calibri" w:hAnsi="Times New Roman" w:cs="Times New Roman"/>
          <w:sz w:val="28"/>
          <w:szCs w:val="28"/>
        </w:rPr>
        <w:t>рупп</w:t>
      </w:r>
      <w:r w:rsidR="00395656">
        <w:rPr>
          <w:rFonts w:ascii="Times New Roman" w:eastAsia="Calibri" w:hAnsi="Times New Roman" w:cs="Times New Roman"/>
          <w:sz w:val="28"/>
          <w:szCs w:val="28"/>
        </w:rPr>
        <w:t>е</w:t>
      </w:r>
      <w:r w:rsidRPr="005C0281">
        <w:rPr>
          <w:rFonts w:ascii="Times New Roman" w:eastAsia="Calibri" w:hAnsi="Times New Roman" w:cs="Times New Roman"/>
          <w:sz w:val="28"/>
          <w:szCs w:val="28"/>
        </w:rPr>
        <w:t xml:space="preserve"> вмешательства</w:t>
      </w:r>
      <w:r w:rsidRPr="005C0281">
        <w:rPr>
          <w:rFonts w:ascii="Times New Roman" w:hAnsi="Times New Roman" w:cs="Times New Roman"/>
          <w:sz w:val="28"/>
          <w:szCs w:val="28"/>
        </w:rPr>
        <w:t xml:space="preserve"> (АСИТ + витамин Д) на </w:t>
      </w:r>
      <w:r w:rsidR="00395656">
        <w:rPr>
          <w:rFonts w:ascii="Times New Roman" w:hAnsi="Times New Roman" w:cs="Times New Roman"/>
          <w:sz w:val="28"/>
          <w:szCs w:val="28"/>
        </w:rPr>
        <w:t>фоне проведенной терапии показан</w:t>
      </w:r>
      <w:r w:rsidRPr="005C0281">
        <w:rPr>
          <w:rFonts w:ascii="Times New Roman" w:hAnsi="Times New Roman" w:cs="Times New Roman"/>
          <w:sz w:val="28"/>
          <w:szCs w:val="28"/>
        </w:rPr>
        <w:t xml:space="preserve">а </w:t>
      </w:r>
      <w:r w:rsidR="00395656">
        <w:rPr>
          <w:rFonts w:ascii="Times New Roman" w:hAnsi="Times New Roman" w:cs="Times New Roman"/>
          <w:sz w:val="28"/>
          <w:szCs w:val="28"/>
        </w:rPr>
        <w:t>высокая клиническая</w:t>
      </w:r>
      <w:r w:rsidRPr="005C0281">
        <w:rPr>
          <w:rFonts w:ascii="Times New Roman" w:hAnsi="Times New Roman" w:cs="Times New Roman"/>
          <w:sz w:val="28"/>
          <w:szCs w:val="28"/>
        </w:rPr>
        <w:t xml:space="preserve"> эффективность</w:t>
      </w:r>
      <w:r w:rsidR="00395656">
        <w:rPr>
          <w:rFonts w:ascii="Times New Roman" w:hAnsi="Times New Roman" w:cs="Times New Roman"/>
          <w:sz w:val="28"/>
          <w:szCs w:val="28"/>
        </w:rPr>
        <w:t xml:space="preserve"> использования АСИТ в космплексе с витамином Д,</w:t>
      </w:r>
      <w:r w:rsidRPr="005C0281">
        <w:rPr>
          <w:rFonts w:ascii="Times New Roman" w:hAnsi="Times New Roman" w:cs="Times New Roman"/>
          <w:sz w:val="28"/>
          <w:szCs w:val="28"/>
        </w:rPr>
        <w:t xml:space="preserve"> в виде снижения динамики общего балла качества жизни с 19 до 7 баллов (</w:t>
      </w:r>
      <w:r w:rsidRPr="005C0281">
        <w:rPr>
          <w:rFonts w:ascii="Times New Roman" w:eastAsia="Calibri" w:hAnsi="Times New Roman" w:cs="Times New Roman"/>
          <w:sz w:val="28"/>
          <w:szCs w:val="28"/>
        </w:rPr>
        <w:sym w:font="Symbol" w:char="F03C"/>
      </w:r>
      <w:r w:rsidRPr="005C0281">
        <w:rPr>
          <w:rFonts w:ascii="Times New Roman" w:eastAsia="Calibri" w:hAnsi="Times New Roman" w:cs="Times New Roman"/>
          <w:sz w:val="28"/>
          <w:szCs w:val="28"/>
        </w:rPr>
        <w:t>0,001)</w:t>
      </w:r>
      <w:r w:rsidRPr="005C0281">
        <w:rPr>
          <w:rFonts w:ascii="Times New Roman" w:hAnsi="Times New Roman" w:cs="Times New Roman"/>
          <w:sz w:val="28"/>
          <w:szCs w:val="28"/>
        </w:rPr>
        <w:t xml:space="preserve">. </w:t>
      </w:r>
    </w:p>
    <w:p w14:paraId="5F1A3038" w14:textId="5432E0F9" w:rsidR="0068099C" w:rsidRDefault="005C0281" w:rsidP="0068099C">
      <w:pPr>
        <w:spacing w:after="0" w:line="240" w:lineRule="auto"/>
        <w:ind w:firstLine="567"/>
        <w:jc w:val="both"/>
        <w:rPr>
          <w:rFonts w:ascii="Times New Roman" w:eastAsia="Calibri" w:hAnsi="Times New Roman" w:cs="Times New Roman"/>
          <w:sz w:val="28"/>
          <w:szCs w:val="28"/>
        </w:rPr>
      </w:pPr>
      <w:r w:rsidRPr="005C0281">
        <w:rPr>
          <w:rFonts w:ascii="Times New Roman" w:eastAsia="Calibri" w:hAnsi="Times New Roman" w:cs="Times New Roman"/>
          <w:sz w:val="28"/>
          <w:szCs w:val="28"/>
        </w:rPr>
        <w:t xml:space="preserve">В ходе изучения результатов лабораторного исследования, мы выявили, что в группе вмешательства (АСИТ + витамин Д) после лечения </w:t>
      </w:r>
      <w:r w:rsidR="0068099C" w:rsidRPr="00437528">
        <w:rPr>
          <w:rFonts w:ascii="Times New Roman" w:eastAsia="Calibri" w:hAnsi="Times New Roman" w:cs="Times New Roman"/>
          <w:sz w:val="28"/>
          <w:szCs w:val="28"/>
        </w:rPr>
        <w:t xml:space="preserve">была достигнута </w:t>
      </w:r>
      <w:r w:rsidR="0068099C" w:rsidRPr="00437528">
        <w:rPr>
          <w:rFonts w:ascii="Times New Roman" w:hAnsi="Times New Roman" w:cs="Times New Roman"/>
          <w:sz w:val="28"/>
          <w:szCs w:val="28"/>
        </w:rPr>
        <w:t xml:space="preserve">высокая эффективность снижения </w:t>
      </w:r>
      <w:r w:rsidR="0068099C">
        <w:rPr>
          <w:rFonts w:ascii="Times New Roman" w:eastAsia="Calibri" w:hAnsi="Times New Roman" w:cs="Times New Roman"/>
          <w:sz w:val="28"/>
          <w:szCs w:val="28"/>
        </w:rPr>
        <w:t>показателей ЭКБ (</w:t>
      </w:r>
      <w:r w:rsidR="0068099C" w:rsidRPr="00437528">
        <w:rPr>
          <w:rFonts w:ascii="Times New Roman" w:hAnsi="Times New Roman" w:cs="Times New Roman"/>
          <w:sz w:val="28"/>
          <w:szCs w:val="28"/>
        </w:rPr>
        <w:t>32,61</w:t>
      </w:r>
      <w:r w:rsidR="0068099C">
        <w:rPr>
          <w:rFonts w:ascii="Times New Roman" w:hAnsi="Times New Roman" w:cs="Times New Roman"/>
          <w:sz w:val="28"/>
          <w:szCs w:val="28"/>
        </w:rPr>
        <w:t xml:space="preserve"> нг/мл и </w:t>
      </w:r>
      <w:r w:rsidR="0068099C" w:rsidRPr="00437528">
        <w:rPr>
          <w:rFonts w:ascii="Times New Roman" w:hAnsi="Times New Roman" w:cs="Times New Roman"/>
          <w:sz w:val="28"/>
          <w:szCs w:val="28"/>
        </w:rPr>
        <w:t>40,28 нг/мл</w:t>
      </w:r>
      <w:r w:rsidR="0068099C">
        <w:rPr>
          <w:rFonts w:ascii="Times New Roman" w:hAnsi="Times New Roman" w:cs="Times New Roman"/>
          <w:sz w:val="28"/>
          <w:szCs w:val="28"/>
        </w:rPr>
        <w:t xml:space="preserve"> соответственно, р=</w:t>
      </w:r>
      <w:r w:rsidR="0068099C" w:rsidRPr="00855A90">
        <w:rPr>
          <w:rFonts w:ascii="Times New Roman" w:hAnsi="Times New Roman" w:cs="Times New Roman"/>
          <w:sz w:val="28"/>
          <w:szCs w:val="28"/>
        </w:rPr>
        <w:t>0,006</w:t>
      </w:r>
      <w:r w:rsidR="0068099C">
        <w:rPr>
          <w:rFonts w:ascii="Times New Roman" w:eastAsia="Calibri" w:hAnsi="Times New Roman" w:cs="Times New Roman"/>
          <w:sz w:val="28"/>
          <w:szCs w:val="28"/>
        </w:rPr>
        <w:t>),</w:t>
      </w:r>
      <w:r w:rsidR="0068099C" w:rsidRPr="00437528">
        <w:rPr>
          <w:rFonts w:ascii="Times New Roman" w:eastAsia="Calibri" w:hAnsi="Times New Roman" w:cs="Times New Roman"/>
          <w:sz w:val="28"/>
          <w:szCs w:val="28"/>
        </w:rPr>
        <w:t xml:space="preserve"> общего</w:t>
      </w:r>
      <w:r w:rsidR="0068099C">
        <w:rPr>
          <w:rFonts w:ascii="Times New Roman" w:eastAsia="Calibri" w:hAnsi="Times New Roman" w:cs="Times New Roman"/>
          <w:sz w:val="28"/>
          <w:szCs w:val="28"/>
        </w:rPr>
        <w:t xml:space="preserve"> ИГЕ (</w:t>
      </w:r>
      <w:r w:rsidR="0068099C" w:rsidRPr="00437528">
        <w:rPr>
          <w:rFonts w:ascii="Times New Roman" w:eastAsia="Calibri" w:hAnsi="Times New Roman" w:cs="Times New Roman"/>
          <w:sz w:val="28"/>
          <w:szCs w:val="28"/>
        </w:rPr>
        <w:t>209,6 Ед/мл</w:t>
      </w:r>
      <w:r w:rsidR="0068099C">
        <w:rPr>
          <w:rFonts w:ascii="Times New Roman" w:eastAsia="Calibri" w:hAnsi="Times New Roman" w:cs="Times New Roman"/>
          <w:sz w:val="28"/>
          <w:szCs w:val="28"/>
        </w:rPr>
        <w:t xml:space="preserve"> и </w:t>
      </w:r>
      <w:r w:rsidR="0068099C" w:rsidRPr="00437528">
        <w:rPr>
          <w:rFonts w:ascii="Times New Roman" w:eastAsia="Calibri" w:hAnsi="Times New Roman" w:cs="Times New Roman"/>
          <w:sz w:val="28"/>
          <w:szCs w:val="28"/>
        </w:rPr>
        <w:t>299,75 Ед/мл</w:t>
      </w:r>
      <w:r w:rsidR="0068099C">
        <w:rPr>
          <w:rFonts w:ascii="Times New Roman" w:eastAsia="Calibri" w:hAnsi="Times New Roman" w:cs="Times New Roman"/>
          <w:sz w:val="28"/>
          <w:szCs w:val="28"/>
        </w:rPr>
        <w:t xml:space="preserve"> соответственно, р=</w:t>
      </w:r>
      <w:r w:rsidR="0068099C" w:rsidRPr="00855A90">
        <w:rPr>
          <w:rFonts w:ascii="Times New Roman" w:eastAsia="Calibri" w:hAnsi="Times New Roman" w:cs="Times New Roman"/>
          <w:sz w:val="28"/>
          <w:szCs w:val="28"/>
        </w:rPr>
        <w:t>0,004</w:t>
      </w:r>
      <w:r w:rsidR="0068099C">
        <w:rPr>
          <w:rFonts w:ascii="Times New Roman" w:eastAsia="Calibri" w:hAnsi="Times New Roman" w:cs="Times New Roman"/>
          <w:sz w:val="28"/>
          <w:szCs w:val="28"/>
        </w:rPr>
        <w:t xml:space="preserve">), </w:t>
      </w:r>
      <w:r w:rsidR="0068099C" w:rsidRPr="00437528">
        <w:rPr>
          <w:rFonts w:ascii="Times New Roman" w:eastAsia="Calibri" w:hAnsi="Times New Roman" w:cs="Times New Roman"/>
          <w:sz w:val="28"/>
          <w:szCs w:val="28"/>
        </w:rPr>
        <w:t>относительно группы контроля. Уровень витамина Д в группе вмешательства был повышен после проведенного лечения, в группе контроля уровень витамина Д в крови продолжал снижаться</w:t>
      </w:r>
      <w:r w:rsidR="0068099C">
        <w:rPr>
          <w:rFonts w:ascii="Times New Roman" w:eastAsia="Calibri" w:hAnsi="Times New Roman" w:cs="Times New Roman"/>
          <w:sz w:val="28"/>
          <w:szCs w:val="28"/>
        </w:rPr>
        <w:t xml:space="preserve"> (</w:t>
      </w:r>
      <w:r w:rsidR="0068099C" w:rsidRPr="00437528">
        <w:rPr>
          <w:rFonts w:ascii="Times New Roman" w:eastAsia="Calibri" w:hAnsi="Times New Roman" w:cs="Times New Roman"/>
          <w:sz w:val="28"/>
          <w:szCs w:val="28"/>
        </w:rPr>
        <w:t>37,6 нг/л</w:t>
      </w:r>
      <w:r w:rsidR="0068099C">
        <w:rPr>
          <w:rFonts w:ascii="Times New Roman" w:eastAsia="Calibri" w:hAnsi="Times New Roman" w:cs="Times New Roman"/>
          <w:sz w:val="28"/>
          <w:szCs w:val="28"/>
        </w:rPr>
        <w:t xml:space="preserve"> и </w:t>
      </w:r>
      <w:r w:rsidR="0068099C" w:rsidRPr="002A5F7A">
        <w:rPr>
          <w:rFonts w:ascii="Times New Roman" w:eastAsia="Calibri" w:hAnsi="Times New Roman" w:cs="Times New Roman"/>
          <w:sz w:val="28"/>
          <w:szCs w:val="28"/>
        </w:rPr>
        <w:t>13,4 нг/л</w:t>
      </w:r>
      <w:r w:rsidR="0068099C">
        <w:rPr>
          <w:rFonts w:ascii="Times New Roman" w:eastAsia="Calibri" w:hAnsi="Times New Roman" w:cs="Times New Roman"/>
          <w:sz w:val="28"/>
          <w:szCs w:val="28"/>
        </w:rPr>
        <w:t xml:space="preserve"> соответственно, </w:t>
      </w:r>
      <w:r w:rsidR="0068099C" w:rsidRPr="00437528">
        <w:rPr>
          <w:rFonts w:ascii="Times New Roman" w:hAnsi="Times New Roman" w:cs="Times New Roman"/>
          <w:sz w:val="28"/>
          <w:szCs w:val="28"/>
          <w:lang w:val="en-US"/>
        </w:rPr>
        <w:t>p</w:t>
      </w:r>
      <w:r w:rsidR="0068099C" w:rsidRPr="00437528">
        <w:rPr>
          <w:rFonts w:ascii="Times New Roman" w:hAnsi="Times New Roman" w:cs="Times New Roman"/>
          <w:sz w:val="28"/>
          <w:szCs w:val="28"/>
        </w:rPr>
        <w:sym w:font="Symbol" w:char="F03C"/>
      </w:r>
      <w:r w:rsidR="0068099C" w:rsidRPr="00437528">
        <w:rPr>
          <w:rFonts w:ascii="Times New Roman" w:hAnsi="Times New Roman" w:cs="Times New Roman"/>
          <w:sz w:val="28"/>
          <w:szCs w:val="28"/>
        </w:rPr>
        <w:t>0,001</w:t>
      </w:r>
      <w:r w:rsidR="0068099C">
        <w:rPr>
          <w:rFonts w:ascii="Times New Roman" w:eastAsia="Calibri" w:hAnsi="Times New Roman" w:cs="Times New Roman"/>
          <w:sz w:val="28"/>
          <w:szCs w:val="28"/>
        </w:rPr>
        <w:t>)</w:t>
      </w:r>
      <w:r w:rsidR="0068099C" w:rsidRPr="00437528">
        <w:rPr>
          <w:rFonts w:ascii="Times New Roman" w:eastAsia="Calibri" w:hAnsi="Times New Roman" w:cs="Times New Roman"/>
          <w:sz w:val="28"/>
          <w:szCs w:val="28"/>
        </w:rPr>
        <w:t>.</w:t>
      </w:r>
    </w:p>
    <w:p w14:paraId="273D440A" w14:textId="77777777" w:rsidR="005C0281" w:rsidRPr="005C0281" w:rsidRDefault="005C0281" w:rsidP="005C0281">
      <w:pPr>
        <w:spacing w:after="0" w:line="240" w:lineRule="auto"/>
        <w:ind w:firstLine="567"/>
        <w:jc w:val="both"/>
        <w:rPr>
          <w:rFonts w:ascii="Times New Roman" w:eastAsia="Calibri" w:hAnsi="Times New Roman" w:cs="Times New Roman"/>
          <w:sz w:val="28"/>
          <w:szCs w:val="28"/>
        </w:rPr>
      </w:pPr>
      <w:r w:rsidRPr="005C0281">
        <w:rPr>
          <w:rFonts w:ascii="Times New Roman" w:eastAsia="Calibri" w:hAnsi="Times New Roman" w:cs="Times New Roman"/>
          <w:sz w:val="28"/>
          <w:szCs w:val="28"/>
        </w:rPr>
        <w:t>В процессе изучения базового уровня витамина Д в крови, мы обнаружили наличие дефицита витамина Д (≤20 нг/мл) в крови у 54% пациентов с сезонным аллергическим ринитом в группе вмешательства (АСИТ + витамин Д) и у 63% в группе контроля (АСИТ). Анализ динамики уровня витамина Д после проведенного лечения показал положительный прирост в группе вмешательства с 16,32 нг/мл до 37,6 нг/мл (р</w:t>
      </w:r>
      <w:r w:rsidRPr="005C0281">
        <w:rPr>
          <w:rFonts w:ascii="Times New Roman" w:eastAsia="Calibri" w:hAnsi="Times New Roman" w:cs="Times New Roman"/>
          <w:sz w:val="28"/>
          <w:szCs w:val="28"/>
        </w:rPr>
        <w:sym w:font="Symbol" w:char="F03C"/>
      </w:r>
      <w:r w:rsidRPr="005C0281">
        <w:rPr>
          <w:rFonts w:ascii="Times New Roman" w:eastAsia="Calibri" w:hAnsi="Times New Roman" w:cs="Times New Roman"/>
          <w:sz w:val="28"/>
          <w:szCs w:val="28"/>
        </w:rPr>
        <w:t>0,001). Группа контроля продемонстрировала отрицательную динамику прироста витамина Д в крови пациентов с 15,65 нг/мл до 13,4 нг/мл (р</w:t>
      </w:r>
      <w:r w:rsidRPr="005C0281">
        <w:rPr>
          <w:rFonts w:ascii="Times New Roman" w:eastAsia="Calibri" w:hAnsi="Times New Roman" w:cs="Times New Roman"/>
          <w:sz w:val="28"/>
          <w:szCs w:val="28"/>
        </w:rPr>
        <w:sym w:font="Symbol" w:char="F03C"/>
      </w:r>
      <w:r w:rsidRPr="005C0281">
        <w:rPr>
          <w:rFonts w:ascii="Times New Roman" w:eastAsia="Calibri" w:hAnsi="Times New Roman" w:cs="Times New Roman"/>
          <w:sz w:val="28"/>
          <w:szCs w:val="28"/>
        </w:rPr>
        <w:t>0,001).</w:t>
      </w:r>
    </w:p>
    <w:p w14:paraId="46B66CD2" w14:textId="692B1073" w:rsidR="001B72D4" w:rsidRPr="00437528" w:rsidRDefault="005C0281" w:rsidP="001B72D4">
      <w:pPr>
        <w:spacing w:after="0" w:line="240" w:lineRule="auto"/>
        <w:ind w:firstLine="567"/>
        <w:jc w:val="both"/>
        <w:rPr>
          <w:rFonts w:ascii="Times New Roman" w:eastAsia="Calibri" w:hAnsi="Times New Roman" w:cs="Times New Roman"/>
          <w:sz w:val="28"/>
          <w:szCs w:val="28"/>
        </w:rPr>
      </w:pPr>
      <w:r w:rsidRPr="005C0281">
        <w:rPr>
          <w:rFonts w:ascii="Times New Roman" w:eastAsia="Calibri" w:hAnsi="Times New Roman" w:cs="Times New Roman"/>
          <w:sz w:val="28"/>
          <w:szCs w:val="28"/>
        </w:rPr>
        <w:t xml:space="preserve">Корреляционный анализ лабораторных маркеров эффективности АСИТ в комплексе с витамином Д с наибольшей прогностической значимостью выявил сильную обратно пропорциональную корреляцию общего балла тяжести симптомов с базовым уровнем витамина </w:t>
      </w:r>
      <w:r w:rsidR="001B72D4" w:rsidRPr="00875616">
        <w:rPr>
          <w:rFonts w:ascii="Times New Roman" w:eastAsia="Calibri" w:hAnsi="Times New Roman" w:cs="Times New Roman"/>
          <w:sz w:val="28"/>
          <w:szCs w:val="28"/>
        </w:rPr>
        <w:t>витамина Д в крови (</w:t>
      </w:r>
      <w:r w:rsidR="001B72D4" w:rsidRPr="00875616">
        <w:rPr>
          <w:rFonts w:ascii="Times New Roman" w:eastAsia="Calibri" w:hAnsi="Times New Roman" w:cs="Times New Roman"/>
          <w:sz w:val="28"/>
          <w:szCs w:val="28"/>
          <w:lang w:val="en-US"/>
        </w:rPr>
        <w:t>r</w:t>
      </w:r>
      <w:r w:rsidR="001B72D4" w:rsidRPr="00875616">
        <w:rPr>
          <w:rFonts w:ascii="Times New Roman" w:eastAsia="Calibri" w:hAnsi="Times New Roman" w:cs="Times New Roman"/>
          <w:sz w:val="28"/>
          <w:szCs w:val="28"/>
        </w:rPr>
        <w:t xml:space="preserve">=-0,8; </w:t>
      </w:r>
      <w:r w:rsidR="001B72D4" w:rsidRPr="00875616">
        <w:rPr>
          <w:rFonts w:ascii="Times New Roman" w:eastAsia="Calibri" w:hAnsi="Times New Roman" w:cs="Times New Roman"/>
          <w:sz w:val="28"/>
          <w:szCs w:val="28"/>
          <w:lang w:val="en-US"/>
        </w:rPr>
        <w:t>p</w:t>
      </w:r>
      <w:r w:rsidR="001B72D4">
        <w:rPr>
          <w:rFonts w:ascii="Times New Roman" w:eastAsia="Calibri" w:hAnsi="Times New Roman" w:cs="Times New Roman"/>
          <w:sz w:val="28"/>
          <w:szCs w:val="28"/>
        </w:rPr>
        <w:t>=</w:t>
      </w:r>
      <w:r w:rsidR="001B72D4" w:rsidRPr="00875616">
        <w:rPr>
          <w:rFonts w:ascii="Times New Roman" w:eastAsia="Calibri" w:hAnsi="Times New Roman" w:cs="Times New Roman"/>
          <w:sz w:val="28"/>
          <w:szCs w:val="28"/>
        </w:rPr>
        <w:t>0,</w:t>
      </w:r>
      <w:r w:rsidR="001B72D4">
        <w:rPr>
          <w:rFonts w:ascii="Times New Roman" w:eastAsia="Calibri" w:hAnsi="Times New Roman" w:cs="Times New Roman"/>
          <w:sz w:val="28"/>
          <w:szCs w:val="28"/>
        </w:rPr>
        <w:t>00000</w:t>
      </w:r>
      <w:r w:rsidR="001B72D4" w:rsidRPr="00437528">
        <w:rPr>
          <w:rFonts w:ascii="Times New Roman" w:eastAsia="Calibri" w:hAnsi="Times New Roman" w:cs="Times New Roman"/>
          <w:sz w:val="28"/>
          <w:szCs w:val="28"/>
        </w:rPr>
        <w:t xml:space="preserve">). </w:t>
      </w:r>
      <w:r w:rsidR="001B72D4" w:rsidRPr="00F70486">
        <w:rPr>
          <w:rFonts w:ascii="Times New Roman" w:eastAsia="Calibri" w:hAnsi="Times New Roman" w:cs="Times New Roman"/>
          <w:sz w:val="28"/>
          <w:szCs w:val="28"/>
        </w:rPr>
        <w:t xml:space="preserve">Сильную </w:t>
      </w:r>
      <w:r w:rsidR="001B72D4" w:rsidRPr="003C78DF">
        <w:rPr>
          <w:rFonts w:ascii="Times New Roman" w:eastAsia="Calibri" w:hAnsi="Times New Roman" w:cs="Times New Roman"/>
          <w:sz w:val="28"/>
          <w:szCs w:val="28"/>
        </w:rPr>
        <w:t>положительную корреляционную связь общий балл тяжести симптомов имел с показателями общего иммуноглобулина Е (</w:t>
      </w:r>
      <w:r w:rsidR="001B72D4" w:rsidRPr="003C78DF">
        <w:rPr>
          <w:rFonts w:ascii="Times New Roman" w:eastAsia="Calibri" w:hAnsi="Times New Roman" w:cs="Times New Roman"/>
          <w:sz w:val="28"/>
          <w:szCs w:val="28"/>
          <w:lang w:val="en-US"/>
        </w:rPr>
        <w:t>r</w:t>
      </w:r>
      <w:r w:rsidR="001B72D4" w:rsidRPr="003C78DF">
        <w:rPr>
          <w:rFonts w:ascii="Times New Roman" w:eastAsia="Calibri" w:hAnsi="Times New Roman" w:cs="Times New Roman"/>
          <w:sz w:val="28"/>
          <w:szCs w:val="28"/>
        </w:rPr>
        <w:t xml:space="preserve">=0,9; </w:t>
      </w:r>
      <w:r w:rsidR="001B72D4" w:rsidRPr="003C78DF">
        <w:rPr>
          <w:rFonts w:ascii="Times New Roman" w:eastAsia="Calibri" w:hAnsi="Times New Roman" w:cs="Times New Roman"/>
          <w:sz w:val="28"/>
          <w:szCs w:val="28"/>
          <w:lang w:val="en-US"/>
        </w:rPr>
        <w:t>p</w:t>
      </w:r>
      <w:r w:rsidR="001B72D4" w:rsidRPr="003C78DF">
        <w:rPr>
          <w:rFonts w:ascii="Times New Roman" w:eastAsia="Calibri" w:hAnsi="Times New Roman" w:cs="Times New Roman"/>
          <w:sz w:val="28"/>
          <w:szCs w:val="28"/>
        </w:rPr>
        <w:t>=0,00000), эозинофильного катионного белка (</w:t>
      </w:r>
      <w:r w:rsidR="001B72D4" w:rsidRPr="003C78DF">
        <w:rPr>
          <w:rFonts w:ascii="Times New Roman" w:eastAsia="Calibri" w:hAnsi="Times New Roman" w:cs="Times New Roman"/>
          <w:sz w:val="28"/>
          <w:szCs w:val="28"/>
          <w:lang w:val="en-US"/>
        </w:rPr>
        <w:t>r</w:t>
      </w:r>
      <w:r w:rsidR="001B72D4" w:rsidRPr="003C78DF">
        <w:rPr>
          <w:rFonts w:ascii="Times New Roman" w:eastAsia="Calibri" w:hAnsi="Times New Roman" w:cs="Times New Roman"/>
          <w:sz w:val="28"/>
          <w:szCs w:val="28"/>
        </w:rPr>
        <w:t xml:space="preserve">=0,8; </w:t>
      </w:r>
      <w:r w:rsidR="001B72D4" w:rsidRPr="003C78DF">
        <w:rPr>
          <w:rFonts w:ascii="Times New Roman" w:eastAsia="Calibri" w:hAnsi="Times New Roman" w:cs="Times New Roman"/>
          <w:sz w:val="28"/>
          <w:szCs w:val="28"/>
          <w:lang w:val="en-US"/>
        </w:rPr>
        <w:t>p</w:t>
      </w:r>
      <w:r w:rsidR="005E0E03">
        <w:rPr>
          <w:rFonts w:ascii="Times New Roman" w:eastAsia="Calibri" w:hAnsi="Times New Roman" w:cs="Times New Roman"/>
          <w:sz w:val="28"/>
          <w:szCs w:val="28"/>
        </w:rPr>
        <w:t>&lt;0,001) и специфического ИГЕ к компонентам аллергенов</w:t>
      </w:r>
      <w:r w:rsidR="001B72D4" w:rsidRPr="003C78DF">
        <w:rPr>
          <w:rFonts w:ascii="Times New Roman" w:eastAsia="Calibri" w:hAnsi="Times New Roman" w:cs="Times New Roman"/>
          <w:sz w:val="28"/>
          <w:szCs w:val="28"/>
        </w:rPr>
        <w:t xml:space="preserve"> sIgE rPhlp1 (</w:t>
      </w:r>
      <w:r w:rsidR="001B72D4" w:rsidRPr="003C78DF">
        <w:rPr>
          <w:rFonts w:ascii="Times New Roman" w:eastAsia="Calibri" w:hAnsi="Times New Roman" w:cs="Times New Roman"/>
          <w:sz w:val="28"/>
          <w:szCs w:val="28"/>
          <w:lang w:val="en-US"/>
        </w:rPr>
        <w:t>r</w:t>
      </w:r>
      <w:r w:rsidR="001B72D4" w:rsidRPr="003C78DF">
        <w:rPr>
          <w:rFonts w:ascii="Times New Roman" w:eastAsia="Calibri" w:hAnsi="Times New Roman" w:cs="Times New Roman"/>
          <w:sz w:val="28"/>
          <w:szCs w:val="28"/>
        </w:rPr>
        <w:t xml:space="preserve">=0,7; </w:t>
      </w:r>
      <w:r w:rsidR="001B72D4" w:rsidRPr="003C78DF">
        <w:rPr>
          <w:rFonts w:ascii="Times New Roman" w:eastAsia="Calibri" w:hAnsi="Times New Roman" w:cs="Times New Roman"/>
          <w:sz w:val="28"/>
          <w:szCs w:val="28"/>
          <w:lang w:val="en-US"/>
        </w:rPr>
        <w:t>p</w:t>
      </w:r>
      <w:r w:rsidR="001B72D4" w:rsidRPr="003C78DF">
        <w:rPr>
          <w:rFonts w:ascii="Times New Roman" w:eastAsia="Calibri" w:hAnsi="Times New Roman" w:cs="Times New Roman"/>
          <w:sz w:val="28"/>
          <w:szCs w:val="28"/>
        </w:rPr>
        <w:t xml:space="preserve">&lt;0,0008), </w:t>
      </w:r>
      <w:r w:rsidR="001B72D4" w:rsidRPr="003C78DF">
        <w:rPr>
          <w:rFonts w:ascii="Times New Roman" w:eastAsia="Calibri" w:hAnsi="Times New Roman" w:cs="Times New Roman"/>
          <w:sz w:val="28"/>
          <w:szCs w:val="28"/>
          <w:lang w:val="en-US"/>
        </w:rPr>
        <w:t>sIgE</w:t>
      </w:r>
      <w:r w:rsidR="001B72D4" w:rsidRPr="003C78DF">
        <w:rPr>
          <w:rFonts w:ascii="Times New Roman" w:eastAsia="Calibri" w:hAnsi="Times New Roman" w:cs="Times New Roman"/>
          <w:sz w:val="28"/>
          <w:szCs w:val="28"/>
        </w:rPr>
        <w:t xml:space="preserve"> </w:t>
      </w:r>
      <w:r w:rsidR="001B72D4" w:rsidRPr="003C78DF">
        <w:rPr>
          <w:rFonts w:ascii="Times New Roman" w:eastAsia="Calibri" w:hAnsi="Times New Roman" w:cs="Times New Roman"/>
          <w:sz w:val="28"/>
          <w:szCs w:val="28"/>
          <w:lang w:val="en-US"/>
        </w:rPr>
        <w:t>rPhlp</w:t>
      </w:r>
      <w:r w:rsidR="001B72D4" w:rsidRPr="003C78DF">
        <w:rPr>
          <w:rFonts w:ascii="Times New Roman" w:eastAsia="Calibri" w:hAnsi="Times New Roman" w:cs="Times New Roman"/>
          <w:sz w:val="28"/>
          <w:szCs w:val="28"/>
        </w:rPr>
        <w:t>5 (</w:t>
      </w:r>
      <w:r w:rsidR="001B72D4" w:rsidRPr="003C78DF">
        <w:rPr>
          <w:rFonts w:ascii="Times New Roman" w:eastAsia="Calibri" w:hAnsi="Times New Roman" w:cs="Times New Roman"/>
          <w:sz w:val="28"/>
          <w:szCs w:val="28"/>
          <w:lang w:val="en-US"/>
        </w:rPr>
        <w:t>r</w:t>
      </w:r>
      <w:r w:rsidR="001B72D4" w:rsidRPr="003C78DF">
        <w:rPr>
          <w:rFonts w:ascii="Times New Roman" w:eastAsia="Calibri" w:hAnsi="Times New Roman" w:cs="Times New Roman"/>
          <w:sz w:val="28"/>
          <w:szCs w:val="28"/>
        </w:rPr>
        <w:t xml:space="preserve">=0,7; </w:t>
      </w:r>
      <w:r w:rsidR="001B72D4" w:rsidRPr="003C78DF">
        <w:rPr>
          <w:rFonts w:ascii="Times New Roman" w:eastAsia="Calibri" w:hAnsi="Times New Roman" w:cs="Times New Roman"/>
          <w:sz w:val="28"/>
          <w:szCs w:val="28"/>
          <w:lang w:val="en-US"/>
        </w:rPr>
        <w:t>p</w:t>
      </w:r>
      <w:r w:rsidR="001B72D4" w:rsidRPr="003C78DF">
        <w:rPr>
          <w:rFonts w:ascii="Times New Roman" w:eastAsia="Calibri" w:hAnsi="Times New Roman" w:cs="Times New Roman"/>
          <w:sz w:val="28"/>
          <w:szCs w:val="28"/>
        </w:rPr>
        <w:t xml:space="preserve">=0,1428), </w:t>
      </w:r>
      <w:r w:rsidR="001B72D4" w:rsidRPr="003C78DF">
        <w:rPr>
          <w:rFonts w:ascii="Times New Roman" w:eastAsia="Calibri" w:hAnsi="Times New Roman" w:cs="Times New Roman"/>
          <w:sz w:val="28"/>
          <w:szCs w:val="28"/>
          <w:lang w:val="en-US"/>
        </w:rPr>
        <w:t>sIgE</w:t>
      </w:r>
      <w:r w:rsidR="001B72D4" w:rsidRPr="003C78DF">
        <w:rPr>
          <w:rFonts w:ascii="Times New Roman" w:eastAsia="Calibri" w:hAnsi="Times New Roman" w:cs="Times New Roman"/>
          <w:sz w:val="28"/>
          <w:szCs w:val="28"/>
        </w:rPr>
        <w:t xml:space="preserve"> </w:t>
      </w:r>
      <w:r w:rsidR="001B72D4" w:rsidRPr="003C78DF">
        <w:rPr>
          <w:rFonts w:ascii="Times New Roman" w:eastAsia="Calibri" w:hAnsi="Times New Roman" w:cs="Times New Roman"/>
          <w:sz w:val="28"/>
          <w:szCs w:val="28"/>
          <w:lang w:val="en-US"/>
        </w:rPr>
        <w:t>rBet</w:t>
      </w:r>
      <w:r w:rsidR="001B72D4" w:rsidRPr="003C78DF">
        <w:rPr>
          <w:rFonts w:ascii="Times New Roman" w:eastAsia="Calibri" w:hAnsi="Times New Roman" w:cs="Times New Roman"/>
          <w:sz w:val="28"/>
          <w:szCs w:val="28"/>
        </w:rPr>
        <w:t xml:space="preserve"> </w:t>
      </w:r>
      <w:r w:rsidR="001B72D4" w:rsidRPr="003C78DF">
        <w:rPr>
          <w:rFonts w:ascii="Times New Roman" w:eastAsia="Calibri" w:hAnsi="Times New Roman" w:cs="Times New Roman"/>
          <w:sz w:val="28"/>
          <w:szCs w:val="28"/>
          <w:lang w:val="en-US"/>
        </w:rPr>
        <w:t>v</w:t>
      </w:r>
      <w:r w:rsidR="001B72D4" w:rsidRPr="003C78DF">
        <w:rPr>
          <w:rFonts w:ascii="Times New Roman" w:eastAsia="Calibri" w:hAnsi="Times New Roman" w:cs="Times New Roman"/>
          <w:sz w:val="28"/>
          <w:szCs w:val="28"/>
        </w:rPr>
        <w:t>1 (</w:t>
      </w:r>
      <w:r w:rsidR="001B72D4" w:rsidRPr="003C78DF">
        <w:rPr>
          <w:rFonts w:ascii="Times New Roman" w:eastAsia="Calibri" w:hAnsi="Times New Roman" w:cs="Times New Roman"/>
          <w:sz w:val="28"/>
          <w:szCs w:val="28"/>
          <w:lang w:val="en-US"/>
        </w:rPr>
        <w:t>r</w:t>
      </w:r>
      <w:r w:rsidR="001B72D4" w:rsidRPr="003C78DF">
        <w:rPr>
          <w:rFonts w:ascii="Times New Roman" w:eastAsia="Calibri" w:hAnsi="Times New Roman" w:cs="Times New Roman"/>
          <w:sz w:val="28"/>
          <w:szCs w:val="28"/>
        </w:rPr>
        <w:t xml:space="preserve">=0,7; </w:t>
      </w:r>
      <w:r w:rsidR="001B72D4" w:rsidRPr="003C78DF">
        <w:rPr>
          <w:rFonts w:ascii="Times New Roman" w:eastAsia="Calibri" w:hAnsi="Times New Roman" w:cs="Times New Roman"/>
          <w:sz w:val="28"/>
          <w:szCs w:val="28"/>
          <w:lang w:val="en-US"/>
        </w:rPr>
        <w:t>p</w:t>
      </w:r>
      <w:r w:rsidR="001B72D4" w:rsidRPr="003C78DF">
        <w:rPr>
          <w:rFonts w:ascii="Times New Roman" w:eastAsia="Calibri" w:hAnsi="Times New Roman" w:cs="Times New Roman"/>
          <w:sz w:val="28"/>
          <w:szCs w:val="28"/>
        </w:rPr>
        <w:t xml:space="preserve">=0,1866), </w:t>
      </w:r>
      <w:r w:rsidR="001B72D4" w:rsidRPr="003C78DF">
        <w:rPr>
          <w:rFonts w:ascii="Times New Roman" w:eastAsia="Calibri" w:hAnsi="Times New Roman" w:cs="Times New Roman"/>
          <w:sz w:val="28"/>
          <w:szCs w:val="28"/>
          <w:lang w:val="en-US"/>
        </w:rPr>
        <w:t>sIgE</w:t>
      </w:r>
      <w:r w:rsidR="001B72D4" w:rsidRPr="003C78DF">
        <w:rPr>
          <w:rFonts w:ascii="Times New Roman" w:eastAsia="Calibri" w:hAnsi="Times New Roman" w:cs="Times New Roman"/>
          <w:sz w:val="28"/>
          <w:szCs w:val="28"/>
        </w:rPr>
        <w:t xml:space="preserve"> </w:t>
      </w:r>
      <w:r w:rsidR="001B72D4" w:rsidRPr="003C78DF">
        <w:rPr>
          <w:rFonts w:ascii="Times New Roman" w:eastAsia="Calibri" w:hAnsi="Times New Roman" w:cs="Times New Roman"/>
          <w:sz w:val="28"/>
          <w:szCs w:val="28"/>
          <w:lang w:val="en-US"/>
        </w:rPr>
        <w:t>nArt</w:t>
      </w:r>
      <w:r w:rsidR="001B72D4" w:rsidRPr="003C78DF">
        <w:rPr>
          <w:rFonts w:ascii="Times New Roman" w:eastAsia="Calibri" w:hAnsi="Times New Roman" w:cs="Times New Roman"/>
          <w:sz w:val="28"/>
          <w:szCs w:val="28"/>
        </w:rPr>
        <w:t xml:space="preserve"> </w:t>
      </w:r>
      <w:r w:rsidR="001B72D4" w:rsidRPr="003C78DF">
        <w:rPr>
          <w:rFonts w:ascii="Times New Roman" w:eastAsia="Calibri" w:hAnsi="Times New Roman" w:cs="Times New Roman"/>
          <w:sz w:val="28"/>
          <w:szCs w:val="28"/>
          <w:lang w:val="en-US"/>
        </w:rPr>
        <w:t>v</w:t>
      </w:r>
      <w:r w:rsidR="001B72D4" w:rsidRPr="003C78DF">
        <w:rPr>
          <w:rFonts w:ascii="Times New Roman" w:eastAsia="Calibri" w:hAnsi="Times New Roman" w:cs="Times New Roman"/>
          <w:sz w:val="28"/>
          <w:szCs w:val="28"/>
        </w:rPr>
        <w:t>1 (</w:t>
      </w:r>
      <w:r w:rsidR="001B72D4" w:rsidRPr="003C78DF">
        <w:rPr>
          <w:rFonts w:ascii="Times New Roman" w:eastAsia="Calibri" w:hAnsi="Times New Roman" w:cs="Times New Roman"/>
          <w:sz w:val="28"/>
          <w:szCs w:val="28"/>
          <w:lang w:val="en-US"/>
        </w:rPr>
        <w:t>r</w:t>
      </w:r>
      <w:r w:rsidR="001B72D4" w:rsidRPr="003C78DF">
        <w:rPr>
          <w:rFonts w:ascii="Times New Roman" w:eastAsia="Calibri" w:hAnsi="Times New Roman" w:cs="Times New Roman"/>
          <w:sz w:val="28"/>
          <w:szCs w:val="28"/>
        </w:rPr>
        <w:t xml:space="preserve">=0,7; </w:t>
      </w:r>
      <w:r w:rsidR="001B72D4" w:rsidRPr="003C78DF">
        <w:rPr>
          <w:rFonts w:ascii="Times New Roman" w:eastAsia="Calibri" w:hAnsi="Times New Roman" w:cs="Times New Roman"/>
          <w:sz w:val="28"/>
          <w:szCs w:val="28"/>
          <w:lang w:val="en-US"/>
        </w:rPr>
        <w:t>p</w:t>
      </w:r>
      <w:r w:rsidR="001B72D4" w:rsidRPr="003C78DF">
        <w:rPr>
          <w:rFonts w:ascii="Times New Roman" w:eastAsia="Calibri" w:hAnsi="Times New Roman" w:cs="Times New Roman"/>
          <w:sz w:val="28"/>
          <w:szCs w:val="28"/>
        </w:rPr>
        <w:t xml:space="preserve">&lt;0,00001). </w:t>
      </w:r>
      <w:r w:rsidR="001B72D4" w:rsidRPr="00437528">
        <w:rPr>
          <w:rFonts w:ascii="Times New Roman" w:eastAsia="Calibri" w:hAnsi="Times New Roman" w:cs="Times New Roman"/>
          <w:sz w:val="28"/>
          <w:szCs w:val="28"/>
        </w:rPr>
        <w:t>Сильная обратно пропорциональная корреляционная связь обнаружена между общим баллом качества жизни и базовым уровнем витамина Д в крови (</w:t>
      </w:r>
      <w:r w:rsidR="001B72D4" w:rsidRPr="00437528">
        <w:rPr>
          <w:rFonts w:ascii="Times New Roman" w:eastAsia="Calibri" w:hAnsi="Times New Roman" w:cs="Times New Roman"/>
          <w:sz w:val="28"/>
          <w:szCs w:val="28"/>
          <w:lang w:val="en-US"/>
        </w:rPr>
        <w:t>r</w:t>
      </w:r>
      <w:r w:rsidR="001B72D4" w:rsidRPr="00437528">
        <w:rPr>
          <w:rFonts w:ascii="Times New Roman" w:eastAsia="Calibri" w:hAnsi="Times New Roman" w:cs="Times New Roman"/>
          <w:sz w:val="28"/>
          <w:szCs w:val="28"/>
        </w:rPr>
        <w:t xml:space="preserve">=-0,8; </w:t>
      </w:r>
      <w:r w:rsidR="001B72D4" w:rsidRPr="00437528">
        <w:rPr>
          <w:rFonts w:ascii="Times New Roman" w:eastAsia="Calibri" w:hAnsi="Times New Roman" w:cs="Times New Roman"/>
          <w:sz w:val="28"/>
          <w:szCs w:val="28"/>
          <w:lang w:val="en-US"/>
        </w:rPr>
        <w:t>p</w:t>
      </w:r>
      <w:r w:rsidR="001B72D4">
        <w:rPr>
          <w:rFonts w:ascii="Times New Roman" w:eastAsia="Calibri" w:hAnsi="Times New Roman" w:cs="Times New Roman"/>
          <w:sz w:val="28"/>
          <w:szCs w:val="28"/>
        </w:rPr>
        <w:t>=0,00000</w:t>
      </w:r>
      <w:r w:rsidR="001B72D4" w:rsidRPr="004747FA">
        <w:rPr>
          <w:rFonts w:ascii="Times New Roman" w:eastAsia="Calibri" w:hAnsi="Times New Roman" w:cs="Times New Roman"/>
          <w:sz w:val="28"/>
          <w:szCs w:val="28"/>
        </w:rPr>
        <w:t xml:space="preserve"> </w:t>
      </w:r>
      <w:r w:rsidR="001B72D4" w:rsidRPr="003C78DF">
        <w:rPr>
          <w:rFonts w:ascii="Times New Roman" w:eastAsia="Calibri" w:hAnsi="Times New Roman" w:cs="Times New Roman"/>
          <w:sz w:val="28"/>
          <w:szCs w:val="28"/>
        </w:rPr>
        <w:t xml:space="preserve">Сильную положительную корреляционную связь общий балл </w:t>
      </w:r>
      <w:r w:rsidR="000712C0">
        <w:rPr>
          <w:rFonts w:ascii="Times New Roman" w:eastAsia="Calibri" w:hAnsi="Times New Roman" w:cs="Times New Roman"/>
          <w:sz w:val="28"/>
          <w:szCs w:val="28"/>
        </w:rPr>
        <w:t>качесива жизни</w:t>
      </w:r>
      <w:r w:rsidR="001B72D4" w:rsidRPr="003C78DF">
        <w:rPr>
          <w:rFonts w:ascii="Times New Roman" w:eastAsia="Calibri" w:hAnsi="Times New Roman" w:cs="Times New Roman"/>
          <w:sz w:val="28"/>
          <w:szCs w:val="28"/>
        </w:rPr>
        <w:t xml:space="preserve"> имел с показателями общего иммуноглобулина Е (</w:t>
      </w:r>
      <w:r w:rsidR="001B72D4" w:rsidRPr="003C78DF">
        <w:rPr>
          <w:rFonts w:ascii="Times New Roman" w:eastAsia="Calibri" w:hAnsi="Times New Roman" w:cs="Times New Roman"/>
          <w:sz w:val="28"/>
          <w:szCs w:val="28"/>
          <w:lang w:val="en-US"/>
        </w:rPr>
        <w:t>r</w:t>
      </w:r>
      <w:r w:rsidR="001B72D4" w:rsidRPr="003C78DF">
        <w:rPr>
          <w:rFonts w:ascii="Times New Roman" w:eastAsia="Calibri" w:hAnsi="Times New Roman" w:cs="Times New Roman"/>
          <w:sz w:val="28"/>
          <w:szCs w:val="28"/>
        </w:rPr>
        <w:t xml:space="preserve">=0,9; </w:t>
      </w:r>
      <w:r w:rsidR="001B72D4" w:rsidRPr="003C78DF">
        <w:rPr>
          <w:rFonts w:ascii="Times New Roman" w:eastAsia="Calibri" w:hAnsi="Times New Roman" w:cs="Times New Roman"/>
          <w:sz w:val="28"/>
          <w:szCs w:val="28"/>
          <w:lang w:val="en-US"/>
        </w:rPr>
        <w:t>p</w:t>
      </w:r>
      <w:r w:rsidR="001B72D4" w:rsidRPr="003C78DF">
        <w:rPr>
          <w:rFonts w:ascii="Times New Roman" w:eastAsia="Calibri" w:hAnsi="Times New Roman" w:cs="Times New Roman"/>
          <w:sz w:val="28"/>
          <w:szCs w:val="28"/>
        </w:rPr>
        <w:t>&lt;0,00000), эозинофильного катионного белка (</w:t>
      </w:r>
      <w:r w:rsidR="001B72D4" w:rsidRPr="003C78DF">
        <w:rPr>
          <w:rFonts w:ascii="Times New Roman" w:eastAsia="Calibri" w:hAnsi="Times New Roman" w:cs="Times New Roman"/>
          <w:sz w:val="28"/>
          <w:szCs w:val="28"/>
          <w:lang w:val="en-US"/>
        </w:rPr>
        <w:t>r</w:t>
      </w:r>
      <w:r w:rsidR="001B72D4" w:rsidRPr="003C78DF">
        <w:rPr>
          <w:rFonts w:ascii="Times New Roman" w:eastAsia="Calibri" w:hAnsi="Times New Roman" w:cs="Times New Roman"/>
          <w:sz w:val="28"/>
          <w:szCs w:val="28"/>
        </w:rPr>
        <w:t xml:space="preserve">=0,8; </w:t>
      </w:r>
      <w:r w:rsidR="001B72D4" w:rsidRPr="003C78DF">
        <w:rPr>
          <w:rFonts w:ascii="Times New Roman" w:eastAsia="Calibri" w:hAnsi="Times New Roman" w:cs="Times New Roman"/>
          <w:sz w:val="28"/>
          <w:szCs w:val="28"/>
          <w:lang w:val="en-US"/>
        </w:rPr>
        <w:t>p</w:t>
      </w:r>
      <w:r w:rsidR="001B72D4" w:rsidRPr="003C78DF">
        <w:rPr>
          <w:rFonts w:ascii="Times New Roman" w:eastAsia="Calibri" w:hAnsi="Times New Roman" w:cs="Times New Roman"/>
          <w:sz w:val="28"/>
          <w:szCs w:val="28"/>
        </w:rPr>
        <w:t>&lt;0,00000), sIgE rPhlp1 (</w:t>
      </w:r>
      <w:r w:rsidR="001B72D4" w:rsidRPr="003C78DF">
        <w:rPr>
          <w:rFonts w:ascii="Times New Roman" w:eastAsia="Calibri" w:hAnsi="Times New Roman" w:cs="Times New Roman"/>
          <w:sz w:val="28"/>
          <w:szCs w:val="28"/>
          <w:lang w:val="en-US"/>
        </w:rPr>
        <w:t>r</w:t>
      </w:r>
      <w:r w:rsidR="001B72D4" w:rsidRPr="003C78DF">
        <w:rPr>
          <w:rFonts w:ascii="Times New Roman" w:eastAsia="Calibri" w:hAnsi="Times New Roman" w:cs="Times New Roman"/>
          <w:sz w:val="28"/>
          <w:szCs w:val="28"/>
        </w:rPr>
        <w:t xml:space="preserve">=0,7; </w:t>
      </w:r>
      <w:r w:rsidR="001B72D4" w:rsidRPr="003C78DF">
        <w:rPr>
          <w:rFonts w:ascii="Times New Roman" w:eastAsia="Calibri" w:hAnsi="Times New Roman" w:cs="Times New Roman"/>
          <w:sz w:val="28"/>
          <w:szCs w:val="28"/>
          <w:lang w:val="en-US"/>
        </w:rPr>
        <w:t>p</w:t>
      </w:r>
      <w:r w:rsidR="001B72D4">
        <w:rPr>
          <w:rFonts w:ascii="Times New Roman" w:eastAsia="Calibri" w:hAnsi="Times New Roman" w:cs="Times New Roman"/>
          <w:sz w:val="28"/>
          <w:szCs w:val="28"/>
        </w:rPr>
        <w:t>&lt;0,0003</w:t>
      </w:r>
      <w:r w:rsidR="001B72D4" w:rsidRPr="003C78DF">
        <w:rPr>
          <w:rFonts w:ascii="Times New Roman" w:eastAsia="Calibri" w:hAnsi="Times New Roman" w:cs="Times New Roman"/>
          <w:sz w:val="28"/>
          <w:szCs w:val="28"/>
        </w:rPr>
        <w:t xml:space="preserve">), </w:t>
      </w:r>
      <w:r w:rsidR="001B72D4" w:rsidRPr="003C78DF">
        <w:rPr>
          <w:rFonts w:ascii="Times New Roman" w:eastAsia="Calibri" w:hAnsi="Times New Roman" w:cs="Times New Roman"/>
          <w:sz w:val="28"/>
          <w:szCs w:val="28"/>
          <w:lang w:val="en-US"/>
        </w:rPr>
        <w:t>sIgE</w:t>
      </w:r>
      <w:r w:rsidR="001B72D4" w:rsidRPr="003C78DF">
        <w:rPr>
          <w:rFonts w:ascii="Times New Roman" w:eastAsia="Calibri" w:hAnsi="Times New Roman" w:cs="Times New Roman"/>
          <w:sz w:val="28"/>
          <w:szCs w:val="28"/>
        </w:rPr>
        <w:t xml:space="preserve"> </w:t>
      </w:r>
      <w:r w:rsidR="001B72D4" w:rsidRPr="003C78DF">
        <w:rPr>
          <w:rFonts w:ascii="Times New Roman" w:eastAsia="Calibri" w:hAnsi="Times New Roman" w:cs="Times New Roman"/>
          <w:sz w:val="28"/>
          <w:szCs w:val="28"/>
          <w:lang w:val="en-US"/>
        </w:rPr>
        <w:t>rPhlp</w:t>
      </w:r>
      <w:r w:rsidR="001B72D4" w:rsidRPr="003C78DF">
        <w:rPr>
          <w:rFonts w:ascii="Times New Roman" w:eastAsia="Calibri" w:hAnsi="Times New Roman" w:cs="Times New Roman"/>
          <w:sz w:val="28"/>
          <w:szCs w:val="28"/>
        </w:rPr>
        <w:t>5 (</w:t>
      </w:r>
      <w:r w:rsidR="001B72D4" w:rsidRPr="003C78DF">
        <w:rPr>
          <w:rFonts w:ascii="Times New Roman" w:eastAsia="Calibri" w:hAnsi="Times New Roman" w:cs="Times New Roman"/>
          <w:sz w:val="28"/>
          <w:szCs w:val="28"/>
          <w:lang w:val="en-US"/>
        </w:rPr>
        <w:t>r</w:t>
      </w:r>
      <w:r w:rsidR="001B72D4" w:rsidRPr="003C78DF">
        <w:rPr>
          <w:rFonts w:ascii="Times New Roman" w:eastAsia="Calibri" w:hAnsi="Times New Roman" w:cs="Times New Roman"/>
          <w:sz w:val="28"/>
          <w:szCs w:val="28"/>
        </w:rPr>
        <w:t xml:space="preserve">=0,7; </w:t>
      </w:r>
      <w:r w:rsidR="001B72D4" w:rsidRPr="003C78DF">
        <w:rPr>
          <w:rFonts w:ascii="Times New Roman" w:eastAsia="Calibri" w:hAnsi="Times New Roman" w:cs="Times New Roman"/>
          <w:sz w:val="28"/>
          <w:szCs w:val="28"/>
          <w:lang w:val="en-US"/>
        </w:rPr>
        <w:t>p</w:t>
      </w:r>
      <w:r w:rsidR="001B72D4" w:rsidRPr="003C78DF">
        <w:rPr>
          <w:rFonts w:ascii="Times New Roman" w:eastAsia="Calibri" w:hAnsi="Times New Roman" w:cs="Times New Roman"/>
          <w:sz w:val="28"/>
          <w:szCs w:val="28"/>
        </w:rPr>
        <w:t>=0,</w:t>
      </w:r>
      <w:r w:rsidR="001B72D4">
        <w:rPr>
          <w:rFonts w:ascii="Times New Roman" w:eastAsia="Calibri" w:hAnsi="Times New Roman" w:cs="Times New Roman"/>
          <w:sz w:val="28"/>
          <w:szCs w:val="28"/>
        </w:rPr>
        <w:t>0499</w:t>
      </w:r>
      <w:r w:rsidR="001B72D4" w:rsidRPr="003C78DF">
        <w:rPr>
          <w:rFonts w:ascii="Times New Roman" w:eastAsia="Calibri" w:hAnsi="Times New Roman" w:cs="Times New Roman"/>
          <w:sz w:val="28"/>
          <w:szCs w:val="28"/>
        </w:rPr>
        <w:t xml:space="preserve">), </w:t>
      </w:r>
      <w:r w:rsidR="001B72D4" w:rsidRPr="003C78DF">
        <w:rPr>
          <w:rFonts w:ascii="Times New Roman" w:eastAsia="Calibri" w:hAnsi="Times New Roman" w:cs="Times New Roman"/>
          <w:sz w:val="28"/>
          <w:szCs w:val="28"/>
          <w:lang w:val="en-US"/>
        </w:rPr>
        <w:t>sIgE</w:t>
      </w:r>
      <w:r w:rsidR="001B72D4" w:rsidRPr="003C78DF">
        <w:rPr>
          <w:rFonts w:ascii="Times New Roman" w:eastAsia="Calibri" w:hAnsi="Times New Roman" w:cs="Times New Roman"/>
          <w:sz w:val="28"/>
          <w:szCs w:val="28"/>
        </w:rPr>
        <w:t xml:space="preserve"> </w:t>
      </w:r>
      <w:r w:rsidR="001B72D4" w:rsidRPr="003C78DF">
        <w:rPr>
          <w:rFonts w:ascii="Times New Roman" w:eastAsia="Calibri" w:hAnsi="Times New Roman" w:cs="Times New Roman"/>
          <w:sz w:val="28"/>
          <w:szCs w:val="28"/>
          <w:lang w:val="en-US"/>
        </w:rPr>
        <w:t>rBet</w:t>
      </w:r>
      <w:r w:rsidR="001B72D4" w:rsidRPr="003C78DF">
        <w:rPr>
          <w:rFonts w:ascii="Times New Roman" w:eastAsia="Calibri" w:hAnsi="Times New Roman" w:cs="Times New Roman"/>
          <w:sz w:val="28"/>
          <w:szCs w:val="28"/>
        </w:rPr>
        <w:t xml:space="preserve"> </w:t>
      </w:r>
      <w:r w:rsidR="001B72D4" w:rsidRPr="003C78DF">
        <w:rPr>
          <w:rFonts w:ascii="Times New Roman" w:eastAsia="Calibri" w:hAnsi="Times New Roman" w:cs="Times New Roman"/>
          <w:sz w:val="28"/>
          <w:szCs w:val="28"/>
          <w:lang w:val="en-US"/>
        </w:rPr>
        <w:t>v</w:t>
      </w:r>
      <w:r w:rsidR="001B72D4" w:rsidRPr="003C78DF">
        <w:rPr>
          <w:rFonts w:ascii="Times New Roman" w:eastAsia="Calibri" w:hAnsi="Times New Roman" w:cs="Times New Roman"/>
          <w:sz w:val="28"/>
          <w:szCs w:val="28"/>
        </w:rPr>
        <w:t>1 (</w:t>
      </w:r>
      <w:r w:rsidR="001B72D4" w:rsidRPr="003C78DF">
        <w:rPr>
          <w:rFonts w:ascii="Times New Roman" w:eastAsia="Calibri" w:hAnsi="Times New Roman" w:cs="Times New Roman"/>
          <w:sz w:val="28"/>
          <w:szCs w:val="28"/>
          <w:lang w:val="en-US"/>
        </w:rPr>
        <w:t>r</w:t>
      </w:r>
      <w:r w:rsidR="001B72D4" w:rsidRPr="003C78DF">
        <w:rPr>
          <w:rFonts w:ascii="Times New Roman" w:eastAsia="Calibri" w:hAnsi="Times New Roman" w:cs="Times New Roman"/>
          <w:sz w:val="28"/>
          <w:szCs w:val="28"/>
        </w:rPr>
        <w:t xml:space="preserve">=0,7; </w:t>
      </w:r>
      <w:r w:rsidR="001B72D4" w:rsidRPr="003C78DF">
        <w:rPr>
          <w:rFonts w:ascii="Times New Roman" w:eastAsia="Calibri" w:hAnsi="Times New Roman" w:cs="Times New Roman"/>
          <w:sz w:val="28"/>
          <w:szCs w:val="28"/>
          <w:lang w:val="en-US"/>
        </w:rPr>
        <w:t>p</w:t>
      </w:r>
      <w:r w:rsidR="001B72D4" w:rsidRPr="003C78DF">
        <w:rPr>
          <w:rFonts w:ascii="Times New Roman" w:eastAsia="Calibri" w:hAnsi="Times New Roman" w:cs="Times New Roman"/>
          <w:sz w:val="28"/>
          <w:szCs w:val="28"/>
        </w:rPr>
        <w:t>=0,1</w:t>
      </w:r>
      <w:r w:rsidR="001B72D4">
        <w:rPr>
          <w:rFonts w:ascii="Times New Roman" w:eastAsia="Calibri" w:hAnsi="Times New Roman" w:cs="Times New Roman"/>
          <w:sz w:val="28"/>
          <w:szCs w:val="28"/>
        </w:rPr>
        <w:t>910</w:t>
      </w:r>
      <w:r w:rsidR="001B72D4" w:rsidRPr="003C78DF">
        <w:rPr>
          <w:rFonts w:ascii="Times New Roman" w:eastAsia="Calibri" w:hAnsi="Times New Roman" w:cs="Times New Roman"/>
          <w:sz w:val="28"/>
          <w:szCs w:val="28"/>
        </w:rPr>
        <w:t xml:space="preserve">), </w:t>
      </w:r>
      <w:r w:rsidR="001B72D4" w:rsidRPr="003C78DF">
        <w:rPr>
          <w:rFonts w:ascii="Times New Roman" w:eastAsia="Calibri" w:hAnsi="Times New Roman" w:cs="Times New Roman"/>
          <w:sz w:val="28"/>
          <w:szCs w:val="28"/>
          <w:lang w:val="en-US"/>
        </w:rPr>
        <w:t>sIgE</w:t>
      </w:r>
      <w:r w:rsidR="001B72D4" w:rsidRPr="003C78DF">
        <w:rPr>
          <w:rFonts w:ascii="Times New Roman" w:eastAsia="Calibri" w:hAnsi="Times New Roman" w:cs="Times New Roman"/>
          <w:sz w:val="28"/>
          <w:szCs w:val="28"/>
        </w:rPr>
        <w:t xml:space="preserve"> </w:t>
      </w:r>
      <w:r w:rsidR="001B72D4" w:rsidRPr="003C78DF">
        <w:rPr>
          <w:rFonts w:ascii="Times New Roman" w:eastAsia="Calibri" w:hAnsi="Times New Roman" w:cs="Times New Roman"/>
          <w:sz w:val="28"/>
          <w:szCs w:val="28"/>
          <w:lang w:val="en-US"/>
        </w:rPr>
        <w:t>nArt</w:t>
      </w:r>
      <w:r w:rsidR="001B72D4" w:rsidRPr="003C78DF">
        <w:rPr>
          <w:rFonts w:ascii="Times New Roman" w:eastAsia="Calibri" w:hAnsi="Times New Roman" w:cs="Times New Roman"/>
          <w:sz w:val="28"/>
          <w:szCs w:val="28"/>
        </w:rPr>
        <w:t xml:space="preserve"> </w:t>
      </w:r>
      <w:r w:rsidR="001B72D4" w:rsidRPr="003C78DF">
        <w:rPr>
          <w:rFonts w:ascii="Times New Roman" w:eastAsia="Calibri" w:hAnsi="Times New Roman" w:cs="Times New Roman"/>
          <w:sz w:val="28"/>
          <w:szCs w:val="28"/>
          <w:lang w:val="en-US"/>
        </w:rPr>
        <w:t>v</w:t>
      </w:r>
      <w:r w:rsidR="001B72D4" w:rsidRPr="003C78DF">
        <w:rPr>
          <w:rFonts w:ascii="Times New Roman" w:eastAsia="Calibri" w:hAnsi="Times New Roman" w:cs="Times New Roman"/>
          <w:sz w:val="28"/>
          <w:szCs w:val="28"/>
        </w:rPr>
        <w:t>1 (</w:t>
      </w:r>
      <w:r w:rsidR="001B72D4" w:rsidRPr="003C78DF">
        <w:rPr>
          <w:rFonts w:ascii="Times New Roman" w:eastAsia="Calibri" w:hAnsi="Times New Roman" w:cs="Times New Roman"/>
          <w:sz w:val="28"/>
          <w:szCs w:val="28"/>
          <w:lang w:val="en-US"/>
        </w:rPr>
        <w:t>r</w:t>
      </w:r>
      <w:r w:rsidR="001B72D4" w:rsidRPr="003C78DF">
        <w:rPr>
          <w:rFonts w:ascii="Times New Roman" w:eastAsia="Calibri" w:hAnsi="Times New Roman" w:cs="Times New Roman"/>
          <w:sz w:val="28"/>
          <w:szCs w:val="28"/>
        </w:rPr>
        <w:t xml:space="preserve">=0,7; </w:t>
      </w:r>
      <w:r w:rsidR="001B72D4" w:rsidRPr="003C78DF">
        <w:rPr>
          <w:rFonts w:ascii="Times New Roman" w:eastAsia="Calibri" w:hAnsi="Times New Roman" w:cs="Times New Roman"/>
          <w:sz w:val="28"/>
          <w:szCs w:val="28"/>
          <w:lang w:val="en-US"/>
        </w:rPr>
        <w:t>p</w:t>
      </w:r>
      <w:r w:rsidR="001B72D4" w:rsidRPr="003C78DF">
        <w:rPr>
          <w:rFonts w:ascii="Times New Roman" w:eastAsia="Calibri" w:hAnsi="Times New Roman" w:cs="Times New Roman"/>
          <w:sz w:val="28"/>
          <w:szCs w:val="28"/>
        </w:rPr>
        <w:t>&lt;0,00</w:t>
      </w:r>
      <w:r w:rsidR="001B72D4">
        <w:rPr>
          <w:rFonts w:ascii="Times New Roman" w:eastAsia="Calibri" w:hAnsi="Times New Roman" w:cs="Times New Roman"/>
          <w:sz w:val="28"/>
          <w:szCs w:val="28"/>
        </w:rPr>
        <w:t>00</w:t>
      </w:r>
      <w:r w:rsidR="001B72D4" w:rsidRPr="003C78DF">
        <w:rPr>
          <w:rFonts w:ascii="Times New Roman" w:eastAsia="Calibri" w:hAnsi="Times New Roman" w:cs="Times New Roman"/>
          <w:sz w:val="28"/>
          <w:szCs w:val="28"/>
        </w:rPr>
        <w:t xml:space="preserve">1). </w:t>
      </w:r>
    </w:p>
    <w:p w14:paraId="3EC0088D" w14:textId="26FD0022" w:rsidR="005C0281" w:rsidRPr="005C0281" w:rsidRDefault="005C0281" w:rsidP="005C0281">
      <w:pPr>
        <w:spacing w:after="0" w:line="240" w:lineRule="auto"/>
        <w:ind w:firstLine="567"/>
        <w:jc w:val="both"/>
        <w:rPr>
          <w:rFonts w:ascii="Times New Roman" w:eastAsia="Calibri" w:hAnsi="Times New Roman" w:cs="Times New Roman"/>
          <w:sz w:val="28"/>
          <w:szCs w:val="28"/>
        </w:rPr>
      </w:pPr>
      <w:r w:rsidRPr="005C0281">
        <w:rPr>
          <w:rFonts w:ascii="Times New Roman" w:eastAsia="Calibri" w:hAnsi="Times New Roman" w:cs="Times New Roman"/>
          <w:sz w:val="28"/>
          <w:szCs w:val="28"/>
        </w:rPr>
        <w:t>Таким образом, степень тяжести аллергического ринита влияет на базовый уровень эозинофильного катионного белка, общего и специфического иммуноглобулина Е так, что данные показатели имели более высокие значения при нарастании степени тяжести заболевания.</w:t>
      </w:r>
      <w:r w:rsidR="0007459B">
        <w:rPr>
          <w:rFonts w:ascii="Times New Roman" w:eastAsia="Calibri" w:hAnsi="Times New Roman" w:cs="Times New Roman"/>
          <w:sz w:val="28"/>
          <w:szCs w:val="28"/>
        </w:rPr>
        <w:t xml:space="preserve"> </w:t>
      </w:r>
      <w:r w:rsidRPr="005C0281">
        <w:rPr>
          <w:rFonts w:ascii="Times New Roman" w:eastAsia="Calibri" w:hAnsi="Times New Roman" w:cs="Times New Roman"/>
          <w:sz w:val="28"/>
          <w:szCs w:val="28"/>
        </w:rPr>
        <w:t>Мы обнаружили, что базовый уровень витамина Д в крови влияет на тяжесть аллергического ринита таким образом, что базовый низкий уровень витамина Д утяжеляет клиническую симптоматику аллергического ринита. На основании данного факта мы резюмировали, что подключение витамина Д в протокол аллерген-специфической иммунотерапии в качестве адъюванта способствовал повышению эффективности лечения.</w:t>
      </w:r>
    </w:p>
    <w:p w14:paraId="63248A5F" w14:textId="16031AE0" w:rsidR="007752C2" w:rsidRDefault="005C0281" w:rsidP="007752C2">
      <w:pPr>
        <w:spacing w:after="0" w:line="240" w:lineRule="auto"/>
        <w:ind w:firstLine="709"/>
        <w:jc w:val="both"/>
        <w:rPr>
          <w:rFonts w:ascii="Times New Roman" w:eastAsia="Calibri" w:hAnsi="Times New Roman" w:cs="Times New Roman"/>
          <w:sz w:val="28"/>
          <w:szCs w:val="28"/>
        </w:rPr>
      </w:pPr>
      <w:r w:rsidRPr="005C0281">
        <w:rPr>
          <w:rFonts w:ascii="Times New Roman" w:eastAsia="Calibri" w:hAnsi="Times New Roman" w:cs="Times New Roman"/>
          <w:sz w:val="28"/>
          <w:szCs w:val="28"/>
        </w:rPr>
        <w:t xml:space="preserve">После проведения комплексного анализа роли лабораторных биомаркеров в процедуре множественной линейной регрессии нами был выявлен два ключевых </w:t>
      </w:r>
      <w:r w:rsidR="007752C2">
        <w:rPr>
          <w:rFonts w:ascii="Times New Roman" w:eastAsia="Calibri" w:hAnsi="Times New Roman" w:cs="Times New Roman"/>
          <w:sz w:val="28"/>
          <w:szCs w:val="28"/>
        </w:rPr>
        <w:t xml:space="preserve">предиктора эффективности АСИТ </w:t>
      </w:r>
      <w:r w:rsidR="007752C2" w:rsidRPr="00694D4D">
        <w:rPr>
          <w:rFonts w:ascii="Times New Roman" w:eastAsia="Calibri" w:hAnsi="Times New Roman" w:cs="Times New Roman"/>
          <w:sz w:val="28"/>
          <w:szCs w:val="28"/>
        </w:rPr>
        <w:t>– общий ИГЕ и витамин Д. Данные исследования показали наибольшее прогностическое влияние общего ИГЕ на исход тяжести симптомов аллергического ринита после АСИТ у мужчин (</w:t>
      </w:r>
      <w:r w:rsidR="007752C2" w:rsidRPr="00694D4D">
        <w:rPr>
          <w:rFonts w:ascii="Times New Roman" w:eastAsia="Calibri" w:hAnsi="Times New Roman" w:cs="Times New Roman"/>
          <w:sz w:val="28"/>
          <w:szCs w:val="28"/>
        </w:rPr>
        <w:sym w:font="Symbol" w:char="F062"/>
      </w:r>
      <w:r w:rsidR="007752C2" w:rsidRPr="00694D4D">
        <w:rPr>
          <w:rFonts w:ascii="Times New Roman" w:eastAsia="Calibri" w:hAnsi="Times New Roman" w:cs="Times New Roman"/>
          <w:sz w:val="28"/>
          <w:szCs w:val="28"/>
        </w:rPr>
        <w:t>=0,9;</w:t>
      </w:r>
      <w:r w:rsidR="007752C2" w:rsidRPr="00694D4D">
        <w:rPr>
          <w:rFonts w:ascii="Times New Roman" w:eastAsia="Calibri" w:hAnsi="Times New Roman" w:cs="Times New Roman"/>
          <w:b/>
          <w:sz w:val="28"/>
          <w:szCs w:val="28"/>
        </w:rPr>
        <w:t xml:space="preserve"> </w:t>
      </w:r>
      <w:r w:rsidR="007752C2" w:rsidRPr="00694D4D">
        <w:rPr>
          <w:rFonts w:ascii="Times New Roman" w:eastAsiaTheme="majorEastAsia" w:hAnsi="Times New Roman" w:cs="Times New Roman"/>
          <w:sz w:val="28"/>
          <w:szCs w:val="28"/>
          <w:lang w:val="en-US"/>
        </w:rPr>
        <w:t>p</w:t>
      </w:r>
      <w:r w:rsidR="007752C2" w:rsidRPr="00694D4D">
        <w:rPr>
          <w:rFonts w:ascii="Times New Roman" w:eastAsiaTheme="majorEastAsia" w:hAnsi="Times New Roman" w:cs="Times New Roman"/>
          <w:sz w:val="28"/>
          <w:szCs w:val="28"/>
        </w:rPr>
        <w:t>≤0,01)</w:t>
      </w:r>
      <w:r w:rsidR="007752C2" w:rsidRPr="00694D4D">
        <w:rPr>
          <w:rFonts w:ascii="Times New Roman" w:eastAsia="Calibri" w:hAnsi="Times New Roman" w:cs="Times New Roman"/>
          <w:sz w:val="28"/>
          <w:szCs w:val="28"/>
        </w:rPr>
        <w:t xml:space="preserve"> и в общей популяции (</w:t>
      </w:r>
      <w:r w:rsidR="007752C2" w:rsidRPr="00694D4D">
        <w:rPr>
          <w:rFonts w:ascii="Times New Roman" w:eastAsia="Calibri" w:hAnsi="Times New Roman" w:cs="Times New Roman"/>
          <w:sz w:val="28"/>
          <w:szCs w:val="28"/>
        </w:rPr>
        <w:sym w:font="Symbol" w:char="F062"/>
      </w:r>
      <w:r w:rsidR="007752C2" w:rsidRPr="00694D4D">
        <w:rPr>
          <w:rFonts w:ascii="Times New Roman" w:eastAsia="Calibri" w:hAnsi="Times New Roman" w:cs="Times New Roman"/>
          <w:sz w:val="28"/>
          <w:szCs w:val="28"/>
        </w:rPr>
        <w:t>=0,6;</w:t>
      </w:r>
      <w:r w:rsidR="007752C2" w:rsidRPr="00694D4D">
        <w:rPr>
          <w:rFonts w:ascii="Times New Roman" w:eastAsia="Calibri" w:hAnsi="Times New Roman" w:cs="Times New Roman"/>
          <w:b/>
          <w:sz w:val="28"/>
          <w:szCs w:val="28"/>
        </w:rPr>
        <w:t xml:space="preserve"> </w:t>
      </w:r>
      <w:r w:rsidR="007752C2" w:rsidRPr="00694D4D">
        <w:rPr>
          <w:rFonts w:ascii="Times New Roman" w:eastAsiaTheme="majorEastAsia" w:hAnsi="Times New Roman" w:cs="Times New Roman"/>
          <w:sz w:val="28"/>
          <w:szCs w:val="28"/>
          <w:lang w:val="en-US"/>
        </w:rPr>
        <w:t>p</w:t>
      </w:r>
      <w:r w:rsidR="007752C2" w:rsidRPr="00694D4D">
        <w:rPr>
          <w:rFonts w:ascii="Times New Roman" w:eastAsiaTheme="majorEastAsia" w:hAnsi="Times New Roman" w:cs="Times New Roman"/>
          <w:sz w:val="28"/>
          <w:szCs w:val="28"/>
        </w:rPr>
        <w:t>≤0,001),</w:t>
      </w:r>
      <w:r w:rsidR="0007459B">
        <w:rPr>
          <w:rFonts w:ascii="Times New Roman" w:eastAsiaTheme="majorEastAsia" w:hAnsi="Times New Roman" w:cs="Times New Roman"/>
          <w:sz w:val="28"/>
          <w:szCs w:val="28"/>
        </w:rPr>
        <w:t xml:space="preserve"> </w:t>
      </w:r>
      <w:r w:rsidR="007752C2" w:rsidRPr="00694D4D">
        <w:rPr>
          <w:rFonts w:ascii="Times New Roman" w:eastAsiaTheme="majorEastAsia" w:hAnsi="Times New Roman" w:cs="Times New Roman"/>
          <w:sz w:val="28"/>
          <w:szCs w:val="28"/>
        </w:rPr>
        <w:t xml:space="preserve">а также витамина Д у женщин </w:t>
      </w:r>
      <w:r w:rsidR="007752C2" w:rsidRPr="00694D4D">
        <w:rPr>
          <w:rFonts w:ascii="Times New Roman" w:eastAsia="Calibri" w:hAnsi="Times New Roman" w:cs="Times New Roman"/>
          <w:sz w:val="28"/>
          <w:szCs w:val="28"/>
        </w:rPr>
        <w:t>(</w:t>
      </w:r>
      <w:r w:rsidR="007752C2" w:rsidRPr="00694D4D">
        <w:rPr>
          <w:rFonts w:ascii="Times New Roman" w:eastAsia="Calibri" w:hAnsi="Times New Roman" w:cs="Times New Roman"/>
          <w:sz w:val="28"/>
          <w:szCs w:val="28"/>
        </w:rPr>
        <w:sym w:font="Symbol" w:char="F062"/>
      </w:r>
      <w:r w:rsidR="007752C2" w:rsidRPr="00694D4D">
        <w:rPr>
          <w:rFonts w:ascii="Times New Roman" w:eastAsia="Calibri" w:hAnsi="Times New Roman" w:cs="Times New Roman"/>
          <w:sz w:val="28"/>
          <w:szCs w:val="28"/>
        </w:rPr>
        <w:t>=-0,8;</w:t>
      </w:r>
      <w:r w:rsidR="007752C2" w:rsidRPr="00694D4D">
        <w:rPr>
          <w:rFonts w:ascii="Times New Roman" w:eastAsia="Calibri" w:hAnsi="Times New Roman" w:cs="Times New Roman"/>
          <w:b/>
          <w:sz w:val="28"/>
          <w:szCs w:val="28"/>
        </w:rPr>
        <w:t xml:space="preserve"> </w:t>
      </w:r>
      <w:r w:rsidR="007752C2" w:rsidRPr="00694D4D">
        <w:rPr>
          <w:rFonts w:ascii="Times New Roman" w:eastAsiaTheme="majorEastAsia" w:hAnsi="Times New Roman" w:cs="Times New Roman"/>
          <w:sz w:val="28"/>
          <w:szCs w:val="28"/>
          <w:lang w:val="en-US"/>
        </w:rPr>
        <w:t>p</w:t>
      </w:r>
      <w:r w:rsidR="007752C2" w:rsidRPr="00694D4D">
        <w:rPr>
          <w:rFonts w:ascii="Times New Roman" w:eastAsiaTheme="majorEastAsia" w:hAnsi="Times New Roman" w:cs="Times New Roman"/>
          <w:sz w:val="28"/>
          <w:szCs w:val="28"/>
        </w:rPr>
        <w:t>≤0,05)</w:t>
      </w:r>
      <w:r w:rsidR="007752C2" w:rsidRPr="00694D4D">
        <w:rPr>
          <w:rFonts w:ascii="Times New Roman" w:eastAsia="Calibri" w:hAnsi="Times New Roman" w:cs="Times New Roman"/>
          <w:sz w:val="28"/>
          <w:szCs w:val="28"/>
        </w:rPr>
        <w:t>.</w:t>
      </w:r>
      <w:r w:rsidR="0007459B">
        <w:rPr>
          <w:rFonts w:ascii="Times New Roman" w:eastAsia="Calibri" w:hAnsi="Times New Roman" w:cs="Times New Roman"/>
          <w:sz w:val="28"/>
          <w:szCs w:val="28"/>
        </w:rPr>
        <w:t xml:space="preserve"> </w:t>
      </w:r>
    </w:p>
    <w:p w14:paraId="0BDD5234" w14:textId="5BF7A065" w:rsidR="007752C2" w:rsidRPr="00694D4D" w:rsidRDefault="007752C2" w:rsidP="0002098E">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Нами получены</w:t>
      </w:r>
      <w:r w:rsidRPr="00694D4D">
        <w:rPr>
          <w:rFonts w:ascii="Times New Roman" w:eastAsia="Calibri" w:hAnsi="Times New Roman" w:cs="Times New Roman"/>
          <w:sz w:val="28"/>
          <w:szCs w:val="28"/>
        </w:rPr>
        <w:t xml:space="preserve"> пороговые значения общего ИГЕ для прогнозирования тяжести </w:t>
      </w:r>
      <w:r>
        <w:rPr>
          <w:rFonts w:ascii="Times New Roman" w:eastAsia="Calibri" w:hAnsi="Times New Roman" w:cs="Times New Roman"/>
          <w:sz w:val="28"/>
          <w:szCs w:val="28"/>
        </w:rPr>
        <w:t>симптомов аллергического ринита, которые составили 368,7 МЕ/мл. Таким образом,</w:t>
      </w:r>
      <w:r w:rsidRPr="00694D4D">
        <w:rPr>
          <w:rFonts w:ascii="Times New Roman" w:eastAsia="Calibri" w:hAnsi="Times New Roman" w:cs="Times New Roman"/>
          <w:sz w:val="28"/>
          <w:szCs w:val="28"/>
        </w:rPr>
        <w:t xml:space="preserve"> при увеличении концентрации общего ИГЕ </w:t>
      </w:r>
      <w:r w:rsidR="00EF0E62">
        <w:rPr>
          <w:rFonts w:ascii="Times New Roman" w:eastAsia="Calibri" w:hAnsi="Times New Roman" w:cs="Times New Roman"/>
          <w:sz w:val="28"/>
          <w:szCs w:val="28"/>
        </w:rPr>
        <w:t>будет нарастать степень тяжести симптомов аллергического ринита</w:t>
      </w:r>
      <w:r>
        <w:rPr>
          <w:rFonts w:ascii="Times New Roman" w:eastAsia="Calibri" w:hAnsi="Times New Roman" w:cs="Times New Roman"/>
          <w:sz w:val="28"/>
          <w:szCs w:val="28"/>
        </w:rPr>
        <w:t>, а при</w:t>
      </w:r>
      <w:r w:rsidRPr="00694D4D">
        <w:rPr>
          <w:rFonts w:ascii="Times New Roman" w:eastAsia="Calibri" w:hAnsi="Times New Roman" w:cs="Times New Roman"/>
          <w:sz w:val="28"/>
          <w:szCs w:val="28"/>
        </w:rPr>
        <w:t xml:space="preserve"> </w:t>
      </w:r>
      <w:r>
        <w:rPr>
          <w:rFonts w:ascii="Times New Roman" w:eastAsia="Calibri" w:hAnsi="Times New Roman" w:cs="Times New Roman"/>
          <w:sz w:val="28"/>
          <w:szCs w:val="28"/>
        </w:rPr>
        <w:t>снижении</w:t>
      </w:r>
      <w:r w:rsidRPr="00694D4D">
        <w:rPr>
          <w:rFonts w:ascii="Times New Roman" w:eastAsia="Calibri" w:hAnsi="Times New Roman" w:cs="Times New Roman"/>
          <w:sz w:val="28"/>
          <w:szCs w:val="28"/>
        </w:rPr>
        <w:t xml:space="preserve"> менее 368,7 МЕ/мл предполагает</w:t>
      </w:r>
      <w:r w:rsidR="00EF0E62">
        <w:rPr>
          <w:rFonts w:ascii="Times New Roman" w:eastAsia="Calibri" w:hAnsi="Times New Roman" w:cs="Times New Roman"/>
          <w:sz w:val="28"/>
          <w:szCs w:val="28"/>
        </w:rPr>
        <w:t>ся</w:t>
      </w:r>
      <w:r w:rsidRPr="00694D4D">
        <w:rPr>
          <w:rFonts w:ascii="Times New Roman" w:eastAsia="Calibri" w:hAnsi="Times New Roman" w:cs="Times New Roman"/>
          <w:sz w:val="28"/>
          <w:szCs w:val="28"/>
        </w:rPr>
        <w:t xml:space="preserve"> стабильное течение, но </w:t>
      </w:r>
      <w:r w:rsidR="00805A8E">
        <w:rPr>
          <w:rFonts w:ascii="Times New Roman" w:eastAsia="Calibri" w:hAnsi="Times New Roman" w:cs="Times New Roman"/>
          <w:sz w:val="28"/>
          <w:szCs w:val="28"/>
        </w:rPr>
        <w:t>пациенты с данными показателями должны</w:t>
      </w:r>
      <w:r w:rsidRPr="00694D4D">
        <w:rPr>
          <w:rFonts w:ascii="Times New Roman" w:eastAsia="Calibri" w:hAnsi="Times New Roman" w:cs="Times New Roman"/>
          <w:sz w:val="28"/>
          <w:szCs w:val="28"/>
        </w:rPr>
        <w:t xml:space="preserve"> рассматриваться как группа риска с учётом превышения референсных норм. </w:t>
      </w:r>
      <w:r w:rsidR="0002098E" w:rsidRPr="00607C27">
        <w:rPr>
          <w:rFonts w:ascii="Times New Roman" w:eastAsia="MS Mincho" w:hAnsi="Times New Roman" w:cs="Times New Roman"/>
          <w:sz w:val="28"/>
          <w:szCs w:val="28"/>
        </w:rPr>
        <w:t xml:space="preserve">Предсказательная ценность положительного результата </w:t>
      </w:r>
      <w:r w:rsidR="0002098E">
        <w:rPr>
          <w:rFonts w:ascii="Times New Roman" w:eastAsia="MS Mincho" w:hAnsi="Times New Roman" w:cs="Times New Roman"/>
          <w:sz w:val="28"/>
          <w:szCs w:val="28"/>
        </w:rPr>
        <w:t xml:space="preserve">анализа показывает, что в 66,7% случаев мы можем прогнозировать </w:t>
      </w:r>
      <w:r w:rsidR="00962035">
        <w:rPr>
          <w:rFonts w:ascii="Times New Roman" w:eastAsia="MS Mincho" w:hAnsi="Times New Roman" w:cs="Times New Roman"/>
          <w:sz w:val="28"/>
          <w:szCs w:val="28"/>
        </w:rPr>
        <w:t>тяжёлые симптомы</w:t>
      </w:r>
      <w:r w:rsidR="0002098E">
        <w:rPr>
          <w:rFonts w:ascii="Times New Roman" w:eastAsia="MS Mincho" w:hAnsi="Times New Roman" w:cs="Times New Roman"/>
          <w:sz w:val="28"/>
          <w:szCs w:val="28"/>
        </w:rPr>
        <w:t xml:space="preserve"> аллергического ринита при </w:t>
      </w:r>
      <w:r w:rsidR="0044611B">
        <w:rPr>
          <w:rFonts w:ascii="Times New Roman" w:eastAsia="MS Mincho" w:hAnsi="Times New Roman" w:cs="Times New Roman"/>
          <w:sz w:val="28"/>
          <w:szCs w:val="28"/>
        </w:rPr>
        <w:t>нарастании</w:t>
      </w:r>
      <w:r w:rsidR="0002098E">
        <w:rPr>
          <w:rFonts w:ascii="Times New Roman" w:eastAsia="MS Mincho" w:hAnsi="Times New Roman" w:cs="Times New Roman"/>
          <w:sz w:val="28"/>
          <w:szCs w:val="28"/>
        </w:rPr>
        <w:t xml:space="preserve"> уровня общего ИГЕ выше референсных норм. </w:t>
      </w:r>
      <w:r w:rsidR="0002098E" w:rsidRPr="00BE4145">
        <w:rPr>
          <w:rFonts w:ascii="Times New Roman" w:eastAsia="MS Mincho" w:hAnsi="Times New Roman" w:cs="Times New Roman"/>
          <w:sz w:val="28"/>
          <w:szCs w:val="28"/>
        </w:rPr>
        <w:t>Предсказательная ценность отрицательного результата</w:t>
      </w:r>
      <w:r w:rsidR="0002098E">
        <w:rPr>
          <w:rFonts w:ascii="Times New Roman" w:eastAsia="MS Mincho" w:hAnsi="Times New Roman" w:cs="Times New Roman"/>
          <w:sz w:val="28"/>
          <w:szCs w:val="28"/>
        </w:rPr>
        <w:t xml:space="preserve"> показывает, что в 100% случаев мы можем прогнозировать отсутствие симптомов аллергического ринита в случае обнаружения общего ИГЕ в пределах референсных норм</w:t>
      </w:r>
      <w:r w:rsidR="0002098E" w:rsidRPr="00694D4D">
        <w:rPr>
          <w:rFonts w:ascii="Times New Roman" w:eastAsia="Calibri" w:hAnsi="Times New Roman" w:cs="Times New Roman"/>
          <w:sz w:val="28"/>
          <w:szCs w:val="28"/>
        </w:rPr>
        <w:t>.</w:t>
      </w:r>
    </w:p>
    <w:p w14:paraId="44A759C0" w14:textId="448C51A3" w:rsidR="007752C2" w:rsidRPr="00694D4D" w:rsidRDefault="007752C2" w:rsidP="007752C2">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Также мы получили</w:t>
      </w:r>
      <w:r w:rsidR="00013582">
        <w:rPr>
          <w:rFonts w:ascii="Times New Roman" w:eastAsia="Calibri" w:hAnsi="Times New Roman" w:cs="Times New Roman"/>
          <w:sz w:val="28"/>
          <w:szCs w:val="28"/>
        </w:rPr>
        <w:t xml:space="preserve"> показатели</w:t>
      </w:r>
      <w:r w:rsidRPr="00694D4D">
        <w:rPr>
          <w:rFonts w:ascii="Times New Roman" w:eastAsia="Calibri" w:hAnsi="Times New Roman" w:cs="Times New Roman"/>
          <w:sz w:val="28"/>
          <w:szCs w:val="28"/>
        </w:rPr>
        <w:t xml:space="preserve"> витамина Д для прогнозирования тяжести симптомов аллергического ринита</w:t>
      </w:r>
      <w:r>
        <w:rPr>
          <w:rFonts w:ascii="Times New Roman" w:eastAsia="Calibri" w:hAnsi="Times New Roman" w:cs="Times New Roman"/>
          <w:sz w:val="28"/>
          <w:szCs w:val="28"/>
        </w:rPr>
        <w:t xml:space="preserve">, которые </w:t>
      </w:r>
      <w:r w:rsidR="00013582">
        <w:rPr>
          <w:rFonts w:ascii="Times New Roman" w:eastAsia="Calibri" w:hAnsi="Times New Roman" w:cs="Times New Roman"/>
          <w:sz w:val="28"/>
          <w:szCs w:val="28"/>
        </w:rPr>
        <w:t>начинаются от</w:t>
      </w:r>
      <w:r>
        <w:rPr>
          <w:rFonts w:ascii="Times New Roman" w:eastAsia="Calibri" w:hAnsi="Times New Roman" w:cs="Times New Roman"/>
          <w:sz w:val="28"/>
          <w:szCs w:val="28"/>
        </w:rPr>
        <w:t xml:space="preserve"> </w:t>
      </w:r>
      <w:r w:rsidR="00013582">
        <w:rPr>
          <w:rFonts w:ascii="Times New Roman" w:eastAsia="Calibri" w:hAnsi="Times New Roman" w:cs="Times New Roman"/>
          <w:sz w:val="28"/>
          <w:szCs w:val="28"/>
        </w:rPr>
        <w:t>порогового значения</w:t>
      </w:r>
      <w:r>
        <w:rPr>
          <w:rFonts w:ascii="Times New Roman" w:eastAsia="Calibri" w:hAnsi="Times New Roman" w:cs="Times New Roman"/>
          <w:sz w:val="28"/>
          <w:szCs w:val="28"/>
        </w:rPr>
        <w:t xml:space="preserve"> 18,6 нг/мл. Таким образом,</w:t>
      </w:r>
      <w:r w:rsidRPr="00694D4D">
        <w:rPr>
          <w:rFonts w:ascii="Times New Roman" w:eastAsia="Calibri" w:hAnsi="Times New Roman" w:cs="Times New Roman"/>
          <w:sz w:val="28"/>
          <w:szCs w:val="28"/>
        </w:rPr>
        <w:t xml:space="preserve"> при уменьшении концентрации витамина Д будут наблюдаться </w:t>
      </w:r>
      <w:r w:rsidR="00013582">
        <w:rPr>
          <w:rFonts w:ascii="Times New Roman" w:eastAsia="Calibri" w:hAnsi="Times New Roman" w:cs="Times New Roman"/>
          <w:sz w:val="28"/>
          <w:szCs w:val="28"/>
        </w:rPr>
        <w:t>тяжё</w:t>
      </w:r>
      <w:r w:rsidRPr="00694D4D">
        <w:rPr>
          <w:rFonts w:ascii="Times New Roman" w:eastAsia="Calibri" w:hAnsi="Times New Roman" w:cs="Times New Roman"/>
          <w:sz w:val="28"/>
          <w:szCs w:val="28"/>
        </w:rPr>
        <w:t>лые симптомы</w:t>
      </w:r>
      <w:r>
        <w:rPr>
          <w:rFonts w:ascii="Times New Roman" w:eastAsia="Calibri" w:hAnsi="Times New Roman" w:cs="Times New Roman"/>
          <w:sz w:val="28"/>
          <w:szCs w:val="28"/>
        </w:rPr>
        <w:t>, а при</w:t>
      </w:r>
      <w:r w:rsidRPr="00694D4D">
        <w:rPr>
          <w:rFonts w:ascii="Times New Roman" w:eastAsia="Calibri" w:hAnsi="Times New Roman" w:cs="Times New Roman"/>
          <w:sz w:val="28"/>
          <w:szCs w:val="28"/>
        </w:rPr>
        <w:t xml:space="preserve"> </w:t>
      </w:r>
      <w:r>
        <w:rPr>
          <w:rFonts w:ascii="Times New Roman" w:eastAsia="Calibri" w:hAnsi="Times New Roman" w:cs="Times New Roman"/>
          <w:sz w:val="28"/>
          <w:szCs w:val="28"/>
        </w:rPr>
        <w:t>увеличении</w:t>
      </w:r>
      <w:r w:rsidRPr="00694D4D">
        <w:rPr>
          <w:rFonts w:ascii="Times New Roman" w:eastAsia="Calibri" w:hAnsi="Times New Roman" w:cs="Times New Roman"/>
          <w:sz w:val="28"/>
          <w:szCs w:val="28"/>
        </w:rPr>
        <w:t xml:space="preserve"> более 18,6 нг/мл предполагает стабильное течение, но должно рассматриваться как группа риска с учётом уменьшения</w:t>
      </w:r>
      <w:r w:rsidR="00837AD2">
        <w:rPr>
          <w:rFonts w:ascii="Times New Roman" w:eastAsia="Calibri" w:hAnsi="Times New Roman" w:cs="Times New Roman"/>
          <w:sz w:val="28"/>
          <w:szCs w:val="28"/>
        </w:rPr>
        <w:t xml:space="preserve"> </w:t>
      </w:r>
      <w:r w:rsidR="00676EC5">
        <w:rPr>
          <w:rFonts w:ascii="Times New Roman" w:eastAsia="Calibri" w:hAnsi="Times New Roman" w:cs="Times New Roman"/>
          <w:sz w:val="28"/>
          <w:szCs w:val="28"/>
        </w:rPr>
        <w:t>показателя</w:t>
      </w:r>
      <w:r w:rsidRPr="00694D4D">
        <w:rPr>
          <w:rFonts w:ascii="Times New Roman" w:eastAsia="Calibri" w:hAnsi="Times New Roman" w:cs="Times New Roman"/>
          <w:sz w:val="28"/>
          <w:szCs w:val="28"/>
        </w:rPr>
        <w:t xml:space="preserve"> ниже референсных норм. </w:t>
      </w:r>
      <w:r w:rsidR="00604A86" w:rsidRPr="00607C27">
        <w:rPr>
          <w:rFonts w:ascii="Times New Roman" w:eastAsia="MS Mincho" w:hAnsi="Times New Roman" w:cs="Times New Roman"/>
          <w:sz w:val="28"/>
          <w:szCs w:val="28"/>
        </w:rPr>
        <w:t xml:space="preserve">Предсказательная ценность положительного результата </w:t>
      </w:r>
      <w:r w:rsidR="00604A86">
        <w:rPr>
          <w:rFonts w:ascii="Times New Roman" w:eastAsia="MS Mincho" w:hAnsi="Times New Roman" w:cs="Times New Roman"/>
          <w:sz w:val="28"/>
          <w:szCs w:val="28"/>
        </w:rPr>
        <w:t xml:space="preserve">анализа показывает, что в 50% случаев мы можем прогнозировать тяжёлое течение аллергического ринита при снижении уровня витамина Д ниже референсных норм. </w:t>
      </w:r>
      <w:r w:rsidR="00604A86" w:rsidRPr="00BE4145">
        <w:rPr>
          <w:rFonts w:ascii="Times New Roman" w:eastAsia="MS Mincho" w:hAnsi="Times New Roman" w:cs="Times New Roman"/>
          <w:sz w:val="28"/>
          <w:szCs w:val="28"/>
        </w:rPr>
        <w:t>Предсказательная ценность отрицательного результата</w:t>
      </w:r>
      <w:r w:rsidR="00604A86">
        <w:rPr>
          <w:rFonts w:ascii="Times New Roman" w:eastAsia="MS Mincho" w:hAnsi="Times New Roman" w:cs="Times New Roman"/>
          <w:sz w:val="28"/>
          <w:szCs w:val="28"/>
        </w:rPr>
        <w:t xml:space="preserve"> показывает, что в 85,7% случаев мы можем прогнозировать лёгкое течение аллергического ринита в случае обнаружения витамина Д в пределах референсных норм.</w:t>
      </w:r>
    </w:p>
    <w:p w14:paraId="17C43D4C" w14:textId="77777777" w:rsidR="00443F44" w:rsidRDefault="005C0281" w:rsidP="005C0281">
      <w:pPr>
        <w:spacing w:after="0" w:line="240" w:lineRule="auto"/>
        <w:ind w:firstLine="567"/>
        <w:jc w:val="both"/>
        <w:rPr>
          <w:rFonts w:ascii="Times New Roman" w:eastAsia="Calibri" w:hAnsi="Times New Roman" w:cs="Times New Roman"/>
          <w:sz w:val="28"/>
          <w:szCs w:val="28"/>
        </w:rPr>
      </w:pPr>
      <w:r w:rsidRPr="005C0281">
        <w:rPr>
          <w:rFonts w:ascii="Times New Roman" w:eastAsia="Calibri" w:hAnsi="Times New Roman" w:cs="Times New Roman"/>
          <w:sz w:val="28"/>
          <w:szCs w:val="28"/>
        </w:rPr>
        <w:t>Резюмируя данный раздел исследования, мы сделали вывод, что степень тяжести аллергического ринита влияет на базовый уровень эозинофильного катионного белка, общего и специфического иммуноглобулина Е так, что данные показатели имели более высокие значения при нарастании степени тяжести заболевания. Мы обнаружили, что базовый уровень витамина Д в крови влияет на тяжесть аллергического ринита таким образом, что базовый низкий уровень витамина Д утяжеляет клиническую симптоматику аллергического ринита. На основании данного факта мы резюмировали, что подключение витамина Д в протокол аллерген-специфической иммунотерапии в качестве адъюванта, способствовал повышению эффективности лечения.</w:t>
      </w:r>
      <w:r w:rsidR="007D1FA9">
        <w:rPr>
          <w:rFonts w:ascii="Times New Roman" w:eastAsia="Calibri" w:hAnsi="Times New Roman" w:cs="Times New Roman"/>
          <w:sz w:val="28"/>
          <w:szCs w:val="28"/>
        </w:rPr>
        <w:t xml:space="preserve"> </w:t>
      </w:r>
    </w:p>
    <w:p w14:paraId="24F24CDF" w14:textId="7A2C7CFF" w:rsidR="005C0281" w:rsidRDefault="005C0281" w:rsidP="005C0281">
      <w:pPr>
        <w:spacing w:after="0" w:line="240" w:lineRule="auto"/>
        <w:ind w:firstLine="567"/>
        <w:jc w:val="both"/>
        <w:rPr>
          <w:rFonts w:ascii="Times New Roman" w:eastAsia="Calibri" w:hAnsi="Times New Roman" w:cs="Times New Roman"/>
          <w:sz w:val="28"/>
          <w:szCs w:val="28"/>
        </w:rPr>
      </w:pPr>
      <w:r w:rsidRPr="007D1FA9">
        <w:rPr>
          <w:rFonts w:ascii="Times New Roman" w:eastAsia="Calibri" w:hAnsi="Times New Roman" w:cs="Times New Roman"/>
          <w:sz w:val="28"/>
          <w:szCs w:val="28"/>
        </w:rPr>
        <w:t xml:space="preserve">В ходе анализа множественной линейной регрессии были выявлены ключевые </w:t>
      </w:r>
      <w:r w:rsidR="007D1FA9" w:rsidRPr="007D1FA9">
        <w:rPr>
          <w:rFonts w:ascii="Times New Roman" w:eastAsia="Calibri" w:hAnsi="Times New Roman" w:cs="Times New Roman"/>
          <w:sz w:val="28"/>
          <w:szCs w:val="28"/>
        </w:rPr>
        <w:t>лабораторные</w:t>
      </w:r>
      <w:r w:rsidR="007D1FA9">
        <w:rPr>
          <w:rFonts w:ascii="Times New Roman" w:eastAsia="Calibri" w:hAnsi="Times New Roman" w:cs="Times New Roman"/>
          <w:sz w:val="28"/>
          <w:szCs w:val="28"/>
        </w:rPr>
        <w:t xml:space="preserve"> предикторы</w:t>
      </w:r>
      <w:r w:rsidR="007D1FA9" w:rsidRPr="00694D4D">
        <w:rPr>
          <w:rFonts w:ascii="Times New Roman" w:eastAsia="Calibri" w:hAnsi="Times New Roman" w:cs="Times New Roman"/>
          <w:sz w:val="28"/>
          <w:szCs w:val="28"/>
        </w:rPr>
        <w:t xml:space="preserve"> эффективности АСИТ в комплексе с витамином Д с наибольшей прогностической значимостью </w:t>
      </w:r>
      <w:r w:rsidR="007D1FA9" w:rsidRPr="007D1FA9">
        <w:rPr>
          <w:rFonts w:ascii="Times New Roman" w:eastAsia="Calibri" w:hAnsi="Times New Roman" w:cs="Times New Roman"/>
          <w:sz w:val="28"/>
          <w:szCs w:val="28"/>
        </w:rPr>
        <w:t>– общий ИГЕ и витамин Д. Данные исследования показали</w:t>
      </w:r>
      <w:r w:rsidRPr="007D1FA9">
        <w:rPr>
          <w:rFonts w:ascii="Times New Roman" w:eastAsia="Calibri" w:hAnsi="Times New Roman" w:cs="Times New Roman"/>
          <w:sz w:val="28"/>
          <w:szCs w:val="28"/>
        </w:rPr>
        <w:t xml:space="preserve"> наибольшее прогностическое влияние на исход тяжести симптомов аллергического ринита после АСИТ, а также на качество жизни пациентов после АСИТ</w:t>
      </w:r>
      <w:r w:rsidR="007D1FA9" w:rsidRPr="007D1FA9">
        <w:rPr>
          <w:rFonts w:ascii="Times New Roman" w:eastAsia="Calibri" w:hAnsi="Times New Roman" w:cs="Times New Roman"/>
          <w:sz w:val="28"/>
          <w:szCs w:val="28"/>
        </w:rPr>
        <w:t xml:space="preserve"> в комплексе с витамином Д</w:t>
      </w:r>
      <w:r w:rsidRPr="007D1FA9">
        <w:rPr>
          <w:rFonts w:ascii="Times New Roman" w:eastAsia="Calibri" w:hAnsi="Times New Roman" w:cs="Times New Roman"/>
          <w:sz w:val="28"/>
          <w:szCs w:val="28"/>
        </w:rPr>
        <w:t>.</w:t>
      </w:r>
    </w:p>
    <w:p w14:paraId="11EDFBA1" w14:textId="7A300696" w:rsidR="005E0E03" w:rsidRPr="005C0281" w:rsidRDefault="005E0E03" w:rsidP="005E0E03">
      <w:pPr>
        <w:spacing w:after="0" w:line="240" w:lineRule="auto"/>
        <w:ind w:firstLine="567"/>
        <w:jc w:val="both"/>
        <w:rPr>
          <w:rFonts w:ascii="Times New Roman" w:eastAsia="Calibri" w:hAnsi="Times New Roman" w:cs="Times New Roman"/>
          <w:sz w:val="28"/>
          <w:szCs w:val="28"/>
        </w:rPr>
      </w:pPr>
      <w:r w:rsidRPr="00443F44">
        <w:rPr>
          <w:rFonts w:ascii="Times New Roman" w:eastAsia="Calibri" w:hAnsi="Times New Roman" w:cs="Times New Roman"/>
          <w:sz w:val="28"/>
          <w:szCs w:val="28"/>
        </w:rPr>
        <w:t>В ходе изучения развития побочных реакций в процессе проведения АСИТ мы обнаружили, что частота развития побочных реакций составила в обеих группах составила 15 %.</w:t>
      </w:r>
      <w:r w:rsidR="0007459B">
        <w:rPr>
          <w:rFonts w:ascii="Times New Roman" w:eastAsia="Calibri" w:hAnsi="Times New Roman" w:cs="Times New Roman"/>
          <w:sz w:val="28"/>
          <w:szCs w:val="28"/>
        </w:rPr>
        <w:t xml:space="preserve"> </w:t>
      </w:r>
      <w:r w:rsidRPr="00443F44">
        <w:rPr>
          <w:rFonts w:ascii="Times New Roman" w:eastAsia="Calibri" w:hAnsi="Times New Roman" w:cs="Times New Roman"/>
          <w:sz w:val="28"/>
          <w:szCs w:val="28"/>
        </w:rPr>
        <w:t xml:space="preserve">Для выявления факторов риска довольно небольшой процент, поскольку это равнозначно 8 человекам из 51. Однако, имеются данные о том, что развитие побочных реакций может быть связано с дозой препарата </w:t>
      </w:r>
      <w:r w:rsidRPr="00443F44">
        <w:rPr>
          <w:rFonts w:ascii="Times New Roman" w:eastAsia="Calibri" w:hAnsi="Times New Roman" w:cs="Times New Roman"/>
          <w:sz w:val="28"/>
          <w:szCs w:val="28"/>
        </w:rPr>
        <w:fldChar w:fldCharType="begin" w:fldLock="1"/>
      </w:r>
      <w:r w:rsidRPr="00443F44">
        <w:rPr>
          <w:rFonts w:ascii="Times New Roman" w:eastAsia="Calibri" w:hAnsi="Times New Roman" w:cs="Times New Roman"/>
          <w:sz w:val="28"/>
          <w:szCs w:val="28"/>
        </w:rPr>
        <w:instrText>ADDIN CSL_CITATION {"citationItems":[{"id":"ITEM-1","itemData":{"DOI":"10.1186/1939-4551-7-6","ISSN":"19394551","abstract":"We have prepared this document, \"Sublingual Immunotherapy: World Allergy Organization Position Paper 2013 Update\", according to the evidence-based criteria, revising and updating chapters of the originally published paper, \"Sublingual Immunotherapy: World Allergy Organization Position Paper 2009\", available at. Namely, these comprise: \"Mechanisms of sublingual immunotherapy;\" \"Clinical efficacy of sublingual immunotherapy\" - reporting all the data of all controlled trials published after 2009; \"Safety of sublingual immunotherapy\" - with the recently published Grading System for adverse reactions; \"Impact of sublingual immunotherapy on the natural history of respiratory allergy\" - with the relevant evidences published since 2009; \"Efficacy of SLIT in children\" - with detailed analysis of all the studies; \"Definition of SLIT patient selection\" - reporting the criteria for eligibility to sublingual immunotherapy; \"The future of immunotherapy in the community care setting\"; \"Methodology of clinical trials according to the current scientific and regulatory standards\"; and \"Guideline development: from evidence-based medicine to patients' views\" - including the evolution of the methods to make clinical recommendations. Additionally, we have added new chapters to cover a few emerging crucial topics: \"Practical aspects of schedules and dosages and counseling for adherence\" - which is crucial in clinical practice for all treatments; \"Perspectives and new approaches\" - including recombinant allergens, adjuvants, modified allergens, and the concept of validity of the single products. Furthermore, \"Raising public awareness about sublingual immunotherapy\", as a need for our patients, and strategies to increase awareness of allergen immunotherapy (AIT) among patients, the medical community, all healthcare stakeholders, and public opinion, are also reported in detail.","author":[{"dropping-particle":"","family":"Canonica","given":"Giorgio Walter","non-dropping-particle":"","parse-names":false,"suffix":""},{"dropping-particle":"","family":"Cox","given":"Linda","non-dropping-particle":"","parse-names":false,"suffix":""},{"dropping-particle":"","family":"Pawankar","given":"Ruby","non-dropping-particle":"","parse-names":false,"suffix":""},{"dropping-particle":"","family":"Baena-Cagnani","given":"Carlos E.","non-dropping-particle":"","parse-names":false,"suffix":""},{"dropping-particle":"","family":"Blaiss","given":"Michael","non-dropping-particle":"","parse-names":false,"suffix":""},{"dropping-particle":"","family":"Bonini","given":"Sergio","non-dropping-particle":"","parse-names":false,"suffix":""},{"dropping-particle":"","family":"Bousquet","given":"Jean","non-dropping-particle":"","parse-names":false,"suffix":""},{"dropping-particle":"","family":"Calderón","given":"Moises","non-dropping-particle":"","parse-names":false,"suffix":""},{"dropping-particle":"","family":"Compalati","given":"Enrico","non-dropping-particle":"","parse-names":false,"suffix":""},{"dropping-particle":"","family":"Durham","given":"Stephen R.","non-dropping-particle":"","parse-names":false,"suffix":""},{"dropping-particle":"","family":"Wijk","given":"Roy Gerth","non-dropping-particle":"Van","parse-names":false,"suffix":""},{"dropping-particle":"","family":"Larenas-Linnemann","given":"Désirée","non-dropping-particle":"","parse-names":false,"suffix":""},{"dropping-particle":"","family":"Nelson","given":"Harold","non-dropping-particle":"","parse-names":false,"suffix":""},{"dropping-particle":"","family":"Passalacqua","given":"Giovanni","non-dropping-particle":"","parse-names":false,"suffix":""},{"dropping-particle":"","family":"Pfaar","given":"Oliver","non-dropping-particle":"","parse-names":false,"suffix":""},{"dropping-particle":"","family":"Rosário","given":"Nelson","non-dropping-particle":"","parse-names":false,"suffix":""},{"dropping-particle":"","family":"Ryan","given":"Dermot","non-dropping-particle":"","parse-names":false,"suffix":""},{"dropping-particle":"","family":"Rosenwasser","given":"Lanny","non-dropping-particle":"","parse-names":false,"suffix":""},{"dropping-particle":"","family":"Schmid-Grendelmeier","given":"Peter","non-dropping-particle":"","parse-names":false,"suffix":""},{"dropping-particle":"","family":"Senna","given":"Gianenrico","non-dropping-particle":"","parse-names":false,"suffix":""},{"dropping-particle":"","family":"Valovirta","given":"Erkka","non-dropping-particle":"","parse-names":false,"suffix":""},{"dropping-particle":"","family":"Bever","given":"Hugo","non-dropping-particle":"Van","parse-names":false,"suffix":""},{"dropping-particle":"","family":"Vichyanond","given":"Pakit","non-dropping-particle":"","parse-names":false,"suffix":""},{"dropping-particle":"","family":"Wahn","given":"Ulrich","non-dropping-particle":"","parse-names":false,"suffix":""},{"dropping-particle":"","family":"Yusuf","given":"Osman","non-dropping-particle":"","parse-names":false,"suffix":""}],"container-title":"World Allergy Organization Journal","id":"ITEM-1","issue":"1","issued":{"date-parts":[["2014"]]},"note":"From Duplicate 2 (Sublingual immunotherapy: World Allergy Organization position paper 2013 update - Canonica, Giorgio Walter; Cox, Linda; Pawankar, Ruby; Baena-Cagnani, Carlos E.; Blaiss, Michael; Bonini, Sergio; Bousquet, Jean; Calderón, Moises; Compalati, Enrico; Durham, Stephen R.; Van Wijk, Roy Gerth; Larenas-Linnemann, Désirée; Nelson, Harold; Passalacqua, Giovanni; Pfaar, Oliver; Rosário, Nelson; Ryan, Dermot; Rosenwasser, Lanny; Schmid-Grendelmeier, Peter; Senna, Gianenrico; Valovirta, Erkka; Van Bever, Hugo; Vichyanond, Pakit; Wahn, Ulrich; Yusuf, Osman)\n\nBiomarkers","title":"Sublingual immunotherapy: World Allergy Organization position paper 2013 update","type":"article-journal","volume":"7"},"uris":["http://www.mendeley.com/documents/?uuid=9046e1a1-88eb-4b17-b246-73d0541321b5"]}],"mendeley":{"formattedCitation":"[35]","plainTextFormattedCitation":"[35]","previouslyFormattedCitation":"[35]"},"properties":{"noteIndex":0},"schema":"https://github.com/citation-style-language/schema/raw/master/csl-citation.json"}</w:instrText>
      </w:r>
      <w:r w:rsidRPr="00443F44">
        <w:rPr>
          <w:rFonts w:ascii="Times New Roman" w:eastAsia="Calibri" w:hAnsi="Times New Roman" w:cs="Times New Roman"/>
          <w:sz w:val="28"/>
          <w:szCs w:val="28"/>
        </w:rPr>
        <w:fldChar w:fldCharType="separate"/>
      </w:r>
      <w:r w:rsidRPr="00443F44">
        <w:rPr>
          <w:rFonts w:ascii="Times New Roman" w:eastAsia="Calibri" w:hAnsi="Times New Roman" w:cs="Times New Roman"/>
          <w:noProof/>
          <w:sz w:val="28"/>
          <w:szCs w:val="28"/>
        </w:rPr>
        <w:t>[35]</w:t>
      </w:r>
      <w:r w:rsidRPr="00443F44">
        <w:rPr>
          <w:rFonts w:ascii="Times New Roman" w:eastAsia="Calibri" w:hAnsi="Times New Roman" w:cs="Times New Roman"/>
          <w:sz w:val="28"/>
          <w:szCs w:val="28"/>
        </w:rPr>
        <w:fldChar w:fldCharType="end"/>
      </w:r>
      <w:r w:rsidRPr="00443F44">
        <w:rPr>
          <w:rFonts w:ascii="Times New Roman" w:eastAsia="Calibri" w:hAnsi="Times New Roman" w:cs="Times New Roman"/>
          <w:sz w:val="28"/>
          <w:szCs w:val="28"/>
        </w:rPr>
        <w:t>. В исследованиях была продемонстрирована взаимосвязь частоты и тяжести побочных реакций в зависимости от дозы и свойств аллергена</w:t>
      </w:r>
      <w:r w:rsidR="0007459B">
        <w:rPr>
          <w:rFonts w:ascii="Times New Roman" w:eastAsia="Calibri" w:hAnsi="Times New Roman" w:cs="Times New Roman"/>
          <w:sz w:val="28"/>
          <w:szCs w:val="28"/>
        </w:rPr>
        <w:t xml:space="preserve"> </w:t>
      </w:r>
      <w:r w:rsidRPr="00443F44">
        <w:rPr>
          <w:rFonts w:ascii="Times New Roman" w:eastAsia="Calibri" w:hAnsi="Times New Roman" w:cs="Times New Roman"/>
          <w:sz w:val="28"/>
          <w:szCs w:val="28"/>
        </w:rPr>
        <w:fldChar w:fldCharType="begin" w:fldLock="1"/>
      </w:r>
      <w:r w:rsidR="006B2D4C">
        <w:rPr>
          <w:rFonts w:ascii="Times New Roman" w:eastAsia="Calibri" w:hAnsi="Times New Roman" w:cs="Times New Roman"/>
          <w:sz w:val="28"/>
          <w:szCs w:val="28"/>
        </w:rPr>
        <w:instrText>ADDIN CSL_CITATION {"citationItems":[{"id":"ITEM-1","itemData":{"DOI":"10.2500/aap.2012.33.3605","ISSN":"15396304","PMID":"23026182","abstract":"A sublingually administered allergy immunotherapy tablet (AIT) is under development to treat ragweed (Ambrosia artemisiifolia)-induced allergic rhinoconjunctivitis (ARC). This study investigates the optimal tolerable dose of oncedaily ragweed pollen AIT. Subjects 18-50 years old with ragweed-induced ARC were enrolled at two U.S. centers in a double-blind, placebo-controlled, dose-escalation study outside ragweed season. Groups (12 subjects each) were to be randomized 3:1 to 28 days of active treatment (groups assigned in sequence to 3, 6, 12, 24, 50, or 100 Amb a 1 U, without dose buildup at any level) or matching placebo. Recruitment to 50 Amb a 1-U was discontinued because of adverse events (AEs) after four AIT subjects were enrolled; 100 1 unit of ambrosia artemislifolia major allergen 1 was not initiated. Fifty-three subjects were randomized (AIT, n = 40; placebo, n = 13); four discontinued, all because of AEs (AIT, n = 3; placebo, n = 1). Treatment-related AEs (TRAEs) were more frequent with AIT (73%) than placebo (31%), increasing with dose level. AIT TRAEs were mostly mild (94%) or moderate (5%). No serious TRAEs or anaphylactic shock occurred. The most common TRAEs with AIT were localized pruritus, nasal irritation, and throat irritation. Median onset for common AIT application site reactions was ≤24 hours after first treatment (median duration, 15-50 minutes). AIT increased immunoglobulin (Ig) significantly more than placebo (ragweed-specific IgE [6, 12, and 24 Amb a 1-U]; IgG4 [all doses]; p &lt; 0.05). Three subjects in dose groups ≥24 Amb a 1-U experienced symptoms suggestive of systemic reaction. Of tested doses, ragweed AIT &lt;24 Amb a 1-U once-daily was well tolerated in subjects with ragweed-induced ARC. Clinical trial registration URL and registration number: www.clinicaltrials.gov/ct2/show/ NCT01134705. Copyright © 2012, OceanSide Publications, Inc., U.S.A.","author":[{"dropping-particle":"","family":"Nayak","given":"Anjuli S.","non-dropping-particle":"","parse-names":false,"suffix":""},{"dropping-particle":"","family":"Atiee","given":"George J.","non-dropping-particle":"","parse-names":false,"suffix":""},{"dropping-particle":"","family":"Dige","given":"Ea","non-dropping-particle":"","parse-names":false,"suffix":""},{"dropping-particle":"","family":"Maloney","given":"Jennifer","non-dropping-particle":"","parse-names":false,"suffix":""},{"dropping-particle":"","family":"Nolte","given":"Hendrik","non-dropping-particle":"","parse-names":false,"suffix":""}],"container-title":"Allergy and Asthma Proceedings","id":"ITEM-1","issue":"5","issued":{"date-parts":[["2012"]]},"page":"404-410","title":"Safety of ragweed sublingual allergy immunotherapy tablets in adults with allergic rhinoconjunctivitis","type":"article-journal","volume":"33"},"uris":["http://www.mendeley.com/documents/?uuid=b4cf2b67-d981-43ed-8d3b-19d279cd9a58"]}],"mendeley":{"formattedCitation":"[170]","plainTextFormattedCitation":"[170]","previouslyFormattedCitation":"[170]"},"properties":{"noteIndex":0},"schema":"https://github.com/citation-style-language/schema/raw/master/csl-citation.json"}</w:instrText>
      </w:r>
      <w:r w:rsidRPr="00443F44">
        <w:rPr>
          <w:rFonts w:ascii="Times New Roman" w:eastAsia="Calibri" w:hAnsi="Times New Roman" w:cs="Times New Roman"/>
          <w:sz w:val="28"/>
          <w:szCs w:val="28"/>
        </w:rPr>
        <w:fldChar w:fldCharType="separate"/>
      </w:r>
      <w:r w:rsidR="004028FD" w:rsidRPr="004028FD">
        <w:rPr>
          <w:rFonts w:ascii="Times New Roman" w:eastAsia="Calibri" w:hAnsi="Times New Roman" w:cs="Times New Roman"/>
          <w:noProof/>
          <w:sz w:val="28"/>
          <w:szCs w:val="28"/>
        </w:rPr>
        <w:t>[170]</w:t>
      </w:r>
      <w:r w:rsidRPr="00443F44">
        <w:rPr>
          <w:rFonts w:ascii="Times New Roman" w:eastAsia="Calibri" w:hAnsi="Times New Roman" w:cs="Times New Roman"/>
          <w:sz w:val="28"/>
          <w:szCs w:val="28"/>
        </w:rPr>
        <w:fldChar w:fldCharType="end"/>
      </w:r>
      <w:r w:rsidRPr="00443F44">
        <w:rPr>
          <w:rFonts w:ascii="Times New Roman" w:eastAsia="Calibri" w:hAnsi="Times New Roman" w:cs="Times New Roman"/>
          <w:sz w:val="28"/>
          <w:szCs w:val="28"/>
        </w:rPr>
        <w:t>. Так и в нашем исследовании все побочные реакции у пациентов развивались на поддерживающем этапе лечения, когда они получали максимальную дозу препарата. К тому же наш препарат изготовлен на основе цельных нерекомбинантных аллергенов, что также взаимосвязано с повышенным риском побочных реакций. Важным моментом остается комплаентность пациентов, что довольно сложно оценить поскольку они получали препарат самостоятельно на дому с ежемесячным контролем лечения.</w:t>
      </w:r>
      <w:r w:rsidR="0007459B">
        <w:rPr>
          <w:rFonts w:ascii="Times New Roman" w:eastAsia="Calibri" w:hAnsi="Times New Roman" w:cs="Times New Roman"/>
          <w:sz w:val="28"/>
          <w:szCs w:val="28"/>
        </w:rPr>
        <w:t xml:space="preserve"> </w:t>
      </w:r>
      <w:r w:rsidRPr="00443F44">
        <w:rPr>
          <w:rFonts w:ascii="Times New Roman" w:eastAsia="Calibri" w:hAnsi="Times New Roman" w:cs="Times New Roman"/>
          <w:sz w:val="28"/>
          <w:szCs w:val="28"/>
        </w:rPr>
        <w:t>Таким образом, в группе контроля местные побочные реакции отмечались у 19 % пациентов, а в группе вмешательства побочных у 12 %, что указывает на безопасный профиль сублингвальной формы аллерген-специфической иммунотерапии.</w:t>
      </w:r>
      <w:r w:rsidRPr="005C0281">
        <w:rPr>
          <w:rFonts w:ascii="Times New Roman" w:eastAsia="Calibri" w:hAnsi="Times New Roman" w:cs="Times New Roman"/>
          <w:sz w:val="28"/>
          <w:szCs w:val="28"/>
        </w:rPr>
        <w:t xml:space="preserve"> </w:t>
      </w:r>
    </w:p>
    <w:p w14:paraId="6BCDBDA8" w14:textId="671A03C1" w:rsidR="005C0281" w:rsidRPr="005C0281" w:rsidRDefault="005C0281" w:rsidP="005C0281">
      <w:pPr>
        <w:spacing w:after="0" w:line="240" w:lineRule="auto"/>
        <w:ind w:firstLine="567"/>
        <w:jc w:val="both"/>
        <w:rPr>
          <w:rFonts w:ascii="Times New Roman" w:hAnsi="Times New Roman" w:cs="Times New Roman"/>
          <w:noProof/>
          <w:sz w:val="28"/>
          <w:szCs w:val="28"/>
          <w:lang w:eastAsia="ru-RU"/>
        </w:rPr>
      </w:pPr>
      <w:r w:rsidRPr="005C0281">
        <w:rPr>
          <w:rFonts w:ascii="Times New Roman" w:eastAsiaTheme="minorEastAsia" w:hAnsi="Times New Roman" w:cs="Times New Roman"/>
          <w:sz w:val="28"/>
          <w:szCs w:val="28"/>
          <w:lang w:eastAsia="ru-RU"/>
        </w:rPr>
        <w:t>Рeзюмируя содeржaниe данных</w:t>
      </w:r>
      <w:r w:rsidR="00443F44">
        <w:rPr>
          <w:rFonts w:ascii="Times New Roman" w:eastAsiaTheme="minorEastAsia" w:hAnsi="Times New Roman" w:cs="Times New Roman"/>
          <w:sz w:val="28"/>
          <w:szCs w:val="28"/>
          <w:lang w:eastAsia="ru-RU"/>
        </w:rPr>
        <w:t xml:space="preserve"> диссертационной</w:t>
      </w:r>
      <w:r w:rsidRPr="005C0281">
        <w:rPr>
          <w:rFonts w:ascii="Times New Roman" w:eastAsiaTheme="minorEastAsia" w:hAnsi="Times New Roman" w:cs="Times New Roman"/>
          <w:sz w:val="28"/>
          <w:szCs w:val="28"/>
          <w:lang w:eastAsia="ru-RU"/>
        </w:rPr>
        <w:t xml:space="preserve"> рaботы, нужно скaзaть, что в ходe aнaлизa всeх взятых для контроля эффeктивности вмeшaтeльствa покaзaтeлeй были получeны сущeствeнныe, стaтистичeски знaчимые рaзличия в группaх. Дaнный фaкт говорит о нaличии клиничeской эффeктивности внeдрeния (АСИТ в комплексе с витамином Д) в мeнeджмeнт сезонного аллергического ринита. </w:t>
      </w:r>
      <w:r w:rsidRPr="005C0281">
        <w:rPr>
          <w:rFonts w:ascii="Times New Roman" w:hAnsi="Times New Roman" w:cs="Times New Roman"/>
          <w:noProof/>
          <w:sz w:val="28"/>
          <w:szCs w:val="28"/>
          <w:lang w:eastAsia="ru-RU"/>
        </w:rPr>
        <w:t xml:space="preserve">Использование валидизированной анкеты в качестве способа оценки тяжести симптомов и прменения препаратов, а также включение лабораторных биомаркеров </w:t>
      </w:r>
      <w:r w:rsidRPr="005C0281">
        <w:rPr>
          <w:rFonts w:ascii="Times New Roman" w:eastAsiaTheme="minorEastAsia" w:hAnsi="Times New Roman" w:cs="Times New Roman"/>
          <w:sz w:val="28"/>
          <w:szCs w:val="28"/>
          <w:lang w:eastAsia="ru-RU"/>
        </w:rPr>
        <w:t>для мониторинга клинической эффективности АСИТ дают исчерпывающее описывание динамики проведенного лечения</w:t>
      </w:r>
      <w:r w:rsidRPr="005C0281">
        <w:rPr>
          <w:rFonts w:ascii="Times New Roman" w:hAnsi="Times New Roman" w:cs="Times New Roman"/>
          <w:noProof/>
          <w:sz w:val="28"/>
          <w:szCs w:val="28"/>
          <w:lang w:eastAsia="ru-RU"/>
        </w:rPr>
        <w:t>. Таким образом, данный алгортм менеджмента сезонного аллергического ринита наглядно демонстрирует все этапы необходимого объема диагностики заболевания на амбулаторном уровне.</w:t>
      </w:r>
    </w:p>
    <w:p w14:paraId="4EF1CEE4" w14:textId="77777777" w:rsidR="005C0281" w:rsidRPr="00912705" w:rsidRDefault="005C0281" w:rsidP="005C0281">
      <w:pPr>
        <w:spacing w:after="0" w:line="240" w:lineRule="auto"/>
        <w:ind w:firstLine="567"/>
        <w:jc w:val="both"/>
        <w:rPr>
          <w:rFonts w:ascii="Times New Roman" w:eastAsia="Calibri" w:hAnsi="Times New Roman" w:cs="Times New Roman"/>
          <w:sz w:val="28"/>
          <w:szCs w:val="28"/>
          <w:lang w:eastAsia="ru-RU"/>
        </w:rPr>
      </w:pPr>
      <w:r w:rsidRPr="005C0281">
        <w:rPr>
          <w:rFonts w:ascii="Times New Roman" w:eastAsia="Calibri" w:hAnsi="Times New Roman" w:cs="Times New Roman"/>
          <w:sz w:val="28"/>
          <w:szCs w:val="28"/>
          <w:lang w:eastAsia="ru-RU"/>
        </w:rPr>
        <w:t xml:space="preserve">На основании полученных результатов исследования можно сделать </w:t>
      </w:r>
      <w:r w:rsidRPr="00912705">
        <w:rPr>
          <w:rFonts w:ascii="Times New Roman" w:eastAsia="Calibri" w:hAnsi="Times New Roman" w:cs="Times New Roman"/>
          <w:sz w:val="28"/>
          <w:szCs w:val="28"/>
          <w:lang w:eastAsia="ru-RU"/>
        </w:rPr>
        <w:t xml:space="preserve">следующие </w:t>
      </w:r>
      <w:r w:rsidRPr="00912705">
        <w:rPr>
          <w:rFonts w:ascii="Times New Roman" w:eastAsia="Calibri" w:hAnsi="Times New Roman" w:cs="Times New Roman"/>
          <w:b/>
          <w:sz w:val="28"/>
          <w:szCs w:val="28"/>
          <w:lang w:eastAsia="ru-RU"/>
        </w:rPr>
        <w:t>выводы</w:t>
      </w:r>
      <w:r w:rsidRPr="00912705">
        <w:rPr>
          <w:rFonts w:ascii="Times New Roman" w:eastAsia="Calibri" w:hAnsi="Times New Roman" w:cs="Times New Roman"/>
          <w:sz w:val="28"/>
          <w:szCs w:val="28"/>
          <w:lang w:eastAsia="ru-RU"/>
        </w:rPr>
        <w:t>:</w:t>
      </w:r>
    </w:p>
    <w:p w14:paraId="50495AC4" w14:textId="77777777" w:rsidR="004E5877" w:rsidRDefault="004E5877" w:rsidP="004E5877">
      <w:pPr>
        <w:numPr>
          <w:ilvl w:val="0"/>
          <w:numId w:val="40"/>
        </w:numPr>
        <w:tabs>
          <w:tab w:val="left" w:pos="284"/>
          <w:tab w:val="left" w:pos="851"/>
        </w:tabs>
        <w:spacing w:after="0" w:line="240" w:lineRule="auto"/>
        <w:ind w:left="0" w:firstLine="567"/>
        <w:contextualSpacing/>
        <w:jc w:val="both"/>
        <w:rPr>
          <w:rFonts w:ascii="Times New Roman" w:hAnsi="Times New Roman" w:cs="Times New Roman"/>
          <w:sz w:val="28"/>
          <w:szCs w:val="28"/>
        </w:rPr>
      </w:pPr>
      <w:r w:rsidRPr="004E5877">
        <w:rPr>
          <w:rFonts w:ascii="Times New Roman" w:hAnsi="Times New Roman" w:cs="Times New Roman"/>
          <w:sz w:val="28"/>
          <w:szCs w:val="28"/>
        </w:rPr>
        <w:t>Проведённый систематический обзор исследований, посвященных использованию молекулярной диагностики при аллерген-специфической иммунотерапии показал, что молекулярная диагностика играет решающее значении в подборе аллергенного состава АСИТ и оказывает существенное влияние на эффективность и исходы АСИТ.</w:t>
      </w:r>
    </w:p>
    <w:p w14:paraId="60898480" w14:textId="7683ABBF" w:rsidR="006D457B" w:rsidRPr="006D457B" w:rsidRDefault="004E5877" w:rsidP="006D457B">
      <w:pPr>
        <w:numPr>
          <w:ilvl w:val="0"/>
          <w:numId w:val="40"/>
        </w:numPr>
        <w:tabs>
          <w:tab w:val="left" w:pos="284"/>
          <w:tab w:val="left" w:pos="851"/>
        </w:tabs>
        <w:spacing w:after="0" w:line="240" w:lineRule="auto"/>
        <w:ind w:left="0" w:firstLine="567"/>
        <w:contextualSpacing/>
        <w:jc w:val="both"/>
        <w:rPr>
          <w:rFonts w:ascii="Times New Roman" w:hAnsi="Times New Roman" w:cs="Times New Roman"/>
          <w:sz w:val="28"/>
          <w:szCs w:val="28"/>
        </w:rPr>
      </w:pPr>
      <w:r w:rsidRPr="004E5877">
        <w:rPr>
          <w:rFonts w:ascii="Times New Roman" w:hAnsi="Times New Roman" w:cs="Times New Roman"/>
          <w:sz w:val="28"/>
          <w:szCs w:val="28"/>
        </w:rPr>
        <w:t xml:space="preserve">Схема АСИТ в комплексе с витамином Д </w:t>
      </w:r>
      <w:r w:rsidR="00443F44">
        <w:rPr>
          <w:rFonts w:ascii="Times New Roman" w:hAnsi="Times New Roman" w:cs="Times New Roman"/>
          <w:sz w:val="28"/>
          <w:szCs w:val="28"/>
        </w:rPr>
        <w:t>показала</w:t>
      </w:r>
      <w:r w:rsidRPr="004E5877">
        <w:rPr>
          <w:rFonts w:ascii="Times New Roman" w:hAnsi="Times New Roman" w:cs="Times New Roman"/>
          <w:sz w:val="28"/>
          <w:szCs w:val="28"/>
        </w:rPr>
        <w:t xml:space="preserve"> высокую клинико-лабораторную эффективность </w:t>
      </w:r>
      <w:r w:rsidR="00443F44">
        <w:rPr>
          <w:rFonts w:ascii="Times New Roman" w:hAnsi="Times New Roman" w:cs="Times New Roman"/>
          <w:sz w:val="28"/>
          <w:szCs w:val="28"/>
        </w:rPr>
        <w:t>относительного стандартного протокола АСИТ</w:t>
      </w:r>
      <w:r w:rsidRPr="004E5877">
        <w:rPr>
          <w:rFonts w:ascii="Times New Roman" w:hAnsi="Times New Roman" w:cs="Times New Roman"/>
          <w:sz w:val="28"/>
          <w:szCs w:val="28"/>
        </w:rPr>
        <w:t xml:space="preserve">, что подтверждается клинико-лабораторными данными: </w:t>
      </w:r>
      <w:r w:rsidR="00443F44">
        <w:rPr>
          <w:rFonts w:ascii="Times New Roman" w:hAnsi="Times New Roman" w:cs="Times New Roman"/>
          <w:sz w:val="28"/>
          <w:szCs w:val="28"/>
        </w:rPr>
        <w:t>продемонстрирована</w:t>
      </w:r>
      <w:r w:rsidR="00443F44" w:rsidRPr="004E5877">
        <w:rPr>
          <w:rFonts w:ascii="Times New Roman" w:hAnsi="Times New Roman" w:cs="Times New Roman"/>
          <w:sz w:val="28"/>
          <w:szCs w:val="28"/>
        </w:rPr>
        <w:t xml:space="preserve"> </w:t>
      </w:r>
      <w:r w:rsidR="00443F44">
        <w:rPr>
          <w:rFonts w:ascii="Times New Roman" w:hAnsi="Times New Roman" w:cs="Times New Roman"/>
          <w:sz w:val="28"/>
          <w:szCs w:val="28"/>
        </w:rPr>
        <w:t>эффективная динамика</w:t>
      </w:r>
      <w:r w:rsidRPr="004E5877">
        <w:rPr>
          <w:rFonts w:ascii="Times New Roman" w:hAnsi="Times New Roman" w:cs="Times New Roman"/>
          <w:sz w:val="28"/>
          <w:szCs w:val="28"/>
        </w:rPr>
        <w:t xml:space="preserve"> снижения </w:t>
      </w:r>
      <w:r w:rsidR="00443F44">
        <w:rPr>
          <w:rFonts w:ascii="Times New Roman" w:hAnsi="Times New Roman" w:cs="Times New Roman"/>
          <w:sz w:val="28"/>
          <w:szCs w:val="28"/>
        </w:rPr>
        <w:t>общего</w:t>
      </w:r>
      <w:r w:rsidRPr="004E5877">
        <w:rPr>
          <w:rFonts w:ascii="Times New Roman" w:hAnsi="Times New Roman" w:cs="Times New Roman"/>
          <w:sz w:val="28"/>
          <w:szCs w:val="28"/>
        </w:rPr>
        <w:t xml:space="preserve"> балл</w:t>
      </w:r>
      <w:r w:rsidR="00443F44">
        <w:rPr>
          <w:rFonts w:ascii="Times New Roman" w:hAnsi="Times New Roman" w:cs="Times New Roman"/>
          <w:sz w:val="28"/>
          <w:szCs w:val="28"/>
        </w:rPr>
        <w:t>а</w:t>
      </w:r>
      <w:r w:rsidRPr="004E5877">
        <w:rPr>
          <w:rFonts w:ascii="Times New Roman" w:hAnsi="Times New Roman" w:cs="Times New Roman"/>
          <w:sz w:val="28"/>
          <w:szCs w:val="28"/>
        </w:rPr>
        <w:t xml:space="preserve"> симптом</w:t>
      </w:r>
      <w:r w:rsidR="00BB4F90">
        <w:rPr>
          <w:rFonts w:ascii="Times New Roman" w:hAnsi="Times New Roman" w:cs="Times New Roman"/>
          <w:sz w:val="28"/>
          <w:szCs w:val="28"/>
        </w:rPr>
        <w:t>ов тяжести (6 баллов и 9 баллов соответственно, p&lt;0,04), общего</w:t>
      </w:r>
      <w:r w:rsidRPr="004E5877">
        <w:rPr>
          <w:rFonts w:ascii="Times New Roman" w:hAnsi="Times New Roman" w:cs="Times New Roman"/>
          <w:sz w:val="28"/>
          <w:szCs w:val="28"/>
        </w:rPr>
        <w:t xml:space="preserve"> балл</w:t>
      </w:r>
      <w:r w:rsidR="00BB4F90">
        <w:rPr>
          <w:rFonts w:ascii="Times New Roman" w:hAnsi="Times New Roman" w:cs="Times New Roman"/>
          <w:sz w:val="28"/>
          <w:szCs w:val="28"/>
        </w:rPr>
        <w:t>а</w:t>
      </w:r>
      <w:r w:rsidRPr="004E5877">
        <w:rPr>
          <w:rFonts w:ascii="Times New Roman" w:hAnsi="Times New Roman" w:cs="Times New Roman"/>
          <w:sz w:val="28"/>
          <w:szCs w:val="28"/>
        </w:rPr>
        <w:t xml:space="preserve"> качест</w:t>
      </w:r>
      <w:r w:rsidR="00BB4F90">
        <w:rPr>
          <w:rFonts w:ascii="Times New Roman" w:hAnsi="Times New Roman" w:cs="Times New Roman"/>
          <w:sz w:val="28"/>
          <w:szCs w:val="28"/>
        </w:rPr>
        <w:t xml:space="preserve">ва жизни (7 баллов и 9,5 баллов соответственно, p&lt;0,001), уровня </w:t>
      </w:r>
      <w:r w:rsidR="006D457B" w:rsidRPr="006D457B">
        <w:rPr>
          <w:rFonts w:ascii="Times New Roman" w:hAnsi="Times New Roman" w:cs="Times New Roman"/>
          <w:sz w:val="28"/>
          <w:szCs w:val="28"/>
        </w:rPr>
        <w:t>ЭКБ (32,61 нг/мл и 40,28 нг/мл соответственно, р=0,006), общего ИГЕ (209,6 Ед/мл и 299,75 Ед/мл соответственно, р=0,004)</w:t>
      </w:r>
      <w:r w:rsidRPr="004E5877">
        <w:rPr>
          <w:rFonts w:ascii="Times New Roman" w:hAnsi="Times New Roman" w:cs="Times New Roman"/>
          <w:sz w:val="28"/>
          <w:szCs w:val="28"/>
        </w:rPr>
        <w:t xml:space="preserve">. </w:t>
      </w:r>
      <w:r w:rsidR="006D457B" w:rsidRPr="006D457B">
        <w:rPr>
          <w:rFonts w:ascii="Times New Roman" w:eastAsia="Calibri" w:hAnsi="Times New Roman" w:cs="Times New Roman"/>
          <w:sz w:val="28"/>
          <w:szCs w:val="28"/>
        </w:rPr>
        <w:t xml:space="preserve">Уровень витамина Д в группе вмешательства был повышен после проведенного лечения, в группе контроля уровень витамина Д в крови продолжал снижаться (37,6 нг/л и 13,4 нг/л соответственно, </w:t>
      </w:r>
      <w:r w:rsidR="006D457B" w:rsidRPr="006D457B">
        <w:rPr>
          <w:rFonts w:ascii="Times New Roman" w:hAnsi="Times New Roman" w:cs="Times New Roman"/>
          <w:sz w:val="28"/>
          <w:szCs w:val="28"/>
          <w:lang w:val="en-US"/>
        </w:rPr>
        <w:t>p</w:t>
      </w:r>
      <w:r w:rsidR="006D457B" w:rsidRPr="00437528">
        <w:sym w:font="Symbol" w:char="F03C"/>
      </w:r>
      <w:r w:rsidR="006D457B" w:rsidRPr="006D457B">
        <w:rPr>
          <w:rFonts w:ascii="Times New Roman" w:hAnsi="Times New Roman" w:cs="Times New Roman"/>
          <w:sz w:val="28"/>
          <w:szCs w:val="28"/>
        </w:rPr>
        <w:t>0,001</w:t>
      </w:r>
      <w:r w:rsidR="006D457B" w:rsidRPr="006D457B">
        <w:rPr>
          <w:rFonts w:ascii="Times New Roman" w:eastAsia="Calibri" w:hAnsi="Times New Roman" w:cs="Times New Roman"/>
          <w:sz w:val="28"/>
          <w:szCs w:val="28"/>
        </w:rPr>
        <w:t>).</w:t>
      </w:r>
    </w:p>
    <w:p w14:paraId="38D4056C" w14:textId="4080ADBE" w:rsidR="002B36CF" w:rsidRPr="00EF6971" w:rsidRDefault="00673297" w:rsidP="00D31E86">
      <w:pPr>
        <w:numPr>
          <w:ilvl w:val="0"/>
          <w:numId w:val="40"/>
        </w:numPr>
        <w:tabs>
          <w:tab w:val="left" w:pos="284"/>
          <w:tab w:val="left" w:pos="851"/>
        </w:tabs>
        <w:spacing w:after="0" w:line="240" w:lineRule="auto"/>
        <w:ind w:left="0" w:firstLine="567"/>
        <w:contextualSpacing/>
        <w:jc w:val="both"/>
        <w:rPr>
          <w:rFonts w:ascii="Times New Roman" w:hAnsi="Times New Roman" w:cs="Times New Roman"/>
          <w:sz w:val="28"/>
          <w:szCs w:val="28"/>
        </w:rPr>
      </w:pPr>
      <w:r w:rsidRPr="004E5877">
        <w:rPr>
          <w:rFonts w:ascii="Times New Roman" w:hAnsi="Times New Roman" w:cs="Times New Roman"/>
          <w:sz w:val="28"/>
          <w:szCs w:val="28"/>
        </w:rPr>
        <w:t>Лабораторными маркерами эффективности АСИТ с витамином Д с наибольшей прогностической значимостью являются уровень общего ИГE и концентрация витамина Д в сыворотке крови. Пороговые значения общего ИГЕ для прогнозирования тяжести симптомов сезонного аллергического ринита</w:t>
      </w:r>
      <w:r w:rsidR="00D31E86">
        <w:rPr>
          <w:rFonts w:ascii="Times New Roman" w:hAnsi="Times New Roman" w:cs="Times New Roman"/>
          <w:sz w:val="28"/>
          <w:szCs w:val="28"/>
        </w:rPr>
        <w:t xml:space="preserve"> и эффективности АСИТ</w:t>
      </w:r>
      <w:r w:rsidR="003D0A35">
        <w:rPr>
          <w:rFonts w:ascii="Times New Roman" w:hAnsi="Times New Roman" w:cs="Times New Roman"/>
          <w:sz w:val="28"/>
          <w:szCs w:val="28"/>
        </w:rPr>
        <w:t xml:space="preserve"> </w:t>
      </w:r>
      <w:r w:rsidRPr="004E5877">
        <w:rPr>
          <w:rFonts w:ascii="Times New Roman" w:hAnsi="Times New Roman" w:cs="Times New Roman"/>
          <w:sz w:val="28"/>
          <w:szCs w:val="28"/>
        </w:rPr>
        <w:t xml:space="preserve">составили 368,7 МЕ/мл, а для витамина Д </w:t>
      </w:r>
      <w:r w:rsidR="001349B2">
        <w:rPr>
          <w:rFonts w:ascii="Times New Roman" w:hAnsi="Times New Roman" w:cs="Times New Roman"/>
          <w:sz w:val="28"/>
          <w:szCs w:val="28"/>
        </w:rPr>
        <w:t>–</w:t>
      </w:r>
      <w:r w:rsidRPr="004E5877">
        <w:rPr>
          <w:rFonts w:ascii="Times New Roman" w:hAnsi="Times New Roman" w:cs="Times New Roman"/>
          <w:sz w:val="28"/>
          <w:szCs w:val="28"/>
        </w:rPr>
        <w:t xml:space="preserve"> </w:t>
      </w:r>
      <w:r w:rsidR="001349B2">
        <w:rPr>
          <w:rFonts w:ascii="Times New Roman" w:hAnsi="Times New Roman" w:cs="Times New Roman"/>
          <w:sz w:val="28"/>
          <w:szCs w:val="28"/>
        </w:rPr>
        <w:t>18,6</w:t>
      </w:r>
      <w:r w:rsidRPr="004E5877">
        <w:rPr>
          <w:rFonts w:ascii="Times New Roman" w:hAnsi="Times New Roman" w:cs="Times New Roman"/>
          <w:sz w:val="28"/>
          <w:szCs w:val="28"/>
        </w:rPr>
        <w:t xml:space="preserve"> нг/мл. Более высокий уровень общего ИГЕ и более низкая концентрация витамина Д </w:t>
      </w:r>
      <w:r w:rsidRPr="00EF6971">
        <w:rPr>
          <w:rFonts w:ascii="Times New Roman" w:hAnsi="Times New Roman" w:cs="Times New Roman"/>
          <w:sz w:val="28"/>
          <w:szCs w:val="28"/>
        </w:rPr>
        <w:t>ассоциированы с более тяжелыми симптомами</w:t>
      </w:r>
      <w:r w:rsidR="00D31E86" w:rsidRPr="00EF6971">
        <w:rPr>
          <w:rFonts w:ascii="Times New Roman" w:hAnsi="Times New Roman" w:cs="Times New Roman"/>
          <w:sz w:val="28"/>
          <w:szCs w:val="28"/>
        </w:rPr>
        <w:t xml:space="preserve"> и низкой эффективностью АСИТ</w:t>
      </w:r>
      <w:r w:rsidRPr="00EF6971">
        <w:rPr>
          <w:rFonts w:ascii="Times New Roman" w:hAnsi="Times New Roman" w:cs="Times New Roman"/>
          <w:sz w:val="28"/>
          <w:szCs w:val="28"/>
        </w:rPr>
        <w:t xml:space="preserve">. </w:t>
      </w:r>
      <w:r w:rsidR="00D31E86" w:rsidRPr="00EF6971">
        <w:rPr>
          <w:rFonts w:ascii="Times New Roman" w:eastAsia="Calibri" w:hAnsi="Times New Roman" w:cs="Times New Roman"/>
          <w:kern w:val="2"/>
          <w:sz w:val="28"/>
          <w:szCs w:val="28"/>
          <w:lang w:eastAsia="zh-CN" w:bidi="hi-IN"/>
        </w:rPr>
        <w:t>Корреляционный анализ лабораторных маркеров эффективности АСИТ в комплексе с витамином Д показал, что тяжесть симптомов аллергического ринита нарастает при снижении базового уровня витамина Д (</w:t>
      </w:r>
      <w:r w:rsidR="00D31E86" w:rsidRPr="00EF6971">
        <w:rPr>
          <w:rFonts w:ascii="Times New Roman" w:eastAsia="Calibri" w:hAnsi="Times New Roman" w:cs="Times New Roman"/>
          <w:kern w:val="2"/>
          <w:sz w:val="28"/>
          <w:szCs w:val="28"/>
          <w:lang w:val="en-US" w:eastAsia="zh-CN" w:bidi="hi-IN"/>
        </w:rPr>
        <w:t>r</w:t>
      </w:r>
      <w:r w:rsidR="00D31E86" w:rsidRPr="00EF6971">
        <w:rPr>
          <w:rFonts w:ascii="Times New Roman" w:eastAsia="Calibri" w:hAnsi="Times New Roman" w:cs="Times New Roman"/>
          <w:kern w:val="2"/>
          <w:sz w:val="28"/>
          <w:szCs w:val="28"/>
          <w:lang w:eastAsia="zh-CN" w:bidi="hi-IN"/>
        </w:rPr>
        <w:t xml:space="preserve">=-0,8; </w:t>
      </w:r>
      <w:r w:rsidR="00D31E86" w:rsidRPr="00EF6971">
        <w:rPr>
          <w:rFonts w:ascii="Times New Roman" w:eastAsia="Calibri" w:hAnsi="Times New Roman" w:cs="Times New Roman"/>
          <w:kern w:val="2"/>
          <w:sz w:val="28"/>
          <w:szCs w:val="28"/>
          <w:lang w:val="en-US" w:eastAsia="zh-CN" w:bidi="hi-IN"/>
        </w:rPr>
        <w:t>p</w:t>
      </w:r>
      <w:r w:rsidR="00D31E86" w:rsidRPr="00EF6971">
        <w:rPr>
          <w:rFonts w:ascii="Times New Roman" w:eastAsia="Calibri" w:hAnsi="Times New Roman" w:cs="Times New Roman"/>
          <w:kern w:val="2"/>
          <w:sz w:val="28"/>
          <w:szCs w:val="28"/>
          <w:lang w:eastAsia="zh-CN" w:bidi="hi-IN"/>
        </w:rPr>
        <w:t>=0,00000), при возрастании показателей общего иммуноглобулина Е (</w:t>
      </w:r>
      <w:r w:rsidR="00D31E86" w:rsidRPr="00EF6971">
        <w:rPr>
          <w:rFonts w:ascii="Times New Roman" w:eastAsia="Calibri" w:hAnsi="Times New Roman" w:cs="Times New Roman"/>
          <w:kern w:val="2"/>
          <w:sz w:val="28"/>
          <w:szCs w:val="28"/>
          <w:lang w:val="en-US" w:eastAsia="zh-CN" w:bidi="hi-IN"/>
        </w:rPr>
        <w:t>r</w:t>
      </w:r>
      <w:r w:rsidR="00D31E86" w:rsidRPr="00EF6971">
        <w:rPr>
          <w:rFonts w:ascii="Times New Roman" w:eastAsia="Calibri" w:hAnsi="Times New Roman" w:cs="Times New Roman"/>
          <w:kern w:val="2"/>
          <w:sz w:val="28"/>
          <w:szCs w:val="28"/>
          <w:lang w:eastAsia="zh-CN" w:bidi="hi-IN"/>
        </w:rPr>
        <w:t xml:space="preserve">=0,9; </w:t>
      </w:r>
      <w:r w:rsidR="00D31E86" w:rsidRPr="00EF6971">
        <w:rPr>
          <w:rFonts w:ascii="Times New Roman" w:eastAsia="Calibri" w:hAnsi="Times New Roman" w:cs="Times New Roman"/>
          <w:kern w:val="2"/>
          <w:sz w:val="28"/>
          <w:szCs w:val="28"/>
          <w:lang w:val="en-US" w:eastAsia="zh-CN" w:bidi="hi-IN"/>
        </w:rPr>
        <w:t>p</w:t>
      </w:r>
      <w:r w:rsidR="00D31E86" w:rsidRPr="00EF6971">
        <w:rPr>
          <w:rFonts w:ascii="Times New Roman" w:eastAsia="Calibri" w:hAnsi="Times New Roman" w:cs="Times New Roman"/>
          <w:kern w:val="2"/>
          <w:sz w:val="28"/>
          <w:szCs w:val="28"/>
          <w:lang w:eastAsia="zh-CN" w:bidi="hi-IN"/>
        </w:rPr>
        <w:t>=0,00000), эозинофильного катионного белка (</w:t>
      </w:r>
      <w:r w:rsidR="00D31E86" w:rsidRPr="00EF6971">
        <w:rPr>
          <w:rFonts w:ascii="Times New Roman" w:eastAsia="Calibri" w:hAnsi="Times New Roman" w:cs="Times New Roman"/>
          <w:kern w:val="2"/>
          <w:sz w:val="28"/>
          <w:szCs w:val="28"/>
          <w:lang w:val="en-US" w:eastAsia="zh-CN" w:bidi="hi-IN"/>
        </w:rPr>
        <w:t>r</w:t>
      </w:r>
      <w:r w:rsidR="00D31E86" w:rsidRPr="00EF6971">
        <w:rPr>
          <w:rFonts w:ascii="Times New Roman" w:eastAsia="Calibri" w:hAnsi="Times New Roman" w:cs="Times New Roman"/>
          <w:kern w:val="2"/>
          <w:sz w:val="28"/>
          <w:szCs w:val="28"/>
          <w:lang w:eastAsia="zh-CN" w:bidi="hi-IN"/>
        </w:rPr>
        <w:t xml:space="preserve">=0,8; </w:t>
      </w:r>
      <w:r w:rsidR="00D31E86" w:rsidRPr="00EF6971">
        <w:rPr>
          <w:rFonts w:ascii="Times New Roman" w:eastAsia="Calibri" w:hAnsi="Times New Roman" w:cs="Times New Roman"/>
          <w:kern w:val="2"/>
          <w:sz w:val="28"/>
          <w:szCs w:val="28"/>
          <w:lang w:val="en-US" w:eastAsia="zh-CN" w:bidi="hi-IN"/>
        </w:rPr>
        <w:t>p</w:t>
      </w:r>
      <w:r w:rsidR="00D31E86" w:rsidRPr="00EF6971">
        <w:rPr>
          <w:rFonts w:ascii="Times New Roman" w:eastAsia="Calibri" w:hAnsi="Times New Roman" w:cs="Times New Roman"/>
          <w:kern w:val="2"/>
          <w:sz w:val="28"/>
          <w:szCs w:val="28"/>
          <w:lang w:eastAsia="zh-CN" w:bidi="hi-IN"/>
        </w:rPr>
        <w:t>&lt;0,001) и специфического иммуноглобулина Е к компонентам аллергена тимофеевки sIgE rPhlp1 (</w:t>
      </w:r>
      <w:r w:rsidR="00D31E86" w:rsidRPr="00EF6971">
        <w:rPr>
          <w:rFonts w:ascii="Times New Roman" w:eastAsia="Calibri" w:hAnsi="Times New Roman" w:cs="Times New Roman"/>
          <w:kern w:val="2"/>
          <w:sz w:val="28"/>
          <w:szCs w:val="28"/>
          <w:lang w:val="en-US" w:eastAsia="zh-CN" w:bidi="hi-IN"/>
        </w:rPr>
        <w:t>r</w:t>
      </w:r>
      <w:r w:rsidR="00D31E86" w:rsidRPr="00EF6971">
        <w:rPr>
          <w:rFonts w:ascii="Times New Roman" w:eastAsia="Calibri" w:hAnsi="Times New Roman" w:cs="Times New Roman"/>
          <w:kern w:val="2"/>
          <w:sz w:val="28"/>
          <w:szCs w:val="28"/>
          <w:lang w:eastAsia="zh-CN" w:bidi="hi-IN"/>
        </w:rPr>
        <w:t xml:space="preserve">=0,7; </w:t>
      </w:r>
      <w:r w:rsidR="00D31E86" w:rsidRPr="00EF6971">
        <w:rPr>
          <w:rFonts w:ascii="Times New Roman" w:eastAsia="Calibri" w:hAnsi="Times New Roman" w:cs="Times New Roman"/>
          <w:kern w:val="2"/>
          <w:sz w:val="28"/>
          <w:szCs w:val="28"/>
          <w:lang w:val="en-US" w:eastAsia="zh-CN" w:bidi="hi-IN"/>
        </w:rPr>
        <w:t>p</w:t>
      </w:r>
      <w:r w:rsidR="00D31E86" w:rsidRPr="00EF6971">
        <w:rPr>
          <w:rFonts w:ascii="Times New Roman" w:eastAsia="Calibri" w:hAnsi="Times New Roman" w:cs="Times New Roman"/>
          <w:kern w:val="2"/>
          <w:sz w:val="28"/>
          <w:szCs w:val="28"/>
          <w:lang w:eastAsia="zh-CN" w:bidi="hi-IN"/>
        </w:rPr>
        <w:t xml:space="preserve">&lt;0,0008), </w:t>
      </w:r>
      <w:r w:rsidR="00D31E86" w:rsidRPr="00EF6971">
        <w:rPr>
          <w:rFonts w:ascii="Times New Roman" w:eastAsia="Calibri" w:hAnsi="Times New Roman" w:cs="Times New Roman"/>
          <w:kern w:val="2"/>
          <w:sz w:val="28"/>
          <w:szCs w:val="28"/>
          <w:lang w:val="en-US" w:eastAsia="zh-CN" w:bidi="hi-IN"/>
        </w:rPr>
        <w:t>sIgE</w:t>
      </w:r>
      <w:r w:rsidR="00D31E86" w:rsidRPr="00EF6971">
        <w:rPr>
          <w:rFonts w:ascii="Times New Roman" w:eastAsia="Calibri" w:hAnsi="Times New Roman" w:cs="Times New Roman"/>
          <w:kern w:val="2"/>
          <w:sz w:val="28"/>
          <w:szCs w:val="28"/>
          <w:lang w:eastAsia="zh-CN" w:bidi="hi-IN"/>
        </w:rPr>
        <w:t xml:space="preserve"> </w:t>
      </w:r>
      <w:r w:rsidR="00D31E86" w:rsidRPr="00EF6971">
        <w:rPr>
          <w:rFonts w:ascii="Times New Roman" w:eastAsia="Calibri" w:hAnsi="Times New Roman" w:cs="Times New Roman"/>
          <w:kern w:val="2"/>
          <w:sz w:val="28"/>
          <w:szCs w:val="28"/>
          <w:lang w:val="en-US" w:eastAsia="zh-CN" w:bidi="hi-IN"/>
        </w:rPr>
        <w:t>rPhlp</w:t>
      </w:r>
      <w:r w:rsidR="00D31E86" w:rsidRPr="00EF6971">
        <w:rPr>
          <w:rFonts w:ascii="Times New Roman" w:eastAsia="Calibri" w:hAnsi="Times New Roman" w:cs="Times New Roman"/>
          <w:kern w:val="2"/>
          <w:sz w:val="28"/>
          <w:szCs w:val="28"/>
          <w:lang w:eastAsia="zh-CN" w:bidi="hi-IN"/>
        </w:rPr>
        <w:t>5 (</w:t>
      </w:r>
      <w:r w:rsidR="00D31E86" w:rsidRPr="00EF6971">
        <w:rPr>
          <w:rFonts w:ascii="Times New Roman" w:eastAsia="Calibri" w:hAnsi="Times New Roman" w:cs="Times New Roman"/>
          <w:kern w:val="2"/>
          <w:sz w:val="28"/>
          <w:szCs w:val="28"/>
          <w:lang w:val="en-US" w:eastAsia="zh-CN" w:bidi="hi-IN"/>
        </w:rPr>
        <w:t>r</w:t>
      </w:r>
      <w:r w:rsidR="00D31E86" w:rsidRPr="00EF6971">
        <w:rPr>
          <w:rFonts w:ascii="Times New Roman" w:eastAsia="Calibri" w:hAnsi="Times New Roman" w:cs="Times New Roman"/>
          <w:kern w:val="2"/>
          <w:sz w:val="28"/>
          <w:szCs w:val="28"/>
          <w:lang w:eastAsia="zh-CN" w:bidi="hi-IN"/>
        </w:rPr>
        <w:t xml:space="preserve">=0,7; </w:t>
      </w:r>
      <w:r w:rsidR="00D31E86" w:rsidRPr="00EF6971">
        <w:rPr>
          <w:rFonts w:ascii="Times New Roman" w:eastAsia="Calibri" w:hAnsi="Times New Roman" w:cs="Times New Roman"/>
          <w:kern w:val="2"/>
          <w:sz w:val="28"/>
          <w:szCs w:val="28"/>
          <w:lang w:val="en-US" w:eastAsia="zh-CN" w:bidi="hi-IN"/>
        </w:rPr>
        <w:t>p</w:t>
      </w:r>
      <w:r w:rsidR="00D31E86" w:rsidRPr="00EF6971">
        <w:rPr>
          <w:rFonts w:ascii="Times New Roman" w:eastAsia="Calibri" w:hAnsi="Times New Roman" w:cs="Times New Roman"/>
          <w:kern w:val="2"/>
          <w:sz w:val="28"/>
          <w:szCs w:val="28"/>
          <w:lang w:eastAsia="zh-CN" w:bidi="hi-IN"/>
        </w:rPr>
        <w:t xml:space="preserve">=0,1428), берёзы </w:t>
      </w:r>
      <w:r w:rsidR="00D31E86" w:rsidRPr="00EF6971">
        <w:rPr>
          <w:rFonts w:ascii="Times New Roman" w:eastAsia="Calibri" w:hAnsi="Times New Roman" w:cs="Times New Roman"/>
          <w:kern w:val="2"/>
          <w:sz w:val="28"/>
          <w:szCs w:val="28"/>
          <w:lang w:val="en-US" w:eastAsia="zh-CN" w:bidi="hi-IN"/>
        </w:rPr>
        <w:t>sIgE</w:t>
      </w:r>
      <w:r w:rsidR="00D31E86" w:rsidRPr="00EF6971">
        <w:rPr>
          <w:rFonts w:ascii="Times New Roman" w:eastAsia="Calibri" w:hAnsi="Times New Roman" w:cs="Times New Roman"/>
          <w:kern w:val="2"/>
          <w:sz w:val="28"/>
          <w:szCs w:val="28"/>
          <w:lang w:eastAsia="zh-CN" w:bidi="hi-IN"/>
        </w:rPr>
        <w:t xml:space="preserve"> </w:t>
      </w:r>
      <w:r w:rsidR="00D31E86" w:rsidRPr="00EF6971">
        <w:rPr>
          <w:rFonts w:ascii="Times New Roman" w:eastAsia="Calibri" w:hAnsi="Times New Roman" w:cs="Times New Roman"/>
          <w:kern w:val="2"/>
          <w:sz w:val="28"/>
          <w:szCs w:val="28"/>
          <w:lang w:val="en-US" w:eastAsia="zh-CN" w:bidi="hi-IN"/>
        </w:rPr>
        <w:t>rBet</w:t>
      </w:r>
      <w:r w:rsidR="00D31E86" w:rsidRPr="00EF6971">
        <w:rPr>
          <w:rFonts w:ascii="Times New Roman" w:eastAsia="Calibri" w:hAnsi="Times New Roman" w:cs="Times New Roman"/>
          <w:kern w:val="2"/>
          <w:sz w:val="28"/>
          <w:szCs w:val="28"/>
          <w:lang w:eastAsia="zh-CN" w:bidi="hi-IN"/>
        </w:rPr>
        <w:t xml:space="preserve"> </w:t>
      </w:r>
      <w:r w:rsidR="00D31E86" w:rsidRPr="00EF6971">
        <w:rPr>
          <w:rFonts w:ascii="Times New Roman" w:eastAsia="Calibri" w:hAnsi="Times New Roman" w:cs="Times New Roman"/>
          <w:kern w:val="2"/>
          <w:sz w:val="28"/>
          <w:szCs w:val="28"/>
          <w:lang w:val="en-US" w:eastAsia="zh-CN" w:bidi="hi-IN"/>
        </w:rPr>
        <w:t>v</w:t>
      </w:r>
      <w:r w:rsidR="00D31E86" w:rsidRPr="00EF6971">
        <w:rPr>
          <w:rFonts w:ascii="Times New Roman" w:eastAsia="Calibri" w:hAnsi="Times New Roman" w:cs="Times New Roman"/>
          <w:kern w:val="2"/>
          <w:sz w:val="28"/>
          <w:szCs w:val="28"/>
          <w:lang w:eastAsia="zh-CN" w:bidi="hi-IN"/>
        </w:rPr>
        <w:t>1 (</w:t>
      </w:r>
      <w:r w:rsidR="00D31E86" w:rsidRPr="00EF6971">
        <w:rPr>
          <w:rFonts w:ascii="Times New Roman" w:eastAsia="Calibri" w:hAnsi="Times New Roman" w:cs="Times New Roman"/>
          <w:kern w:val="2"/>
          <w:sz w:val="28"/>
          <w:szCs w:val="28"/>
          <w:lang w:val="en-US" w:eastAsia="zh-CN" w:bidi="hi-IN"/>
        </w:rPr>
        <w:t>r</w:t>
      </w:r>
      <w:r w:rsidR="00D31E86" w:rsidRPr="00EF6971">
        <w:rPr>
          <w:rFonts w:ascii="Times New Roman" w:eastAsia="Calibri" w:hAnsi="Times New Roman" w:cs="Times New Roman"/>
          <w:kern w:val="2"/>
          <w:sz w:val="28"/>
          <w:szCs w:val="28"/>
          <w:lang w:eastAsia="zh-CN" w:bidi="hi-IN"/>
        </w:rPr>
        <w:t xml:space="preserve">=0,7; </w:t>
      </w:r>
      <w:r w:rsidR="00D31E86" w:rsidRPr="00EF6971">
        <w:rPr>
          <w:rFonts w:ascii="Times New Roman" w:eastAsia="Calibri" w:hAnsi="Times New Roman" w:cs="Times New Roman"/>
          <w:kern w:val="2"/>
          <w:sz w:val="28"/>
          <w:szCs w:val="28"/>
          <w:lang w:val="en-US" w:eastAsia="zh-CN" w:bidi="hi-IN"/>
        </w:rPr>
        <w:t>p</w:t>
      </w:r>
      <w:r w:rsidR="00D31E86" w:rsidRPr="00EF6971">
        <w:rPr>
          <w:rFonts w:ascii="Times New Roman" w:eastAsia="Calibri" w:hAnsi="Times New Roman" w:cs="Times New Roman"/>
          <w:kern w:val="2"/>
          <w:sz w:val="28"/>
          <w:szCs w:val="28"/>
          <w:lang w:eastAsia="zh-CN" w:bidi="hi-IN"/>
        </w:rPr>
        <w:t xml:space="preserve">=0,1866), полыни </w:t>
      </w:r>
      <w:r w:rsidR="00D31E86" w:rsidRPr="00EF6971">
        <w:rPr>
          <w:rFonts w:ascii="Times New Roman" w:eastAsia="Calibri" w:hAnsi="Times New Roman" w:cs="Times New Roman"/>
          <w:kern w:val="2"/>
          <w:sz w:val="28"/>
          <w:szCs w:val="28"/>
          <w:lang w:val="en-US" w:eastAsia="zh-CN" w:bidi="hi-IN"/>
        </w:rPr>
        <w:t>sIgE</w:t>
      </w:r>
      <w:r w:rsidR="00D31E86" w:rsidRPr="00EF6971">
        <w:rPr>
          <w:rFonts w:ascii="Times New Roman" w:eastAsia="Calibri" w:hAnsi="Times New Roman" w:cs="Times New Roman"/>
          <w:kern w:val="2"/>
          <w:sz w:val="28"/>
          <w:szCs w:val="28"/>
          <w:lang w:eastAsia="zh-CN" w:bidi="hi-IN"/>
        </w:rPr>
        <w:t xml:space="preserve"> </w:t>
      </w:r>
      <w:r w:rsidR="00D31E86" w:rsidRPr="00EF6971">
        <w:rPr>
          <w:rFonts w:ascii="Times New Roman" w:eastAsia="Calibri" w:hAnsi="Times New Roman" w:cs="Times New Roman"/>
          <w:kern w:val="2"/>
          <w:sz w:val="28"/>
          <w:szCs w:val="28"/>
          <w:lang w:val="en-US" w:eastAsia="zh-CN" w:bidi="hi-IN"/>
        </w:rPr>
        <w:t>nArt</w:t>
      </w:r>
      <w:r w:rsidR="00D31E86" w:rsidRPr="00EF6971">
        <w:rPr>
          <w:rFonts w:ascii="Times New Roman" w:eastAsia="Calibri" w:hAnsi="Times New Roman" w:cs="Times New Roman"/>
          <w:kern w:val="2"/>
          <w:sz w:val="28"/>
          <w:szCs w:val="28"/>
          <w:lang w:eastAsia="zh-CN" w:bidi="hi-IN"/>
        </w:rPr>
        <w:t xml:space="preserve"> </w:t>
      </w:r>
      <w:r w:rsidR="00D31E86" w:rsidRPr="00EF6971">
        <w:rPr>
          <w:rFonts w:ascii="Times New Roman" w:eastAsia="Calibri" w:hAnsi="Times New Roman" w:cs="Times New Roman"/>
          <w:kern w:val="2"/>
          <w:sz w:val="28"/>
          <w:szCs w:val="28"/>
          <w:lang w:val="en-US" w:eastAsia="zh-CN" w:bidi="hi-IN"/>
        </w:rPr>
        <w:t>v</w:t>
      </w:r>
      <w:r w:rsidR="00D31E86" w:rsidRPr="00EF6971">
        <w:rPr>
          <w:rFonts w:ascii="Times New Roman" w:eastAsia="Calibri" w:hAnsi="Times New Roman" w:cs="Times New Roman"/>
          <w:kern w:val="2"/>
          <w:sz w:val="28"/>
          <w:szCs w:val="28"/>
          <w:lang w:eastAsia="zh-CN" w:bidi="hi-IN"/>
        </w:rPr>
        <w:t>1 (</w:t>
      </w:r>
      <w:r w:rsidR="00D31E86" w:rsidRPr="00EF6971">
        <w:rPr>
          <w:rFonts w:ascii="Times New Roman" w:eastAsia="Calibri" w:hAnsi="Times New Roman" w:cs="Times New Roman"/>
          <w:kern w:val="2"/>
          <w:sz w:val="28"/>
          <w:szCs w:val="28"/>
          <w:lang w:val="en-US" w:eastAsia="zh-CN" w:bidi="hi-IN"/>
        </w:rPr>
        <w:t>r</w:t>
      </w:r>
      <w:r w:rsidR="00D31E86" w:rsidRPr="00EF6971">
        <w:rPr>
          <w:rFonts w:ascii="Times New Roman" w:eastAsia="Calibri" w:hAnsi="Times New Roman" w:cs="Times New Roman"/>
          <w:kern w:val="2"/>
          <w:sz w:val="28"/>
          <w:szCs w:val="28"/>
          <w:lang w:eastAsia="zh-CN" w:bidi="hi-IN"/>
        </w:rPr>
        <w:t xml:space="preserve">=0,7; </w:t>
      </w:r>
      <w:r w:rsidR="00D31E86" w:rsidRPr="00EF6971">
        <w:rPr>
          <w:rFonts w:ascii="Times New Roman" w:eastAsia="Calibri" w:hAnsi="Times New Roman" w:cs="Times New Roman"/>
          <w:kern w:val="2"/>
          <w:sz w:val="28"/>
          <w:szCs w:val="28"/>
          <w:lang w:val="en-US" w:eastAsia="zh-CN" w:bidi="hi-IN"/>
        </w:rPr>
        <w:t>p</w:t>
      </w:r>
      <w:r w:rsidR="00D31E86" w:rsidRPr="00EF6971">
        <w:rPr>
          <w:rFonts w:ascii="Times New Roman" w:eastAsia="Calibri" w:hAnsi="Times New Roman" w:cs="Times New Roman"/>
          <w:kern w:val="2"/>
          <w:sz w:val="28"/>
          <w:szCs w:val="28"/>
          <w:lang w:eastAsia="zh-CN" w:bidi="hi-IN"/>
        </w:rPr>
        <w:t>&lt;0,00001).</w:t>
      </w:r>
    </w:p>
    <w:p w14:paraId="38E0E144" w14:textId="6C0EF800" w:rsidR="002B36CF" w:rsidRPr="003D0A35" w:rsidRDefault="00673297" w:rsidP="0013539F">
      <w:pPr>
        <w:numPr>
          <w:ilvl w:val="0"/>
          <w:numId w:val="40"/>
        </w:numPr>
        <w:tabs>
          <w:tab w:val="left" w:pos="284"/>
          <w:tab w:val="left" w:pos="851"/>
        </w:tabs>
        <w:spacing w:after="0" w:line="240" w:lineRule="auto"/>
        <w:ind w:left="0" w:firstLine="567"/>
        <w:contextualSpacing/>
        <w:jc w:val="both"/>
        <w:rPr>
          <w:rFonts w:ascii="Times New Roman" w:hAnsi="Times New Roman" w:cs="Times New Roman"/>
          <w:sz w:val="28"/>
          <w:szCs w:val="28"/>
        </w:rPr>
      </w:pPr>
      <w:r w:rsidRPr="003D0A35">
        <w:rPr>
          <w:rFonts w:ascii="Times New Roman" w:hAnsi="Times New Roman" w:cs="Times New Roman"/>
          <w:sz w:val="28"/>
          <w:szCs w:val="28"/>
        </w:rPr>
        <w:t>Разработанный клинико-диагностический алгоритм менеджмента сезонного аллергического ринита продемонстрировал эффективность внедрения аллерген-специфической иммунотерапии в комплексе с витамином Д в виде клинического улучшения: балл симптомов тяжести в среднем снижен с 11 до 6 баллов (p&lt;0,001)</w:t>
      </w:r>
      <w:r w:rsidR="008E0993" w:rsidRPr="003D0A35">
        <w:rPr>
          <w:rFonts w:ascii="Times New Roman" w:hAnsi="Times New Roman" w:cs="Times New Roman"/>
          <w:sz w:val="28"/>
          <w:szCs w:val="28"/>
        </w:rPr>
        <w:t>; а тажке на основании лабораторных биомаркеров: общий ИГЕ снижен с 387,2 Ед/мл до 209,6 Ед/мл (</w:t>
      </w:r>
      <w:r w:rsidR="008E0993" w:rsidRPr="003D0A35">
        <w:rPr>
          <w:rFonts w:ascii="Times New Roman" w:hAnsi="Times New Roman" w:cs="Times New Roman"/>
          <w:sz w:val="28"/>
          <w:szCs w:val="28"/>
          <w:lang w:val="en-US"/>
        </w:rPr>
        <w:t>p</w:t>
      </w:r>
      <w:r w:rsidR="008E0993" w:rsidRPr="003D0A35">
        <w:rPr>
          <w:rFonts w:ascii="Times New Roman" w:hAnsi="Times New Roman" w:cs="Times New Roman"/>
          <w:sz w:val="28"/>
          <w:szCs w:val="28"/>
        </w:rPr>
        <w:t xml:space="preserve">&lt;0,005), уровень витамина Д показал прирост показателя с 16,32 нг/мл до 37,6 нг/л (p&lt;0,001). </w:t>
      </w:r>
    </w:p>
    <w:p w14:paraId="711FB167" w14:textId="42853213" w:rsidR="00CE6F23" w:rsidRDefault="00CE6F23" w:rsidP="00CE6F23">
      <w:pPr>
        <w:tabs>
          <w:tab w:val="left" w:pos="284"/>
          <w:tab w:val="left" w:pos="851"/>
        </w:tabs>
        <w:spacing w:after="0" w:line="240" w:lineRule="auto"/>
        <w:contextualSpacing/>
        <w:jc w:val="both"/>
        <w:rPr>
          <w:rFonts w:ascii="Times New Roman" w:hAnsi="Times New Roman" w:cs="Times New Roman"/>
          <w:sz w:val="28"/>
          <w:szCs w:val="28"/>
        </w:rPr>
      </w:pPr>
    </w:p>
    <w:p w14:paraId="0ADEDB79" w14:textId="37BEFC3B" w:rsidR="00CE6F23" w:rsidRDefault="00CE6F23" w:rsidP="00CE6F23">
      <w:pPr>
        <w:tabs>
          <w:tab w:val="left" w:pos="284"/>
          <w:tab w:val="left" w:pos="851"/>
        </w:tabs>
        <w:spacing w:after="0" w:line="240" w:lineRule="auto"/>
        <w:contextualSpacing/>
        <w:jc w:val="both"/>
        <w:rPr>
          <w:rFonts w:ascii="Times New Roman" w:hAnsi="Times New Roman" w:cs="Times New Roman"/>
          <w:sz w:val="28"/>
          <w:szCs w:val="28"/>
        </w:rPr>
      </w:pPr>
    </w:p>
    <w:p w14:paraId="34DF2C7D" w14:textId="77777777" w:rsidR="00CE6F23" w:rsidRPr="004E5877" w:rsidRDefault="00CE6F23" w:rsidP="00CE6F23">
      <w:pPr>
        <w:tabs>
          <w:tab w:val="left" w:pos="284"/>
          <w:tab w:val="left" w:pos="851"/>
        </w:tabs>
        <w:spacing w:after="0" w:line="240" w:lineRule="auto"/>
        <w:contextualSpacing/>
        <w:jc w:val="both"/>
        <w:rPr>
          <w:rFonts w:ascii="Times New Roman" w:hAnsi="Times New Roman" w:cs="Times New Roman"/>
          <w:sz w:val="28"/>
          <w:szCs w:val="28"/>
        </w:rPr>
      </w:pPr>
    </w:p>
    <w:p w14:paraId="6FA35BEF" w14:textId="77777777" w:rsidR="008C7731" w:rsidRDefault="008C7731">
      <w:pPr>
        <w:rPr>
          <w:rFonts w:ascii="Times New Roman" w:hAnsi="Times New Roman" w:cs="Times New Roman"/>
          <w:sz w:val="28"/>
          <w:szCs w:val="28"/>
          <w:lang w:eastAsia="ru-RU"/>
        </w:rPr>
      </w:pPr>
      <w:r>
        <w:rPr>
          <w:rFonts w:ascii="Times New Roman" w:hAnsi="Times New Roman" w:cs="Times New Roman"/>
          <w:sz w:val="28"/>
          <w:szCs w:val="28"/>
          <w:lang w:eastAsia="ru-RU"/>
        </w:rPr>
        <w:br w:type="page"/>
      </w:r>
    </w:p>
    <w:p w14:paraId="1D24FB80" w14:textId="3DC01115" w:rsidR="00D324E0" w:rsidRPr="00736D34" w:rsidRDefault="008C7731" w:rsidP="008C7731">
      <w:pPr>
        <w:spacing w:after="0" w:line="240" w:lineRule="auto"/>
        <w:ind w:firstLine="567"/>
        <w:jc w:val="center"/>
        <w:rPr>
          <w:rFonts w:ascii="Times New Roman" w:hAnsi="Times New Roman" w:cs="Times New Roman"/>
          <w:b/>
          <w:sz w:val="28"/>
          <w:szCs w:val="28"/>
          <w:lang w:eastAsia="ru-RU"/>
        </w:rPr>
      </w:pPr>
      <w:r w:rsidRPr="00736D34">
        <w:rPr>
          <w:rFonts w:ascii="Times New Roman" w:hAnsi="Times New Roman" w:cs="Times New Roman"/>
          <w:b/>
          <w:sz w:val="28"/>
          <w:szCs w:val="28"/>
          <w:lang w:eastAsia="ru-RU"/>
        </w:rPr>
        <w:t>Практические рекомендации</w:t>
      </w:r>
    </w:p>
    <w:p w14:paraId="0C5C1CD0" w14:textId="77777777" w:rsidR="00666435" w:rsidRPr="00736D34" w:rsidRDefault="00666435" w:rsidP="008C7731">
      <w:pPr>
        <w:spacing w:after="0" w:line="240" w:lineRule="auto"/>
        <w:ind w:firstLine="567"/>
        <w:jc w:val="center"/>
        <w:rPr>
          <w:rFonts w:ascii="Times New Roman" w:hAnsi="Times New Roman" w:cs="Times New Roman"/>
          <w:b/>
          <w:sz w:val="28"/>
          <w:szCs w:val="28"/>
          <w:lang w:eastAsia="ru-RU"/>
        </w:rPr>
      </w:pPr>
    </w:p>
    <w:p w14:paraId="5A37ABF5" w14:textId="77777777" w:rsidR="008C7731" w:rsidRPr="00736D34" w:rsidRDefault="008C7731" w:rsidP="008C7731">
      <w:pPr>
        <w:spacing w:after="0" w:line="240" w:lineRule="auto"/>
        <w:ind w:firstLine="567"/>
        <w:jc w:val="both"/>
        <w:rPr>
          <w:rFonts w:ascii="Times New Roman" w:hAnsi="Times New Roman" w:cs="Times New Roman"/>
          <w:i/>
          <w:sz w:val="28"/>
          <w:szCs w:val="28"/>
          <w:lang w:eastAsia="ru-RU"/>
        </w:rPr>
      </w:pPr>
      <w:r w:rsidRPr="00736D34">
        <w:rPr>
          <w:rFonts w:ascii="Times New Roman" w:hAnsi="Times New Roman" w:cs="Times New Roman"/>
          <w:i/>
          <w:sz w:val="28"/>
          <w:szCs w:val="28"/>
          <w:lang w:eastAsia="ru-RU"/>
        </w:rPr>
        <w:t>Министерству здравоохранения Республики Казахстан:</w:t>
      </w:r>
    </w:p>
    <w:p w14:paraId="24CCC5A6" w14:textId="77777777" w:rsidR="008C7731" w:rsidRPr="00736D34" w:rsidRDefault="008C7731" w:rsidP="008C7731">
      <w:pPr>
        <w:spacing w:after="0" w:line="240" w:lineRule="auto"/>
        <w:ind w:firstLine="567"/>
        <w:jc w:val="both"/>
        <w:rPr>
          <w:rFonts w:ascii="Times New Roman" w:hAnsi="Times New Roman" w:cs="Times New Roman"/>
          <w:sz w:val="28"/>
          <w:szCs w:val="28"/>
          <w:lang w:eastAsia="ru-RU"/>
        </w:rPr>
      </w:pPr>
      <w:r w:rsidRPr="00736D34">
        <w:rPr>
          <w:rFonts w:ascii="Times New Roman" w:hAnsi="Times New Roman" w:cs="Times New Roman"/>
          <w:sz w:val="28"/>
          <w:szCs w:val="28"/>
          <w:lang w:eastAsia="ru-RU"/>
        </w:rPr>
        <w:t xml:space="preserve">В приказ протокола диагностики и лечения аллергического ринита включить в перечень дополнительных исследований анализ крови на витамин Д, а в основные исследования – определение специфического иммуноглобулина Е к рекомбинантным аллергенам (молекулярная аллергодиагностика). При обнаружении низкого уровня витамина Д необходима его коррекция. </w:t>
      </w:r>
    </w:p>
    <w:p w14:paraId="5EC73D81" w14:textId="77777777" w:rsidR="008C7731" w:rsidRPr="00736D34" w:rsidRDefault="008C7731" w:rsidP="008C7731">
      <w:pPr>
        <w:spacing w:after="0" w:line="240" w:lineRule="auto"/>
        <w:ind w:firstLine="567"/>
        <w:jc w:val="both"/>
        <w:rPr>
          <w:rFonts w:ascii="Times New Roman" w:hAnsi="Times New Roman" w:cs="Times New Roman"/>
          <w:i/>
          <w:sz w:val="28"/>
          <w:szCs w:val="28"/>
          <w:lang w:eastAsia="ru-RU"/>
        </w:rPr>
      </w:pPr>
      <w:r w:rsidRPr="00736D34">
        <w:rPr>
          <w:rFonts w:ascii="Times New Roman" w:hAnsi="Times New Roman" w:cs="Times New Roman"/>
          <w:i/>
          <w:sz w:val="28"/>
          <w:szCs w:val="28"/>
          <w:lang w:eastAsia="ru-RU"/>
        </w:rPr>
        <w:t>Врачам аллергологам-иммунологам:</w:t>
      </w:r>
    </w:p>
    <w:p w14:paraId="1C8F73A7" w14:textId="77777777" w:rsidR="008C7731" w:rsidRPr="00736D34" w:rsidRDefault="008C7731" w:rsidP="008C7731">
      <w:pPr>
        <w:spacing w:after="0" w:line="240" w:lineRule="auto"/>
        <w:ind w:firstLine="567"/>
        <w:jc w:val="both"/>
        <w:rPr>
          <w:rFonts w:ascii="Times New Roman" w:hAnsi="Times New Roman" w:cs="Times New Roman"/>
          <w:sz w:val="28"/>
          <w:szCs w:val="28"/>
          <w:lang w:eastAsia="ru-RU"/>
        </w:rPr>
      </w:pPr>
      <w:r w:rsidRPr="00736D34">
        <w:rPr>
          <w:rFonts w:ascii="Times New Roman" w:hAnsi="Times New Roman" w:cs="Times New Roman"/>
          <w:sz w:val="28"/>
          <w:szCs w:val="28"/>
          <w:lang w:eastAsia="ru-RU"/>
        </w:rPr>
        <w:t>Рекомендовать исследовать исходный уровень витамина Д в крови у пациентов с сезонным аллергическом ринитом перед назначением аллерген-специфической иммунотерапии.</w:t>
      </w:r>
    </w:p>
    <w:p w14:paraId="465495D3" w14:textId="4AE01235" w:rsidR="008C7731" w:rsidRPr="00736D34" w:rsidRDefault="008C7731" w:rsidP="008C7731">
      <w:pPr>
        <w:spacing w:after="0" w:line="240" w:lineRule="auto"/>
        <w:ind w:firstLine="567"/>
        <w:jc w:val="both"/>
        <w:rPr>
          <w:rFonts w:ascii="Times New Roman" w:hAnsi="Times New Roman" w:cs="Times New Roman"/>
          <w:sz w:val="28"/>
          <w:szCs w:val="28"/>
          <w:lang w:eastAsia="ru-RU"/>
        </w:rPr>
      </w:pPr>
      <w:r w:rsidRPr="00736D34">
        <w:rPr>
          <w:rFonts w:ascii="Times New Roman" w:hAnsi="Times New Roman" w:cs="Times New Roman"/>
          <w:sz w:val="28"/>
          <w:szCs w:val="28"/>
          <w:lang w:eastAsia="ru-RU"/>
        </w:rPr>
        <w:t xml:space="preserve">Рекомендовать для использования в рутинной практике </w:t>
      </w:r>
      <w:r w:rsidR="00DA0A10" w:rsidRPr="00736D34">
        <w:rPr>
          <w:rFonts w:ascii="Times New Roman" w:hAnsi="Times New Roman" w:cs="Times New Roman"/>
          <w:sz w:val="28"/>
          <w:szCs w:val="28"/>
          <w:lang w:eastAsia="ru-RU"/>
        </w:rPr>
        <w:t>адаптированную</w:t>
      </w:r>
      <w:r w:rsidRPr="00736D34">
        <w:rPr>
          <w:rFonts w:ascii="Times New Roman" w:hAnsi="Times New Roman" w:cs="Times New Roman"/>
          <w:sz w:val="28"/>
          <w:szCs w:val="28"/>
          <w:lang w:eastAsia="ru-RU"/>
        </w:rPr>
        <w:t xml:space="preserve"> схему аллерген-специфической иммунотерапии в комплексе с витамином Д</w:t>
      </w:r>
      <w:r w:rsidR="0007459B">
        <w:rPr>
          <w:rFonts w:ascii="Times New Roman" w:hAnsi="Times New Roman" w:cs="Times New Roman"/>
          <w:sz w:val="28"/>
          <w:szCs w:val="28"/>
          <w:lang w:eastAsia="ru-RU"/>
        </w:rPr>
        <w:t xml:space="preserve"> </w:t>
      </w:r>
      <w:r w:rsidRPr="00736D34">
        <w:rPr>
          <w:rFonts w:ascii="Times New Roman" w:hAnsi="Times New Roman" w:cs="Times New Roman"/>
          <w:sz w:val="28"/>
          <w:szCs w:val="28"/>
          <w:lang w:eastAsia="ru-RU"/>
        </w:rPr>
        <w:t>на основании результатов наилучшей эффективности в сравнении с классическим протоколом.</w:t>
      </w:r>
    </w:p>
    <w:p w14:paraId="3604966C" w14:textId="77777777" w:rsidR="008C7731" w:rsidRPr="00736D34" w:rsidRDefault="008C7731" w:rsidP="008C7731">
      <w:pPr>
        <w:spacing w:after="0" w:line="240" w:lineRule="auto"/>
        <w:ind w:firstLine="567"/>
        <w:jc w:val="both"/>
        <w:rPr>
          <w:rFonts w:ascii="Times New Roman" w:hAnsi="Times New Roman" w:cs="Times New Roman"/>
          <w:sz w:val="28"/>
          <w:szCs w:val="28"/>
          <w:lang w:eastAsia="ru-RU"/>
        </w:rPr>
      </w:pPr>
      <w:r w:rsidRPr="00736D34">
        <w:rPr>
          <w:rFonts w:ascii="Times New Roman" w:hAnsi="Times New Roman" w:cs="Times New Roman"/>
          <w:sz w:val="28"/>
          <w:szCs w:val="28"/>
          <w:lang w:eastAsia="ru-RU"/>
        </w:rPr>
        <w:t xml:space="preserve">Рекомендовать к использованию в рутинной практике валидизированную и апробированную анкету оценки тяжести симптомов и качества жизни у пациентов с сезонными аллергическими ринитами в качестве эффективного инструмента мониторинга аллерген-специфической иммунотерапии. </w:t>
      </w:r>
    </w:p>
    <w:p w14:paraId="690B6DBF" w14:textId="77777777" w:rsidR="008C7731" w:rsidRPr="00736D34" w:rsidRDefault="008C7731" w:rsidP="008C7731">
      <w:pPr>
        <w:spacing w:after="0" w:line="240" w:lineRule="auto"/>
        <w:ind w:firstLine="567"/>
        <w:jc w:val="both"/>
        <w:rPr>
          <w:rFonts w:ascii="Times New Roman" w:hAnsi="Times New Roman" w:cs="Times New Roman"/>
          <w:sz w:val="28"/>
          <w:szCs w:val="28"/>
          <w:lang w:eastAsia="ru-RU"/>
        </w:rPr>
      </w:pPr>
      <w:r w:rsidRPr="00736D34">
        <w:rPr>
          <w:rFonts w:ascii="Times New Roman" w:hAnsi="Times New Roman" w:cs="Times New Roman"/>
          <w:sz w:val="28"/>
          <w:szCs w:val="28"/>
          <w:lang w:eastAsia="ru-RU"/>
        </w:rPr>
        <w:t>Рекомендовать к использованию алгоритм менеджмента сезонного аллергического ринита в рутинной практике в качестве эффективного инструмента диагностики и лечения.</w:t>
      </w:r>
    </w:p>
    <w:p w14:paraId="767E2149" w14:textId="77777777" w:rsidR="008C7731" w:rsidRPr="00736D34" w:rsidRDefault="008C7731" w:rsidP="008C7731">
      <w:pPr>
        <w:spacing w:after="0" w:line="240" w:lineRule="auto"/>
        <w:ind w:firstLine="567"/>
        <w:jc w:val="both"/>
        <w:rPr>
          <w:rFonts w:ascii="Times New Roman" w:hAnsi="Times New Roman" w:cs="Times New Roman"/>
          <w:i/>
          <w:sz w:val="28"/>
          <w:szCs w:val="28"/>
          <w:lang w:eastAsia="ru-RU"/>
        </w:rPr>
      </w:pPr>
      <w:r w:rsidRPr="00736D34">
        <w:rPr>
          <w:rFonts w:ascii="Times New Roman" w:hAnsi="Times New Roman" w:cs="Times New Roman"/>
          <w:i/>
          <w:sz w:val="28"/>
          <w:szCs w:val="28"/>
          <w:lang w:eastAsia="ru-RU"/>
        </w:rPr>
        <w:t>Министерству образования и науки Республики Казахстан и Министерству здравоохранения Республики Казахстан:</w:t>
      </w:r>
    </w:p>
    <w:p w14:paraId="54388E26" w14:textId="5FCFD2BF" w:rsidR="008C7731" w:rsidRPr="00FA6D93" w:rsidRDefault="008C7731" w:rsidP="008C7731">
      <w:pPr>
        <w:spacing w:after="0" w:line="240" w:lineRule="auto"/>
        <w:ind w:firstLine="567"/>
        <w:jc w:val="both"/>
        <w:rPr>
          <w:rFonts w:ascii="Times New Roman" w:hAnsi="Times New Roman" w:cs="Times New Roman"/>
          <w:sz w:val="28"/>
          <w:szCs w:val="28"/>
          <w:lang w:eastAsia="ru-RU"/>
        </w:rPr>
      </w:pPr>
      <w:r w:rsidRPr="00736D34">
        <w:rPr>
          <w:rFonts w:ascii="Times New Roman" w:hAnsi="Times New Roman" w:cs="Times New Roman"/>
          <w:sz w:val="28"/>
          <w:szCs w:val="28"/>
          <w:lang w:eastAsia="ru-RU"/>
        </w:rPr>
        <w:t>Полученные данные о биомаркерах и предикторах эффективности аллерген-специфической иммунотерапии могут быть использованы на обучающих курсах для интернов, магистрантов, резидентов медицинских образовательных учреждений и курсах повышения квалификации для врачей аллергологов-иммунологов.</w:t>
      </w:r>
    </w:p>
    <w:p w14:paraId="5D2E9EB1" w14:textId="2A80BA88" w:rsidR="00437528" w:rsidRDefault="00437528" w:rsidP="00775DE3">
      <w:pPr>
        <w:spacing w:after="0" w:line="240" w:lineRule="auto"/>
        <w:ind w:firstLine="567"/>
        <w:jc w:val="both"/>
        <w:rPr>
          <w:rFonts w:ascii="Times New Roman" w:hAnsi="Times New Roman" w:cs="Times New Roman"/>
          <w:sz w:val="28"/>
          <w:szCs w:val="28"/>
        </w:rPr>
      </w:pPr>
    </w:p>
    <w:p w14:paraId="2780ACE1" w14:textId="51690165" w:rsidR="00BF7FAD" w:rsidRDefault="00BF7FAD" w:rsidP="00775DE3">
      <w:pPr>
        <w:spacing w:after="0" w:line="240" w:lineRule="auto"/>
        <w:ind w:firstLine="567"/>
        <w:jc w:val="both"/>
        <w:rPr>
          <w:rFonts w:ascii="Times New Roman" w:hAnsi="Times New Roman" w:cs="Times New Roman"/>
          <w:sz w:val="28"/>
          <w:szCs w:val="28"/>
        </w:rPr>
      </w:pPr>
    </w:p>
    <w:p w14:paraId="44676A04" w14:textId="77777777" w:rsidR="00BF7FAD" w:rsidRPr="00437528" w:rsidRDefault="00BF7FAD" w:rsidP="00775DE3">
      <w:pPr>
        <w:spacing w:after="0" w:line="240" w:lineRule="auto"/>
        <w:ind w:firstLine="567"/>
        <w:jc w:val="both"/>
        <w:rPr>
          <w:rFonts w:ascii="Times New Roman" w:hAnsi="Times New Roman" w:cs="Times New Roman"/>
          <w:sz w:val="28"/>
          <w:szCs w:val="28"/>
        </w:rPr>
      </w:pPr>
    </w:p>
    <w:p w14:paraId="608ADF04" w14:textId="4F5A5BE1" w:rsidR="00437528" w:rsidRPr="00437528" w:rsidRDefault="00437528" w:rsidP="00437528">
      <w:pPr>
        <w:rPr>
          <w:rFonts w:ascii="Calibri" w:eastAsia="Calibri" w:hAnsi="Calibri" w:cs="Times New Roman"/>
          <w:sz w:val="28"/>
          <w:szCs w:val="28"/>
        </w:rPr>
      </w:pPr>
      <w:r w:rsidRPr="00437528">
        <w:rPr>
          <w:rFonts w:ascii="Calibri" w:eastAsia="Calibri" w:hAnsi="Calibri" w:cs="Times New Roman"/>
          <w:sz w:val="28"/>
          <w:szCs w:val="28"/>
        </w:rPr>
        <w:br w:type="page"/>
      </w:r>
    </w:p>
    <w:p w14:paraId="01B58FB7" w14:textId="49D4C94B" w:rsidR="00046AA0" w:rsidRDefault="00B926E2" w:rsidP="00B926E2">
      <w:pPr>
        <w:pStyle w:val="1"/>
        <w:numPr>
          <w:ilvl w:val="0"/>
          <w:numId w:val="0"/>
        </w:numPr>
        <w:tabs>
          <w:tab w:val="left" w:pos="851"/>
        </w:tabs>
        <w:spacing w:before="0" w:line="240" w:lineRule="auto"/>
        <w:jc w:val="center"/>
        <w:rPr>
          <w:rFonts w:ascii="Times New Roman" w:hAnsi="Times New Roman" w:cs="Times New Roman"/>
          <w:b/>
          <w:color w:val="auto"/>
          <w:sz w:val="28"/>
          <w:szCs w:val="28"/>
        </w:rPr>
      </w:pPr>
      <w:bookmarkStart w:id="60" w:name="_Toc137904368"/>
      <w:r>
        <w:rPr>
          <w:rFonts w:ascii="Times New Roman" w:hAnsi="Times New Roman" w:cs="Times New Roman"/>
          <w:b/>
          <w:color w:val="auto"/>
          <w:sz w:val="28"/>
          <w:szCs w:val="28"/>
        </w:rPr>
        <w:t>СПИСОК ИСПОЛЬЗОВАННЫХ ИСТОЧНИКОВ</w:t>
      </w:r>
      <w:bookmarkEnd w:id="60"/>
    </w:p>
    <w:p w14:paraId="033B2455" w14:textId="77777777" w:rsidR="00B926E2" w:rsidRPr="00B926E2" w:rsidRDefault="00B926E2" w:rsidP="00FB1B83">
      <w:pPr>
        <w:tabs>
          <w:tab w:val="left" w:pos="851"/>
          <w:tab w:val="left" w:pos="993"/>
        </w:tabs>
        <w:spacing w:after="0"/>
      </w:pPr>
    </w:p>
    <w:p w14:paraId="448283AE" w14:textId="77777777" w:rsidR="00C72046" w:rsidRDefault="00C72046" w:rsidP="00C72046">
      <w:pPr>
        <w:widowControl w:val="0"/>
        <w:tabs>
          <w:tab w:val="left" w:pos="142"/>
          <w:tab w:val="left" w:pos="851"/>
        </w:tabs>
        <w:autoSpaceDE w:val="0"/>
        <w:autoSpaceDN w:val="0"/>
        <w:adjustRightInd w:val="0"/>
        <w:spacing w:after="0" w:line="240" w:lineRule="auto"/>
        <w:ind w:firstLine="567"/>
        <w:jc w:val="both"/>
        <w:rPr>
          <w:rFonts w:ascii="Times New Roman" w:hAnsi="Times New Roman" w:cs="Times New Roman"/>
          <w:noProof/>
          <w:sz w:val="28"/>
          <w:szCs w:val="24"/>
          <w:lang w:val="en-US"/>
        </w:rPr>
      </w:pPr>
      <w:r w:rsidRPr="005150E3">
        <w:rPr>
          <w:rFonts w:ascii="Times New Roman" w:hAnsi="Times New Roman" w:cs="Times New Roman"/>
          <w:noProof/>
          <w:sz w:val="28"/>
          <w:szCs w:val="24"/>
        </w:rPr>
        <w:t>1</w:t>
      </w:r>
      <w:r w:rsidRPr="005150E3">
        <w:rPr>
          <w:rFonts w:ascii="Times New Roman" w:hAnsi="Times New Roman" w:cs="Times New Roman"/>
          <w:noProof/>
          <w:sz w:val="28"/>
          <w:szCs w:val="24"/>
        </w:rPr>
        <w:tab/>
      </w:r>
      <w:r>
        <w:rPr>
          <w:rFonts w:ascii="Times New Roman" w:hAnsi="Times New Roman" w:cs="Times New Roman"/>
          <w:noProof/>
          <w:sz w:val="28"/>
          <w:szCs w:val="24"/>
          <w:lang w:val="en-US"/>
        </w:rPr>
        <w:t>Tsabouri</w:t>
      </w:r>
      <w:r w:rsidRPr="005150E3">
        <w:rPr>
          <w:rFonts w:ascii="Times New Roman" w:hAnsi="Times New Roman" w:cs="Times New Roman"/>
          <w:noProof/>
          <w:sz w:val="28"/>
          <w:szCs w:val="24"/>
        </w:rPr>
        <w:t xml:space="preserve"> </w:t>
      </w:r>
      <w:r>
        <w:rPr>
          <w:rFonts w:ascii="Times New Roman" w:hAnsi="Times New Roman" w:cs="Times New Roman"/>
          <w:noProof/>
          <w:sz w:val="28"/>
          <w:szCs w:val="24"/>
          <w:lang w:val="en-US"/>
        </w:rPr>
        <w:t>S</w:t>
      </w:r>
      <w:r w:rsidRPr="005150E3">
        <w:rPr>
          <w:rFonts w:ascii="Times New Roman" w:hAnsi="Times New Roman" w:cs="Times New Roman"/>
          <w:noProof/>
          <w:sz w:val="28"/>
          <w:szCs w:val="24"/>
        </w:rPr>
        <w:t xml:space="preserve">. </w:t>
      </w:r>
      <w:r>
        <w:rPr>
          <w:rFonts w:ascii="Times New Roman" w:hAnsi="Times New Roman" w:cs="Times New Roman"/>
          <w:noProof/>
          <w:sz w:val="28"/>
          <w:szCs w:val="24"/>
          <w:lang w:val="en-US"/>
        </w:rPr>
        <w:t>et</w:t>
      </w:r>
      <w:r w:rsidRPr="005150E3">
        <w:rPr>
          <w:rFonts w:ascii="Times New Roman" w:hAnsi="Times New Roman" w:cs="Times New Roman"/>
          <w:noProof/>
          <w:sz w:val="28"/>
          <w:szCs w:val="24"/>
        </w:rPr>
        <w:t xml:space="preserve"> </w:t>
      </w:r>
      <w:r>
        <w:rPr>
          <w:rFonts w:ascii="Times New Roman" w:hAnsi="Times New Roman" w:cs="Times New Roman"/>
          <w:noProof/>
          <w:sz w:val="28"/>
          <w:szCs w:val="24"/>
          <w:lang w:val="en-US"/>
        </w:rPr>
        <w:t>al</w:t>
      </w:r>
      <w:r w:rsidRPr="005150E3">
        <w:rPr>
          <w:rFonts w:ascii="Times New Roman" w:hAnsi="Times New Roman" w:cs="Times New Roman"/>
          <w:noProof/>
          <w:sz w:val="28"/>
          <w:szCs w:val="24"/>
        </w:rPr>
        <w:t xml:space="preserve">. </w:t>
      </w:r>
      <w:r>
        <w:rPr>
          <w:rFonts w:ascii="Times New Roman" w:hAnsi="Times New Roman" w:cs="Times New Roman"/>
          <w:noProof/>
          <w:sz w:val="28"/>
          <w:szCs w:val="24"/>
          <w:lang w:val="en-US"/>
        </w:rPr>
        <w:t>Omalizumab for the Treatment of Inadequately Controlled Allergic Rhinitis: A Systematic Review and Meta-Analysis of Randomized Clinical Trials // J. Allergy Clin. Immunol. Pract. Elsevier Inc. - 2014. - Vol. 2, № 3. - P. 332–340.</w:t>
      </w:r>
    </w:p>
    <w:p w14:paraId="5E027477" w14:textId="77777777" w:rsidR="00C72046" w:rsidRDefault="00C72046" w:rsidP="00C72046">
      <w:pPr>
        <w:widowControl w:val="0"/>
        <w:tabs>
          <w:tab w:val="left" w:pos="142"/>
          <w:tab w:val="left" w:pos="851"/>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w:t>
      </w:r>
      <w:r>
        <w:rPr>
          <w:rFonts w:ascii="Times New Roman" w:hAnsi="Times New Roman" w:cs="Times New Roman"/>
          <w:noProof/>
          <w:sz w:val="28"/>
          <w:szCs w:val="24"/>
          <w:lang w:val="en-US"/>
        </w:rPr>
        <w:tab/>
        <w:t>Calderon M.A. et al. EAACI: A European Declaration on Immunotherapy. Designing the future of allergen specific immunotherapy // Clin. Transl. Allergy. - 2012. - Vol. 2, № 1. - 20 p.</w:t>
      </w:r>
    </w:p>
    <w:p w14:paraId="1F3AD34C" w14:textId="77777777" w:rsidR="00C72046" w:rsidRDefault="00C72046" w:rsidP="00C72046">
      <w:pPr>
        <w:widowControl w:val="0"/>
        <w:tabs>
          <w:tab w:val="left" w:pos="142"/>
          <w:tab w:val="left" w:pos="851"/>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w:t>
      </w:r>
      <w:r>
        <w:rPr>
          <w:rFonts w:ascii="Times New Roman" w:hAnsi="Times New Roman" w:cs="Times New Roman"/>
          <w:noProof/>
          <w:sz w:val="28"/>
          <w:szCs w:val="24"/>
          <w:lang w:val="en-US"/>
        </w:rPr>
        <w:tab/>
        <w:t>Morjaria J.B. et al. Treatment of Allergic Rhinitis as a Strategy for Preventing Asthma // Curr. Allergy Asthma Re- P. Current Allergy and Asthma Reports. - 2018. - Vol. 18, № 4. - 23 p.</w:t>
      </w:r>
    </w:p>
    <w:p w14:paraId="2EC8CAD3" w14:textId="77777777" w:rsidR="00C72046" w:rsidRDefault="00C72046" w:rsidP="00C72046">
      <w:pPr>
        <w:widowControl w:val="0"/>
        <w:tabs>
          <w:tab w:val="left" w:pos="142"/>
          <w:tab w:val="left" w:pos="851"/>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4</w:t>
      </w:r>
      <w:r>
        <w:rPr>
          <w:rFonts w:ascii="Times New Roman" w:hAnsi="Times New Roman" w:cs="Times New Roman"/>
          <w:noProof/>
          <w:sz w:val="28"/>
          <w:szCs w:val="24"/>
          <w:lang w:val="en-US"/>
        </w:rPr>
        <w:tab/>
        <w:t>Brożek J.L. et al. Allergic Rhinitis and its Impact on Asthma (ARIA) guidelines - 2016 revision // J. Allergy Clin. Immunol. - 2017. - Vol. 140, № 4. - P. 950–958.</w:t>
      </w:r>
    </w:p>
    <w:p w14:paraId="6819CDAD" w14:textId="77777777" w:rsidR="00C72046" w:rsidRDefault="00C72046" w:rsidP="00C72046">
      <w:pPr>
        <w:widowControl w:val="0"/>
        <w:tabs>
          <w:tab w:val="left" w:pos="142"/>
          <w:tab w:val="left" w:pos="851"/>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lang w:val="en-US"/>
        </w:rPr>
        <w:t>5</w:t>
      </w:r>
      <w:r>
        <w:rPr>
          <w:rFonts w:ascii="Times New Roman" w:hAnsi="Times New Roman" w:cs="Times New Roman"/>
          <w:noProof/>
          <w:sz w:val="28"/>
          <w:szCs w:val="24"/>
          <w:lang w:val="en-US"/>
        </w:rPr>
        <w:tab/>
        <w:t>Jutel M. et al. International Consensus on Allergen Immunotherapy II: Mechanisms, standardization, and pharmacoeconomics // J. Allergy Clin. Immunol</w:t>
      </w:r>
      <w:r>
        <w:rPr>
          <w:rFonts w:ascii="Times New Roman" w:hAnsi="Times New Roman" w:cs="Times New Roman"/>
          <w:noProof/>
          <w:sz w:val="28"/>
          <w:szCs w:val="24"/>
        </w:rPr>
        <w:t>. - 2016. - Vol. 137, № 2. - P. 358–368.</w:t>
      </w:r>
    </w:p>
    <w:p w14:paraId="40F45B8F" w14:textId="77777777" w:rsidR="00C72046" w:rsidRDefault="00C72046" w:rsidP="00C72046">
      <w:pPr>
        <w:widowControl w:val="0"/>
        <w:tabs>
          <w:tab w:val="left" w:pos="142"/>
          <w:tab w:val="left" w:pos="851"/>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6</w:t>
      </w:r>
      <w:r>
        <w:rPr>
          <w:rFonts w:ascii="Times New Roman" w:hAnsi="Times New Roman" w:cs="Times New Roman"/>
          <w:noProof/>
          <w:sz w:val="28"/>
          <w:szCs w:val="24"/>
        </w:rPr>
        <w:tab/>
        <w:t>Плахина К.В., Минаева Н.В. Организационные аспекты сублингвальной аллергенспецифической иммунотерапии // Социальная медицина. - 2016. - Т. 33, № 4. - С. 82–86.</w:t>
      </w:r>
    </w:p>
    <w:p w14:paraId="7969647F" w14:textId="77777777" w:rsidR="00C72046" w:rsidRDefault="00C72046" w:rsidP="00C72046">
      <w:pPr>
        <w:widowControl w:val="0"/>
        <w:tabs>
          <w:tab w:val="left" w:pos="142"/>
          <w:tab w:val="left" w:pos="851"/>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7</w:t>
      </w:r>
      <w:r>
        <w:rPr>
          <w:rFonts w:ascii="Times New Roman" w:hAnsi="Times New Roman" w:cs="Times New Roman"/>
          <w:noProof/>
          <w:sz w:val="28"/>
          <w:szCs w:val="24"/>
          <w:lang w:val="en-US"/>
        </w:rPr>
        <w:tab/>
        <w:t>Cox L. The role of allergen immunotherapy in the management of allergic rhinitis // Am. J. Rhinol. Allergy. - 2016. - Vol. 30, № 1. - P. 48–53.</w:t>
      </w:r>
    </w:p>
    <w:p w14:paraId="5B415D63" w14:textId="77777777" w:rsidR="00C72046" w:rsidRDefault="00C72046" w:rsidP="00C72046">
      <w:pPr>
        <w:widowControl w:val="0"/>
        <w:tabs>
          <w:tab w:val="left" w:pos="142"/>
          <w:tab w:val="left" w:pos="851"/>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8</w:t>
      </w:r>
      <w:r>
        <w:rPr>
          <w:rFonts w:ascii="Times New Roman" w:hAnsi="Times New Roman" w:cs="Times New Roman"/>
          <w:noProof/>
          <w:sz w:val="28"/>
          <w:szCs w:val="24"/>
          <w:lang w:val="en-US"/>
        </w:rPr>
        <w:tab/>
        <w:t>Reddel H.K. et al. GINA - 2019: a fundamental change in asthma management: Treatment of asthma with short-acting bronchodilators alone is no longer recommended for adults and adolescents // Eur. Respir. J. - 2019. - Vol. 53, № 6. - P. 1–7.</w:t>
      </w:r>
    </w:p>
    <w:p w14:paraId="75A8858A" w14:textId="77777777" w:rsidR="00C72046" w:rsidRDefault="00C72046" w:rsidP="00C72046">
      <w:pPr>
        <w:widowControl w:val="0"/>
        <w:tabs>
          <w:tab w:val="left" w:pos="142"/>
          <w:tab w:val="left" w:pos="851"/>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9</w:t>
      </w:r>
      <w:r>
        <w:rPr>
          <w:rFonts w:ascii="Times New Roman" w:hAnsi="Times New Roman" w:cs="Times New Roman"/>
          <w:noProof/>
          <w:sz w:val="28"/>
          <w:szCs w:val="24"/>
          <w:lang w:val="en-US"/>
        </w:rPr>
        <w:tab/>
        <w:t>Banerjee K. et al. Homeopathy for Allergic Rhinitis: A Systematic Review // J. Altern. Complement. Med. - 2017. - Vol. 23, № 6. - P. 426–444.</w:t>
      </w:r>
    </w:p>
    <w:p w14:paraId="5D17F285" w14:textId="77777777" w:rsidR="00C72046" w:rsidRDefault="00C72046" w:rsidP="00C72046">
      <w:pPr>
        <w:widowControl w:val="0"/>
        <w:tabs>
          <w:tab w:val="left" w:pos="142"/>
          <w:tab w:val="left" w:pos="851"/>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lang w:val="en-US"/>
        </w:rPr>
        <w:t>10</w:t>
      </w:r>
      <w:r>
        <w:rPr>
          <w:rFonts w:ascii="Times New Roman" w:hAnsi="Times New Roman" w:cs="Times New Roman"/>
          <w:noProof/>
          <w:sz w:val="28"/>
          <w:szCs w:val="24"/>
          <w:lang w:val="en-US"/>
        </w:rPr>
        <w:tab/>
        <w:t xml:space="preserve"> Durham S.R. et al. Treatment effect of sublingual immunotherapy tablets and pharmacotherapies for seasonal and perennial allergic rhinitis: Pooled analyses // J. Allergy Clin. </w:t>
      </w:r>
      <w:r>
        <w:rPr>
          <w:rFonts w:ascii="Times New Roman" w:hAnsi="Times New Roman" w:cs="Times New Roman"/>
          <w:noProof/>
          <w:sz w:val="28"/>
          <w:szCs w:val="24"/>
        </w:rPr>
        <w:t>Immunol. Elsevier Inc. - 2016. - Vol. 138, № 4. - P. 1081-1088.e4.</w:t>
      </w:r>
    </w:p>
    <w:p w14:paraId="7ABFCE07" w14:textId="77777777" w:rsidR="00C72046" w:rsidRDefault="00C72046" w:rsidP="00C72046">
      <w:pPr>
        <w:widowControl w:val="0"/>
        <w:tabs>
          <w:tab w:val="left" w:pos="142"/>
          <w:tab w:val="left" w:pos="851"/>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11</w:t>
      </w:r>
      <w:r>
        <w:rPr>
          <w:rFonts w:ascii="Times New Roman" w:hAnsi="Times New Roman" w:cs="Times New Roman"/>
          <w:noProof/>
          <w:sz w:val="28"/>
          <w:szCs w:val="24"/>
        </w:rPr>
        <w:tab/>
        <w:t xml:space="preserve"> Насунова А.Ю. Эффективность различных методов аллерген-специфической иммунотерапии при бронхиальной астме и аллергическом рините: </w:t>
      </w:r>
      <w:r>
        <w:rPr>
          <w:rFonts w:ascii="TimesNewRomanPSMT" w:hAnsi="TimesNewRomanPSMT"/>
          <w:color w:val="000000"/>
          <w:sz w:val="28"/>
          <w:szCs w:val="28"/>
        </w:rPr>
        <w:t>дис. ... канд. мед. наук:</w:t>
      </w:r>
      <w:r>
        <w:rPr>
          <w:rFonts w:ascii="Times New Roman" w:hAnsi="Times New Roman" w:cs="Times New Roman"/>
          <w:noProof/>
          <w:sz w:val="28"/>
          <w:szCs w:val="24"/>
        </w:rPr>
        <w:t xml:space="preserve"> 14.03.09. - Москва, 2020. - 129 с.</w:t>
      </w:r>
    </w:p>
    <w:p w14:paraId="2B4FCA18"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12 Klimek L. et al. Current therapeutical strategies for allergic rhinitis // Expert Opin. Pharmacother. Taylor &amp; Francis. - 2019. - Vol. - 20, № 1. - P. 83–89.</w:t>
      </w:r>
    </w:p>
    <w:p w14:paraId="2F08D5C2"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13 Larsson O. et al. Novel strategies for the treatment of grass pollen-induced allergic rhinitis // Expert Opin. Biol. Ther. - 2016. - Vol. 16, № 9. - P. 1143–1150.</w:t>
      </w:r>
    </w:p>
    <w:p w14:paraId="00FD418E"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14 Maspero J. et al. Quality of life and control of allergic rhinitis in patients from regions beyond western Europe and the United States // Clin. Ex- P. Allergy. - 2012. - Vol. 42, № 12. - P. 1684–1696.</w:t>
      </w:r>
    </w:p>
    <w:p w14:paraId="0EC8A268"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15 May J.R., Dolen W.K. Management of Allergic Rhinitis: A Review for the Community Pharmacist // Clin. Ther. Elsevier HS Journals, Inc. - 2017. - Vol. 39, № 12. - P. 2410–2419.</w:t>
      </w:r>
    </w:p>
    <w:p w14:paraId="420B1DA4"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16 Meltzer E.O. Allergic Rhinitis. Burden of Illness, Quality of Life, Comorbidities, and Control // Immunol. Allergy Clin. North Am. Elsevier Inc. - 2016. - Vol. 36, № 2. - P. 235–248.</w:t>
      </w:r>
    </w:p>
    <w:p w14:paraId="3F7CE1DA"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lang w:val="en-US"/>
        </w:rPr>
        <w:t xml:space="preserve">17 </w:t>
      </w:r>
      <w:r>
        <w:rPr>
          <w:rFonts w:ascii="Times New Roman" w:hAnsi="Times New Roman" w:cs="Times New Roman"/>
          <w:noProof/>
          <w:sz w:val="28"/>
          <w:szCs w:val="24"/>
        </w:rPr>
        <w:t>Сновская</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М</w:t>
      </w:r>
      <w:r>
        <w:rPr>
          <w:rFonts w:ascii="Times New Roman" w:hAnsi="Times New Roman" w:cs="Times New Roman"/>
          <w:noProof/>
          <w:sz w:val="28"/>
          <w:szCs w:val="24"/>
          <w:lang w:val="en-US"/>
        </w:rPr>
        <w:t>.</w:t>
      </w:r>
      <w:r>
        <w:rPr>
          <w:rFonts w:ascii="Times New Roman" w:hAnsi="Times New Roman" w:cs="Times New Roman"/>
          <w:noProof/>
          <w:sz w:val="28"/>
          <w:szCs w:val="24"/>
        </w:rPr>
        <w:t>А</w:t>
      </w:r>
      <w:r>
        <w:rPr>
          <w:rFonts w:ascii="Times New Roman" w:hAnsi="Times New Roman" w:cs="Times New Roman"/>
          <w:noProof/>
          <w:sz w:val="28"/>
          <w:szCs w:val="24"/>
          <w:lang w:val="en-US"/>
        </w:rPr>
        <w:t xml:space="preserve">. et al. </w:t>
      </w:r>
      <w:r>
        <w:rPr>
          <w:rFonts w:ascii="Times New Roman" w:hAnsi="Times New Roman" w:cs="Times New Roman"/>
          <w:noProof/>
          <w:sz w:val="28"/>
          <w:szCs w:val="24"/>
        </w:rPr>
        <w:t>Диагностическое определение sIgE к аллергенам пыльцы деревьев тест- системой «Алкор-Био» и методом ImmunoCAP // Клиническая лабораторная диагностика. - 2017. - Т. 62, № 4. - С. 225–229.</w:t>
      </w:r>
    </w:p>
    <w:p w14:paraId="34F12C15"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18 Нурпеисов Т.Т. Аллергология казахстана: успехи и перспективы // Вестник КазНМУ. - 2017. - № 4. - С. 416–418.</w:t>
      </w:r>
    </w:p>
    <w:p w14:paraId="2334EAD6"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19 Измайлович М.Р. et al. Иммунологические аспекты эффективности аллерген- специфической иммунотерапии. Обзор литературы. // Наука и Здравоохранение. - 2020. - Т. 22, № 2. - С. 38–48.</w:t>
      </w:r>
    </w:p>
    <w:p w14:paraId="4021D8FA"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20 Дикарева Т.В., Румянцев В.Ю., Щербакова В.В. Распространение аллергенных растений на территории России и Казахстана: проблемы изучения и некоторые результаты // Экосистемы экология и динамика. - 2019. - Т. 3, № 4. -С. 99–132.</w:t>
      </w:r>
    </w:p>
    <w:p w14:paraId="6D8DC25D"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21 Семенова И.В., Выхристенко Л.Р. Комплексная оценка клинической эффективности при пыльцевой аллергии // Вестник ВГМУ. - 2014. - Т. 13, № 1. - С. 91–97.</w:t>
      </w:r>
    </w:p>
    <w:p w14:paraId="726657ED"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22 Кунельская Н.Л., Лучшева Ю.В., Г.Н. И. Аллергический ринит как одна из граней поллиноза // Медицинский совет. - 2015. - Vol. 3. - P. 28–34.</w:t>
      </w:r>
    </w:p>
    <w:p w14:paraId="5B481FE6"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rPr>
        <w:t xml:space="preserve">23 Рязанцев С.В., Гончаров О.И. Аллергический ринит // Медицинский совет. - 2018. </w:t>
      </w:r>
      <w:r>
        <w:rPr>
          <w:rFonts w:ascii="Times New Roman" w:hAnsi="Times New Roman" w:cs="Times New Roman"/>
          <w:noProof/>
          <w:sz w:val="28"/>
          <w:szCs w:val="24"/>
          <w:lang w:val="en-US"/>
        </w:rPr>
        <w:t xml:space="preserve">№ 20. - </w:t>
      </w:r>
      <w:r>
        <w:rPr>
          <w:rFonts w:ascii="Times New Roman" w:hAnsi="Times New Roman" w:cs="Times New Roman"/>
          <w:noProof/>
          <w:sz w:val="28"/>
          <w:szCs w:val="24"/>
        </w:rPr>
        <w:t>С</w:t>
      </w:r>
      <w:r>
        <w:rPr>
          <w:rFonts w:ascii="Times New Roman" w:hAnsi="Times New Roman" w:cs="Times New Roman"/>
          <w:noProof/>
          <w:sz w:val="28"/>
          <w:szCs w:val="24"/>
          <w:lang w:val="en-US"/>
        </w:rPr>
        <w:t>. 76–79.</w:t>
      </w:r>
    </w:p>
    <w:p w14:paraId="78FC9DAF" w14:textId="77777777" w:rsidR="00C72046" w:rsidRDefault="00C72046" w:rsidP="00C72046">
      <w:pPr>
        <w:widowControl w:val="0"/>
        <w:tabs>
          <w:tab w:val="left" w:pos="142"/>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24</w:t>
      </w:r>
      <w:r>
        <w:rPr>
          <w:rFonts w:ascii="Times New Roman" w:hAnsi="Times New Roman" w:cs="Times New Roman"/>
          <w:noProof/>
          <w:sz w:val="28"/>
          <w:szCs w:val="24"/>
          <w:lang w:val="en-US"/>
        </w:rPr>
        <w:tab/>
        <w:t>Thakkar B. et al. Deficiency of vitamin D in allergic rhinitis: A possible factor in multifactorial disease // Clin. Rhinol. - 2014. - Vol. 7, № 3. - P. 112–116.</w:t>
      </w:r>
    </w:p>
    <w:p w14:paraId="0E3A2855"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25 Gromova O. et al. Vitamin D deficiency in Kazakhstan: Cross-Sectional study // J. Steroid Biochem. Mol. Biol. Elsevier Ltd. - 2020. - Vol. 199, № 19. - P. 105565.</w:t>
      </w:r>
    </w:p>
    <w:p w14:paraId="6829EBC4"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26 Casale T.B. et al. Safety Review of 5-Grass Pollen Tablet from Pooled Data of Clinical Trials // J. Allergy Clin. Immunol. Pract. Elsevier Inc. - 2017. - Vol. 5, № 6. - P. 1717-1727.e1.</w:t>
      </w:r>
    </w:p>
    <w:p w14:paraId="2B46A275"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 xml:space="preserve">27 </w:t>
      </w:r>
      <w:r>
        <w:rPr>
          <w:rFonts w:ascii="Times New Roman" w:hAnsi="Times New Roman" w:cs="Times New Roman"/>
          <w:noProof/>
          <w:sz w:val="28"/>
          <w:szCs w:val="24"/>
        </w:rPr>
        <w:t>Салтабаева</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У</w:t>
      </w:r>
      <w:r>
        <w:rPr>
          <w:rFonts w:ascii="Times New Roman" w:hAnsi="Times New Roman" w:cs="Times New Roman"/>
          <w:noProof/>
          <w:sz w:val="28"/>
          <w:szCs w:val="24"/>
          <w:lang w:val="en-US"/>
        </w:rPr>
        <w:t>.</w:t>
      </w:r>
      <w:r>
        <w:rPr>
          <w:rFonts w:ascii="Times New Roman" w:hAnsi="Times New Roman" w:cs="Times New Roman"/>
          <w:noProof/>
          <w:sz w:val="28"/>
          <w:szCs w:val="24"/>
        </w:rPr>
        <w:t>Ш</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Сравнительная</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эффективность</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видов</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аллерген</w:t>
      </w:r>
      <w:r>
        <w:rPr>
          <w:rFonts w:ascii="Times New Roman" w:hAnsi="Times New Roman" w:cs="Times New Roman"/>
          <w:noProof/>
          <w:sz w:val="28"/>
          <w:szCs w:val="24"/>
          <w:lang w:val="en-US"/>
        </w:rPr>
        <w:t xml:space="preserve"> - </w:t>
      </w:r>
      <w:r>
        <w:rPr>
          <w:rFonts w:ascii="Times New Roman" w:hAnsi="Times New Roman" w:cs="Times New Roman"/>
          <w:noProof/>
          <w:sz w:val="28"/>
          <w:szCs w:val="24"/>
        </w:rPr>
        <w:t>специфической</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иммунотерапии</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при</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поллинозе</w:t>
      </w:r>
      <w:r>
        <w:rPr>
          <w:rFonts w:ascii="Times New Roman" w:hAnsi="Times New Roman" w:cs="Times New Roman"/>
          <w:noProof/>
          <w:sz w:val="28"/>
          <w:szCs w:val="24"/>
          <w:lang w:val="en-US"/>
        </w:rPr>
        <w:t xml:space="preserve"> // </w:t>
      </w:r>
      <w:r>
        <w:rPr>
          <w:rFonts w:ascii="Times New Roman" w:hAnsi="Times New Roman" w:cs="Times New Roman"/>
          <w:noProof/>
          <w:sz w:val="28"/>
          <w:szCs w:val="24"/>
        </w:rPr>
        <w:t>Евразийское</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научное</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объединение</w:t>
      </w:r>
      <w:r>
        <w:rPr>
          <w:rFonts w:ascii="Times New Roman" w:hAnsi="Times New Roman" w:cs="Times New Roman"/>
          <w:noProof/>
          <w:sz w:val="28"/>
          <w:szCs w:val="24"/>
          <w:lang w:val="en-US"/>
        </w:rPr>
        <w:t>. - 2015. - Vol. 1, № 9. - P. 17–18.</w:t>
      </w:r>
    </w:p>
    <w:p w14:paraId="4FD33DB1"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28 Розенсон Р.И. Сравнительная характеристика аллергических и неаллергических ринитов у детей // Клиническая медицина Казахстана. - 2013. - Т. 2, № 28. - С. 75–76.</w:t>
      </w:r>
    </w:p>
    <w:p w14:paraId="75F28B4F" w14:textId="77777777" w:rsidR="00C72046" w:rsidRDefault="00C72046" w:rsidP="00C72046">
      <w:pPr>
        <w:widowControl w:val="0"/>
        <w:tabs>
          <w:tab w:val="left" w:pos="142"/>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 xml:space="preserve">29 Маслова Л.В. Эффективность и механизмы сублингвальной иммунотерапии с аллергическими заболеваниями дыхательных путей: </w:t>
      </w:r>
      <w:r>
        <w:rPr>
          <w:rFonts w:ascii="TimesNewRomanPSMT" w:hAnsi="TimesNewRomanPSMT"/>
          <w:color w:val="000000"/>
          <w:sz w:val="28"/>
          <w:szCs w:val="28"/>
        </w:rPr>
        <w:t>дис. ... канд. мед. наук: 14.03.09.</w:t>
      </w:r>
      <w:r>
        <w:rPr>
          <w:rFonts w:ascii="Times New Roman" w:hAnsi="Times New Roman" w:cs="Times New Roman"/>
          <w:noProof/>
          <w:sz w:val="28"/>
          <w:szCs w:val="24"/>
        </w:rPr>
        <w:t xml:space="preserve"> - Мсква,2014. - 198 с.</w:t>
      </w:r>
    </w:p>
    <w:p w14:paraId="74D757FF"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30 Aasbjerg K., Dalhoff K.- P., Backer V. Adverse Events During Immunotherapy Against Grass Pollen-Induced Allergic Rhinitis - Differences Between Subcutaneous and Sublingual Treatment // Basic Clin. Pharmacol. Toxicol. - 2015. - Vol. 117, № 2. - P. 73–84.</w:t>
      </w:r>
    </w:p>
    <w:p w14:paraId="0457CD0C"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lang w:val="en-US"/>
        </w:rPr>
        <w:t xml:space="preserve">31 Inuo C. et al. Japanese cedar pollen-based subcutaneous immunotherapy decreases tomato fruit-specific basophil activation // Int. </w:t>
      </w:r>
      <w:r>
        <w:rPr>
          <w:rFonts w:ascii="Times New Roman" w:hAnsi="Times New Roman" w:cs="Times New Roman"/>
          <w:noProof/>
          <w:sz w:val="28"/>
          <w:szCs w:val="24"/>
        </w:rPr>
        <w:t>Arch. Allergy Immunol. - 2015. - Vol. 167, № 2. - P. 137–145.</w:t>
      </w:r>
    </w:p>
    <w:p w14:paraId="3761FF21"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 xml:space="preserve">32 Козулина И.Е. Клиническая эффективность, безопасность и экономическая целесообразность сублингвального и подкожного методов аллерген-специфической иммунотерапии: </w:t>
      </w:r>
      <w:r>
        <w:rPr>
          <w:rFonts w:ascii="TimesNewRomanPSMT" w:hAnsi="TimesNewRomanPSMT"/>
          <w:color w:val="000000"/>
          <w:sz w:val="28"/>
          <w:szCs w:val="28"/>
        </w:rPr>
        <w:t>дис. ... канд. мед. наук:</w:t>
      </w:r>
      <w:r>
        <w:rPr>
          <w:rFonts w:ascii="Times New Roman" w:hAnsi="Times New Roman" w:cs="Times New Roman"/>
          <w:noProof/>
          <w:sz w:val="28"/>
          <w:szCs w:val="24"/>
        </w:rPr>
        <w:t xml:space="preserve"> 14.03.09. – Москва, 2017. - 103 с.</w:t>
      </w:r>
    </w:p>
    <w:p w14:paraId="4585708D"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33 Lipworth B. et al. An algorithm recommendation for the pharmacological management of allergic rhinitis in the UK: A consensus statement from an expert panel // npj Prim. Care Respir. Med. Springer US. - 2017. - Vol. 27, № 3. - 8 p.</w:t>
      </w:r>
    </w:p>
    <w:p w14:paraId="2B3BA9B7"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34 Kakli H.A., Riley T.D. Allergic Rhinitis // Prim. Care - Clin. Off. Pract. Elsevier Inc. - 2016. - Vol. 43, № 3. - P. 465–475.</w:t>
      </w:r>
    </w:p>
    <w:p w14:paraId="2AEA98D0"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35 Canonica G.W. et al. Sublingual immunotherapy: World Allergy Organization position paper - 2013 update // World Allergy Organ. J. - 2014. - Vol. 7, № 1. - 52 p.</w:t>
      </w:r>
    </w:p>
    <w:p w14:paraId="04F53A69"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36  Paiva Ferreira L.K.D. et al. Combined allergic rhinitis and asthma syndrome (CARAS) // Int. Immunopharmacol. Elsevier. - 2019. - Vol. 74. - P. 105718.</w:t>
      </w:r>
    </w:p>
    <w:p w14:paraId="4ECE6F43"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37 Velankar H.K. et al. The Role of Vitamin D Deficiency and Its Supplementation in the Treatment of Allergic Rhinitis. - 2019. - Vol. 9, № August. - P. 82–88.</w:t>
      </w:r>
    </w:p>
    <w:p w14:paraId="608F421E"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 xml:space="preserve">38 Насунова А.Ю., Дробик О.С. Аллергический ринит. Возможности превентивной терапии // Фарматека. - 2013. - № </w:t>
      </w:r>
      <w:r>
        <w:rPr>
          <w:rFonts w:ascii="Times New Roman" w:hAnsi="Times New Roman" w:cs="Times New Roman"/>
          <w:noProof/>
          <w:sz w:val="28"/>
          <w:szCs w:val="24"/>
          <w:lang w:val="en-US"/>
        </w:rPr>
        <w:t>S</w:t>
      </w:r>
      <w:r>
        <w:rPr>
          <w:rFonts w:ascii="Times New Roman" w:hAnsi="Times New Roman" w:cs="Times New Roman"/>
          <w:noProof/>
          <w:sz w:val="28"/>
          <w:szCs w:val="24"/>
        </w:rPr>
        <w:t>1. - С. 75–79.</w:t>
      </w:r>
    </w:p>
    <w:p w14:paraId="72E85E80"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39 Juniper E.F., Guyatt G.H. Development and testing of a new measure of health status for clinical trials in rhinoconjunctivitis // Clin. Ex- P. Allergy. - 1991. - Vol. 21, № 1. - P. 77–83.</w:t>
      </w:r>
    </w:p>
    <w:p w14:paraId="577E3A07"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40 Juniper E.F., Guyatt G.H., Dolovich J. Assessment of quality of life in adolescents with allergic rhinoconjunctivitis: Development and testing of a questionnaire for clinical trials // J. Allergy Clin. Immunol. - 1994. - Vol. 93, № 2. - P. 413–423.</w:t>
      </w:r>
    </w:p>
    <w:p w14:paraId="2084FD2E"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41 Canonica G.W. et al. Recommendations for standardization of clinical trials with Allergen Specific Immunotherapy for respiratory allergy. A statement of a World Allergy Organization (WAO) taskforce // Allergy Eur. J. Allergy Clin. Immunol. - 2007. - Vol. 62, № 3. - P. 317–324.</w:t>
      </w:r>
    </w:p>
    <w:p w14:paraId="28F19100" w14:textId="77777777" w:rsidR="00C72046" w:rsidRDefault="00C72046" w:rsidP="00C72046">
      <w:pPr>
        <w:widowControl w:val="0"/>
        <w:tabs>
          <w:tab w:val="left" w:pos="0"/>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42 Pfaar O. et al. Recommendations for the standardization of clinical outcomes used in allergen immunotherapy trials for allergic rhinoconjunctivitis: an EAACI Position Paper // Allergy. - 2014. - Vol. 69, № 7. - P. 854–867.</w:t>
      </w:r>
    </w:p>
    <w:p w14:paraId="565464D2" w14:textId="77777777" w:rsidR="00C72046" w:rsidRDefault="00C72046" w:rsidP="00C72046">
      <w:pPr>
        <w:widowControl w:val="0"/>
        <w:tabs>
          <w:tab w:val="left" w:pos="0"/>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43 Poole C.D. et al. Estimation of health-related utility (EQ-5D index) in subjects with seasonal allergic rhinoconjunctivitis to evaluate health gain associated with sublingual grass allergen immunotherapy // Health Qual. Life Outcomes. - 2014. - Vol. 12, № 1. - P. 1–9.</w:t>
      </w:r>
    </w:p>
    <w:p w14:paraId="7EACB27D" w14:textId="77777777" w:rsidR="00C72046" w:rsidRDefault="00C72046" w:rsidP="00C72046">
      <w:pPr>
        <w:widowControl w:val="0"/>
        <w:tabs>
          <w:tab w:val="left" w:pos="0"/>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44 Juniper E.F., Thompson A.K., Roberts J.N. Can the standard gamble and rating scale be used to measure quality of life in rhinoconjunctivitis? Comparison with the RQLQ and SF-36 // Allergy Eur. J. Allergy Clin. Immunol. - 2002. - Vol. 57, № 3. - P. - 201–- 206.</w:t>
      </w:r>
    </w:p>
    <w:p w14:paraId="42485C52" w14:textId="77777777" w:rsidR="00C72046" w:rsidRDefault="00C72046" w:rsidP="00C72046">
      <w:pPr>
        <w:widowControl w:val="0"/>
        <w:tabs>
          <w:tab w:val="left" w:pos="0"/>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45 JunipeR E.F. et al. Development and validation of the Mini Rhinoconjunctivitis Quality of Life Questionnaire // Clin. Ex- P. Allergy. - 2000. - Vol. 30. - P. 132–140.</w:t>
      </w:r>
    </w:p>
    <w:p w14:paraId="6D0A99D1" w14:textId="77777777" w:rsidR="00C72046" w:rsidRDefault="00C72046" w:rsidP="00C72046">
      <w:pPr>
        <w:widowControl w:val="0"/>
        <w:tabs>
          <w:tab w:val="left" w:pos="0"/>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46 Ciprandi G., Incorvaia C., Frati F. Management of polysensitized patient: from molecular diagnostics to biomolecular immunotherapy // Expert Rev. Clin. Immunol. - 2015. - Vol. 11, № 9. - P. 973–976.</w:t>
      </w:r>
    </w:p>
    <w:p w14:paraId="4ABBD392" w14:textId="77777777" w:rsidR="00C72046" w:rsidRDefault="00C72046" w:rsidP="00C72046">
      <w:pPr>
        <w:widowControl w:val="0"/>
        <w:tabs>
          <w:tab w:val="left" w:pos="0"/>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47 Slovick A. et al. A randomised placebo-controlled trial investigating efficacy and mechanisms of low-dose intradermal allergen immunotherapy in treatment of seasonal allergic rhinitis // Effic. Mech. Eval. - 2016. - Vol. 3, № 10. - P. 1–80.</w:t>
      </w:r>
    </w:p>
    <w:p w14:paraId="22B07091" w14:textId="77777777" w:rsidR="00C72046" w:rsidRDefault="00C72046" w:rsidP="00C72046">
      <w:pPr>
        <w:widowControl w:val="0"/>
        <w:tabs>
          <w:tab w:val="left" w:pos="0"/>
          <w:tab w:val="left" w:pos="142"/>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lang w:val="en-US"/>
        </w:rPr>
        <w:t>48 Bozek A. Pharmacological Management of Allergic Rhinitis in the Elderly // Drugs and Aging. Springer</w:t>
      </w:r>
      <w:r w:rsidRPr="00C72046">
        <w:rPr>
          <w:rFonts w:ascii="Times New Roman" w:hAnsi="Times New Roman" w:cs="Times New Roman"/>
          <w:noProof/>
          <w:sz w:val="28"/>
          <w:szCs w:val="24"/>
        </w:rPr>
        <w:t xml:space="preserve"> </w:t>
      </w:r>
      <w:r>
        <w:rPr>
          <w:rFonts w:ascii="Times New Roman" w:hAnsi="Times New Roman" w:cs="Times New Roman"/>
          <w:noProof/>
          <w:sz w:val="28"/>
          <w:szCs w:val="24"/>
          <w:lang w:val="en-US"/>
        </w:rPr>
        <w:t>International</w:t>
      </w:r>
      <w:r w:rsidRPr="00C72046">
        <w:rPr>
          <w:rFonts w:ascii="Times New Roman" w:hAnsi="Times New Roman" w:cs="Times New Roman"/>
          <w:noProof/>
          <w:sz w:val="28"/>
          <w:szCs w:val="24"/>
        </w:rPr>
        <w:t xml:space="preserve"> </w:t>
      </w:r>
      <w:r>
        <w:rPr>
          <w:rFonts w:ascii="Times New Roman" w:hAnsi="Times New Roman" w:cs="Times New Roman"/>
          <w:noProof/>
          <w:sz w:val="28"/>
          <w:szCs w:val="24"/>
          <w:lang w:val="en-US"/>
        </w:rPr>
        <w:t>Publishing</w:t>
      </w:r>
      <w:r>
        <w:rPr>
          <w:rFonts w:ascii="Times New Roman" w:hAnsi="Times New Roman" w:cs="Times New Roman"/>
          <w:noProof/>
          <w:sz w:val="28"/>
          <w:szCs w:val="24"/>
        </w:rPr>
        <w:t xml:space="preserve">, - 2017. - </w:t>
      </w:r>
      <w:r>
        <w:rPr>
          <w:rFonts w:ascii="Times New Roman" w:hAnsi="Times New Roman" w:cs="Times New Roman"/>
          <w:noProof/>
          <w:sz w:val="28"/>
          <w:szCs w:val="24"/>
          <w:lang w:val="en-US"/>
        </w:rPr>
        <w:t>Vol</w:t>
      </w:r>
      <w:r>
        <w:rPr>
          <w:rFonts w:ascii="Times New Roman" w:hAnsi="Times New Roman" w:cs="Times New Roman"/>
          <w:noProof/>
          <w:sz w:val="28"/>
          <w:szCs w:val="24"/>
        </w:rPr>
        <w:t xml:space="preserve">. 34, № 1. - </w:t>
      </w:r>
      <w:r>
        <w:rPr>
          <w:rFonts w:ascii="Times New Roman" w:hAnsi="Times New Roman" w:cs="Times New Roman"/>
          <w:noProof/>
          <w:sz w:val="28"/>
          <w:szCs w:val="24"/>
          <w:lang w:val="en-US"/>
        </w:rPr>
        <w:t>P</w:t>
      </w:r>
      <w:r>
        <w:rPr>
          <w:rFonts w:ascii="Times New Roman" w:hAnsi="Times New Roman" w:cs="Times New Roman"/>
          <w:noProof/>
          <w:sz w:val="28"/>
          <w:szCs w:val="24"/>
        </w:rPr>
        <w:t>. 21–28.</w:t>
      </w:r>
    </w:p>
    <w:p w14:paraId="65DB2D0F"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49 Туровский А.Б. Аллергический ринит: новое решение старой проблемы // Медицинский совет. - 2016. - Т. 6. - С. 44–49.</w:t>
      </w:r>
    </w:p>
    <w:p w14:paraId="245C961B"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50 Linneberg A. et al. Burden of allergic respiratory disease: A systematic review // Clin. Mol. Allergy. BioMed Central. - 2016. - Vol. 14, № 12. - P. 1–14.</w:t>
      </w:r>
    </w:p>
    <w:p w14:paraId="0EF754BD"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51 Dykewicz M.S. et al. Treatment of seasonal allergic rhinitis: An evidence-based focused - 2017 guideline update // Ann. Allergy, Asthma Immunol. American College of Allergy, Asthma &amp; Immunology. - 2017. - Vol. 119, № 6. - P. 489-511.e41.</w:t>
      </w:r>
    </w:p>
    <w:p w14:paraId="417AA2B6"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52 Hoyte F.C.L., Nelson H.S. Recent advances in allergic rhinitis [version 1; peer review: 2 approved] // F1000Research. - 2018. - № 1333. - P. 1–10.</w:t>
      </w:r>
    </w:p>
    <w:p w14:paraId="18C107F8"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53 Demoly - P. et al. Allergic rhinitis increases the risk of driving accidents // J. Allergy Clin. Immunol. Elsevier Inc. - 2017. - Vol. 140, № 2. - P. 614–616.</w:t>
      </w:r>
    </w:p>
    <w:p w14:paraId="405B857E"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54 Durham S.R., Penagos M. Sublingual or subcutaneous immunotherapy for allergic rhinitis? // J. Allergy Clin. Immunol. Elsevier Ltd. - 2016. - Vol. 137, № 2. - P. 339-349.e10.</w:t>
      </w:r>
    </w:p>
    <w:p w14:paraId="121D08CB"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55 Serrano E. et al. 300IR 5-Grass pollen sublingual tablet offers relief from nasal symptoms in patients with allergic rhinitis // Am. J. Rhinol. Allergy. - 2014. - Vol. 28, № 6. - P. 471–476.</w:t>
      </w:r>
    </w:p>
    <w:p w14:paraId="7EE71B4D" w14:textId="77777777" w:rsidR="00C72046" w:rsidRDefault="00C72046" w:rsidP="00C72046">
      <w:pPr>
        <w:widowControl w:val="0"/>
        <w:tabs>
          <w:tab w:val="left" w:pos="0"/>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56 Dick K. et al. A quality-of-life mapping function developed from a grass pollen sublingual immunotherapy trial to a tree pollen sublingual immunotherapy trial // J. Med. Econ. Taylor &amp; Francis.- 2020. - Vol. 23, № 1. - P. 64–69.</w:t>
      </w:r>
    </w:p>
    <w:p w14:paraId="030F44B9" w14:textId="77777777" w:rsidR="00C72046" w:rsidRPr="000768C4"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lang w:val="en-US"/>
        </w:rPr>
        <w:t>57 Saltabayeva U. et al. Greater Real-Life Diagnostic Efficacy of Allergen Molecule-Based Diagnosis for Prescription of Immunotherapy in an Area with Multiple Pollen Exposure // Int. Arch. Allergy</w:t>
      </w:r>
      <w:r w:rsidRPr="000768C4">
        <w:rPr>
          <w:rFonts w:ascii="Times New Roman" w:hAnsi="Times New Roman" w:cs="Times New Roman"/>
          <w:noProof/>
          <w:sz w:val="28"/>
          <w:szCs w:val="24"/>
        </w:rPr>
        <w:t xml:space="preserve"> </w:t>
      </w:r>
      <w:r>
        <w:rPr>
          <w:rFonts w:ascii="Times New Roman" w:hAnsi="Times New Roman" w:cs="Times New Roman"/>
          <w:noProof/>
          <w:sz w:val="28"/>
          <w:szCs w:val="24"/>
          <w:lang w:val="en-US"/>
        </w:rPr>
        <w:t>Immunol</w:t>
      </w:r>
      <w:r w:rsidRPr="000768C4">
        <w:rPr>
          <w:rFonts w:ascii="Times New Roman" w:hAnsi="Times New Roman" w:cs="Times New Roman"/>
          <w:noProof/>
          <w:sz w:val="28"/>
          <w:szCs w:val="24"/>
        </w:rPr>
        <w:t xml:space="preserve">. - 2017. - </w:t>
      </w:r>
      <w:r>
        <w:rPr>
          <w:rFonts w:ascii="Times New Roman" w:hAnsi="Times New Roman" w:cs="Times New Roman"/>
          <w:noProof/>
          <w:sz w:val="28"/>
          <w:szCs w:val="24"/>
          <w:lang w:val="en-US"/>
        </w:rPr>
        <w:t>Vol</w:t>
      </w:r>
      <w:r w:rsidRPr="000768C4">
        <w:rPr>
          <w:rFonts w:ascii="Times New Roman" w:hAnsi="Times New Roman" w:cs="Times New Roman"/>
          <w:noProof/>
          <w:sz w:val="28"/>
          <w:szCs w:val="24"/>
        </w:rPr>
        <w:t xml:space="preserve">. 173, № 2. - </w:t>
      </w:r>
      <w:r>
        <w:rPr>
          <w:rFonts w:ascii="Times New Roman" w:hAnsi="Times New Roman" w:cs="Times New Roman"/>
          <w:noProof/>
          <w:sz w:val="28"/>
          <w:szCs w:val="24"/>
          <w:lang w:val="en-US"/>
        </w:rPr>
        <w:t>P</w:t>
      </w:r>
      <w:r w:rsidRPr="000768C4">
        <w:rPr>
          <w:rFonts w:ascii="Times New Roman" w:hAnsi="Times New Roman" w:cs="Times New Roman"/>
          <w:noProof/>
          <w:sz w:val="28"/>
          <w:szCs w:val="24"/>
        </w:rPr>
        <w:t>. 93–98.</w:t>
      </w:r>
    </w:p>
    <w:p w14:paraId="7BCC2879" w14:textId="77777777" w:rsidR="00C72046" w:rsidRPr="000768C4"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0768C4">
        <w:rPr>
          <w:rFonts w:ascii="Times New Roman" w:hAnsi="Times New Roman" w:cs="Times New Roman"/>
          <w:noProof/>
          <w:sz w:val="28"/>
          <w:szCs w:val="24"/>
        </w:rPr>
        <w:t xml:space="preserve">58 </w:t>
      </w:r>
      <w:r>
        <w:rPr>
          <w:rFonts w:ascii="Times New Roman" w:hAnsi="Times New Roman" w:cs="Times New Roman"/>
          <w:noProof/>
          <w:sz w:val="28"/>
          <w:szCs w:val="24"/>
        </w:rPr>
        <w:t>Павлова</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К</w:t>
      </w:r>
      <w:r w:rsidRPr="000768C4">
        <w:rPr>
          <w:rFonts w:ascii="Times New Roman" w:hAnsi="Times New Roman" w:cs="Times New Roman"/>
          <w:noProof/>
          <w:sz w:val="28"/>
          <w:szCs w:val="24"/>
        </w:rPr>
        <w:t>.</w:t>
      </w:r>
      <w:r>
        <w:rPr>
          <w:rFonts w:ascii="Times New Roman" w:hAnsi="Times New Roman" w:cs="Times New Roman"/>
          <w:noProof/>
          <w:sz w:val="28"/>
          <w:szCs w:val="24"/>
        </w:rPr>
        <w:t>С</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Новые</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возможности</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аллерген</w:t>
      </w:r>
      <w:r w:rsidRPr="000768C4">
        <w:rPr>
          <w:rFonts w:ascii="Times New Roman" w:hAnsi="Times New Roman" w:cs="Times New Roman"/>
          <w:noProof/>
          <w:sz w:val="28"/>
          <w:szCs w:val="24"/>
        </w:rPr>
        <w:t>-</w:t>
      </w:r>
      <w:r>
        <w:rPr>
          <w:rFonts w:ascii="Times New Roman" w:hAnsi="Times New Roman" w:cs="Times New Roman"/>
          <w:noProof/>
          <w:sz w:val="28"/>
          <w:szCs w:val="24"/>
        </w:rPr>
        <w:t>специфической</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иммунотерапии</w:t>
      </w:r>
      <w:r w:rsidRPr="000768C4">
        <w:rPr>
          <w:rFonts w:ascii="Times New Roman" w:hAnsi="Times New Roman" w:cs="Times New Roman"/>
          <w:noProof/>
          <w:sz w:val="28"/>
          <w:szCs w:val="24"/>
        </w:rPr>
        <w:t xml:space="preserve"> // </w:t>
      </w:r>
      <w:r>
        <w:rPr>
          <w:rFonts w:ascii="Times New Roman" w:hAnsi="Times New Roman" w:cs="Times New Roman"/>
          <w:noProof/>
          <w:sz w:val="28"/>
          <w:szCs w:val="24"/>
        </w:rPr>
        <w:t>Педиатрия</w:t>
      </w:r>
      <w:r w:rsidRPr="000768C4">
        <w:rPr>
          <w:rFonts w:ascii="Times New Roman" w:hAnsi="Times New Roman" w:cs="Times New Roman"/>
          <w:noProof/>
          <w:sz w:val="28"/>
          <w:szCs w:val="24"/>
        </w:rPr>
        <w:t xml:space="preserve">. - 2017. - № 4. - </w:t>
      </w:r>
      <w:r>
        <w:rPr>
          <w:rFonts w:ascii="Times New Roman" w:hAnsi="Times New Roman" w:cs="Times New Roman"/>
          <w:noProof/>
          <w:sz w:val="28"/>
          <w:szCs w:val="24"/>
        </w:rPr>
        <w:t>С</w:t>
      </w:r>
      <w:r w:rsidRPr="000768C4">
        <w:rPr>
          <w:rFonts w:ascii="Times New Roman" w:hAnsi="Times New Roman" w:cs="Times New Roman"/>
          <w:noProof/>
          <w:sz w:val="28"/>
          <w:szCs w:val="24"/>
        </w:rPr>
        <w:t>. 56–58.</w:t>
      </w:r>
    </w:p>
    <w:p w14:paraId="62399DCC" w14:textId="77777777" w:rsidR="00C72046"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59 Курбачева О.М., Павлова К.С., Галицкая М.А. Аллерген-специфическая иммунотерапия. Аналитический обзор современных международных и отечественных позиционных документов // Российский Аллергологический Журнал. - 2017. - Т. 1. - С. 24–33.</w:t>
      </w:r>
    </w:p>
    <w:p w14:paraId="576784FB" w14:textId="77777777" w:rsidR="00C72046"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60 Zuberbier T. et al. GA2LEN/EAACI pocket guide for allergen-specific immunotherapy for allergic rhinitis and asthma // Allergy Eur. J. Allergy Clin. Immunol. - 2010. - Vol. 65, № 12. - P. 1525–1530.</w:t>
      </w:r>
    </w:p>
    <w:p w14:paraId="39658446" w14:textId="77777777" w:rsidR="00C72046"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61</w:t>
      </w:r>
      <w:r>
        <w:rPr>
          <w:rFonts w:ascii="Times New Roman" w:hAnsi="Times New Roman" w:cs="Times New Roman"/>
          <w:noProof/>
          <w:sz w:val="28"/>
          <w:szCs w:val="24"/>
          <w:lang w:val="en-US"/>
        </w:rPr>
        <w:tab/>
        <w:t>Tankersley M., Han J.K., Nolte H. Clinical aspects of sublingual immunotherapy tablets and drops // Ann. Allergy, Asthma Immunol. American College of Allergy, Asthma &amp; Immunology. - 2020. - Vol. 124, № 6. - P. 573–582.</w:t>
      </w:r>
    </w:p>
    <w:p w14:paraId="06904B46"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62 Mortuaire G. et al. Specific immunotherapy in allergic rhinitis // Eur. Ann. Otorhinolaryngol. Head Neck Dis. Elsevier Masson SAS. - 2017. - Vol. 134, № 4. - P. 253–258.</w:t>
      </w:r>
    </w:p>
    <w:p w14:paraId="68A467BC"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63 Petalas K., Durham S.R. Allergen immunotherapy for allergic rhinitis // Rhinology. - 2013. - Vol. 51, № 2. - P. 1–12.</w:t>
      </w:r>
    </w:p>
    <w:p w14:paraId="062C970E"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64 Коваленко Н.В., Кутузова Е.А., Богаченко С.М. Безопасность и эффективность аллерген-специфической иммунотерапии в лечении поллинозов // Главный врач юга России. - 2018. - Т. 3, № 62. - С. 22–24.</w:t>
      </w:r>
    </w:p>
    <w:p w14:paraId="77AB9BF2" w14:textId="77777777" w:rsidR="00C72046" w:rsidRDefault="00C72046" w:rsidP="00C72046">
      <w:pPr>
        <w:widowControl w:val="0"/>
        <w:tabs>
          <w:tab w:val="left" w:pos="142"/>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65 Akdis M., Akdis C.A. Mechanisms of allergen-specific immunotherapy: Multiple suppressor factors at work in immune tolerance to allergens // J. Allergy Clin. Immunol. - 2014. - Vol. 133, № 3. - P. 621–631.</w:t>
      </w:r>
    </w:p>
    <w:p w14:paraId="0D8A8509" w14:textId="77777777" w:rsidR="00C72046"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66</w:t>
      </w:r>
      <w:r>
        <w:rPr>
          <w:rFonts w:ascii="Times New Roman" w:hAnsi="Times New Roman" w:cs="Times New Roman"/>
          <w:noProof/>
          <w:sz w:val="28"/>
          <w:szCs w:val="24"/>
          <w:lang w:val="en-US"/>
        </w:rPr>
        <w:tab/>
        <w:t>Głobińska A. et al. Mechanisms of allergen-specific immunotherapy: Diverse mechanisms of immune tolerance to allergens // Ann. Allergy, Asthma Immunol. - 2018. - Vol. 121, № 3. - P. 306–312.</w:t>
      </w:r>
    </w:p>
    <w:p w14:paraId="161E4FF6" w14:textId="77777777" w:rsidR="00C72046"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67</w:t>
      </w:r>
      <w:r>
        <w:rPr>
          <w:rFonts w:ascii="Times New Roman" w:hAnsi="Times New Roman" w:cs="Times New Roman"/>
          <w:noProof/>
          <w:sz w:val="28"/>
          <w:szCs w:val="24"/>
          <w:lang w:val="en-US"/>
        </w:rPr>
        <w:tab/>
        <w:t>Shamji M.H. et al. Biomarkers for monitoring clinical efficacy of allergen immunotherapy for allergic rhinoconjunctivitis and allergic asthma: an EAACI Position Paper // Allergy Eur. J. Allergy Clin. Immunol. - 2017. - Vol. 72, № 8. - P. 1156–1173.</w:t>
      </w:r>
    </w:p>
    <w:p w14:paraId="23EE51DB" w14:textId="77777777" w:rsidR="00C72046"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68</w:t>
      </w:r>
      <w:r>
        <w:rPr>
          <w:rFonts w:ascii="Times New Roman" w:hAnsi="Times New Roman" w:cs="Times New Roman"/>
          <w:noProof/>
          <w:sz w:val="28"/>
          <w:szCs w:val="24"/>
          <w:lang w:val="en-US"/>
        </w:rPr>
        <w:tab/>
        <w:t>Niederberger V. et al. Safety and efficacy of immunotherapy with the recombinant B-cell epitope–based grass pollen vaccine BM32 // J. Allergy Clin. Immunol. - 2018. - Vol. 142, № 2. - P. 497-509.e9.</w:t>
      </w:r>
    </w:p>
    <w:p w14:paraId="08C70EF6" w14:textId="77777777" w:rsidR="00C72046"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69 Sindher S.B. et al. The Use of Biomarkers to Predict Aero-Allergen and Food Immunotherapy Responses // Clinical Reviews in Allergy &amp; Immunology. - 2018. - Vol. 55, № 2. - P. 190–- 204.</w:t>
      </w:r>
    </w:p>
    <w:p w14:paraId="5795A305" w14:textId="77777777" w:rsidR="00C72046"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70 Wambre E. Effect of allergen-specific immunotherapy on CD4+ T cells // Curr. Opin. Allergy Clin. Immunol. - 2015. - Vol. 15, № 6. - P. 581–587.</w:t>
      </w:r>
    </w:p>
    <w:p w14:paraId="229BE4BD" w14:textId="77777777" w:rsidR="00C72046"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71.</w:t>
      </w:r>
      <w:r>
        <w:rPr>
          <w:rFonts w:ascii="Times New Roman" w:hAnsi="Times New Roman" w:cs="Times New Roman"/>
          <w:noProof/>
          <w:sz w:val="28"/>
          <w:szCs w:val="24"/>
          <w:lang w:val="en-US"/>
        </w:rPr>
        <w:tab/>
        <w:t>Novak N. et al. Early suppression of basophil activation during allergen-specific immunotherapy by histamine receptor 2 // J. Allergy Clin. Immunol. - 2012. - Vol. 130, № 5. - P. 2–9.</w:t>
      </w:r>
    </w:p>
    <w:p w14:paraId="51A2EC0B" w14:textId="77777777" w:rsidR="00C72046"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lang w:val="en-US"/>
        </w:rPr>
        <w:t>72</w:t>
      </w:r>
      <w:r>
        <w:rPr>
          <w:rFonts w:ascii="Times New Roman" w:hAnsi="Times New Roman" w:cs="Times New Roman"/>
          <w:noProof/>
          <w:sz w:val="28"/>
          <w:szCs w:val="24"/>
          <w:lang w:val="en-US"/>
        </w:rPr>
        <w:tab/>
        <w:t xml:space="preserve"> Kappen J.H. et al. Applications and mechanisms of immunotherapy in allergic rhinitis and asthma // Ther. Adv. </w:t>
      </w:r>
      <w:r>
        <w:rPr>
          <w:rFonts w:ascii="Times New Roman" w:hAnsi="Times New Roman" w:cs="Times New Roman"/>
          <w:noProof/>
          <w:sz w:val="28"/>
          <w:szCs w:val="24"/>
        </w:rPr>
        <w:t>Respir. Dis. - 2017. - Vol. 11, № 1. - P. 73–86.</w:t>
      </w:r>
    </w:p>
    <w:p w14:paraId="7246437A" w14:textId="77777777" w:rsidR="00C72046"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73</w:t>
      </w:r>
      <w:r>
        <w:rPr>
          <w:rFonts w:ascii="Times New Roman" w:hAnsi="Times New Roman" w:cs="Times New Roman"/>
          <w:noProof/>
          <w:sz w:val="28"/>
          <w:szCs w:val="24"/>
        </w:rPr>
        <w:tab/>
        <w:t xml:space="preserve"> Федоров А.С. et al. Аллерген-специфическая иммунотерапия: терапевтические вакцины для аллергических заболеваний // Медицинская иммунология. - 2015. - Т. 17, № 5. - С. 407–422.</w:t>
      </w:r>
    </w:p>
    <w:p w14:paraId="0C97853A" w14:textId="77777777" w:rsidR="00C72046" w:rsidRDefault="00C72046" w:rsidP="00C72046">
      <w:pPr>
        <w:widowControl w:val="0"/>
        <w:tabs>
          <w:tab w:val="left" w:pos="0"/>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74 Mitsias D.I. et al. Immunotherapy in allergic diseases — improved understanding and innovation for enhanced effectiveness // Curr. Opin. Immunol. Elsevier Ltd. - 2020. - Vol. 66. - P. 1–8.</w:t>
      </w:r>
    </w:p>
    <w:p w14:paraId="2BDEB6BF" w14:textId="77777777" w:rsidR="00C72046" w:rsidRDefault="00C72046" w:rsidP="00C72046">
      <w:pPr>
        <w:widowControl w:val="0"/>
        <w:tabs>
          <w:tab w:val="left" w:pos="0"/>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75 Heeringa J.J. et al. Induction of IgG2 and IgG4 B-cell memory following sublingual immunotherapy for ryegrass pollen allergy // Allergy Eur. J. Allergy Clin. Immunol. - 2020. - Vol. 75, № 5. - P. 1121–1132.</w:t>
      </w:r>
    </w:p>
    <w:p w14:paraId="1A158B77" w14:textId="77777777" w:rsidR="00C72046" w:rsidRDefault="00C72046" w:rsidP="00C72046">
      <w:pPr>
        <w:widowControl w:val="0"/>
        <w:tabs>
          <w:tab w:val="left" w:pos="0"/>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76 Boonpiyathad T. et al. Il-10 producing T and B cells in allergy // Semin. Immunol. Elsevier. - 2019. - Vol. 44. - P. 101326.</w:t>
      </w:r>
    </w:p>
    <w:p w14:paraId="4794120C" w14:textId="77777777" w:rsidR="00C72046" w:rsidRDefault="00C72046" w:rsidP="00C72046">
      <w:pPr>
        <w:widowControl w:val="0"/>
        <w:tabs>
          <w:tab w:val="left" w:pos="567"/>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77</w:t>
      </w:r>
      <w:r>
        <w:rPr>
          <w:rFonts w:ascii="Times New Roman" w:hAnsi="Times New Roman" w:cs="Times New Roman"/>
          <w:noProof/>
          <w:sz w:val="28"/>
          <w:szCs w:val="24"/>
          <w:lang w:val="en-US"/>
        </w:rPr>
        <w:tab/>
        <w:t xml:space="preserve"> Patel H.D., Chambliss J.M., Gupta M.R. Utility and Comparative Efficacy of Recombinant Allergens Versus Allergen Extract // Current Allergy and Asthma Reports. - 2017. - Vol. 17, № 9. - P. 63.</w:t>
      </w:r>
    </w:p>
    <w:p w14:paraId="16852A95" w14:textId="77777777" w:rsidR="00C72046" w:rsidRDefault="00C72046" w:rsidP="00C72046">
      <w:pPr>
        <w:widowControl w:val="0"/>
        <w:tabs>
          <w:tab w:val="left" w:pos="567"/>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78</w:t>
      </w:r>
      <w:r>
        <w:rPr>
          <w:rFonts w:ascii="Times New Roman" w:hAnsi="Times New Roman" w:cs="Times New Roman"/>
          <w:noProof/>
          <w:sz w:val="28"/>
          <w:szCs w:val="24"/>
          <w:lang w:val="en-US"/>
        </w:rPr>
        <w:tab/>
        <w:t xml:space="preserve"> Klimek L. et al. Clinical use of adjuvants in allergen-immunotherapy // Expert Rev. Clin. Immunol. Taylor &amp; Francis. - 2017. - Vol. 13, № 6. - P. 599–610.</w:t>
      </w:r>
    </w:p>
    <w:p w14:paraId="0DBF4FE7" w14:textId="77777777" w:rsidR="00C72046" w:rsidRDefault="00C72046" w:rsidP="00C72046">
      <w:pPr>
        <w:widowControl w:val="0"/>
        <w:tabs>
          <w:tab w:val="left" w:pos="567"/>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79</w:t>
      </w:r>
      <w:r>
        <w:rPr>
          <w:rFonts w:ascii="Times New Roman" w:hAnsi="Times New Roman" w:cs="Times New Roman"/>
          <w:noProof/>
          <w:sz w:val="28"/>
          <w:szCs w:val="24"/>
          <w:lang w:val="en-US"/>
        </w:rPr>
        <w:tab/>
        <w:t xml:space="preserve"> Curin M. et al. Next-Generation of Allergen-Specific Immunotherapies: Molecular Approaches // Current Allergy and Asthma Reports. - 2018. - Vol. 18, № 7. - P. 39.</w:t>
      </w:r>
    </w:p>
    <w:p w14:paraId="7F69061D" w14:textId="77777777" w:rsidR="00C72046" w:rsidRDefault="00C72046" w:rsidP="00C72046">
      <w:pPr>
        <w:widowControl w:val="0"/>
        <w:tabs>
          <w:tab w:val="left" w:pos="567"/>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 xml:space="preserve">80 </w:t>
      </w:r>
      <w:r>
        <w:rPr>
          <w:rFonts w:ascii="Times New Roman" w:hAnsi="Times New Roman" w:cs="Times New Roman"/>
          <w:noProof/>
          <w:sz w:val="28"/>
          <w:szCs w:val="24"/>
          <w:lang w:val="en-US"/>
        </w:rPr>
        <w:tab/>
        <w:t>Burks A.W. et al. Update on allergy immunotherapy: American Academy of Allergy, Asthma &amp; Immunology/European Academy of Allergy and Clinical Immunology/PRACTALL consensus report // J. Allergy Clin. Immunol. Elsevier Ltd. - 2013. - Vol. 131, № 5. - P. 1288-1296.e3.</w:t>
      </w:r>
    </w:p>
    <w:p w14:paraId="7B1C8563" w14:textId="77777777" w:rsidR="00C72046" w:rsidRDefault="00C72046" w:rsidP="00C72046">
      <w:pPr>
        <w:widowControl w:val="0"/>
        <w:tabs>
          <w:tab w:val="left" w:pos="567"/>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81</w:t>
      </w:r>
      <w:r>
        <w:rPr>
          <w:rFonts w:ascii="Times New Roman" w:hAnsi="Times New Roman" w:cs="Times New Roman"/>
          <w:noProof/>
          <w:sz w:val="28"/>
          <w:szCs w:val="24"/>
          <w:lang w:val="en-US"/>
        </w:rPr>
        <w:tab/>
        <w:t xml:space="preserve"> Zieglmayer - P. et al. Mechanisms, safety and efficacy of a B cell epitope-based vaccine for immunotherapy of grass pollen allergy // EBioMedicine. - 2016. - Vol. 11. - P. 43–57.</w:t>
      </w:r>
    </w:p>
    <w:p w14:paraId="103614BD" w14:textId="77777777" w:rsidR="00C72046" w:rsidRDefault="00C72046" w:rsidP="00C72046">
      <w:pPr>
        <w:widowControl w:val="0"/>
        <w:tabs>
          <w:tab w:val="left" w:pos="567"/>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 xml:space="preserve">82 </w:t>
      </w:r>
      <w:r>
        <w:rPr>
          <w:rFonts w:ascii="Times New Roman" w:hAnsi="Times New Roman" w:cs="Times New Roman"/>
          <w:noProof/>
          <w:sz w:val="28"/>
          <w:szCs w:val="24"/>
        </w:rPr>
        <w:tab/>
        <w:t>Белан Э.Б. Аллерген-специфическая иммунотерапия как метод лечения аллергических заболеваний // Астраханский Медицинский Журнал. - 2018. - Т. 13, № 1. - С. 6–14.</w:t>
      </w:r>
    </w:p>
    <w:p w14:paraId="05C64E30" w14:textId="77777777" w:rsidR="00C72046" w:rsidRDefault="00C72046" w:rsidP="00C72046">
      <w:pPr>
        <w:widowControl w:val="0"/>
        <w:tabs>
          <w:tab w:val="left" w:pos="567"/>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83</w:t>
      </w:r>
      <w:r>
        <w:rPr>
          <w:rFonts w:ascii="Times New Roman" w:hAnsi="Times New Roman" w:cs="Times New Roman"/>
          <w:noProof/>
          <w:sz w:val="28"/>
          <w:szCs w:val="24"/>
          <w:lang w:val="en-US"/>
        </w:rPr>
        <w:tab/>
        <w:t xml:space="preserve"> Akdis M. et al. Interleukins (from IL-1 to IL-38), interferons, transforming growth factor </w:t>
      </w:r>
      <w:r>
        <w:rPr>
          <w:rFonts w:ascii="Times New Roman" w:hAnsi="Times New Roman" w:cs="Times New Roman"/>
          <w:noProof/>
          <w:sz w:val="28"/>
          <w:szCs w:val="24"/>
        </w:rPr>
        <w:t>β</w:t>
      </w:r>
      <w:r>
        <w:rPr>
          <w:rFonts w:ascii="Times New Roman" w:hAnsi="Times New Roman" w:cs="Times New Roman"/>
          <w:noProof/>
          <w:sz w:val="28"/>
          <w:szCs w:val="24"/>
          <w:lang w:val="en-US"/>
        </w:rPr>
        <w:t>, and TNF-</w:t>
      </w:r>
      <w:r>
        <w:rPr>
          <w:rFonts w:ascii="Times New Roman" w:hAnsi="Times New Roman" w:cs="Times New Roman"/>
          <w:noProof/>
          <w:sz w:val="28"/>
          <w:szCs w:val="24"/>
        </w:rPr>
        <w:t>α</w:t>
      </w:r>
      <w:r>
        <w:rPr>
          <w:rFonts w:ascii="Times New Roman" w:hAnsi="Times New Roman" w:cs="Times New Roman"/>
          <w:noProof/>
          <w:sz w:val="28"/>
          <w:szCs w:val="24"/>
          <w:lang w:val="en-US"/>
        </w:rPr>
        <w:t>: Receptors, functions, and roles in diseases // J. Allergy Clin. Immunol. Elsevier Inc. - 2016. - Vol. 138, № 4. - P. 984–1010.</w:t>
      </w:r>
    </w:p>
    <w:p w14:paraId="23B22B68" w14:textId="77777777" w:rsidR="00C72046" w:rsidRDefault="00C72046" w:rsidP="00C72046">
      <w:pPr>
        <w:widowControl w:val="0"/>
        <w:tabs>
          <w:tab w:val="left" w:pos="567"/>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 xml:space="preserve">84 </w:t>
      </w:r>
      <w:r>
        <w:rPr>
          <w:rFonts w:ascii="Times New Roman" w:hAnsi="Times New Roman" w:cs="Times New Roman"/>
          <w:noProof/>
          <w:sz w:val="28"/>
          <w:szCs w:val="24"/>
          <w:lang w:val="en-US"/>
        </w:rPr>
        <w:tab/>
      </w:r>
      <w:r>
        <w:rPr>
          <w:rFonts w:ascii="Times New Roman" w:hAnsi="Times New Roman" w:cs="Times New Roman"/>
          <w:noProof/>
          <w:sz w:val="28"/>
          <w:szCs w:val="24"/>
        </w:rPr>
        <w:t>Солдатов</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А</w:t>
      </w:r>
      <w:r>
        <w:rPr>
          <w:rFonts w:ascii="Times New Roman" w:hAnsi="Times New Roman" w:cs="Times New Roman"/>
          <w:noProof/>
          <w:sz w:val="28"/>
          <w:szCs w:val="24"/>
          <w:lang w:val="en-US"/>
        </w:rPr>
        <w:t>.</w:t>
      </w:r>
      <w:r>
        <w:rPr>
          <w:rFonts w:ascii="Times New Roman" w:hAnsi="Times New Roman" w:cs="Times New Roman"/>
          <w:noProof/>
          <w:sz w:val="28"/>
          <w:szCs w:val="24"/>
        </w:rPr>
        <w:t>А</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Авдеева</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Ж</w:t>
      </w:r>
      <w:r>
        <w:rPr>
          <w:rFonts w:ascii="Times New Roman" w:hAnsi="Times New Roman" w:cs="Times New Roman"/>
          <w:noProof/>
          <w:sz w:val="28"/>
          <w:szCs w:val="24"/>
          <w:lang w:val="en-US"/>
        </w:rPr>
        <w:t>.</w:t>
      </w:r>
      <w:r>
        <w:rPr>
          <w:rFonts w:ascii="Times New Roman" w:hAnsi="Times New Roman" w:cs="Times New Roman"/>
          <w:noProof/>
          <w:sz w:val="28"/>
          <w:szCs w:val="24"/>
        </w:rPr>
        <w:t>И</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Медуницын</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Н</w:t>
      </w:r>
      <w:r>
        <w:rPr>
          <w:rFonts w:ascii="Times New Roman" w:hAnsi="Times New Roman" w:cs="Times New Roman"/>
          <w:noProof/>
          <w:sz w:val="28"/>
          <w:szCs w:val="24"/>
          <w:lang w:val="en-US"/>
        </w:rPr>
        <w:t>.</w:t>
      </w:r>
      <w:r>
        <w:rPr>
          <w:rFonts w:ascii="Times New Roman" w:hAnsi="Times New Roman" w:cs="Times New Roman"/>
          <w:noProof/>
          <w:sz w:val="28"/>
          <w:szCs w:val="24"/>
        </w:rPr>
        <w:t>В</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Механизмы</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аллергической</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реакции</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немедленного</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типа</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препараты</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и</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методы</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специфической</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иммунотерапии</w:t>
      </w:r>
      <w:r>
        <w:rPr>
          <w:rFonts w:ascii="Times New Roman" w:hAnsi="Times New Roman" w:cs="Times New Roman"/>
          <w:noProof/>
          <w:sz w:val="28"/>
          <w:szCs w:val="24"/>
          <w:lang w:val="en-US"/>
        </w:rPr>
        <w:t xml:space="preserve"> // </w:t>
      </w:r>
      <w:r>
        <w:rPr>
          <w:rFonts w:ascii="Times New Roman" w:hAnsi="Times New Roman" w:cs="Times New Roman"/>
          <w:noProof/>
          <w:sz w:val="28"/>
          <w:szCs w:val="24"/>
        </w:rPr>
        <w:t>Иммунология</w:t>
      </w:r>
      <w:r>
        <w:rPr>
          <w:rFonts w:ascii="Times New Roman" w:hAnsi="Times New Roman" w:cs="Times New Roman"/>
          <w:noProof/>
          <w:sz w:val="28"/>
          <w:szCs w:val="24"/>
          <w:lang w:val="en-US"/>
        </w:rPr>
        <w:t xml:space="preserve">. - 2016. - </w:t>
      </w:r>
      <w:r>
        <w:rPr>
          <w:rFonts w:ascii="Times New Roman" w:hAnsi="Times New Roman" w:cs="Times New Roman"/>
          <w:noProof/>
          <w:sz w:val="28"/>
          <w:szCs w:val="24"/>
        </w:rPr>
        <w:t>Т</w:t>
      </w:r>
      <w:r>
        <w:rPr>
          <w:rFonts w:ascii="Times New Roman" w:hAnsi="Times New Roman" w:cs="Times New Roman"/>
          <w:noProof/>
          <w:sz w:val="28"/>
          <w:szCs w:val="24"/>
          <w:lang w:val="en-US"/>
        </w:rPr>
        <w:t xml:space="preserve">. 37, № 1. - </w:t>
      </w:r>
      <w:r>
        <w:rPr>
          <w:rFonts w:ascii="Times New Roman" w:hAnsi="Times New Roman" w:cs="Times New Roman"/>
          <w:noProof/>
          <w:sz w:val="28"/>
          <w:szCs w:val="24"/>
        </w:rPr>
        <w:t>С</w:t>
      </w:r>
      <w:r>
        <w:rPr>
          <w:rFonts w:ascii="Times New Roman" w:hAnsi="Times New Roman" w:cs="Times New Roman"/>
          <w:noProof/>
          <w:sz w:val="28"/>
          <w:szCs w:val="24"/>
          <w:lang w:val="en-US"/>
        </w:rPr>
        <w:t>. 51–60.</w:t>
      </w:r>
    </w:p>
    <w:p w14:paraId="0537EF74" w14:textId="77777777" w:rsidR="00C72046" w:rsidRPr="000768C4" w:rsidRDefault="00C72046" w:rsidP="00C72046">
      <w:pPr>
        <w:widowControl w:val="0"/>
        <w:tabs>
          <w:tab w:val="left" w:pos="567"/>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lang w:val="en-US"/>
        </w:rPr>
        <w:t>85</w:t>
      </w:r>
      <w:r>
        <w:rPr>
          <w:rFonts w:ascii="Times New Roman" w:hAnsi="Times New Roman" w:cs="Times New Roman"/>
          <w:noProof/>
          <w:sz w:val="28"/>
          <w:szCs w:val="24"/>
          <w:lang w:val="en-US"/>
        </w:rPr>
        <w:tab/>
        <w:t xml:space="preserve"> Fujita H. et al. Mechanisms of allergen-specific immunotherapy // Clin. Transl. Allergy. BioMed</w:t>
      </w:r>
      <w:r w:rsidRPr="000768C4">
        <w:rPr>
          <w:rFonts w:ascii="Times New Roman" w:hAnsi="Times New Roman" w:cs="Times New Roman"/>
          <w:noProof/>
          <w:sz w:val="28"/>
          <w:szCs w:val="24"/>
        </w:rPr>
        <w:t xml:space="preserve"> </w:t>
      </w:r>
      <w:r>
        <w:rPr>
          <w:rFonts w:ascii="Times New Roman" w:hAnsi="Times New Roman" w:cs="Times New Roman"/>
          <w:noProof/>
          <w:sz w:val="28"/>
          <w:szCs w:val="24"/>
          <w:lang w:val="en-US"/>
        </w:rPr>
        <w:t>Central</w:t>
      </w:r>
      <w:r w:rsidRPr="000768C4">
        <w:rPr>
          <w:rFonts w:ascii="Times New Roman" w:hAnsi="Times New Roman" w:cs="Times New Roman"/>
          <w:noProof/>
          <w:sz w:val="28"/>
          <w:szCs w:val="24"/>
        </w:rPr>
        <w:t xml:space="preserve"> </w:t>
      </w:r>
      <w:r>
        <w:rPr>
          <w:rFonts w:ascii="Times New Roman" w:hAnsi="Times New Roman" w:cs="Times New Roman"/>
          <w:noProof/>
          <w:sz w:val="28"/>
          <w:szCs w:val="24"/>
          <w:lang w:val="en-US"/>
        </w:rPr>
        <w:t>Ltd</w:t>
      </w:r>
      <w:r w:rsidRPr="000768C4">
        <w:rPr>
          <w:rFonts w:ascii="Times New Roman" w:hAnsi="Times New Roman" w:cs="Times New Roman"/>
          <w:noProof/>
          <w:sz w:val="28"/>
          <w:szCs w:val="24"/>
        </w:rPr>
        <w:t xml:space="preserve">. - 2012. - </w:t>
      </w:r>
      <w:r>
        <w:rPr>
          <w:rFonts w:ascii="Times New Roman" w:hAnsi="Times New Roman" w:cs="Times New Roman"/>
          <w:noProof/>
          <w:sz w:val="28"/>
          <w:szCs w:val="24"/>
          <w:lang w:val="en-US"/>
        </w:rPr>
        <w:t>Vol</w:t>
      </w:r>
      <w:r w:rsidRPr="000768C4">
        <w:rPr>
          <w:rFonts w:ascii="Times New Roman" w:hAnsi="Times New Roman" w:cs="Times New Roman"/>
          <w:noProof/>
          <w:sz w:val="28"/>
          <w:szCs w:val="24"/>
        </w:rPr>
        <w:t xml:space="preserve">. 2, № 1. - </w:t>
      </w:r>
      <w:r>
        <w:rPr>
          <w:rFonts w:ascii="Times New Roman" w:hAnsi="Times New Roman" w:cs="Times New Roman"/>
          <w:noProof/>
          <w:sz w:val="28"/>
          <w:szCs w:val="24"/>
          <w:lang w:val="en-US"/>
        </w:rPr>
        <w:t>P</w:t>
      </w:r>
      <w:r w:rsidRPr="000768C4">
        <w:rPr>
          <w:rFonts w:ascii="Times New Roman" w:hAnsi="Times New Roman" w:cs="Times New Roman"/>
          <w:noProof/>
          <w:sz w:val="28"/>
          <w:szCs w:val="24"/>
        </w:rPr>
        <w:t>. 2.</w:t>
      </w:r>
    </w:p>
    <w:p w14:paraId="4DE9F13C" w14:textId="77777777" w:rsidR="00C72046" w:rsidRPr="000768C4" w:rsidRDefault="00C72046" w:rsidP="00C72046">
      <w:pPr>
        <w:widowControl w:val="0"/>
        <w:tabs>
          <w:tab w:val="left" w:pos="567"/>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sidRPr="000768C4">
        <w:rPr>
          <w:rFonts w:ascii="Times New Roman" w:hAnsi="Times New Roman" w:cs="Times New Roman"/>
          <w:noProof/>
          <w:sz w:val="28"/>
          <w:szCs w:val="24"/>
        </w:rPr>
        <w:t xml:space="preserve">86 </w:t>
      </w:r>
      <w:r w:rsidRPr="000768C4">
        <w:rPr>
          <w:rFonts w:ascii="Times New Roman" w:hAnsi="Times New Roman" w:cs="Times New Roman"/>
          <w:noProof/>
          <w:sz w:val="28"/>
          <w:szCs w:val="24"/>
        </w:rPr>
        <w:tab/>
      </w:r>
      <w:r>
        <w:rPr>
          <w:rFonts w:ascii="Times New Roman" w:hAnsi="Times New Roman" w:cs="Times New Roman"/>
          <w:noProof/>
          <w:sz w:val="28"/>
          <w:szCs w:val="24"/>
        </w:rPr>
        <w:t>Аллахвердиева</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Л</w:t>
      </w:r>
      <w:r w:rsidRPr="000768C4">
        <w:rPr>
          <w:rFonts w:ascii="Times New Roman" w:hAnsi="Times New Roman" w:cs="Times New Roman"/>
          <w:noProof/>
          <w:sz w:val="28"/>
          <w:szCs w:val="24"/>
        </w:rPr>
        <w:t>.</w:t>
      </w:r>
      <w:r>
        <w:rPr>
          <w:rFonts w:ascii="Times New Roman" w:hAnsi="Times New Roman" w:cs="Times New Roman"/>
          <w:noProof/>
          <w:sz w:val="28"/>
          <w:szCs w:val="24"/>
        </w:rPr>
        <w:t>И</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Алекперова</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Н</w:t>
      </w:r>
      <w:r w:rsidRPr="000768C4">
        <w:rPr>
          <w:rFonts w:ascii="Times New Roman" w:hAnsi="Times New Roman" w:cs="Times New Roman"/>
          <w:noProof/>
          <w:sz w:val="28"/>
          <w:szCs w:val="24"/>
        </w:rPr>
        <w:t>.</w:t>
      </w:r>
      <w:r>
        <w:rPr>
          <w:rFonts w:ascii="Times New Roman" w:hAnsi="Times New Roman" w:cs="Times New Roman"/>
          <w:noProof/>
          <w:sz w:val="28"/>
          <w:szCs w:val="24"/>
        </w:rPr>
        <w:t>А</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Клиническая</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эффективность</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и</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лабораторный</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мониторинг</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сублингвальной</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аллерген</w:t>
      </w:r>
      <w:r w:rsidRPr="000768C4">
        <w:rPr>
          <w:rFonts w:ascii="Times New Roman" w:hAnsi="Times New Roman" w:cs="Times New Roman"/>
          <w:noProof/>
          <w:sz w:val="28"/>
          <w:szCs w:val="24"/>
        </w:rPr>
        <w:t>-</w:t>
      </w:r>
      <w:r>
        <w:rPr>
          <w:rFonts w:ascii="Times New Roman" w:hAnsi="Times New Roman" w:cs="Times New Roman"/>
          <w:noProof/>
          <w:sz w:val="28"/>
          <w:szCs w:val="24"/>
        </w:rPr>
        <w:t>специфической</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иммунотерапии</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при</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респираторной</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аллергии</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у</w:t>
      </w:r>
      <w:r w:rsidRPr="000768C4">
        <w:rPr>
          <w:rFonts w:ascii="Times New Roman" w:hAnsi="Times New Roman" w:cs="Times New Roman"/>
          <w:noProof/>
          <w:sz w:val="28"/>
          <w:szCs w:val="24"/>
        </w:rPr>
        <w:t xml:space="preserve"> </w:t>
      </w:r>
      <w:r>
        <w:rPr>
          <w:rFonts w:ascii="Times New Roman" w:hAnsi="Times New Roman" w:cs="Times New Roman"/>
          <w:noProof/>
          <w:sz w:val="28"/>
          <w:szCs w:val="24"/>
        </w:rPr>
        <w:t>детей</w:t>
      </w:r>
      <w:r w:rsidRPr="000768C4">
        <w:rPr>
          <w:rFonts w:ascii="Times New Roman" w:hAnsi="Times New Roman" w:cs="Times New Roman"/>
          <w:noProof/>
          <w:sz w:val="28"/>
          <w:szCs w:val="24"/>
        </w:rPr>
        <w:t xml:space="preserve"> // </w:t>
      </w:r>
      <w:r>
        <w:rPr>
          <w:rFonts w:ascii="Times New Roman" w:hAnsi="Times New Roman" w:cs="Times New Roman"/>
          <w:noProof/>
          <w:sz w:val="28"/>
          <w:szCs w:val="24"/>
        </w:rPr>
        <w:t>Иммунология</w:t>
      </w:r>
      <w:r w:rsidRPr="000768C4">
        <w:rPr>
          <w:rFonts w:ascii="Times New Roman" w:hAnsi="Times New Roman" w:cs="Times New Roman"/>
          <w:noProof/>
          <w:sz w:val="28"/>
          <w:szCs w:val="24"/>
        </w:rPr>
        <w:t>. - 2017. -</w:t>
      </w:r>
      <w:r>
        <w:rPr>
          <w:rFonts w:ascii="Times New Roman" w:hAnsi="Times New Roman" w:cs="Times New Roman"/>
          <w:noProof/>
          <w:sz w:val="28"/>
          <w:szCs w:val="24"/>
        </w:rPr>
        <w:t>Т</w:t>
      </w:r>
      <w:r w:rsidRPr="000768C4">
        <w:rPr>
          <w:rFonts w:ascii="Times New Roman" w:hAnsi="Times New Roman" w:cs="Times New Roman"/>
          <w:noProof/>
          <w:sz w:val="28"/>
          <w:szCs w:val="24"/>
        </w:rPr>
        <w:t xml:space="preserve">. 38, № 4. - </w:t>
      </w:r>
      <w:r>
        <w:rPr>
          <w:rFonts w:ascii="Times New Roman" w:hAnsi="Times New Roman" w:cs="Times New Roman"/>
          <w:noProof/>
          <w:sz w:val="28"/>
          <w:szCs w:val="24"/>
        </w:rPr>
        <w:t>С</w:t>
      </w:r>
      <w:r w:rsidRPr="000768C4">
        <w:rPr>
          <w:rFonts w:ascii="Times New Roman" w:hAnsi="Times New Roman" w:cs="Times New Roman"/>
          <w:noProof/>
          <w:sz w:val="28"/>
          <w:szCs w:val="24"/>
        </w:rPr>
        <w:t>. - 206–- 209.</w:t>
      </w:r>
    </w:p>
    <w:p w14:paraId="22D85833" w14:textId="77777777" w:rsidR="00C72046" w:rsidRDefault="00C72046" w:rsidP="00C72046">
      <w:pPr>
        <w:widowControl w:val="0"/>
        <w:tabs>
          <w:tab w:val="left" w:pos="567"/>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 xml:space="preserve">87 </w:t>
      </w:r>
      <w:r>
        <w:rPr>
          <w:rFonts w:ascii="Times New Roman" w:hAnsi="Times New Roman" w:cs="Times New Roman"/>
          <w:noProof/>
          <w:sz w:val="28"/>
          <w:szCs w:val="24"/>
          <w:lang w:val="en-US"/>
        </w:rPr>
        <w:tab/>
        <w:t>Szymczak I., Pawliczak R. The Active Metabolite of Vitamin D3 as a Potential Immunomodulator // Scand. J. Immunol. - 2016. - Vol. 83, № 2. - P. 83–91.</w:t>
      </w:r>
    </w:p>
    <w:p w14:paraId="60BC685A" w14:textId="77777777" w:rsidR="00C72046" w:rsidRDefault="00C72046" w:rsidP="00C72046">
      <w:pPr>
        <w:widowControl w:val="0"/>
        <w:tabs>
          <w:tab w:val="left" w:pos="567"/>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88</w:t>
      </w:r>
      <w:r>
        <w:rPr>
          <w:rFonts w:ascii="Times New Roman" w:hAnsi="Times New Roman" w:cs="Times New Roman"/>
          <w:noProof/>
          <w:sz w:val="28"/>
          <w:szCs w:val="24"/>
          <w:lang w:val="en-US"/>
        </w:rPr>
        <w:tab/>
        <w:t xml:space="preserve"> Heine G. et al. 25-Hydroxvitamin D 3 Promotes the Long-Term Effect of Specific Immunotherapy in a Murine Allergy Model // J. Immunol. - 2014. - Vol. 193, № 3. - P. 1017–1023.</w:t>
      </w:r>
    </w:p>
    <w:p w14:paraId="36FC3E01" w14:textId="77777777" w:rsidR="00C72046" w:rsidRDefault="00C72046" w:rsidP="00C72046">
      <w:pPr>
        <w:widowControl w:val="0"/>
        <w:tabs>
          <w:tab w:val="left" w:pos="567"/>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89</w:t>
      </w:r>
      <w:r>
        <w:rPr>
          <w:rFonts w:ascii="Times New Roman" w:hAnsi="Times New Roman" w:cs="Times New Roman"/>
          <w:noProof/>
          <w:sz w:val="28"/>
          <w:szCs w:val="24"/>
          <w:lang w:val="en-US"/>
        </w:rPr>
        <w:tab/>
        <w:t xml:space="preserve"> Barragan M., Good M., Kolls J.K. Regulation of dendritic cell function by vitamin D // Nutrients. - 2015. - Vol. 7, № 9. - P. 8127–8151.</w:t>
      </w:r>
    </w:p>
    <w:p w14:paraId="05E38921" w14:textId="77777777" w:rsidR="00C72046" w:rsidRDefault="00C72046" w:rsidP="00C72046">
      <w:pPr>
        <w:widowControl w:val="0"/>
        <w:tabs>
          <w:tab w:val="left" w:pos="567"/>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 xml:space="preserve">90 </w:t>
      </w:r>
      <w:r>
        <w:rPr>
          <w:rFonts w:ascii="Times New Roman" w:hAnsi="Times New Roman" w:cs="Times New Roman"/>
          <w:noProof/>
          <w:sz w:val="28"/>
          <w:szCs w:val="24"/>
          <w:lang w:val="en-US"/>
        </w:rPr>
        <w:tab/>
        <w:t>Sikorska-Szaflik H., Sozańska B. The role of vitamin D in respiratory allergies prevention. Why the effect is so difficult to disentangle? // Nutrients. - 2020. - Vol. 12, № 6. - P. 1–9.</w:t>
      </w:r>
    </w:p>
    <w:p w14:paraId="05106586" w14:textId="77777777" w:rsidR="00C72046" w:rsidRDefault="00C72046" w:rsidP="00C72046">
      <w:pPr>
        <w:widowControl w:val="0"/>
        <w:tabs>
          <w:tab w:val="left" w:pos="567"/>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 xml:space="preserve">91 </w:t>
      </w:r>
      <w:r>
        <w:rPr>
          <w:rFonts w:ascii="Times New Roman" w:hAnsi="Times New Roman" w:cs="Times New Roman"/>
          <w:noProof/>
          <w:sz w:val="28"/>
          <w:szCs w:val="24"/>
          <w:lang w:val="en-US"/>
        </w:rPr>
        <w:tab/>
        <w:t>Osborne N.J. et al. Prevalence of eczema and food allergy is associated with latitude in Australia // J. Allergy Clin. Immunol. - 2012. - Vol. 129, № 3. - P. 865–867.</w:t>
      </w:r>
    </w:p>
    <w:p w14:paraId="61137170" w14:textId="77777777" w:rsidR="00C72046" w:rsidRDefault="00C72046" w:rsidP="00C72046">
      <w:pPr>
        <w:widowControl w:val="0"/>
        <w:tabs>
          <w:tab w:val="left" w:pos="284"/>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92</w:t>
      </w:r>
      <w:r>
        <w:rPr>
          <w:rFonts w:ascii="Times New Roman" w:hAnsi="Times New Roman" w:cs="Times New Roman"/>
          <w:noProof/>
          <w:sz w:val="28"/>
          <w:szCs w:val="24"/>
          <w:lang w:val="en-US"/>
        </w:rPr>
        <w:tab/>
        <w:t xml:space="preserve"> Kim Y.H. et al. Vitamin D levels in allergic rhinitis: a systematic review and meta-analysis // Pediatr. Allergy Immunol. - 2016. - Vol. 27, № 6. - P. 580–590.</w:t>
      </w:r>
    </w:p>
    <w:p w14:paraId="41F3B286" w14:textId="77777777" w:rsidR="00C72046"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93</w:t>
      </w:r>
      <w:r>
        <w:rPr>
          <w:rFonts w:ascii="Times New Roman" w:hAnsi="Times New Roman" w:cs="Times New Roman"/>
          <w:noProof/>
          <w:sz w:val="28"/>
          <w:szCs w:val="24"/>
          <w:lang w:val="en-US"/>
        </w:rPr>
        <w:tab/>
        <w:t xml:space="preserve"> Nair - P., Ochkur S.I., Protheroe C. Eosinophil Peroxidase in Sputum Represents a Unique Biomarker of Airway Eosinophilia // Allergy. - 2013. - Vol. 68, № 9. - P. 1177–1184.</w:t>
      </w:r>
    </w:p>
    <w:p w14:paraId="3D149A8B" w14:textId="77777777" w:rsidR="00C72046"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lang w:val="en-US"/>
        </w:rPr>
        <w:t xml:space="preserve">94 </w:t>
      </w:r>
      <w:r>
        <w:rPr>
          <w:rFonts w:ascii="Times New Roman" w:hAnsi="Times New Roman" w:cs="Times New Roman"/>
          <w:noProof/>
          <w:sz w:val="28"/>
          <w:szCs w:val="24"/>
          <w:lang w:val="en-US"/>
        </w:rPr>
        <w:tab/>
        <w:t>Moingeon - P. et al. Enhancing Allergen-Presentation Platforms for Sublingual Immunotherapy // J. Allergy Clin. Immunol</w:t>
      </w:r>
      <w:r>
        <w:rPr>
          <w:rFonts w:ascii="Times New Roman" w:hAnsi="Times New Roman" w:cs="Times New Roman"/>
          <w:noProof/>
          <w:sz w:val="28"/>
          <w:szCs w:val="24"/>
        </w:rPr>
        <w:t xml:space="preserve">. </w:t>
      </w:r>
      <w:r>
        <w:rPr>
          <w:rFonts w:ascii="Times New Roman" w:hAnsi="Times New Roman" w:cs="Times New Roman"/>
          <w:noProof/>
          <w:sz w:val="28"/>
          <w:szCs w:val="24"/>
          <w:lang w:val="en-US"/>
        </w:rPr>
        <w:t>Pract</w:t>
      </w:r>
      <w:r>
        <w:rPr>
          <w:rFonts w:ascii="Times New Roman" w:hAnsi="Times New Roman" w:cs="Times New Roman"/>
          <w:noProof/>
          <w:sz w:val="28"/>
          <w:szCs w:val="24"/>
        </w:rPr>
        <w:t>. Elsevier Inc. - 2017. - Vol. 5, № 1. - P. 23–31.</w:t>
      </w:r>
    </w:p>
    <w:p w14:paraId="5A79947F" w14:textId="77777777" w:rsidR="00C72046"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95</w:t>
      </w:r>
      <w:r>
        <w:rPr>
          <w:rFonts w:ascii="Times New Roman" w:hAnsi="Times New Roman" w:cs="Times New Roman"/>
          <w:noProof/>
          <w:sz w:val="28"/>
          <w:szCs w:val="24"/>
        </w:rPr>
        <w:tab/>
        <w:t xml:space="preserve"> Майлян Э.А., Резниченко Н.А., Майлян Д.Э. Экстраскелетные эффекты витамина D: роль в патогенезе алергических заболеваний // Научные ведомости Белгородского Государственного Университета. - 2017. - Т. 37, № 5 (254). - С. 22–32.</w:t>
      </w:r>
    </w:p>
    <w:p w14:paraId="0542A95A" w14:textId="77777777" w:rsidR="00C72046"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96</w:t>
      </w:r>
      <w:r>
        <w:rPr>
          <w:rFonts w:ascii="Times New Roman" w:hAnsi="Times New Roman" w:cs="Times New Roman"/>
          <w:noProof/>
          <w:sz w:val="28"/>
          <w:szCs w:val="24"/>
          <w:lang w:val="en-US"/>
        </w:rPr>
        <w:tab/>
        <w:t xml:space="preserve"> Di Bona D. et al. Efficacy of subcutaneous and sublingual immunotherapy with grass allergens for seasonal allergic rhinitis: A meta-analysis-based comparison // J. Allergy Clin. Immunol. Elsevier Ltd. - 2012. - Vol. 130, № 5. - P. 1097-1107.e2.</w:t>
      </w:r>
    </w:p>
    <w:p w14:paraId="696793AC" w14:textId="77777777" w:rsidR="00C72046"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 xml:space="preserve">97 </w:t>
      </w:r>
      <w:r>
        <w:rPr>
          <w:rFonts w:ascii="Times New Roman" w:hAnsi="Times New Roman" w:cs="Times New Roman"/>
          <w:noProof/>
          <w:sz w:val="28"/>
          <w:szCs w:val="24"/>
          <w:lang w:val="en-US"/>
        </w:rPr>
        <w:tab/>
        <w:t>Bozek A. et al. Long-term effects of allergen sublingual immunotherapy // Adv. Dermatology Allergol. - 2020. - Vol. 37, № 6. - P. 943–947.</w:t>
      </w:r>
    </w:p>
    <w:p w14:paraId="45990D3E" w14:textId="77777777" w:rsidR="00C72046"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lang w:val="en-US"/>
        </w:rPr>
        <w:t>98</w:t>
      </w:r>
      <w:r>
        <w:rPr>
          <w:rFonts w:ascii="Times New Roman" w:hAnsi="Times New Roman" w:cs="Times New Roman"/>
          <w:noProof/>
          <w:sz w:val="28"/>
          <w:szCs w:val="24"/>
          <w:lang w:val="en-US"/>
        </w:rPr>
        <w:tab/>
        <w:t xml:space="preserve"> Gellrich D. et al. De novo sensitization during subcutaneous allergen specific immunotherapy - an analysis of 51 cases of SCIT and 33 symptomatically treated controls // Sci. </w:t>
      </w:r>
      <w:r>
        <w:rPr>
          <w:rFonts w:ascii="Times New Roman" w:hAnsi="Times New Roman" w:cs="Times New Roman"/>
          <w:noProof/>
          <w:sz w:val="28"/>
          <w:szCs w:val="24"/>
        </w:rPr>
        <w:t>Re- P. - 2020. - Vol. 10, № 1. - P. 1–11.</w:t>
      </w:r>
    </w:p>
    <w:p w14:paraId="1B9DE29C" w14:textId="77777777" w:rsidR="00C72046" w:rsidRDefault="00C72046" w:rsidP="00C72046">
      <w:pPr>
        <w:widowControl w:val="0"/>
        <w:tabs>
          <w:tab w:val="left" w:pos="993"/>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99</w:t>
      </w:r>
      <w:r>
        <w:rPr>
          <w:rFonts w:ascii="Times New Roman" w:hAnsi="Times New Roman" w:cs="Times New Roman"/>
          <w:noProof/>
          <w:sz w:val="28"/>
          <w:szCs w:val="24"/>
        </w:rPr>
        <w:tab/>
        <w:t xml:space="preserve"> Коровкина Е.С., Воронцова И.М. Возможности оценки эффективности аллерген-специфической иммунотерапии // Иммунопатология, аллергология, инфектология. - 2015. - Т. 4. - С. 10–15.</w:t>
      </w:r>
    </w:p>
    <w:p w14:paraId="130B4168" w14:textId="77777777" w:rsidR="00C72046" w:rsidRDefault="00C72046" w:rsidP="00C72046">
      <w:pPr>
        <w:widowControl w:val="0"/>
        <w:tabs>
          <w:tab w:val="left" w:pos="142"/>
          <w:tab w:val="left" w:pos="284"/>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100</w:t>
      </w:r>
      <w:r>
        <w:rPr>
          <w:rFonts w:ascii="Times New Roman" w:hAnsi="Times New Roman" w:cs="Times New Roman"/>
          <w:noProof/>
          <w:sz w:val="28"/>
          <w:szCs w:val="24"/>
          <w:lang w:val="en-US"/>
        </w:rPr>
        <w:tab/>
        <w:t>Poletti D. et al. Nasal inflammation and its response to local glucocorticoid regular treatment in patients with persistent non-allergic rhinitis: A pilot study // J. Inflamm. (United Kingdom). Journal of Inflammation. - 2016. - Vol. 13, № 1. - P. 1–9.</w:t>
      </w:r>
    </w:p>
    <w:p w14:paraId="31D8F83E"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101</w:t>
      </w:r>
      <w:r>
        <w:rPr>
          <w:rFonts w:ascii="Times New Roman" w:hAnsi="Times New Roman" w:cs="Times New Roman"/>
          <w:noProof/>
          <w:sz w:val="28"/>
          <w:szCs w:val="24"/>
          <w:lang w:val="en-US"/>
        </w:rPr>
        <w:tab/>
        <w:t>Bozek A., Cudak A., Walter Canonica G. Long-term efficacy of injected allergen immunotherapy for treatment of grass pollen allergy in elderly patients with allergic rhinitis // Allergy Asthma Proc. - 2020. - Vol. 41, № 4. - P. 271–277.</w:t>
      </w:r>
    </w:p>
    <w:p w14:paraId="6BB8249C"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102</w:t>
      </w:r>
      <w:r>
        <w:rPr>
          <w:rFonts w:ascii="Times New Roman" w:hAnsi="Times New Roman" w:cs="Times New Roman"/>
          <w:noProof/>
          <w:sz w:val="28"/>
          <w:szCs w:val="24"/>
          <w:lang w:val="en-US"/>
        </w:rPr>
        <w:tab/>
        <w:t>Saltabayeva U. et al. Comparative Effectiveness and Safety of Different Allergen-Specific Immunotherapy Types in Pollinosis // Res. J. Pharm. Biol. Chem. Sci. - 2016. - Vol. 7, № 4. - P. 2691–2697.</w:t>
      </w:r>
    </w:p>
    <w:p w14:paraId="12615675"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103</w:t>
      </w:r>
      <w:r>
        <w:rPr>
          <w:rFonts w:ascii="Times New Roman" w:hAnsi="Times New Roman" w:cs="Times New Roman"/>
          <w:noProof/>
          <w:sz w:val="28"/>
          <w:szCs w:val="24"/>
          <w:lang w:val="en-US"/>
        </w:rPr>
        <w:tab/>
        <w:t>Bozek A. et al. Prolonged effect of allergen sublingual immunotherapy to grass pollen // Hum. Vaccines Immunother. Taylor &amp; Francis. - 2018. - Vol. 14, № 12. - P. 2842–2847.</w:t>
      </w:r>
    </w:p>
    <w:p w14:paraId="3B3E7BA1"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104</w:t>
      </w:r>
      <w:r>
        <w:rPr>
          <w:rFonts w:ascii="Times New Roman" w:hAnsi="Times New Roman" w:cs="Times New Roman"/>
          <w:noProof/>
          <w:sz w:val="28"/>
          <w:szCs w:val="24"/>
          <w:lang w:val="en-US"/>
        </w:rPr>
        <w:tab/>
        <w:t>Bozek A., Krupa-Borek I., Jarzab J. Twenty years’ observation of subcutaneous pollen allergoid immunotherapy efficacy in adults // Poste- P. Dermatologii i Alergol. - 2017. - Vol. 34, № 6. - P. 561–565.</w:t>
      </w:r>
    </w:p>
    <w:p w14:paraId="6719A102"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105</w:t>
      </w:r>
      <w:r>
        <w:rPr>
          <w:rFonts w:ascii="Times New Roman" w:hAnsi="Times New Roman" w:cs="Times New Roman"/>
          <w:noProof/>
          <w:sz w:val="28"/>
          <w:szCs w:val="24"/>
          <w:lang w:val="en-US"/>
        </w:rPr>
        <w:tab/>
        <w:t>Alvaro‐Lozano M. et al. Allergen Immunotherapy in Children User’s Guide // Pediatr. Allergy Immunol. - 2020. - Vol. 31, № S25. - P. 1–101.</w:t>
      </w:r>
    </w:p>
    <w:p w14:paraId="5D42BB8B"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106</w:t>
      </w:r>
      <w:r>
        <w:rPr>
          <w:rFonts w:ascii="Times New Roman" w:hAnsi="Times New Roman" w:cs="Times New Roman"/>
          <w:noProof/>
          <w:sz w:val="28"/>
          <w:szCs w:val="24"/>
          <w:lang w:val="en-US"/>
        </w:rPr>
        <w:tab/>
        <w:t>Min H.J. et al. The correlation of serum eosinophil cationic protein level with eosinophil count, and total IgE level in Korean adult allergic rhinitis patients // Asian Pacific J. Allergy Immunol. - 2016. - Vol. 34, № 4. - P. 290–294.</w:t>
      </w:r>
    </w:p>
    <w:p w14:paraId="642199F6"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107</w:t>
      </w:r>
      <w:r>
        <w:rPr>
          <w:rFonts w:ascii="Times New Roman" w:hAnsi="Times New Roman" w:cs="Times New Roman"/>
          <w:noProof/>
          <w:sz w:val="28"/>
          <w:szCs w:val="24"/>
          <w:lang w:val="en-US"/>
        </w:rPr>
        <w:tab/>
        <w:t>Lee J. et al. A Retrospective Study of Clinical Response Predictors in Subcutaneous Allergen Immunotherapy With House Dust Mites for Allergic Rhinitis // Allergy Asthma Immunol Res. - 2018. - Vol. 10, № 1. - P. 18–24.</w:t>
      </w:r>
    </w:p>
    <w:p w14:paraId="781C63BB"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lang w:val="en-US"/>
        </w:rPr>
        <w:t>108</w:t>
      </w:r>
      <w:r>
        <w:rPr>
          <w:rFonts w:ascii="Times New Roman" w:hAnsi="Times New Roman" w:cs="Times New Roman"/>
          <w:noProof/>
          <w:sz w:val="28"/>
          <w:szCs w:val="24"/>
          <w:lang w:val="en-US"/>
        </w:rPr>
        <w:tab/>
      </w:r>
      <w:r>
        <w:rPr>
          <w:rFonts w:ascii="Times New Roman" w:hAnsi="Times New Roman" w:cs="Times New Roman"/>
          <w:noProof/>
          <w:sz w:val="28"/>
          <w:szCs w:val="24"/>
        </w:rPr>
        <w:t>Салтабаева</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У</w:t>
      </w:r>
      <w:r>
        <w:rPr>
          <w:rFonts w:ascii="Times New Roman" w:hAnsi="Times New Roman" w:cs="Times New Roman"/>
          <w:noProof/>
          <w:sz w:val="28"/>
          <w:szCs w:val="24"/>
          <w:lang w:val="en-US"/>
        </w:rPr>
        <w:t>.</w:t>
      </w:r>
      <w:r>
        <w:rPr>
          <w:rFonts w:ascii="Times New Roman" w:hAnsi="Times New Roman" w:cs="Times New Roman"/>
          <w:noProof/>
          <w:sz w:val="28"/>
          <w:szCs w:val="24"/>
        </w:rPr>
        <w:t>Ш</w:t>
      </w:r>
      <w:r>
        <w:rPr>
          <w:rFonts w:ascii="Times New Roman" w:hAnsi="Times New Roman" w:cs="Times New Roman"/>
          <w:noProof/>
          <w:sz w:val="28"/>
          <w:szCs w:val="24"/>
          <w:lang w:val="en-US"/>
        </w:rPr>
        <w:t xml:space="preserve">. et al. </w:t>
      </w:r>
      <w:r>
        <w:rPr>
          <w:rFonts w:ascii="Times New Roman" w:hAnsi="Times New Roman" w:cs="Times New Roman"/>
          <w:noProof/>
          <w:sz w:val="28"/>
          <w:szCs w:val="24"/>
        </w:rPr>
        <w:t>Иммунологическая эффективность видов аллерген специфической иммунотерапии при поллинозе // Валеология денсаулық - ауру - сауықтыру. - 2019. - № 2. - С. 42–45.</w:t>
      </w:r>
    </w:p>
    <w:p w14:paraId="742AF651"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109</w:t>
      </w:r>
      <w:r>
        <w:rPr>
          <w:rFonts w:ascii="Times New Roman" w:hAnsi="Times New Roman" w:cs="Times New Roman"/>
          <w:noProof/>
          <w:sz w:val="28"/>
          <w:szCs w:val="24"/>
          <w:lang w:val="en-US"/>
        </w:rPr>
        <w:tab/>
        <w:t>Karli R. et al. Correlation of symptoms with total IgE and specific IgE levels in patients presenting with allergic rhinitis // Ther. Adv. Respir. Dis. - 2013. - Vol. 7, № 2. - P. 75–79.</w:t>
      </w:r>
    </w:p>
    <w:p w14:paraId="2F386528"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lang w:val="en-US"/>
        </w:rPr>
        <w:t>110</w:t>
      </w:r>
      <w:r>
        <w:rPr>
          <w:rFonts w:ascii="Times New Roman" w:hAnsi="Times New Roman" w:cs="Times New Roman"/>
          <w:noProof/>
          <w:sz w:val="28"/>
          <w:szCs w:val="24"/>
          <w:lang w:val="en-US"/>
        </w:rPr>
        <w:tab/>
        <w:t xml:space="preserve">Carlsson M. et al. Variability of total and free IgE levels and IgE receptor expression in allergic subjects in and out of Pollen Season // Scand. </w:t>
      </w:r>
      <w:r>
        <w:rPr>
          <w:rFonts w:ascii="Times New Roman" w:hAnsi="Times New Roman" w:cs="Times New Roman"/>
          <w:noProof/>
          <w:sz w:val="28"/>
          <w:szCs w:val="24"/>
        </w:rPr>
        <w:t>J. Immunol. - 2015. - Vol. 81, № 4. - P. 240–248.</w:t>
      </w:r>
    </w:p>
    <w:p w14:paraId="218D8062"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111</w:t>
      </w:r>
      <w:r>
        <w:rPr>
          <w:rFonts w:ascii="Times New Roman" w:hAnsi="Times New Roman" w:cs="Times New Roman"/>
          <w:noProof/>
          <w:sz w:val="28"/>
          <w:szCs w:val="24"/>
        </w:rPr>
        <w:tab/>
        <w:t xml:space="preserve">Сновская М.А. Иммунные маркеры эффективности аллерген- специфической иммунотерапии у детей с перекрестной аллергией: </w:t>
      </w:r>
      <w:r>
        <w:rPr>
          <w:rFonts w:ascii="TimesNewRomanPSMT" w:hAnsi="TimesNewRomanPSMT"/>
          <w:color w:val="000000"/>
          <w:sz w:val="28"/>
          <w:szCs w:val="28"/>
        </w:rPr>
        <w:t>дис. ... канд. мед. наук:</w:t>
      </w:r>
      <w:r>
        <w:rPr>
          <w:rFonts w:ascii="Times New Roman" w:hAnsi="Times New Roman" w:cs="Times New Roman"/>
          <w:noProof/>
          <w:sz w:val="28"/>
          <w:szCs w:val="24"/>
        </w:rPr>
        <w:t xml:space="preserve"> 14.03.09. - Москва, 2015. - 158 с.</w:t>
      </w:r>
    </w:p>
    <w:p w14:paraId="4C82E2B4"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112</w:t>
      </w:r>
      <w:r>
        <w:rPr>
          <w:rFonts w:ascii="Times New Roman" w:hAnsi="Times New Roman" w:cs="Times New Roman"/>
          <w:noProof/>
          <w:sz w:val="28"/>
          <w:szCs w:val="24"/>
        </w:rPr>
        <w:tab/>
        <w:t>Абдуллаева Г.Д. et al. Эозинофильный катионный белок – спорные вопросы диагностической ценности при аллергических заболеваниях // Вопросы практической педиатрии. - 2019. - Т. 14, № 5. - С. 71–77.</w:t>
      </w:r>
    </w:p>
    <w:p w14:paraId="543FE895"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113</w:t>
      </w:r>
      <w:r>
        <w:rPr>
          <w:rFonts w:ascii="Times New Roman" w:hAnsi="Times New Roman" w:cs="Times New Roman"/>
          <w:noProof/>
          <w:sz w:val="28"/>
          <w:szCs w:val="24"/>
          <w:lang w:val="en-US"/>
        </w:rPr>
        <w:tab/>
        <w:t>Bystrom J. et al. Dissecting the role of eosinophil cationic protein in upper airway disease // Curr. Opin. Allergy Clin. Immunol. - 2012. - Vol. 12, № 1. - P. 18–23.</w:t>
      </w:r>
    </w:p>
    <w:p w14:paraId="32CA8A20"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lang w:val="en-US"/>
        </w:rPr>
        <w:t>114</w:t>
      </w:r>
      <w:r>
        <w:rPr>
          <w:rFonts w:ascii="Times New Roman" w:hAnsi="Times New Roman" w:cs="Times New Roman"/>
          <w:noProof/>
          <w:sz w:val="28"/>
          <w:szCs w:val="24"/>
          <w:lang w:val="en-US"/>
        </w:rPr>
        <w:tab/>
      </w:r>
      <w:r>
        <w:rPr>
          <w:rFonts w:ascii="Times New Roman" w:hAnsi="Times New Roman" w:cs="Times New Roman"/>
          <w:noProof/>
          <w:sz w:val="28"/>
          <w:szCs w:val="24"/>
        </w:rPr>
        <w:t>Измайлович</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М</w:t>
      </w:r>
      <w:r>
        <w:rPr>
          <w:rFonts w:ascii="Times New Roman" w:hAnsi="Times New Roman" w:cs="Times New Roman"/>
          <w:noProof/>
          <w:sz w:val="28"/>
          <w:szCs w:val="24"/>
          <w:lang w:val="en-US"/>
        </w:rPr>
        <w:t>.</w:t>
      </w:r>
      <w:r>
        <w:rPr>
          <w:rFonts w:ascii="Times New Roman" w:hAnsi="Times New Roman" w:cs="Times New Roman"/>
          <w:noProof/>
          <w:sz w:val="28"/>
          <w:szCs w:val="24"/>
        </w:rPr>
        <w:t>Р</w:t>
      </w:r>
      <w:r>
        <w:rPr>
          <w:rFonts w:ascii="Times New Roman" w:hAnsi="Times New Roman" w:cs="Times New Roman"/>
          <w:noProof/>
          <w:sz w:val="28"/>
          <w:szCs w:val="24"/>
          <w:lang w:val="en-US"/>
        </w:rPr>
        <w:t xml:space="preserve">. et al. </w:t>
      </w:r>
      <w:r>
        <w:rPr>
          <w:rFonts w:ascii="Times New Roman" w:hAnsi="Times New Roman" w:cs="Times New Roman"/>
          <w:noProof/>
          <w:sz w:val="28"/>
          <w:szCs w:val="24"/>
        </w:rPr>
        <w:t>Эозинофильный катионный белок у пациентов с аллергическими ринитами // Наука и Здравоохранение. - 2020. - Т. 22, № 1. - С. 39–46.</w:t>
      </w:r>
    </w:p>
    <w:p w14:paraId="1F21B9FB"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115</w:t>
      </w:r>
      <w:r>
        <w:rPr>
          <w:rFonts w:ascii="Times New Roman" w:hAnsi="Times New Roman" w:cs="Times New Roman"/>
          <w:noProof/>
          <w:sz w:val="28"/>
          <w:szCs w:val="24"/>
        </w:rPr>
        <w:tab/>
        <w:t>Салтабаева У.Ш. et al. Применение молекулярной аллергодиагностики на современном этапе // Астана медициналық журналы. - 2015. - Т. 86, № 4. - С. 69–77.</w:t>
      </w:r>
    </w:p>
    <w:p w14:paraId="6BE8892E" w14:textId="77777777" w:rsidR="00C72046" w:rsidRDefault="00C72046" w:rsidP="00C72046">
      <w:pPr>
        <w:widowControl w:val="0"/>
        <w:tabs>
          <w:tab w:val="left" w:pos="142"/>
          <w:tab w:val="left" w:pos="284"/>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116</w:t>
      </w:r>
      <w:r>
        <w:rPr>
          <w:rFonts w:ascii="Times New Roman" w:hAnsi="Times New Roman" w:cs="Times New Roman"/>
          <w:noProof/>
          <w:sz w:val="28"/>
          <w:szCs w:val="24"/>
        </w:rPr>
        <w:tab/>
        <w:t>Испаева Ж.Б. et al. Инновации в аллергологии. Молекулярная аллергология // Вестник КазНМУ. - 2017. - № 2. - С. - 20–22.</w:t>
      </w:r>
    </w:p>
    <w:p w14:paraId="52E38FFD" w14:textId="77777777" w:rsidR="00C72046" w:rsidRDefault="00C72046" w:rsidP="00C72046">
      <w:pPr>
        <w:widowControl w:val="0"/>
        <w:tabs>
          <w:tab w:val="left" w:pos="142"/>
          <w:tab w:val="left" w:pos="284"/>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117</w:t>
      </w:r>
      <w:r>
        <w:rPr>
          <w:rFonts w:ascii="Times New Roman" w:hAnsi="Times New Roman" w:cs="Times New Roman"/>
          <w:noProof/>
          <w:sz w:val="28"/>
          <w:szCs w:val="24"/>
          <w:lang w:val="en-US"/>
        </w:rPr>
        <w:tab/>
        <w:t>Zidarn M. et al. Clinical and immunological differences between asymptomatic HDM-sensitized and HDM-allergic rhinitis patients // Clin. Ex- P. Allergy. - 2019. - Vol. 49, № 6. - P. 808–818.</w:t>
      </w:r>
    </w:p>
    <w:p w14:paraId="7F17B47F" w14:textId="77777777" w:rsidR="00C72046" w:rsidRDefault="00C72046" w:rsidP="00C72046">
      <w:pPr>
        <w:widowControl w:val="0"/>
        <w:tabs>
          <w:tab w:val="left" w:pos="142"/>
          <w:tab w:val="left" w:pos="284"/>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118</w:t>
      </w:r>
      <w:r>
        <w:rPr>
          <w:rFonts w:ascii="Times New Roman" w:hAnsi="Times New Roman" w:cs="Times New Roman"/>
          <w:noProof/>
          <w:sz w:val="28"/>
          <w:szCs w:val="24"/>
          <w:lang w:val="en-US"/>
        </w:rPr>
        <w:tab/>
        <w:t>Baron-Bodo V. et al. Heterogeneity of antibody responses among clinical responders during grass pollen sublingual immunotherapy // Clin. Ex- P. Allergy. - 2013. - Vol. 43, № 12. - P. 1362–1373.</w:t>
      </w:r>
    </w:p>
    <w:p w14:paraId="4B74794D" w14:textId="77777777" w:rsidR="00C72046" w:rsidRDefault="00C72046" w:rsidP="00C72046">
      <w:pPr>
        <w:widowControl w:val="0"/>
        <w:tabs>
          <w:tab w:val="left" w:pos="142"/>
          <w:tab w:val="left" w:pos="284"/>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119</w:t>
      </w:r>
      <w:r>
        <w:rPr>
          <w:rFonts w:ascii="Times New Roman" w:hAnsi="Times New Roman" w:cs="Times New Roman"/>
          <w:noProof/>
          <w:sz w:val="28"/>
          <w:szCs w:val="24"/>
          <w:lang w:val="en-US"/>
        </w:rPr>
        <w:tab/>
        <w:t>Moingeon - P. Biomarkers for Allergen Immunotherapy: A ‘Panoromic’ View // Immunol. Allergy Clin. North Am. Elsevier Inc. - 2016. - Vol. 36, № 1. - P. 161–179.</w:t>
      </w:r>
    </w:p>
    <w:p w14:paraId="4E5E60E7" w14:textId="77777777" w:rsidR="00C72046" w:rsidRDefault="00C72046" w:rsidP="00C72046">
      <w:pPr>
        <w:widowControl w:val="0"/>
        <w:tabs>
          <w:tab w:val="left" w:pos="142"/>
          <w:tab w:val="left" w:pos="284"/>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120</w:t>
      </w:r>
      <w:r>
        <w:rPr>
          <w:rFonts w:ascii="Times New Roman" w:hAnsi="Times New Roman" w:cs="Times New Roman"/>
          <w:noProof/>
          <w:sz w:val="28"/>
          <w:szCs w:val="24"/>
          <w:lang w:val="en-US"/>
        </w:rPr>
        <w:tab/>
        <w:t>Patelis A. et al. Multiplex component-based allergen microarray in recent clinical studies // Clin. Ex- P. Allergy. - 2016. - Vol. 46, № 8. - P. 1022–1032.</w:t>
      </w:r>
    </w:p>
    <w:p w14:paraId="15B86745" w14:textId="77777777" w:rsidR="00C72046" w:rsidRDefault="00C72046" w:rsidP="00C72046">
      <w:pPr>
        <w:widowControl w:val="0"/>
        <w:tabs>
          <w:tab w:val="left" w:pos="142"/>
          <w:tab w:val="left" w:pos="284"/>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121</w:t>
      </w:r>
      <w:r>
        <w:rPr>
          <w:rFonts w:ascii="Times New Roman" w:hAnsi="Times New Roman" w:cs="Times New Roman"/>
          <w:noProof/>
          <w:sz w:val="28"/>
          <w:szCs w:val="24"/>
          <w:lang w:val="en-US"/>
        </w:rPr>
        <w:tab/>
        <w:t xml:space="preserve">Hamilton R.G., Kleine-Tebbe J. Molecular Allergy Diagnostics: Analytical Features That Support Clinical Decisions // Curr. Allergy Asthma Reports. - 2015. - Vol. 15, № 9. - P. 57. </w:t>
      </w:r>
    </w:p>
    <w:p w14:paraId="5E5E8460" w14:textId="77777777" w:rsidR="00C72046" w:rsidRDefault="00C72046" w:rsidP="00C72046">
      <w:pPr>
        <w:widowControl w:val="0"/>
        <w:tabs>
          <w:tab w:val="left" w:pos="142"/>
          <w:tab w:val="left" w:pos="284"/>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122</w:t>
      </w:r>
      <w:r>
        <w:rPr>
          <w:rFonts w:ascii="Times New Roman" w:hAnsi="Times New Roman" w:cs="Times New Roman"/>
          <w:noProof/>
          <w:sz w:val="28"/>
          <w:szCs w:val="24"/>
          <w:lang w:val="en-US"/>
        </w:rPr>
        <w:tab/>
        <w:t xml:space="preserve">Pablos I. et al. Pollen Allergens for Molecular Diagnosis // Curr. Allergy Asthma Re- P. - 2016. - Vol. 16. - P. 31. </w:t>
      </w:r>
    </w:p>
    <w:p w14:paraId="6B094D8F"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123</w:t>
      </w:r>
      <w:r>
        <w:rPr>
          <w:rFonts w:ascii="Times New Roman" w:hAnsi="Times New Roman" w:cs="Times New Roman"/>
          <w:noProof/>
          <w:sz w:val="28"/>
          <w:szCs w:val="24"/>
          <w:lang w:val="en-US"/>
        </w:rPr>
        <w:tab/>
        <w:t>Villalta D. et al. Recommendations for the use of molecular diagnostics in the diagnosis of allergic diseases // Eur. Ann. Allergy Clin. Immunol. - 2018. - Vol. 50, № 2. - P. 51–58.</w:t>
      </w:r>
    </w:p>
    <w:p w14:paraId="5EF15C5C"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124</w:t>
      </w:r>
      <w:r>
        <w:rPr>
          <w:rFonts w:ascii="Times New Roman" w:hAnsi="Times New Roman" w:cs="Times New Roman"/>
          <w:noProof/>
          <w:sz w:val="28"/>
          <w:szCs w:val="24"/>
          <w:lang w:val="en-US"/>
        </w:rPr>
        <w:tab/>
        <w:t>Canonica G.W. et al. A WAO-ARIA-GA2LEN consensus document on molecular-based allergy diagnostics // World Allergy Organ. J. - 2013. № 6. - P. 1–17.</w:t>
      </w:r>
    </w:p>
    <w:p w14:paraId="6C712789"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125</w:t>
      </w:r>
      <w:r>
        <w:rPr>
          <w:rFonts w:ascii="Times New Roman" w:hAnsi="Times New Roman" w:cs="Times New Roman"/>
          <w:noProof/>
          <w:sz w:val="28"/>
          <w:szCs w:val="24"/>
          <w:lang w:val="en-US"/>
        </w:rPr>
        <w:tab/>
        <w:t>Aalberse R.C., Aalberse J.A. Molecular Allergen-Specific IgE Assays as a Complement to Allergen Extract-Based Sensitization Assessment // J. Allergy Clin. Immunol. Pract. Elsevier Inc. - 2015. - Vol. 3, № 6. - P. 863–869.</w:t>
      </w:r>
    </w:p>
    <w:p w14:paraId="4C06A51C"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126</w:t>
      </w:r>
      <w:r>
        <w:rPr>
          <w:rFonts w:ascii="Times New Roman" w:hAnsi="Times New Roman" w:cs="Times New Roman"/>
          <w:noProof/>
          <w:sz w:val="28"/>
          <w:szCs w:val="24"/>
          <w:lang w:val="en-US"/>
        </w:rPr>
        <w:tab/>
        <w:t>Izmailovich M. et al. Molecular Aspects of Allergen-Specific Immunotherapy in Patients with Seasonal Allergic Rhinitis // Cells. - 2023. - Vol. 12, № 3. - P. 383.</w:t>
      </w:r>
    </w:p>
    <w:p w14:paraId="35F90434"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127</w:t>
      </w:r>
      <w:r>
        <w:rPr>
          <w:rFonts w:ascii="Times New Roman" w:hAnsi="Times New Roman" w:cs="Times New Roman"/>
          <w:noProof/>
          <w:sz w:val="28"/>
          <w:szCs w:val="24"/>
          <w:lang w:val="en-US"/>
        </w:rPr>
        <w:tab/>
        <w:t>Kleine-Tebbe J., Matricardi - P.M., Hamilton R.G. Allergy Work-Up Including Component-Resolved Diagnosis: How to Make Allergen-Specific Immunotherapy More Specific // Immunol. Allergy Clin. North Am. - 2016. - Vol. 36, № 1. - P. 191–- 203.</w:t>
      </w:r>
    </w:p>
    <w:p w14:paraId="2D232159"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128</w:t>
      </w:r>
      <w:r>
        <w:rPr>
          <w:rFonts w:ascii="Times New Roman" w:hAnsi="Times New Roman" w:cs="Times New Roman"/>
          <w:noProof/>
          <w:sz w:val="28"/>
          <w:szCs w:val="24"/>
          <w:lang w:val="en-US"/>
        </w:rPr>
        <w:tab/>
        <w:t>Popescu F.-D. Molecular biomarkers for grass pollen immunotherapy // World J. Methodol. - 2014. - Vol. 4, № 1. - P. 26–45.</w:t>
      </w:r>
    </w:p>
    <w:p w14:paraId="37C320BC"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129</w:t>
      </w:r>
      <w:r>
        <w:rPr>
          <w:rFonts w:ascii="Times New Roman" w:hAnsi="Times New Roman" w:cs="Times New Roman"/>
          <w:noProof/>
          <w:sz w:val="28"/>
          <w:szCs w:val="24"/>
          <w:lang w:val="en-US"/>
        </w:rPr>
        <w:tab/>
        <w:t>Nony E. et al. 6th International Symposium on Molecular Allergology (ISMA) // Clin. Transl. Allergy. - 2016. - Vol. 6, № S2. - P. 1–34.</w:t>
      </w:r>
    </w:p>
    <w:p w14:paraId="53CB9820"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130</w:t>
      </w:r>
      <w:r>
        <w:rPr>
          <w:rFonts w:ascii="Times New Roman" w:hAnsi="Times New Roman" w:cs="Times New Roman"/>
          <w:noProof/>
          <w:sz w:val="28"/>
          <w:szCs w:val="24"/>
          <w:lang w:val="en-US"/>
        </w:rPr>
        <w:tab/>
        <w:t>Hoover H. et al. Evidence-based dosing of maintenance subcutaneous immunotherapy: a contemporary review of state-of-the-art practice // Int. Forum Allergy Rhinol. - 2018. - Vol. 8, № 7. - P. 806–816.</w:t>
      </w:r>
    </w:p>
    <w:p w14:paraId="4497D692"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131</w:t>
      </w:r>
      <w:r>
        <w:rPr>
          <w:rFonts w:ascii="Times New Roman" w:hAnsi="Times New Roman" w:cs="Times New Roman"/>
          <w:noProof/>
          <w:sz w:val="28"/>
          <w:szCs w:val="24"/>
          <w:lang w:val="en-US"/>
        </w:rPr>
        <w:tab/>
        <w:t>Jutel M. et al. Sublingual immunotherapy (SLIT) - Indications, mechanism, and efficacy: Position paper prepared by the section of immunotherapy, polish society of allergy // Ann. Agric. Environ. Med. - 2016. - Vol. 23, № 1. - P. 44–53.</w:t>
      </w:r>
    </w:p>
    <w:p w14:paraId="100F7BCE"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lang w:val="en-US"/>
        </w:rPr>
        <w:t>132</w:t>
      </w:r>
      <w:r>
        <w:rPr>
          <w:rFonts w:ascii="Times New Roman" w:hAnsi="Times New Roman" w:cs="Times New Roman"/>
          <w:noProof/>
          <w:sz w:val="28"/>
          <w:szCs w:val="24"/>
          <w:lang w:val="en-US"/>
        </w:rPr>
        <w:tab/>
        <w:t>Jutel M. et al. International consensus on allergy immunotherapy // J. Allergy Clin. Immunol</w:t>
      </w:r>
      <w:r>
        <w:rPr>
          <w:rFonts w:ascii="Times New Roman" w:hAnsi="Times New Roman" w:cs="Times New Roman"/>
          <w:noProof/>
          <w:sz w:val="28"/>
          <w:szCs w:val="24"/>
        </w:rPr>
        <w:t>. - 2015. - Vol. 136, № 3. - P. 556–568.</w:t>
      </w:r>
    </w:p>
    <w:p w14:paraId="3D0D3C5E"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133</w:t>
      </w:r>
      <w:r>
        <w:rPr>
          <w:rFonts w:ascii="Times New Roman" w:hAnsi="Times New Roman" w:cs="Times New Roman"/>
          <w:noProof/>
          <w:sz w:val="28"/>
          <w:szCs w:val="24"/>
        </w:rPr>
        <w:tab/>
        <w:t>Курбачева О.М. Аллерген-специфическая иммунотерапия // Российский Аллергологический Журнал. - 2016. - № 4–5. - С. 55–61.</w:t>
      </w:r>
    </w:p>
    <w:p w14:paraId="3FD1B445"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134</w:t>
      </w:r>
      <w:r>
        <w:rPr>
          <w:rFonts w:ascii="Times New Roman" w:hAnsi="Times New Roman" w:cs="Times New Roman"/>
          <w:noProof/>
          <w:sz w:val="28"/>
          <w:szCs w:val="24"/>
          <w:lang w:val="en-US"/>
        </w:rPr>
        <w:tab/>
        <w:t>Bergmann K.C. et al. Efficacy and safety of sublingual tablets of house dust mite allergen extracts in adults with allergic rhinitis // J. Allergy Clin. Immunol. - 2014. - Vol. 133, № 6. - P. 1608 - 1614.</w:t>
      </w:r>
    </w:p>
    <w:p w14:paraId="6AFD97E6"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135</w:t>
      </w:r>
      <w:r>
        <w:rPr>
          <w:rFonts w:ascii="Times New Roman" w:hAnsi="Times New Roman" w:cs="Times New Roman"/>
          <w:noProof/>
          <w:sz w:val="28"/>
          <w:szCs w:val="24"/>
          <w:lang w:val="en-US"/>
        </w:rPr>
        <w:tab/>
        <w:t>Mosbech H. et al. SQ house dust mite sublingually administered immunotherapy tablet (ALK) improves allergic rhinitis in patients with house dust mite allergic asthma and rhinitis symptoms // Ann. Allergy, Asthma Immunol. American College of Allergy, Asthma &amp; Immunology. - 2015. - Vol. 114, № 2. - P. 134-140.e1.</w:t>
      </w:r>
    </w:p>
    <w:p w14:paraId="1DB954C8"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136</w:t>
      </w:r>
      <w:r>
        <w:rPr>
          <w:rFonts w:ascii="Times New Roman" w:hAnsi="Times New Roman" w:cs="Times New Roman"/>
          <w:noProof/>
          <w:sz w:val="28"/>
          <w:szCs w:val="24"/>
          <w:lang w:val="en-US"/>
        </w:rPr>
        <w:tab/>
        <w:t>Demoly - P. et al. Effective treatment of house dust mite-induced allergic rhinitis with 2 doses of the SQ HDM SLIT-tablet: Results from a randomized, double-blind, placebo-controlled phase III trial // J. Allergy Clin. Immunol. - 2016. - Vol. 137. № 2. - P. 444–451.</w:t>
      </w:r>
    </w:p>
    <w:p w14:paraId="69F64ACE"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137</w:t>
      </w:r>
      <w:r>
        <w:rPr>
          <w:rFonts w:ascii="Times New Roman" w:hAnsi="Times New Roman" w:cs="Times New Roman"/>
          <w:noProof/>
          <w:sz w:val="28"/>
          <w:szCs w:val="24"/>
          <w:lang w:val="en-US"/>
        </w:rPr>
        <w:tab/>
        <w:t>Okamoto Y. et al. Efficacy and safety of sublingual immunotherapy for two seasons in patients with Japanese cedar pollinosis // Int. Arch. Allergy Immunol. - 2015. - Vol. 166, № 3. - P. 177–188.</w:t>
      </w:r>
    </w:p>
    <w:p w14:paraId="28A0ABFC"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138</w:t>
      </w:r>
      <w:r>
        <w:rPr>
          <w:rFonts w:ascii="Times New Roman" w:hAnsi="Times New Roman" w:cs="Times New Roman"/>
          <w:noProof/>
          <w:sz w:val="28"/>
          <w:szCs w:val="24"/>
          <w:lang w:val="en-US"/>
        </w:rPr>
        <w:tab/>
        <w:t>Maloney J. et al. Efficacy and safety of grass sublingual immunotherapy tablet, MK-7243: A large randomized controlled trial // Ann. Allergy, Asthma Immunol. American College of Allergy, Asthma &amp; Immunology. - 2014. - Vol. 112, № 2. - P. 146-153.e2.</w:t>
      </w:r>
    </w:p>
    <w:p w14:paraId="36F2B2A5"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139</w:t>
      </w:r>
      <w:r>
        <w:rPr>
          <w:rFonts w:ascii="Times New Roman" w:hAnsi="Times New Roman" w:cs="Times New Roman"/>
          <w:noProof/>
          <w:sz w:val="28"/>
          <w:szCs w:val="24"/>
          <w:lang w:val="en-US"/>
        </w:rPr>
        <w:tab/>
        <w:t>Calderõn M.A. et al. Sublingual allergen immunotherapy: Mode of action and its relationship with the safety profile // Allergy: European Journal of Allergy and Clinical Immunology. - 2012. - Vol. 67, № 3. - P. 302–311.</w:t>
      </w:r>
    </w:p>
    <w:p w14:paraId="17BC4474"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140</w:t>
      </w:r>
      <w:r>
        <w:rPr>
          <w:rFonts w:ascii="Times New Roman" w:hAnsi="Times New Roman" w:cs="Times New Roman"/>
          <w:noProof/>
          <w:sz w:val="28"/>
          <w:szCs w:val="24"/>
          <w:lang w:val="en-US"/>
        </w:rPr>
        <w:tab/>
        <w:t>Wise S.K. et al. International Consensus Statement on Allergy and Rhinology: Allergic Rhinitis // Int. Forum Allergy Rhinol. - 2018. - Vol. 8, № 2. - P. 108–352.</w:t>
      </w:r>
    </w:p>
    <w:p w14:paraId="2C9AC7D2"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lang w:val="en-US"/>
        </w:rPr>
        <w:t>141</w:t>
      </w:r>
      <w:r>
        <w:rPr>
          <w:rFonts w:ascii="Times New Roman" w:hAnsi="Times New Roman" w:cs="Times New Roman"/>
          <w:noProof/>
          <w:sz w:val="28"/>
          <w:szCs w:val="24"/>
          <w:lang w:val="en-US"/>
        </w:rPr>
        <w:tab/>
        <w:t>Roberts G. et al. EAACI Guidelines on Allergen Immunotherapy: Allergic rhinoconjunctivitis // Allergy Eur. J. Allergy Clin. Immunol</w:t>
      </w:r>
      <w:r>
        <w:rPr>
          <w:rFonts w:ascii="Times New Roman" w:hAnsi="Times New Roman" w:cs="Times New Roman"/>
          <w:noProof/>
          <w:sz w:val="28"/>
          <w:szCs w:val="24"/>
        </w:rPr>
        <w:t>. - 2018. - Vol. 73, № 4. - P. 765–798.</w:t>
      </w:r>
    </w:p>
    <w:p w14:paraId="48F0872D"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142</w:t>
      </w:r>
      <w:r>
        <w:rPr>
          <w:rFonts w:ascii="Times New Roman" w:hAnsi="Times New Roman" w:cs="Times New Roman"/>
          <w:noProof/>
          <w:sz w:val="28"/>
          <w:szCs w:val="24"/>
        </w:rPr>
        <w:tab/>
        <w:t>Реброва О.Ю., Федяева В.К. Вопросник для оценки риска систематических ошибок в нерандомизированных сравнительных исследованиях: русскоязычная версия Шкалы Ньюкасл-Оттава // Медицинские Технологии. Оценка И Выбор. - 2014. - Т. 3, № 25. - С. 14–19.</w:t>
      </w:r>
    </w:p>
    <w:p w14:paraId="4E7E928D"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rPr>
        <w:t>143</w:t>
      </w:r>
      <w:r>
        <w:rPr>
          <w:rFonts w:ascii="Times New Roman" w:hAnsi="Times New Roman" w:cs="Times New Roman"/>
          <w:noProof/>
          <w:sz w:val="28"/>
          <w:szCs w:val="24"/>
        </w:rPr>
        <w:tab/>
      </w:r>
      <w:r>
        <w:rPr>
          <w:rFonts w:ascii="Times New Roman" w:hAnsi="Times New Roman" w:cs="Times New Roman"/>
          <w:noProof/>
          <w:sz w:val="28"/>
          <w:szCs w:val="24"/>
          <w:lang w:val="en-US"/>
        </w:rPr>
        <w:t>Juniper</w:t>
      </w:r>
      <w:r w:rsidRPr="00C72046">
        <w:rPr>
          <w:rFonts w:ascii="Times New Roman" w:hAnsi="Times New Roman" w:cs="Times New Roman"/>
          <w:noProof/>
          <w:sz w:val="28"/>
          <w:szCs w:val="24"/>
        </w:rPr>
        <w:t xml:space="preserve"> </w:t>
      </w:r>
      <w:r>
        <w:rPr>
          <w:rFonts w:ascii="Times New Roman" w:hAnsi="Times New Roman" w:cs="Times New Roman"/>
          <w:noProof/>
          <w:sz w:val="28"/>
          <w:szCs w:val="24"/>
          <w:lang w:val="en-US"/>
        </w:rPr>
        <w:t>E</w:t>
      </w:r>
      <w:r>
        <w:rPr>
          <w:rFonts w:ascii="Times New Roman" w:hAnsi="Times New Roman" w:cs="Times New Roman"/>
          <w:noProof/>
          <w:sz w:val="28"/>
          <w:szCs w:val="24"/>
        </w:rPr>
        <w:t>.</w:t>
      </w:r>
      <w:r>
        <w:rPr>
          <w:rFonts w:ascii="Times New Roman" w:hAnsi="Times New Roman" w:cs="Times New Roman"/>
          <w:noProof/>
          <w:sz w:val="28"/>
          <w:szCs w:val="24"/>
          <w:lang w:val="en-US"/>
        </w:rPr>
        <w:t>F</w:t>
      </w:r>
      <w:r>
        <w:rPr>
          <w:rFonts w:ascii="Times New Roman" w:hAnsi="Times New Roman" w:cs="Times New Roman"/>
          <w:noProof/>
          <w:sz w:val="28"/>
          <w:szCs w:val="24"/>
        </w:rPr>
        <w:t xml:space="preserve">. </w:t>
      </w:r>
      <w:r>
        <w:rPr>
          <w:rFonts w:ascii="Times New Roman" w:hAnsi="Times New Roman" w:cs="Times New Roman"/>
          <w:noProof/>
          <w:sz w:val="28"/>
          <w:szCs w:val="24"/>
          <w:lang w:val="en-US"/>
        </w:rPr>
        <w:t>et</w:t>
      </w:r>
      <w:r w:rsidRPr="00C72046">
        <w:rPr>
          <w:rFonts w:ascii="Times New Roman" w:hAnsi="Times New Roman" w:cs="Times New Roman"/>
          <w:noProof/>
          <w:sz w:val="28"/>
          <w:szCs w:val="24"/>
        </w:rPr>
        <w:t xml:space="preserve"> </w:t>
      </w:r>
      <w:r>
        <w:rPr>
          <w:rFonts w:ascii="Times New Roman" w:hAnsi="Times New Roman" w:cs="Times New Roman"/>
          <w:noProof/>
          <w:sz w:val="28"/>
          <w:szCs w:val="24"/>
          <w:lang w:val="en-US"/>
        </w:rPr>
        <w:t>al</w:t>
      </w:r>
      <w:r>
        <w:rPr>
          <w:rFonts w:ascii="Times New Roman" w:hAnsi="Times New Roman" w:cs="Times New Roman"/>
          <w:noProof/>
          <w:sz w:val="28"/>
          <w:szCs w:val="24"/>
        </w:rPr>
        <w:t xml:space="preserve">. </w:t>
      </w:r>
      <w:r>
        <w:rPr>
          <w:rFonts w:ascii="Times New Roman" w:hAnsi="Times New Roman" w:cs="Times New Roman"/>
          <w:noProof/>
          <w:sz w:val="28"/>
          <w:szCs w:val="24"/>
          <w:lang w:val="en-US"/>
        </w:rPr>
        <w:t>Validation of the standardized version of the Rhinoconjunctivitis Quality of Life Questionnaire // J. Allergy Clin. Immunol. - 1999. - Vol. 104, № 2 I. - P. 364–369.</w:t>
      </w:r>
    </w:p>
    <w:p w14:paraId="68C916D1" w14:textId="77777777" w:rsidR="00C72046"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144</w:t>
      </w:r>
      <w:r>
        <w:rPr>
          <w:rFonts w:ascii="Times New Roman" w:hAnsi="Times New Roman" w:cs="Times New Roman"/>
          <w:noProof/>
          <w:sz w:val="28"/>
          <w:szCs w:val="24"/>
          <w:lang w:val="en-US"/>
        </w:rPr>
        <w:tab/>
        <w:t>Alvaro-Lozano M. et al. EAACI Allergen Immunotherapy User’s Guide // Pediatr. Allergy Immunol. - 2020. - Vol. 31, № S25. - P. 1–101.</w:t>
      </w:r>
    </w:p>
    <w:p w14:paraId="057D49D7" w14:textId="77777777" w:rsidR="00C72046" w:rsidRPr="000768C4" w:rsidRDefault="00C72046" w:rsidP="00C72046">
      <w:pPr>
        <w:widowControl w:val="0"/>
        <w:tabs>
          <w:tab w:val="left" w:pos="142"/>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145</w:t>
      </w:r>
      <w:r>
        <w:rPr>
          <w:rFonts w:ascii="Times New Roman" w:hAnsi="Times New Roman" w:cs="Times New Roman"/>
          <w:noProof/>
          <w:sz w:val="28"/>
          <w:szCs w:val="24"/>
          <w:lang w:val="en-US"/>
        </w:rPr>
        <w:tab/>
        <w:t>Pfaar O. et al. Perspectives in allergen immunotherapy: - 2017 and beyond // Allergy Eur. J. Allergy Clin. Immunol</w:t>
      </w:r>
      <w:r w:rsidRPr="000768C4">
        <w:rPr>
          <w:rFonts w:ascii="Times New Roman" w:hAnsi="Times New Roman" w:cs="Times New Roman"/>
          <w:noProof/>
          <w:sz w:val="28"/>
          <w:szCs w:val="24"/>
          <w:lang w:val="en-US"/>
        </w:rPr>
        <w:t xml:space="preserve">. - 2018. - </w:t>
      </w:r>
      <w:r>
        <w:rPr>
          <w:rFonts w:ascii="Times New Roman" w:hAnsi="Times New Roman" w:cs="Times New Roman"/>
          <w:noProof/>
          <w:sz w:val="28"/>
          <w:szCs w:val="24"/>
          <w:lang w:val="en-US"/>
        </w:rPr>
        <w:t>Vol</w:t>
      </w:r>
      <w:r w:rsidRPr="000768C4">
        <w:rPr>
          <w:rFonts w:ascii="Times New Roman" w:hAnsi="Times New Roman" w:cs="Times New Roman"/>
          <w:noProof/>
          <w:sz w:val="28"/>
          <w:szCs w:val="24"/>
          <w:lang w:val="en-US"/>
        </w:rPr>
        <w:t xml:space="preserve">. 73. - </w:t>
      </w:r>
      <w:r>
        <w:rPr>
          <w:rFonts w:ascii="Times New Roman" w:hAnsi="Times New Roman" w:cs="Times New Roman"/>
          <w:noProof/>
          <w:sz w:val="28"/>
          <w:szCs w:val="24"/>
          <w:lang w:val="en-US"/>
        </w:rPr>
        <w:t>P</w:t>
      </w:r>
      <w:r w:rsidRPr="000768C4">
        <w:rPr>
          <w:rFonts w:ascii="Times New Roman" w:hAnsi="Times New Roman" w:cs="Times New Roman"/>
          <w:noProof/>
          <w:sz w:val="28"/>
          <w:szCs w:val="24"/>
          <w:lang w:val="en-US"/>
        </w:rPr>
        <w:t>. 5–23.</w:t>
      </w:r>
    </w:p>
    <w:p w14:paraId="32865E86"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sidRPr="000768C4">
        <w:rPr>
          <w:rFonts w:ascii="Times New Roman" w:hAnsi="Times New Roman" w:cs="Times New Roman"/>
          <w:noProof/>
          <w:sz w:val="28"/>
          <w:szCs w:val="24"/>
          <w:lang w:val="en-US"/>
        </w:rPr>
        <w:t>146</w:t>
      </w:r>
      <w:r w:rsidRPr="000768C4">
        <w:rPr>
          <w:rFonts w:ascii="Times New Roman" w:hAnsi="Times New Roman" w:cs="Times New Roman"/>
          <w:noProof/>
          <w:sz w:val="28"/>
          <w:szCs w:val="24"/>
          <w:lang w:val="en-US"/>
        </w:rPr>
        <w:tab/>
      </w:r>
      <w:r>
        <w:rPr>
          <w:rFonts w:ascii="Times New Roman" w:hAnsi="Times New Roman" w:cs="Times New Roman"/>
          <w:noProof/>
          <w:sz w:val="28"/>
          <w:szCs w:val="24"/>
        </w:rPr>
        <w:t>Нурпеисов</w:t>
      </w:r>
      <w:r w:rsidRPr="000768C4">
        <w:rPr>
          <w:rFonts w:ascii="Times New Roman" w:hAnsi="Times New Roman" w:cs="Times New Roman"/>
          <w:noProof/>
          <w:sz w:val="28"/>
          <w:szCs w:val="24"/>
          <w:lang w:val="en-US"/>
        </w:rPr>
        <w:t xml:space="preserve"> </w:t>
      </w:r>
      <w:r>
        <w:rPr>
          <w:rFonts w:ascii="Times New Roman" w:hAnsi="Times New Roman" w:cs="Times New Roman"/>
          <w:noProof/>
          <w:sz w:val="28"/>
          <w:szCs w:val="24"/>
        </w:rPr>
        <w:t>Т</w:t>
      </w:r>
      <w:r w:rsidRPr="000768C4">
        <w:rPr>
          <w:rFonts w:ascii="Times New Roman" w:hAnsi="Times New Roman" w:cs="Times New Roman"/>
          <w:noProof/>
          <w:sz w:val="28"/>
          <w:szCs w:val="24"/>
          <w:lang w:val="en-US"/>
        </w:rPr>
        <w:t>.</w:t>
      </w:r>
      <w:r>
        <w:rPr>
          <w:rFonts w:ascii="Times New Roman" w:hAnsi="Times New Roman" w:cs="Times New Roman"/>
          <w:noProof/>
          <w:sz w:val="28"/>
          <w:szCs w:val="24"/>
        </w:rPr>
        <w:t>Т</w:t>
      </w:r>
      <w:r w:rsidRPr="000768C4">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et</w:t>
      </w:r>
      <w:r w:rsidRPr="000768C4">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al</w:t>
      </w:r>
      <w:r w:rsidRPr="000768C4">
        <w:rPr>
          <w:rFonts w:ascii="Times New Roman" w:hAnsi="Times New Roman" w:cs="Times New Roman"/>
          <w:noProof/>
          <w:sz w:val="28"/>
          <w:szCs w:val="24"/>
          <w:lang w:val="en-US"/>
        </w:rPr>
        <w:t xml:space="preserve">. </w:t>
      </w:r>
      <w:r>
        <w:rPr>
          <w:rFonts w:ascii="Times New Roman" w:hAnsi="Times New Roman" w:cs="Times New Roman"/>
          <w:noProof/>
          <w:sz w:val="28"/>
          <w:szCs w:val="24"/>
        </w:rPr>
        <w:t>Протокол. Аллергический ринит. - 2017. - 11 с.</w:t>
      </w:r>
    </w:p>
    <w:p w14:paraId="67E514F7"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147</w:t>
      </w:r>
      <w:r>
        <w:rPr>
          <w:rFonts w:ascii="Times New Roman" w:hAnsi="Times New Roman" w:cs="Times New Roman"/>
          <w:noProof/>
          <w:sz w:val="28"/>
          <w:szCs w:val="24"/>
        </w:rPr>
        <w:tab/>
        <w:t>Кляусов А.С., Осипов С.А. Диагностическое значение эозинофильного катионного белка при аллергическом воспалении у взрослых с аллергическим ринитом и бронхиальной астмой // Медицинская иммунология. - 2017. - Т. 19. - С. 88–89.</w:t>
      </w:r>
    </w:p>
    <w:p w14:paraId="5A624336"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148</w:t>
      </w:r>
      <w:r>
        <w:rPr>
          <w:rFonts w:ascii="Times New Roman" w:hAnsi="Times New Roman" w:cs="Times New Roman"/>
          <w:noProof/>
          <w:sz w:val="28"/>
          <w:szCs w:val="24"/>
          <w:lang w:val="en-US"/>
        </w:rPr>
        <w:tab/>
        <w:t>Van Hage M. et al. Performance evaluation of ImmunoCAP® ISAC 112: A multi-site study // Clin. Chem. Lab. Med. - 2017. - Vol. 55, № 4. - P. 571–577.</w:t>
      </w:r>
    </w:p>
    <w:p w14:paraId="06B955A6"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lang w:val="en-US"/>
        </w:rPr>
        <w:t>149</w:t>
      </w:r>
      <w:r>
        <w:rPr>
          <w:rFonts w:ascii="Times New Roman" w:hAnsi="Times New Roman" w:cs="Times New Roman"/>
          <w:noProof/>
          <w:sz w:val="28"/>
          <w:szCs w:val="24"/>
          <w:lang w:val="en-US"/>
        </w:rPr>
        <w:tab/>
      </w:r>
      <w:r>
        <w:rPr>
          <w:rFonts w:ascii="Times New Roman" w:hAnsi="Times New Roman" w:cs="Times New Roman"/>
          <w:noProof/>
          <w:sz w:val="28"/>
          <w:szCs w:val="24"/>
        </w:rPr>
        <w:t>Пигарова</w:t>
      </w:r>
      <w:r>
        <w:rPr>
          <w:rFonts w:ascii="Times New Roman" w:hAnsi="Times New Roman" w:cs="Times New Roman"/>
          <w:noProof/>
          <w:sz w:val="28"/>
          <w:szCs w:val="24"/>
          <w:lang w:val="en-US"/>
        </w:rPr>
        <w:t xml:space="preserve"> </w:t>
      </w:r>
      <w:r>
        <w:rPr>
          <w:rFonts w:ascii="Times New Roman" w:hAnsi="Times New Roman" w:cs="Times New Roman"/>
          <w:noProof/>
          <w:sz w:val="28"/>
          <w:szCs w:val="24"/>
        </w:rPr>
        <w:t>Е</w:t>
      </w:r>
      <w:r>
        <w:rPr>
          <w:rFonts w:ascii="Times New Roman" w:hAnsi="Times New Roman" w:cs="Times New Roman"/>
          <w:noProof/>
          <w:sz w:val="28"/>
          <w:szCs w:val="24"/>
          <w:lang w:val="en-US"/>
        </w:rPr>
        <w:t>.</w:t>
      </w:r>
      <w:r>
        <w:rPr>
          <w:rFonts w:ascii="Times New Roman" w:hAnsi="Times New Roman" w:cs="Times New Roman"/>
          <w:noProof/>
          <w:sz w:val="28"/>
          <w:szCs w:val="24"/>
        </w:rPr>
        <w:t>А</w:t>
      </w:r>
      <w:r>
        <w:rPr>
          <w:rFonts w:ascii="Times New Roman" w:hAnsi="Times New Roman" w:cs="Times New Roman"/>
          <w:noProof/>
          <w:sz w:val="28"/>
          <w:szCs w:val="24"/>
          <w:lang w:val="en-US"/>
        </w:rPr>
        <w:t xml:space="preserve">. et al. </w:t>
      </w:r>
      <w:r>
        <w:rPr>
          <w:rFonts w:ascii="Times New Roman" w:hAnsi="Times New Roman" w:cs="Times New Roman"/>
          <w:noProof/>
          <w:sz w:val="28"/>
          <w:szCs w:val="24"/>
        </w:rPr>
        <w:t>Клинические рекомендации Российской ассоциации эндокринологов по диагностике, лечению и профилактике дефицита витамина D у взрослых // Проблемы эндокринологии. - 2016. - Т. 62, № 4. - С. 60–84.</w:t>
      </w:r>
    </w:p>
    <w:p w14:paraId="0F176B6B"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150</w:t>
      </w:r>
      <w:r>
        <w:rPr>
          <w:rFonts w:ascii="Times New Roman" w:hAnsi="Times New Roman" w:cs="Times New Roman"/>
          <w:noProof/>
          <w:sz w:val="28"/>
          <w:szCs w:val="24"/>
          <w:lang w:val="en-US"/>
        </w:rPr>
        <w:tab/>
        <w:t>Joudi M. et al. Effects of serum Vitamin D and efficacy of subcutaneous immunotherapy in adult patients with allergic rhinitis // Allergy, Asthma Immunol. Res. - 2019. - Vol. 11, № 6. - P. 885–893.</w:t>
      </w:r>
    </w:p>
    <w:p w14:paraId="10809E7F"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151</w:t>
      </w:r>
      <w:r>
        <w:rPr>
          <w:rFonts w:ascii="Times New Roman" w:hAnsi="Times New Roman" w:cs="Times New Roman"/>
          <w:noProof/>
          <w:sz w:val="28"/>
          <w:szCs w:val="24"/>
          <w:lang w:val="en-US"/>
        </w:rPr>
        <w:tab/>
        <w:t>Pitsios C. et al. Clinical contraindications to allergen immunotherapy: An EAACI position paper // Allergy Eur. J. Allergy Clin. Immunol. - 2015. - Vol. 70, № 8. - P. 897–909.</w:t>
      </w:r>
    </w:p>
    <w:p w14:paraId="314D3193"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lang w:val="en-US"/>
        </w:rPr>
        <w:t>152</w:t>
      </w:r>
      <w:r>
        <w:rPr>
          <w:rFonts w:ascii="Times New Roman" w:hAnsi="Times New Roman" w:cs="Times New Roman"/>
          <w:noProof/>
          <w:sz w:val="28"/>
          <w:szCs w:val="24"/>
          <w:lang w:val="en-US"/>
        </w:rPr>
        <w:tab/>
        <w:t>Izmailovich M.R. et al. Allergen-specific immunotherapy in combination with vitamin D in patients with seasonal allergic rhinitis // Russ. Open</w:t>
      </w:r>
      <w:r w:rsidRPr="00C72046">
        <w:rPr>
          <w:rFonts w:ascii="Times New Roman" w:hAnsi="Times New Roman" w:cs="Times New Roman"/>
          <w:noProof/>
          <w:sz w:val="28"/>
          <w:szCs w:val="24"/>
        </w:rPr>
        <w:t xml:space="preserve"> </w:t>
      </w:r>
      <w:r>
        <w:rPr>
          <w:rFonts w:ascii="Times New Roman" w:hAnsi="Times New Roman" w:cs="Times New Roman"/>
          <w:noProof/>
          <w:sz w:val="28"/>
          <w:szCs w:val="24"/>
          <w:lang w:val="en-US"/>
        </w:rPr>
        <w:t>Med</w:t>
      </w:r>
      <w:r>
        <w:rPr>
          <w:rFonts w:ascii="Times New Roman" w:hAnsi="Times New Roman" w:cs="Times New Roman"/>
          <w:noProof/>
          <w:sz w:val="28"/>
          <w:szCs w:val="24"/>
        </w:rPr>
        <w:t xml:space="preserve">. </w:t>
      </w:r>
      <w:r>
        <w:rPr>
          <w:rFonts w:ascii="Times New Roman" w:hAnsi="Times New Roman" w:cs="Times New Roman"/>
          <w:noProof/>
          <w:sz w:val="28"/>
          <w:szCs w:val="24"/>
          <w:lang w:val="en-US"/>
        </w:rPr>
        <w:t>J</w:t>
      </w:r>
      <w:r>
        <w:rPr>
          <w:rFonts w:ascii="Times New Roman" w:hAnsi="Times New Roman" w:cs="Times New Roman"/>
          <w:noProof/>
          <w:sz w:val="28"/>
          <w:szCs w:val="24"/>
        </w:rPr>
        <w:t>. - 2022. - Vol. 11, № 2. - P. 1–7.</w:t>
      </w:r>
    </w:p>
    <w:p w14:paraId="79739A28"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153</w:t>
      </w:r>
      <w:r>
        <w:rPr>
          <w:rFonts w:ascii="Times New Roman" w:hAnsi="Times New Roman" w:cs="Times New Roman"/>
          <w:noProof/>
          <w:sz w:val="28"/>
          <w:szCs w:val="24"/>
        </w:rPr>
        <w:tab/>
        <w:t>Инструкция по медицинскому применению лекарственного средства Антиполлин (утверждена приказом председателя ККМФД МЗ РК от 6 ноября - 2012 года № 845). Номер регистрации в РК: № РК-ЛС-5№019347.</w:t>
      </w:r>
    </w:p>
    <w:p w14:paraId="62EDF4DA" w14:textId="77777777" w:rsidR="00C72046" w:rsidRDefault="00C72046" w:rsidP="00C72046">
      <w:pPr>
        <w:widowControl w:val="0"/>
        <w:tabs>
          <w:tab w:val="left" w:pos="142"/>
          <w:tab w:val="left" w:pos="567"/>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154</w:t>
      </w:r>
      <w:r>
        <w:rPr>
          <w:rFonts w:ascii="Times New Roman" w:hAnsi="Times New Roman" w:cs="Times New Roman"/>
          <w:noProof/>
          <w:sz w:val="28"/>
          <w:szCs w:val="24"/>
        </w:rPr>
        <w:tab/>
        <w:t>Калинченко С.Ю. et al. Витамин D и репродуктивное здоровье женщин // Проблемы репродукции. - 2016. - Т. 22, № 4. - С. 28.</w:t>
      </w:r>
    </w:p>
    <w:p w14:paraId="5DD74701" w14:textId="2F7CF594" w:rsidR="00C72046" w:rsidRDefault="00C72046" w:rsidP="00C72046">
      <w:pPr>
        <w:widowControl w:val="0"/>
        <w:tabs>
          <w:tab w:val="left" w:pos="142"/>
          <w:tab w:val="left" w:pos="567"/>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155</w:t>
      </w:r>
      <w:r>
        <w:rPr>
          <w:rFonts w:ascii="Times New Roman" w:hAnsi="Times New Roman" w:cs="Times New Roman"/>
          <w:noProof/>
          <w:sz w:val="28"/>
          <w:szCs w:val="24"/>
          <w:lang w:val="en-US"/>
        </w:rPr>
        <w:tab/>
        <w:t>Pludowski - P. et al. Vitamin D supplementation guidelines // J. Steroid Biochem</w:t>
      </w:r>
      <w:r w:rsidR="00CB4C51">
        <w:rPr>
          <w:rFonts w:ascii="Times New Roman" w:hAnsi="Times New Roman" w:cs="Times New Roman"/>
          <w:noProof/>
          <w:sz w:val="28"/>
          <w:szCs w:val="24"/>
          <w:lang w:val="en-US"/>
        </w:rPr>
        <w:t>. Mol. Biol. - 2018. - Vol. 175</w:t>
      </w:r>
      <w:r>
        <w:rPr>
          <w:rFonts w:ascii="Times New Roman" w:hAnsi="Times New Roman" w:cs="Times New Roman"/>
          <w:noProof/>
          <w:sz w:val="28"/>
          <w:szCs w:val="24"/>
          <w:lang w:val="en-US"/>
        </w:rPr>
        <w:t>. - P. 125–135.</w:t>
      </w:r>
    </w:p>
    <w:p w14:paraId="26CBDC36" w14:textId="77777777" w:rsidR="00C72046" w:rsidRDefault="00C72046" w:rsidP="00C72046">
      <w:pPr>
        <w:widowControl w:val="0"/>
        <w:tabs>
          <w:tab w:val="left" w:pos="142"/>
          <w:tab w:val="left" w:pos="567"/>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156</w:t>
      </w:r>
      <w:r>
        <w:rPr>
          <w:rFonts w:ascii="Times New Roman" w:hAnsi="Times New Roman" w:cs="Times New Roman"/>
          <w:noProof/>
          <w:sz w:val="28"/>
          <w:szCs w:val="24"/>
          <w:lang w:val="en-US"/>
        </w:rPr>
        <w:tab/>
        <w:t>Movérare R. et al. Mugwort-sensitized individuals from North Europe, South Europe and North America show different IgE reactivity patterns // Int. Arch. Allergy Immunol. - 2011. - Vol. 154, № 2. - P. 164–172.</w:t>
      </w:r>
    </w:p>
    <w:p w14:paraId="75CBDE34" w14:textId="77777777" w:rsidR="00C72046" w:rsidRDefault="00C72046" w:rsidP="00C72046">
      <w:pPr>
        <w:widowControl w:val="0"/>
        <w:tabs>
          <w:tab w:val="left" w:pos="142"/>
          <w:tab w:val="left" w:pos="567"/>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157</w:t>
      </w:r>
      <w:r>
        <w:rPr>
          <w:rFonts w:ascii="Times New Roman" w:hAnsi="Times New Roman" w:cs="Times New Roman"/>
          <w:noProof/>
          <w:sz w:val="28"/>
          <w:szCs w:val="24"/>
          <w:lang w:val="en-US"/>
        </w:rPr>
        <w:tab/>
        <w:t>Sastre J. et al. How molecular diagnosis can change allergen-specific immunotherapy prescription in a complex pollen area // Allergy. - 2012. - Vol. 67, № 5. - P. 709–711.</w:t>
      </w:r>
    </w:p>
    <w:p w14:paraId="291861E2" w14:textId="77777777" w:rsidR="00C72046" w:rsidRDefault="00C72046" w:rsidP="00C72046">
      <w:pPr>
        <w:widowControl w:val="0"/>
        <w:tabs>
          <w:tab w:val="left" w:pos="142"/>
          <w:tab w:val="left" w:pos="567"/>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158</w:t>
      </w:r>
      <w:r>
        <w:rPr>
          <w:rFonts w:ascii="Times New Roman" w:hAnsi="Times New Roman" w:cs="Times New Roman"/>
          <w:noProof/>
          <w:sz w:val="28"/>
          <w:szCs w:val="24"/>
          <w:lang w:val="en-US"/>
        </w:rPr>
        <w:tab/>
        <w:t>Letrán A., Espinazo M., Moreno F. Measurement of IgE to pollen allergen components is helpful in selecting patients for immunotherapy // Ann. Allergy, Asthma Immunol. American College of Allergy, Asthma &amp; Immunology. - 2013. - Vol. 111, № 4. - P. 295–297.</w:t>
      </w:r>
    </w:p>
    <w:p w14:paraId="276FF1A5" w14:textId="77777777" w:rsidR="00C72046" w:rsidRDefault="00C72046" w:rsidP="00C72046">
      <w:pPr>
        <w:widowControl w:val="0"/>
        <w:tabs>
          <w:tab w:val="left" w:pos="142"/>
          <w:tab w:val="left" w:pos="567"/>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159</w:t>
      </w:r>
      <w:r>
        <w:rPr>
          <w:rFonts w:ascii="Times New Roman" w:hAnsi="Times New Roman" w:cs="Times New Roman"/>
          <w:noProof/>
          <w:sz w:val="28"/>
          <w:szCs w:val="24"/>
          <w:lang w:val="en-US"/>
        </w:rPr>
        <w:tab/>
        <w:t>Moreno C. et al. Olive, grass or both? Molecular diagnosis for the allergen immunotherapy selection in polysensitized pollinic patients // Allergy. - 2014. - Vol. 69, № 10. - P. 1357–1363.</w:t>
      </w:r>
    </w:p>
    <w:p w14:paraId="0C9618EB"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160</w:t>
      </w:r>
      <w:r>
        <w:rPr>
          <w:rFonts w:ascii="Times New Roman" w:hAnsi="Times New Roman" w:cs="Times New Roman"/>
          <w:noProof/>
          <w:sz w:val="28"/>
          <w:szCs w:val="24"/>
          <w:lang w:val="en-US"/>
        </w:rPr>
        <w:tab/>
        <w:t>Stringari G. et al. The effect of component-resolved diagnosis on specific immunotherapy prescription in children with hay fever // J Allergy Clin Immunol. -  2014. Vol.134, №1. - P.75-81.</w:t>
      </w:r>
    </w:p>
    <w:p w14:paraId="754697E8"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161</w:t>
      </w:r>
      <w:r>
        <w:rPr>
          <w:rFonts w:ascii="Times New Roman" w:hAnsi="Times New Roman" w:cs="Times New Roman"/>
          <w:noProof/>
          <w:sz w:val="28"/>
          <w:szCs w:val="24"/>
          <w:lang w:val="en-US"/>
        </w:rPr>
        <w:tab/>
        <w:t>Darsow U. et al. Heterogeneity of molecular sensitization profiles in grass pollen allergy - implications for immunotherapy? // Clin. Ex- P. Allergy. - 2014. - Vol. 44, № 5. - P. 778–786.</w:t>
      </w:r>
    </w:p>
    <w:p w14:paraId="303E8363"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162</w:t>
      </w:r>
      <w:r>
        <w:rPr>
          <w:rFonts w:ascii="Times New Roman" w:hAnsi="Times New Roman" w:cs="Times New Roman"/>
          <w:noProof/>
          <w:sz w:val="28"/>
          <w:szCs w:val="24"/>
          <w:lang w:val="en-US"/>
        </w:rPr>
        <w:tab/>
        <w:t>Schmid J.M. et al. Pretreatment IgE sensitization patterns determine the molecular profile of the IgG4 response during updosing of subcutaneous immunotherapy with timothy grass pollen extract // J. Allergy Clin. Immunol. - 2016. - Vol. 137, № 2. - P. 562–570.</w:t>
      </w:r>
    </w:p>
    <w:p w14:paraId="69433A37"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163</w:t>
      </w:r>
      <w:r>
        <w:rPr>
          <w:rFonts w:ascii="Times New Roman" w:hAnsi="Times New Roman" w:cs="Times New Roman"/>
          <w:noProof/>
          <w:sz w:val="28"/>
          <w:szCs w:val="24"/>
          <w:lang w:val="en-US"/>
        </w:rPr>
        <w:tab/>
        <w:t>Luo W. et al. A component-resolved diagnostic approach for a study on grass pollen allergens in chinese southerners with allergic rhinitis and/or asthma // J. Vis. Ex- P. - 2017. - Vol. - 2017, № 124. - P. 1–7.</w:t>
      </w:r>
    </w:p>
    <w:p w14:paraId="531D343C"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164</w:t>
      </w:r>
      <w:r>
        <w:rPr>
          <w:rFonts w:ascii="Times New Roman" w:hAnsi="Times New Roman" w:cs="Times New Roman"/>
          <w:noProof/>
          <w:sz w:val="28"/>
          <w:szCs w:val="24"/>
          <w:lang w:val="en-US"/>
        </w:rPr>
        <w:tab/>
        <w:t>Martinez-Cañavate A, Torres Borrego J, Molina Terán AB; Corzo Higueras JL, García Figueroa BE, Rodríguez Pacheco R, Moreno Aguilar C D.I. Molecular sensitization patterns and influence of molecular diagnosis in immunotherapy prescription in children sensitized to both grass and olive pollen // Int. J. Lab. Hematol. - 2018. - Vol. 29, № 4. - P. 369–374.</w:t>
      </w:r>
    </w:p>
    <w:p w14:paraId="2269BCFD"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165</w:t>
      </w:r>
      <w:r>
        <w:rPr>
          <w:rFonts w:ascii="Times New Roman" w:hAnsi="Times New Roman" w:cs="Times New Roman"/>
          <w:noProof/>
          <w:sz w:val="28"/>
          <w:szCs w:val="24"/>
          <w:lang w:val="en-US"/>
        </w:rPr>
        <w:tab/>
        <w:t>Del-Río Camacho G. et al. How molecular diagnosis may modify immunotherapy prescription in multi-sensitized pollen-allergic children // Allergol. Immunopathol. (Madr). SEICAP. - 2018. - Vol. 46, № 6. - P. 552–556.</w:t>
      </w:r>
    </w:p>
    <w:p w14:paraId="4D83EB8F"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166</w:t>
      </w:r>
      <w:r>
        <w:rPr>
          <w:rFonts w:ascii="Times New Roman" w:hAnsi="Times New Roman" w:cs="Times New Roman"/>
          <w:noProof/>
          <w:sz w:val="28"/>
          <w:szCs w:val="24"/>
          <w:lang w:val="en-US"/>
        </w:rPr>
        <w:tab/>
        <w:t>Hu H. et al. A pilot study on the allergen-speci fi c IgE to molecular components on polysensitized mite allergic asthmatic patients in Guangzhou , China // Mol. Immunol. Elsevier. - 2019. - Vol. 105. - P. 38–45.</w:t>
      </w:r>
    </w:p>
    <w:p w14:paraId="58F0A8E3"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167</w:t>
      </w:r>
      <w:r>
        <w:rPr>
          <w:rFonts w:ascii="Times New Roman" w:hAnsi="Times New Roman" w:cs="Times New Roman"/>
          <w:noProof/>
          <w:sz w:val="28"/>
          <w:szCs w:val="24"/>
          <w:lang w:val="en-US"/>
        </w:rPr>
        <w:tab/>
        <w:t>Haidar L. et al. Symptom patterns and comparison of diagnostic methods in ragweed pollen allergy // Ex- P. Ther. Med. - 2021. - Vol. 21, № 5. - P. 1–10.</w:t>
      </w:r>
    </w:p>
    <w:p w14:paraId="238BE170"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168</w:t>
      </w:r>
      <w:r>
        <w:rPr>
          <w:rFonts w:ascii="Times New Roman" w:hAnsi="Times New Roman" w:cs="Times New Roman"/>
          <w:noProof/>
          <w:sz w:val="28"/>
          <w:szCs w:val="24"/>
          <w:lang w:val="en-US"/>
        </w:rPr>
        <w:tab/>
        <w:t>Bukhari A.F., Felemban M.J., Alem H. The Association Between Serum 25-Hydroxyvitamin D Levels and Patients With Allergic Rhinitis. - 2020. - Vol. 12, № 8. - P. e9762.</w:t>
      </w:r>
    </w:p>
    <w:p w14:paraId="4854386A"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169</w:t>
      </w:r>
      <w:r>
        <w:rPr>
          <w:rFonts w:ascii="Times New Roman" w:hAnsi="Times New Roman" w:cs="Times New Roman"/>
          <w:noProof/>
          <w:sz w:val="28"/>
          <w:szCs w:val="24"/>
          <w:lang w:val="en-US"/>
        </w:rPr>
        <w:tab/>
        <w:t>Palomares O. et al. Mechanisms of immune regulation in allergic diseases: the role of regulatory T and B cells // Immunol. Rev. - 2017. - Vol. 278, № 1. - P. 219–236.</w:t>
      </w:r>
    </w:p>
    <w:p w14:paraId="62051339"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170</w:t>
      </w:r>
      <w:r>
        <w:rPr>
          <w:rFonts w:ascii="Times New Roman" w:hAnsi="Times New Roman" w:cs="Times New Roman"/>
          <w:noProof/>
          <w:sz w:val="28"/>
          <w:szCs w:val="24"/>
          <w:lang w:val="en-US"/>
        </w:rPr>
        <w:tab/>
        <w:t>Nayak A.S. et al. Safety of ragweed sublingual allergy immunotherapy tablets in adults with allergic rhinoconjunctivitis // Allergy Asthma Proc. - 2012. - Vol. 33, № 5. - P. 404–410.</w:t>
      </w:r>
    </w:p>
    <w:p w14:paraId="77BF4DF1" w14:textId="77A5D1E8" w:rsidR="00C72046" w:rsidRDefault="004B427B"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171</w:t>
      </w:r>
      <w:r>
        <w:rPr>
          <w:rFonts w:ascii="Times New Roman" w:hAnsi="Times New Roman" w:cs="Times New Roman"/>
          <w:noProof/>
          <w:sz w:val="28"/>
          <w:szCs w:val="24"/>
        </w:rPr>
        <w:tab/>
        <w:t>Абдушукурова Г.З.</w:t>
      </w:r>
      <w:r w:rsidR="00C72046">
        <w:rPr>
          <w:rFonts w:ascii="Times New Roman" w:hAnsi="Times New Roman" w:cs="Times New Roman"/>
          <w:noProof/>
          <w:sz w:val="28"/>
          <w:szCs w:val="24"/>
        </w:rPr>
        <w:t xml:space="preserve"> Клинико-эпидемиологические особенности менеджмента астмы в Южном Казахстане с точки зрения современных международных рекомендаций: </w:t>
      </w:r>
      <w:r w:rsidR="00C72046">
        <w:rPr>
          <w:rFonts w:ascii="TimesNewRomanPSMT" w:hAnsi="TimesNewRomanPSMT"/>
          <w:color w:val="000000"/>
          <w:sz w:val="28"/>
          <w:szCs w:val="28"/>
        </w:rPr>
        <w:t>дис. … док. PhD:</w:t>
      </w:r>
      <w:r w:rsidR="00C72046">
        <w:rPr>
          <w:rFonts w:ascii="Times New Roman" w:hAnsi="Times New Roman" w:cs="Times New Roman"/>
          <w:noProof/>
          <w:sz w:val="28"/>
          <w:szCs w:val="24"/>
        </w:rPr>
        <w:t xml:space="preserve"> </w:t>
      </w:r>
      <w:r w:rsidR="00C72046">
        <w:rPr>
          <w:rFonts w:ascii="TimesNewRomanPSMT" w:hAnsi="TimesNewRomanPSMT"/>
          <w:color w:val="000000"/>
          <w:sz w:val="28"/>
          <w:szCs w:val="28"/>
        </w:rPr>
        <w:t>6D110100. –</w:t>
      </w:r>
      <w:r w:rsidR="00C72046">
        <w:rPr>
          <w:rFonts w:ascii="Times New Roman" w:hAnsi="Times New Roman" w:cs="Times New Roman"/>
          <w:noProof/>
          <w:sz w:val="28"/>
          <w:szCs w:val="24"/>
        </w:rPr>
        <w:t xml:space="preserve"> Туркестан, 2016. - 114 с.</w:t>
      </w:r>
    </w:p>
    <w:p w14:paraId="011E0766"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172</w:t>
      </w:r>
      <w:r>
        <w:rPr>
          <w:rFonts w:ascii="Times New Roman" w:hAnsi="Times New Roman" w:cs="Times New Roman"/>
          <w:noProof/>
          <w:sz w:val="28"/>
          <w:szCs w:val="24"/>
        </w:rPr>
        <w:tab/>
        <w:t>Измайлович М.Р., Газалиева М.А., Глушкова Н.Е. Взаимосвязь уровня эозинофильного катионного белка, общего иммуноглобулина Е и степени тяжести сезонного аллергического ринита // Интернаука. - 2020. - Т. 193, № 46. - С. 152–156.</w:t>
      </w:r>
    </w:p>
    <w:p w14:paraId="780E7672"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173</w:t>
      </w:r>
      <w:r>
        <w:rPr>
          <w:rFonts w:ascii="Times New Roman" w:hAnsi="Times New Roman" w:cs="Times New Roman"/>
          <w:noProof/>
          <w:sz w:val="28"/>
          <w:szCs w:val="24"/>
        </w:rPr>
        <w:tab/>
        <w:t>Измайлович М.Р. et al. Витамин Д как биомаркер эффективности аллерген-специфической иммунотерапии при сезонном аллергическом рините // Интернаука. - 2021. - Т. 178, № 2. - С. 43–46.</w:t>
      </w:r>
    </w:p>
    <w:p w14:paraId="5DE2DB90" w14:textId="6B6B9323"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174</w:t>
      </w:r>
      <w:r>
        <w:rPr>
          <w:rFonts w:ascii="Times New Roman" w:hAnsi="Times New Roman" w:cs="Times New Roman"/>
          <w:noProof/>
          <w:sz w:val="28"/>
          <w:szCs w:val="24"/>
          <w:lang w:val="en-US"/>
        </w:rPr>
        <w:tab/>
        <w:t>Westwood M. et al. Im</w:t>
      </w:r>
      <w:r w:rsidR="00535DE3">
        <w:rPr>
          <w:rFonts w:ascii="Times New Roman" w:hAnsi="Times New Roman" w:cs="Times New Roman"/>
          <w:noProof/>
          <w:sz w:val="28"/>
          <w:szCs w:val="24"/>
          <w:lang w:val="en-US"/>
        </w:rPr>
        <w:t>munocap</w:t>
      </w:r>
      <w:r w:rsidR="00535DE3" w:rsidRPr="00535DE3">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ISAC and microtest for multiplex allergen testing in people with difficult to manage allergic disease: A systematic review and cost analysis // Health Technol. Assess. (Rockv). - 2016. - Vol. - 20, № 67. - P. 1-178.</w:t>
      </w:r>
    </w:p>
    <w:p w14:paraId="630E1B1F"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175</w:t>
      </w:r>
      <w:r>
        <w:rPr>
          <w:rFonts w:ascii="Times New Roman" w:hAnsi="Times New Roman" w:cs="Times New Roman"/>
          <w:noProof/>
          <w:sz w:val="28"/>
          <w:szCs w:val="24"/>
          <w:lang w:val="en-US"/>
        </w:rPr>
        <w:tab/>
        <w:t>Urry Z.L. et al. Depigmented-polymerised allergoids favour regulatory over effector T cells: Enhancement by 1</w:t>
      </w:r>
      <w:r>
        <w:rPr>
          <w:rFonts w:ascii="Times New Roman" w:hAnsi="Times New Roman" w:cs="Times New Roman"/>
          <w:noProof/>
          <w:sz w:val="28"/>
          <w:szCs w:val="24"/>
        </w:rPr>
        <w:t>α</w:t>
      </w:r>
      <w:r>
        <w:rPr>
          <w:rFonts w:ascii="Times New Roman" w:hAnsi="Times New Roman" w:cs="Times New Roman"/>
          <w:noProof/>
          <w:sz w:val="28"/>
          <w:szCs w:val="24"/>
          <w:lang w:val="en-US"/>
        </w:rPr>
        <w:t>, 25-dihydroxyvitamin D3 // BMC Immunol. - 2014. - Vol. 15, № 1. - P. 4–11.</w:t>
      </w:r>
    </w:p>
    <w:p w14:paraId="2F335F1C"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176</w:t>
      </w:r>
      <w:r>
        <w:rPr>
          <w:rFonts w:ascii="Times New Roman" w:hAnsi="Times New Roman" w:cs="Times New Roman"/>
          <w:noProof/>
          <w:sz w:val="28"/>
          <w:szCs w:val="24"/>
          <w:lang w:val="en-US"/>
        </w:rPr>
        <w:tab/>
        <w:t>Sharma M. et al. Role of vitamin D supplementation in asthma and seasonal allergic rhinitis in eastern India // Asian J. Med. Sci. - 2017. - Vol. 8, № 3. - P. 26–29.</w:t>
      </w:r>
    </w:p>
    <w:p w14:paraId="60D48FC2"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lang w:val="en-US"/>
        </w:rPr>
        <w:t>177</w:t>
      </w:r>
      <w:r>
        <w:rPr>
          <w:rFonts w:ascii="Times New Roman" w:hAnsi="Times New Roman" w:cs="Times New Roman"/>
          <w:noProof/>
          <w:sz w:val="28"/>
          <w:szCs w:val="24"/>
          <w:lang w:val="en-US"/>
        </w:rPr>
        <w:tab/>
        <w:t xml:space="preserve">Petrarca C. et al. Vitamin D3 improves the effects of low dose Der p 2 allergoid treatment in Der p 2 sensitized BALB / c mice // Clin. Mol. </w:t>
      </w:r>
      <w:r>
        <w:rPr>
          <w:rFonts w:ascii="Times New Roman" w:hAnsi="Times New Roman" w:cs="Times New Roman"/>
          <w:noProof/>
          <w:sz w:val="28"/>
          <w:szCs w:val="24"/>
        </w:rPr>
        <w:t>Allergy. BioMed Central. - 2016. - P. 1–10.</w:t>
      </w:r>
    </w:p>
    <w:p w14:paraId="559BF678"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178</w:t>
      </w:r>
      <w:r>
        <w:rPr>
          <w:rFonts w:ascii="Times New Roman" w:hAnsi="Times New Roman" w:cs="Times New Roman"/>
          <w:noProof/>
          <w:sz w:val="28"/>
          <w:szCs w:val="24"/>
        </w:rPr>
        <w:tab/>
        <w:t>Измайлович М.Р. et al. Корреляция эозинофильного катионного белка и общего иммуноглобулина Е у подростков с сезонным аллергическим ринитом в Карагандинской области // Вестник КазНМУ. - 2020. - Т. 2. - С. 46–53.</w:t>
      </w:r>
    </w:p>
    <w:p w14:paraId="5B4B3022" w14:textId="5E470228"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szCs w:val="24"/>
        </w:rPr>
      </w:pPr>
      <w:r>
        <w:rPr>
          <w:rFonts w:ascii="Times New Roman" w:hAnsi="Times New Roman" w:cs="Times New Roman"/>
          <w:noProof/>
          <w:sz w:val="28"/>
          <w:szCs w:val="24"/>
        </w:rPr>
        <w:t>179</w:t>
      </w:r>
      <w:r>
        <w:rPr>
          <w:rFonts w:ascii="Times New Roman" w:hAnsi="Times New Roman" w:cs="Times New Roman"/>
          <w:noProof/>
          <w:sz w:val="28"/>
          <w:szCs w:val="24"/>
        </w:rPr>
        <w:tab/>
        <w:t xml:space="preserve">Валиева С.Р. et al. Корреляционный анализ лабораторных показателей при сезонном аллергическом </w:t>
      </w:r>
      <w:r w:rsidR="00C31BE6">
        <w:rPr>
          <w:rFonts w:ascii="Times New Roman" w:hAnsi="Times New Roman" w:cs="Times New Roman"/>
          <w:noProof/>
          <w:sz w:val="28"/>
          <w:szCs w:val="24"/>
        </w:rPr>
        <w:t>рините в Карагандинской области</w:t>
      </w:r>
      <w:r>
        <w:rPr>
          <w:rFonts w:ascii="Times New Roman" w:hAnsi="Times New Roman" w:cs="Times New Roman"/>
          <w:noProof/>
          <w:sz w:val="28"/>
          <w:szCs w:val="24"/>
        </w:rPr>
        <w:t xml:space="preserve"> // Juvenis Sci. - 2022. - Т. 8, № 3. - С. 5–14.</w:t>
      </w:r>
    </w:p>
    <w:p w14:paraId="6E8280AF" w14:textId="77777777" w:rsidR="00C72046" w:rsidRDefault="00C72046" w:rsidP="00C72046">
      <w:pPr>
        <w:widowControl w:val="0"/>
        <w:tabs>
          <w:tab w:val="left" w:pos="142"/>
          <w:tab w:val="left" w:pos="426"/>
          <w:tab w:val="left" w:pos="1134"/>
        </w:tabs>
        <w:autoSpaceDE w:val="0"/>
        <w:autoSpaceDN w:val="0"/>
        <w:adjustRightInd w:val="0"/>
        <w:spacing w:after="0" w:line="240" w:lineRule="auto"/>
        <w:ind w:firstLine="567"/>
        <w:jc w:val="both"/>
        <w:rPr>
          <w:rFonts w:ascii="Times New Roman" w:hAnsi="Times New Roman" w:cs="Times New Roman"/>
          <w:noProof/>
          <w:sz w:val="28"/>
        </w:rPr>
      </w:pPr>
      <w:r>
        <w:rPr>
          <w:rFonts w:ascii="Times New Roman" w:hAnsi="Times New Roman" w:cs="Times New Roman"/>
          <w:noProof/>
          <w:sz w:val="28"/>
          <w:szCs w:val="24"/>
        </w:rPr>
        <w:t>180</w:t>
      </w:r>
      <w:r>
        <w:rPr>
          <w:rFonts w:ascii="Times New Roman" w:hAnsi="Times New Roman" w:cs="Times New Roman"/>
          <w:noProof/>
          <w:sz w:val="28"/>
          <w:szCs w:val="24"/>
        </w:rPr>
        <w:tab/>
        <w:t xml:space="preserve">Валиева С.Р. et al. Связь тяжести сезонного аллергического ринита со статусом витамина д у пациентов с сезонным аллергическим ринитом // ХVI Международная научно-практическая конференция «Global Science and Innovations - 2022: Central Asia». - 2022. - Т. 2, № 16. - С. 65–69. </w:t>
      </w:r>
    </w:p>
    <w:p w14:paraId="3D57B2B9" w14:textId="3E5EB061" w:rsidR="00EC38CC" w:rsidRDefault="00EC38CC">
      <w:pPr>
        <w:rPr>
          <w:rFonts w:ascii="Times New Roman" w:hAnsi="Times New Roman" w:cs="Times New Roman"/>
          <w:sz w:val="28"/>
          <w:szCs w:val="28"/>
        </w:rPr>
      </w:pPr>
      <w:r>
        <w:rPr>
          <w:rFonts w:ascii="Times New Roman" w:hAnsi="Times New Roman" w:cs="Times New Roman"/>
          <w:sz w:val="28"/>
          <w:szCs w:val="28"/>
        </w:rPr>
        <w:br w:type="page"/>
      </w:r>
    </w:p>
    <w:p w14:paraId="15098330" w14:textId="3BBEA57C" w:rsidR="00956E74" w:rsidRDefault="00D00AEA" w:rsidP="00956E74">
      <w:pPr>
        <w:keepNext/>
        <w:keepLines/>
        <w:spacing w:after="0" w:line="240" w:lineRule="auto"/>
        <w:jc w:val="center"/>
        <w:outlineLvl w:val="0"/>
        <w:rPr>
          <w:rFonts w:ascii="Times New Roman" w:eastAsiaTheme="majorEastAsia" w:hAnsi="Times New Roman" w:cs="Times New Roman"/>
          <w:b/>
          <w:sz w:val="28"/>
          <w:szCs w:val="28"/>
        </w:rPr>
      </w:pPr>
      <w:bookmarkStart w:id="61" w:name="_Toc137904369"/>
      <w:bookmarkStart w:id="62" w:name="_Toc58947760"/>
      <w:r w:rsidRPr="00D00AEA">
        <w:rPr>
          <w:rFonts w:ascii="Times New Roman" w:eastAsiaTheme="majorEastAsia" w:hAnsi="Times New Roman" w:cs="Times New Roman"/>
          <w:b/>
          <w:sz w:val="28"/>
          <w:szCs w:val="28"/>
        </w:rPr>
        <w:t>ПРИЛОЖЕНИЕ А</w:t>
      </w:r>
      <w:bookmarkEnd w:id="61"/>
    </w:p>
    <w:p w14:paraId="0E2B2C7C" w14:textId="77777777" w:rsidR="00C349E9" w:rsidRDefault="00C349E9" w:rsidP="00C349E9">
      <w:pPr>
        <w:spacing w:after="0" w:line="240" w:lineRule="auto"/>
        <w:jc w:val="center"/>
        <w:rPr>
          <w:rFonts w:ascii="Times New Roman" w:hAnsi="Times New Roman" w:cs="Times New Roman"/>
          <w:sz w:val="28"/>
          <w:szCs w:val="28"/>
        </w:rPr>
      </w:pPr>
    </w:p>
    <w:p w14:paraId="29563FE1" w14:textId="77777777" w:rsidR="00C349E9" w:rsidRDefault="00C349E9" w:rsidP="00C349E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Акты внедрения</w:t>
      </w:r>
    </w:p>
    <w:p w14:paraId="6CDD625E" w14:textId="77777777" w:rsidR="00C349E9" w:rsidRDefault="00C349E9" w:rsidP="00C349E9">
      <w:pPr>
        <w:spacing w:after="0" w:line="240" w:lineRule="auto"/>
        <w:jc w:val="center"/>
        <w:rPr>
          <w:rFonts w:ascii="Times New Roman" w:hAnsi="Times New Roman" w:cs="Times New Roman"/>
          <w:sz w:val="28"/>
          <w:szCs w:val="28"/>
        </w:rPr>
      </w:pPr>
      <w:r>
        <w:rPr>
          <w:noProof/>
          <w:lang w:eastAsia="ru-RU"/>
        </w:rPr>
        <w:drawing>
          <wp:inline distT="0" distB="0" distL="0" distR="0" wp14:anchorId="45FF9153" wp14:editId="7876E41B">
            <wp:extent cx="5794001" cy="718512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3075" b="9241"/>
                    <a:stretch/>
                  </pic:blipFill>
                  <pic:spPr bwMode="auto">
                    <a:xfrm>
                      <a:off x="0" y="0"/>
                      <a:ext cx="5796446" cy="7188152"/>
                    </a:xfrm>
                    <a:prstGeom prst="rect">
                      <a:avLst/>
                    </a:prstGeom>
                    <a:ln>
                      <a:noFill/>
                    </a:ln>
                    <a:extLst>
                      <a:ext uri="{53640926-AAD7-44D8-BBD7-CCE9431645EC}">
                        <a14:shadowObscured xmlns:a14="http://schemas.microsoft.com/office/drawing/2010/main"/>
                      </a:ext>
                    </a:extLst>
                  </pic:spPr>
                </pic:pic>
              </a:graphicData>
            </a:graphic>
          </wp:inline>
        </w:drawing>
      </w:r>
    </w:p>
    <w:p w14:paraId="0413A2DE" w14:textId="77777777" w:rsidR="00C349E9" w:rsidRDefault="00C349E9" w:rsidP="00C349E9">
      <w:pPr>
        <w:spacing w:after="0" w:line="240" w:lineRule="auto"/>
        <w:jc w:val="center"/>
        <w:rPr>
          <w:rFonts w:ascii="Times New Roman" w:hAnsi="Times New Roman" w:cs="Times New Roman"/>
          <w:sz w:val="28"/>
          <w:szCs w:val="28"/>
        </w:rPr>
      </w:pPr>
    </w:p>
    <w:p w14:paraId="005BD5BA" w14:textId="77777777" w:rsidR="00C349E9" w:rsidRDefault="00C349E9" w:rsidP="00C349E9">
      <w:pPr>
        <w:spacing w:after="0" w:line="240" w:lineRule="auto"/>
        <w:jc w:val="center"/>
        <w:rPr>
          <w:rFonts w:ascii="Times New Roman" w:hAnsi="Times New Roman" w:cs="Times New Roman"/>
          <w:sz w:val="28"/>
          <w:szCs w:val="28"/>
        </w:rPr>
      </w:pPr>
    </w:p>
    <w:p w14:paraId="5E22E116" w14:textId="77777777" w:rsidR="00C349E9" w:rsidRDefault="00C349E9" w:rsidP="00C349E9">
      <w:pPr>
        <w:spacing w:after="0" w:line="240" w:lineRule="auto"/>
        <w:jc w:val="center"/>
        <w:rPr>
          <w:rFonts w:ascii="Times New Roman" w:hAnsi="Times New Roman" w:cs="Times New Roman"/>
          <w:sz w:val="28"/>
          <w:szCs w:val="28"/>
        </w:rPr>
      </w:pPr>
      <w:r>
        <w:rPr>
          <w:noProof/>
          <w:lang w:eastAsia="ru-RU"/>
        </w:rPr>
        <w:drawing>
          <wp:inline distT="0" distB="0" distL="0" distR="0" wp14:anchorId="0419E08A" wp14:editId="6FC7C401">
            <wp:extent cx="6120130" cy="7689215"/>
            <wp:effectExtent l="0" t="0" r="0" b="698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11162"/>
                    <a:stretch/>
                  </pic:blipFill>
                  <pic:spPr bwMode="auto">
                    <a:xfrm>
                      <a:off x="0" y="0"/>
                      <a:ext cx="6120130" cy="7689215"/>
                    </a:xfrm>
                    <a:prstGeom prst="rect">
                      <a:avLst/>
                    </a:prstGeom>
                    <a:ln>
                      <a:noFill/>
                    </a:ln>
                    <a:extLst>
                      <a:ext uri="{53640926-AAD7-44D8-BBD7-CCE9431645EC}">
                        <a14:shadowObscured xmlns:a14="http://schemas.microsoft.com/office/drawing/2010/main"/>
                      </a:ext>
                    </a:extLst>
                  </pic:spPr>
                </pic:pic>
              </a:graphicData>
            </a:graphic>
          </wp:inline>
        </w:drawing>
      </w:r>
    </w:p>
    <w:p w14:paraId="7B2202C0" w14:textId="77777777" w:rsidR="00C349E9" w:rsidRDefault="00C349E9" w:rsidP="00C349E9">
      <w:pPr>
        <w:spacing w:after="0" w:line="240" w:lineRule="auto"/>
        <w:jc w:val="center"/>
        <w:rPr>
          <w:rFonts w:ascii="Times New Roman" w:hAnsi="Times New Roman" w:cs="Times New Roman"/>
          <w:sz w:val="28"/>
          <w:szCs w:val="28"/>
        </w:rPr>
      </w:pPr>
    </w:p>
    <w:p w14:paraId="62D06E58" w14:textId="77777777" w:rsidR="00C349E9" w:rsidRDefault="00C349E9" w:rsidP="00C349E9">
      <w:pPr>
        <w:spacing w:after="0" w:line="240" w:lineRule="auto"/>
        <w:jc w:val="center"/>
        <w:rPr>
          <w:rFonts w:ascii="Times New Roman" w:hAnsi="Times New Roman" w:cs="Times New Roman"/>
          <w:sz w:val="28"/>
          <w:szCs w:val="28"/>
        </w:rPr>
      </w:pPr>
      <w:r>
        <w:rPr>
          <w:noProof/>
          <w:lang w:eastAsia="ru-RU"/>
        </w:rPr>
        <w:drawing>
          <wp:inline distT="0" distB="0" distL="0" distR="0" wp14:anchorId="5DB74B34" wp14:editId="5BCCF902">
            <wp:extent cx="6120130" cy="7725410"/>
            <wp:effectExtent l="0" t="0" r="0"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10745"/>
                    <a:stretch/>
                  </pic:blipFill>
                  <pic:spPr bwMode="auto">
                    <a:xfrm>
                      <a:off x="0" y="0"/>
                      <a:ext cx="6120130" cy="7725410"/>
                    </a:xfrm>
                    <a:prstGeom prst="rect">
                      <a:avLst/>
                    </a:prstGeom>
                    <a:ln>
                      <a:noFill/>
                    </a:ln>
                    <a:extLst>
                      <a:ext uri="{53640926-AAD7-44D8-BBD7-CCE9431645EC}">
                        <a14:shadowObscured xmlns:a14="http://schemas.microsoft.com/office/drawing/2010/main"/>
                      </a:ext>
                    </a:extLst>
                  </pic:spPr>
                </pic:pic>
              </a:graphicData>
            </a:graphic>
          </wp:inline>
        </w:drawing>
      </w:r>
    </w:p>
    <w:p w14:paraId="712603B4" w14:textId="77777777" w:rsidR="00C349E9" w:rsidRDefault="00C349E9" w:rsidP="00C349E9">
      <w:pPr>
        <w:spacing w:after="0" w:line="240" w:lineRule="auto"/>
        <w:jc w:val="center"/>
        <w:rPr>
          <w:rFonts w:ascii="Times New Roman" w:hAnsi="Times New Roman" w:cs="Times New Roman"/>
          <w:sz w:val="28"/>
          <w:szCs w:val="28"/>
        </w:rPr>
      </w:pPr>
    </w:p>
    <w:p w14:paraId="5A68F325" w14:textId="77777777" w:rsidR="00C349E9" w:rsidRDefault="00C349E9" w:rsidP="00C349E9">
      <w:pPr>
        <w:spacing w:after="0" w:line="240" w:lineRule="auto"/>
        <w:jc w:val="center"/>
        <w:rPr>
          <w:rFonts w:ascii="Times New Roman" w:hAnsi="Times New Roman" w:cs="Times New Roman"/>
          <w:sz w:val="28"/>
          <w:szCs w:val="28"/>
        </w:rPr>
      </w:pPr>
      <w:r>
        <w:rPr>
          <w:noProof/>
          <w:lang w:eastAsia="ru-RU"/>
        </w:rPr>
        <w:drawing>
          <wp:inline distT="0" distB="0" distL="0" distR="0" wp14:anchorId="6179A9E0" wp14:editId="1376E2A6">
            <wp:extent cx="6119899" cy="7574100"/>
            <wp:effectExtent l="0" t="0" r="0" b="825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4492" b="8001"/>
                    <a:stretch/>
                  </pic:blipFill>
                  <pic:spPr bwMode="auto">
                    <a:xfrm>
                      <a:off x="0" y="0"/>
                      <a:ext cx="6120130" cy="7574385"/>
                    </a:xfrm>
                    <a:prstGeom prst="rect">
                      <a:avLst/>
                    </a:prstGeom>
                    <a:ln>
                      <a:noFill/>
                    </a:ln>
                    <a:extLst>
                      <a:ext uri="{53640926-AAD7-44D8-BBD7-CCE9431645EC}">
                        <a14:shadowObscured xmlns:a14="http://schemas.microsoft.com/office/drawing/2010/main"/>
                      </a:ext>
                    </a:extLst>
                  </pic:spPr>
                </pic:pic>
              </a:graphicData>
            </a:graphic>
          </wp:inline>
        </w:drawing>
      </w:r>
    </w:p>
    <w:p w14:paraId="0744BBDF" w14:textId="77777777" w:rsidR="00C349E9" w:rsidRDefault="00C349E9" w:rsidP="00C349E9">
      <w:pPr>
        <w:spacing w:after="0" w:line="240" w:lineRule="auto"/>
        <w:jc w:val="center"/>
        <w:rPr>
          <w:rFonts w:ascii="Times New Roman" w:hAnsi="Times New Roman" w:cs="Times New Roman"/>
          <w:sz w:val="28"/>
          <w:szCs w:val="28"/>
        </w:rPr>
      </w:pPr>
    </w:p>
    <w:p w14:paraId="72E7FCED" w14:textId="77777777" w:rsidR="00C349E9" w:rsidRDefault="00C349E9" w:rsidP="00C349E9">
      <w:pPr>
        <w:spacing w:after="0" w:line="240" w:lineRule="auto"/>
        <w:jc w:val="center"/>
        <w:rPr>
          <w:rFonts w:ascii="Times New Roman" w:hAnsi="Times New Roman" w:cs="Times New Roman"/>
          <w:sz w:val="28"/>
          <w:szCs w:val="28"/>
        </w:rPr>
      </w:pPr>
      <w:r>
        <w:rPr>
          <w:noProof/>
          <w:lang w:eastAsia="ru-RU"/>
        </w:rPr>
        <w:drawing>
          <wp:inline distT="0" distB="0" distL="0" distR="0" wp14:anchorId="52E1BFD6" wp14:editId="39896429">
            <wp:extent cx="6119748" cy="753070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4576" b="8417"/>
                    <a:stretch/>
                  </pic:blipFill>
                  <pic:spPr bwMode="auto">
                    <a:xfrm>
                      <a:off x="0" y="0"/>
                      <a:ext cx="6120130" cy="7531175"/>
                    </a:xfrm>
                    <a:prstGeom prst="rect">
                      <a:avLst/>
                    </a:prstGeom>
                    <a:ln>
                      <a:noFill/>
                    </a:ln>
                    <a:extLst>
                      <a:ext uri="{53640926-AAD7-44D8-BBD7-CCE9431645EC}">
                        <a14:shadowObscured xmlns:a14="http://schemas.microsoft.com/office/drawing/2010/main"/>
                      </a:ext>
                    </a:extLst>
                  </pic:spPr>
                </pic:pic>
              </a:graphicData>
            </a:graphic>
          </wp:inline>
        </w:drawing>
      </w:r>
    </w:p>
    <w:p w14:paraId="48DF02AA" w14:textId="77777777" w:rsidR="00C349E9" w:rsidRDefault="00C349E9" w:rsidP="00C349E9">
      <w:pPr>
        <w:spacing w:after="0" w:line="240" w:lineRule="auto"/>
        <w:jc w:val="center"/>
        <w:rPr>
          <w:rFonts w:ascii="Times New Roman" w:hAnsi="Times New Roman" w:cs="Times New Roman"/>
          <w:sz w:val="28"/>
          <w:szCs w:val="28"/>
        </w:rPr>
      </w:pPr>
    </w:p>
    <w:p w14:paraId="2E760342" w14:textId="77777777" w:rsidR="00C349E9" w:rsidRDefault="00C349E9" w:rsidP="00C349E9">
      <w:pPr>
        <w:spacing w:after="0" w:line="240" w:lineRule="auto"/>
        <w:jc w:val="center"/>
        <w:rPr>
          <w:rFonts w:ascii="Times New Roman" w:hAnsi="Times New Roman" w:cs="Times New Roman"/>
          <w:sz w:val="28"/>
          <w:szCs w:val="28"/>
        </w:rPr>
      </w:pPr>
      <w:r>
        <w:rPr>
          <w:noProof/>
          <w:lang w:eastAsia="ru-RU"/>
        </w:rPr>
        <w:drawing>
          <wp:inline distT="0" distB="0" distL="0" distR="0" wp14:anchorId="66D4568E" wp14:editId="7B09615F">
            <wp:extent cx="6120130" cy="77755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10163"/>
                    <a:stretch/>
                  </pic:blipFill>
                  <pic:spPr bwMode="auto">
                    <a:xfrm>
                      <a:off x="0" y="0"/>
                      <a:ext cx="6120130" cy="7775575"/>
                    </a:xfrm>
                    <a:prstGeom prst="rect">
                      <a:avLst/>
                    </a:prstGeom>
                    <a:ln>
                      <a:noFill/>
                    </a:ln>
                    <a:extLst>
                      <a:ext uri="{53640926-AAD7-44D8-BBD7-CCE9431645EC}">
                        <a14:shadowObscured xmlns:a14="http://schemas.microsoft.com/office/drawing/2010/main"/>
                      </a:ext>
                    </a:extLst>
                  </pic:spPr>
                </pic:pic>
              </a:graphicData>
            </a:graphic>
          </wp:inline>
        </w:drawing>
      </w:r>
    </w:p>
    <w:p w14:paraId="0067CA1B" w14:textId="77777777" w:rsidR="00C349E9" w:rsidRDefault="00C349E9" w:rsidP="00C349E9">
      <w:pPr>
        <w:spacing w:after="0" w:line="240" w:lineRule="auto"/>
        <w:jc w:val="center"/>
        <w:rPr>
          <w:rFonts w:ascii="Times New Roman" w:hAnsi="Times New Roman" w:cs="Times New Roman"/>
          <w:sz w:val="28"/>
          <w:szCs w:val="28"/>
        </w:rPr>
      </w:pPr>
    </w:p>
    <w:p w14:paraId="28C11A18" w14:textId="77777777" w:rsidR="00C349E9" w:rsidRDefault="00C349E9" w:rsidP="00C349E9">
      <w:pPr>
        <w:spacing w:after="0" w:line="240" w:lineRule="auto"/>
        <w:jc w:val="center"/>
        <w:rPr>
          <w:rFonts w:ascii="Times New Roman" w:hAnsi="Times New Roman" w:cs="Times New Roman"/>
          <w:sz w:val="28"/>
          <w:szCs w:val="28"/>
        </w:rPr>
      </w:pPr>
      <w:r>
        <w:rPr>
          <w:noProof/>
          <w:lang w:eastAsia="ru-RU"/>
        </w:rPr>
        <w:drawing>
          <wp:inline distT="0" distB="0" distL="0" distR="0" wp14:anchorId="31E966E9" wp14:editId="621DB39D">
            <wp:extent cx="6119970" cy="768218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6405" b="4840"/>
                    <a:stretch/>
                  </pic:blipFill>
                  <pic:spPr bwMode="auto">
                    <a:xfrm>
                      <a:off x="0" y="0"/>
                      <a:ext cx="6120130" cy="7682386"/>
                    </a:xfrm>
                    <a:prstGeom prst="rect">
                      <a:avLst/>
                    </a:prstGeom>
                    <a:ln>
                      <a:noFill/>
                    </a:ln>
                    <a:extLst>
                      <a:ext uri="{53640926-AAD7-44D8-BBD7-CCE9431645EC}">
                        <a14:shadowObscured xmlns:a14="http://schemas.microsoft.com/office/drawing/2010/main"/>
                      </a:ext>
                    </a:extLst>
                  </pic:spPr>
                </pic:pic>
              </a:graphicData>
            </a:graphic>
          </wp:inline>
        </w:drawing>
      </w:r>
    </w:p>
    <w:p w14:paraId="1312CB9C" w14:textId="77777777" w:rsidR="00C349E9" w:rsidRDefault="00C349E9" w:rsidP="00C349E9">
      <w:pPr>
        <w:spacing w:after="0" w:line="240" w:lineRule="auto"/>
        <w:jc w:val="center"/>
        <w:rPr>
          <w:rFonts w:ascii="Times New Roman" w:hAnsi="Times New Roman" w:cs="Times New Roman"/>
          <w:sz w:val="28"/>
          <w:szCs w:val="28"/>
        </w:rPr>
      </w:pPr>
    </w:p>
    <w:p w14:paraId="5319ED12" w14:textId="77777777" w:rsidR="00C349E9" w:rsidRDefault="00C349E9" w:rsidP="00C349E9">
      <w:pPr>
        <w:spacing w:after="0" w:line="240" w:lineRule="auto"/>
        <w:jc w:val="center"/>
        <w:rPr>
          <w:rFonts w:ascii="Times New Roman" w:hAnsi="Times New Roman" w:cs="Times New Roman"/>
          <w:sz w:val="28"/>
          <w:szCs w:val="28"/>
        </w:rPr>
      </w:pPr>
      <w:r>
        <w:rPr>
          <w:noProof/>
          <w:lang w:eastAsia="ru-RU"/>
        </w:rPr>
        <w:drawing>
          <wp:inline distT="0" distB="0" distL="0" distR="0" wp14:anchorId="28806601" wp14:editId="60D5F147">
            <wp:extent cx="5802630" cy="7862400"/>
            <wp:effectExtent l="0" t="0" r="7620" b="571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r="5179" b="6734"/>
                    <a:stretch/>
                  </pic:blipFill>
                  <pic:spPr bwMode="auto">
                    <a:xfrm>
                      <a:off x="0" y="0"/>
                      <a:ext cx="5803200" cy="7863172"/>
                    </a:xfrm>
                    <a:prstGeom prst="rect">
                      <a:avLst/>
                    </a:prstGeom>
                    <a:ln>
                      <a:noFill/>
                    </a:ln>
                    <a:extLst>
                      <a:ext uri="{53640926-AAD7-44D8-BBD7-CCE9431645EC}">
                        <a14:shadowObscured xmlns:a14="http://schemas.microsoft.com/office/drawing/2010/main"/>
                      </a:ext>
                    </a:extLst>
                  </pic:spPr>
                </pic:pic>
              </a:graphicData>
            </a:graphic>
          </wp:inline>
        </w:drawing>
      </w:r>
    </w:p>
    <w:p w14:paraId="24A8BDBB" w14:textId="77777777" w:rsidR="00C349E9" w:rsidRDefault="00C349E9" w:rsidP="00C349E9">
      <w:pPr>
        <w:spacing w:after="0" w:line="240" w:lineRule="auto"/>
        <w:jc w:val="center"/>
        <w:rPr>
          <w:rFonts w:ascii="Times New Roman" w:hAnsi="Times New Roman" w:cs="Times New Roman"/>
          <w:sz w:val="28"/>
          <w:szCs w:val="28"/>
        </w:rPr>
      </w:pPr>
    </w:p>
    <w:p w14:paraId="788381E0" w14:textId="77777777" w:rsidR="00C349E9" w:rsidRDefault="00C349E9" w:rsidP="00C349E9">
      <w:pPr>
        <w:spacing w:after="0" w:line="240" w:lineRule="auto"/>
        <w:jc w:val="center"/>
        <w:rPr>
          <w:rFonts w:ascii="Times New Roman" w:hAnsi="Times New Roman" w:cs="Times New Roman"/>
          <w:sz w:val="28"/>
          <w:szCs w:val="28"/>
        </w:rPr>
      </w:pPr>
      <w:r>
        <w:rPr>
          <w:noProof/>
          <w:lang w:eastAsia="ru-RU"/>
        </w:rPr>
        <w:drawing>
          <wp:inline distT="0" distB="0" distL="0" distR="0" wp14:anchorId="0A96247C" wp14:editId="3D026DE8">
            <wp:extent cx="5767070" cy="7956000"/>
            <wp:effectExtent l="0" t="0" r="5080" b="698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5767" b="5631"/>
                    <a:stretch/>
                  </pic:blipFill>
                  <pic:spPr bwMode="auto">
                    <a:xfrm>
                      <a:off x="0" y="0"/>
                      <a:ext cx="5767200" cy="7956179"/>
                    </a:xfrm>
                    <a:prstGeom prst="rect">
                      <a:avLst/>
                    </a:prstGeom>
                    <a:ln>
                      <a:noFill/>
                    </a:ln>
                    <a:extLst>
                      <a:ext uri="{53640926-AAD7-44D8-BBD7-CCE9431645EC}">
                        <a14:shadowObscured xmlns:a14="http://schemas.microsoft.com/office/drawing/2010/main"/>
                      </a:ext>
                    </a:extLst>
                  </pic:spPr>
                </pic:pic>
              </a:graphicData>
            </a:graphic>
          </wp:inline>
        </w:drawing>
      </w:r>
    </w:p>
    <w:p w14:paraId="681A717F" w14:textId="77777777" w:rsidR="00C349E9" w:rsidRDefault="00C349E9" w:rsidP="00C349E9">
      <w:pPr>
        <w:spacing w:after="0" w:line="240" w:lineRule="auto"/>
        <w:jc w:val="center"/>
        <w:rPr>
          <w:rFonts w:ascii="Times New Roman" w:hAnsi="Times New Roman" w:cs="Times New Roman"/>
          <w:sz w:val="28"/>
          <w:szCs w:val="28"/>
        </w:rPr>
      </w:pPr>
    </w:p>
    <w:p w14:paraId="5981108B" w14:textId="77777777" w:rsidR="00C349E9" w:rsidRDefault="00C349E9" w:rsidP="00C349E9">
      <w:pPr>
        <w:spacing w:after="0" w:line="240" w:lineRule="auto"/>
        <w:jc w:val="center"/>
        <w:rPr>
          <w:rFonts w:ascii="Times New Roman" w:hAnsi="Times New Roman" w:cs="Times New Roman"/>
          <w:sz w:val="28"/>
          <w:szCs w:val="28"/>
        </w:rPr>
      </w:pPr>
      <w:r>
        <w:rPr>
          <w:noProof/>
          <w:lang w:eastAsia="ru-RU"/>
        </w:rPr>
        <w:drawing>
          <wp:inline distT="0" distB="0" distL="0" distR="0" wp14:anchorId="213F345A" wp14:editId="10C816B9">
            <wp:extent cx="6120130" cy="7919720"/>
            <wp:effectExtent l="0" t="0" r="0" b="508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8499"/>
                    <a:stretch/>
                  </pic:blipFill>
                  <pic:spPr bwMode="auto">
                    <a:xfrm>
                      <a:off x="0" y="0"/>
                      <a:ext cx="6120130" cy="7919720"/>
                    </a:xfrm>
                    <a:prstGeom prst="rect">
                      <a:avLst/>
                    </a:prstGeom>
                    <a:ln>
                      <a:noFill/>
                    </a:ln>
                    <a:extLst>
                      <a:ext uri="{53640926-AAD7-44D8-BBD7-CCE9431645EC}">
                        <a14:shadowObscured xmlns:a14="http://schemas.microsoft.com/office/drawing/2010/main"/>
                      </a:ext>
                    </a:extLst>
                  </pic:spPr>
                </pic:pic>
              </a:graphicData>
            </a:graphic>
          </wp:inline>
        </w:drawing>
      </w:r>
    </w:p>
    <w:p w14:paraId="4764848E" w14:textId="77777777" w:rsidR="00C349E9" w:rsidRDefault="00C349E9" w:rsidP="00C349E9">
      <w:pPr>
        <w:spacing w:after="0" w:line="240" w:lineRule="auto"/>
        <w:jc w:val="center"/>
        <w:rPr>
          <w:rFonts w:ascii="Times New Roman" w:hAnsi="Times New Roman" w:cs="Times New Roman"/>
          <w:sz w:val="28"/>
          <w:szCs w:val="28"/>
        </w:rPr>
      </w:pPr>
    </w:p>
    <w:p w14:paraId="763E102D" w14:textId="77777777" w:rsidR="00C349E9" w:rsidRPr="00EC38CC" w:rsidRDefault="00C349E9" w:rsidP="00C349E9">
      <w:pPr>
        <w:spacing w:after="0" w:line="240" w:lineRule="auto"/>
        <w:jc w:val="center"/>
        <w:rPr>
          <w:rFonts w:ascii="Times New Roman" w:hAnsi="Times New Roman" w:cs="Times New Roman"/>
          <w:sz w:val="28"/>
          <w:szCs w:val="28"/>
        </w:rPr>
      </w:pPr>
    </w:p>
    <w:p w14:paraId="28537D0C" w14:textId="77777777" w:rsidR="00956E74" w:rsidRPr="00956E74" w:rsidRDefault="00956E74" w:rsidP="00956E74">
      <w:pPr>
        <w:spacing w:after="0" w:line="240" w:lineRule="auto"/>
        <w:rPr>
          <w:rFonts w:ascii="Times New Roman" w:hAnsi="Times New Roman" w:cs="Times New Roman"/>
          <w:sz w:val="28"/>
          <w:szCs w:val="28"/>
        </w:rPr>
      </w:pPr>
    </w:p>
    <w:bookmarkEnd w:id="62"/>
    <w:p w14:paraId="2C5AA48C" w14:textId="64DDECAB" w:rsidR="0044570C" w:rsidRDefault="0044570C" w:rsidP="00D00AEA">
      <w:pPr>
        <w:spacing w:after="0" w:line="240" w:lineRule="auto"/>
        <w:rPr>
          <w:rFonts w:ascii="Times New Roman" w:hAnsi="Times New Roman" w:cs="Times New Roman"/>
          <w:b/>
          <w:sz w:val="28"/>
          <w:szCs w:val="28"/>
        </w:rPr>
      </w:pPr>
    </w:p>
    <w:p w14:paraId="30CD3D28" w14:textId="423CF3CA" w:rsidR="00542186" w:rsidRDefault="00542186" w:rsidP="00D00AEA">
      <w:pPr>
        <w:spacing w:after="0" w:line="240" w:lineRule="auto"/>
        <w:rPr>
          <w:rFonts w:ascii="Times New Roman" w:hAnsi="Times New Roman" w:cs="Times New Roman"/>
          <w:b/>
          <w:sz w:val="28"/>
          <w:szCs w:val="28"/>
        </w:rPr>
      </w:pPr>
    </w:p>
    <w:p w14:paraId="3761646D" w14:textId="231CAA70" w:rsidR="00542186" w:rsidRDefault="00542186" w:rsidP="00D00AEA">
      <w:pPr>
        <w:spacing w:after="0" w:line="240" w:lineRule="auto"/>
        <w:rPr>
          <w:rFonts w:ascii="Times New Roman" w:hAnsi="Times New Roman" w:cs="Times New Roman"/>
          <w:b/>
          <w:sz w:val="28"/>
          <w:szCs w:val="28"/>
        </w:rPr>
      </w:pPr>
    </w:p>
    <w:p w14:paraId="1DC36102" w14:textId="202CB8FE" w:rsidR="00542186" w:rsidRDefault="00542186" w:rsidP="00D00AEA">
      <w:pPr>
        <w:spacing w:after="0" w:line="240" w:lineRule="auto"/>
        <w:rPr>
          <w:rFonts w:ascii="Times New Roman" w:hAnsi="Times New Roman" w:cs="Times New Roman"/>
          <w:b/>
          <w:sz w:val="28"/>
          <w:szCs w:val="28"/>
        </w:rPr>
      </w:pPr>
      <w:r w:rsidRPr="00542186">
        <w:rPr>
          <w:rFonts w:ascii="Times New Roman" w:hAnsi="Times New Roman" w:cs="Times New Roman"/>
          <w:b/>
          <w:sz w:val="28"/>
          <w:szCs w:val="28"/>
        </w:rPr>
        <w:object w:dxaOrig="4320" w:dyaOrig="4320" w14:anchorId="77B80E40">
          <v:shape id="_x0000_i1034" type="#_x0000_t75" style="width:473.05pt;height:692.7pt" o:ole="">
            <v:imagedata r:id="rId40" o:title="" cropbottom="6747f" cropleft="4935f" cropright="5406f"/>
          </v:shape>
          <o:OLEObject Type="Embed" ProgID="FoxitReader.Document" ShapeID="_x0000_i1034" DrawAspect="Content" ObjectID="_1762604981" r:id="rId41"/>
        </w:object>
      </w:r>
    </w:p>
    <w:p w14:paraId="52FB54BF" w14:textId="3D65F78D" w:rsidR="00542186" w:rsidRDefault="00EC38CC">
      <w:pPr>
        <w:rPr>
          <w:rFonts w:ascii="Times New Roman" w:hAnsi="Times New Roman" w:cs="Times New Roman"/>
          <w:b/>
          <w:sz w:val="28"/>
          <w:szCs w:val="28"/>
        </w:rPr>
      </w:pPr>
      <w:r w:rsidRPr="00EC38CC">
        <w:rPr>
          <w:rFonts w:ascii="Times New Roman" w:hAnsi="Times New Roman" w:cs="Times New Roman"/>
          <w:b/>
          <w:sz w:val="28"/>
          <w:szCs w:val="28"/>
        </w:rPr>
        <w:br w:type="page"/>
      </w:r>
    </w:p>
    <w:p w14:paraId="09878391" w14:textId="77777777" w:rsidR="00EC38CC" w:rsidRPr="00EC38CC" w:rsidRDefault="00EC38CC" w:rsidP="00D00AEA">
      <w:pPr>
        <w:spacing w:after="0" w:line="240" w:lineRule="auto"/>
        <w:rPr>
          <w:rFonts w:ascii="Times New Roman" w:hAnsi="Times New Roman" w:cs="Times New Roman"/>
          <w:b/>
          <w:sz w:val="28"/>
          <w:szCs w:val="28"/>
        </w:rPr>
      </w:pPr>
    </w:p>
    <w:p w14:paraId="1C6DC6FC" w14:textId="77777777" w:rsidR="00271C77" w:rsidRDefault="00CD52FD" w:rsidP="00271C77">
      <w:pPr>
        <w:keepNext/>
        <w:keepLines/>
        <w:spacing w:after="0" w:line="240" w:lineRule="auto"/>
        <w:jc w:val="center"/>
        <w:outlineLvl w:val="0"/>
        <w:rPr>
          <w:rFonts w:ascii="Times New Roman" w:eastAsiaTheme="majorEastAsia" w:hAnsi="Times New Roman" w:cs="Times New Roman"/>
          <w:b/>
          <w:sz w:val="28"/>
          <w:szCs w:val="28"/>
        </w:rPr>
      </w:pPr>
      <w:bookmarkStart w:id="63" w:name="_Toc137904370"/>
      <w:r w:rsidRPr="00D00AEA">
        <w:rPr>
          <w:rFonts w:ascii="Times New Roman" w:eastAsiaTheme="majorEastAsia" w:hAnsi="Times New Roman" w:cs="Times New Roman"/>
          <w:b/>
          <w:sz w:val="28"/>
          <w:szCs w:val="28"/>
        </w:rPr>
        <w:t xml:space="preserve">ПРИЛОЖЕНИЕ </w:t>
      </w:r>
      <w:r>
        <w:rPr>
          <w:rFonts w:ascii="Times New Roman" w:eastAsiaTheme="majorEastAsia" w:hAnsi="Times New Roman" w:cs="Times New Roman"/>
          <w:b/>
          <w:sz w:val="28"/>
          <w:szCs w:val="28"/>
        </w:rPr>
        <w:t>Б</w:t>
      </w:r>
      <w:bookmarkEnd w:id="63"/>
    </w:p>
    <w:p w14:paraId="280DE08F" w14:textId="77777777" w:rsidR="00271C77" w:rsidRDefault="00271C77" w:rsidP="00271C77">
      <w:pPr>
        <w:jc w:val="center"/>
        <w:rPr>
          <w:rFonts w:ascii="Times New Roman" w:hAnsi="Times New Roman" w:cs="Times New Roman"/>
          <w:sz w:val="28"/>
          <w:szCs w:val="28"/>
        </w:rPr>
      </w:pPr>
    </w:p>
    <w:p w14:paraId="0C143D41" w14:textId="73A5507E" w:rsidR="00C750DF" w:rsidRPr="00271C77" w:rsidRDefault="00C750DF" w:rsidP="00271C77">
      <w:pPr>
        <w:jc w:val="center"/>
        <w:rPr>
          <w:rFonts w:ascii="Times New Roman" w:hAnsi="Times New Roman" w:cs="Times New Roman"/>
          <w:b/>
          <w:sz w:val="28"/>
          <w:szCs w:val="28"/>
        </w:rPr>
      </w:pPr>
      <w:r w:rsidRPr="00271C77">
        <w:rPr>
          <w:rFonts w:ascii="Times New Roman" w:hAnsi="Times New Roman" w:cs="Times New Roman"/>
          <w:sz w:val="28"/>
          <w:szCs w:val="28"/>
        </w:rPr>
        <w:t>Методические рекомендации для врачей</w:t>
      </w:r>
    </w:p>
    <w:p w14:paraId="32F1984A" w14:textId="5F7B0FCD" w:rsidR="00C750DF" w:rsidRPr="00271C77" w:rsidRDefault="003D199E" w:rsidP="00271C77">
      <w:pPr>
        <w:pStyle w:val="afd"/>
        <w:jc w:val="center"/>
      </w:pPr>
      <w:r>
        <w:pict w14:anchorId="59A45E58">
          <v:shape id="_x0000_i1035" type="#_x0000_t75" style="width:400.15pt;height:575.5pt">
            <v:imagedata r:id="rId42" o:title="Без названия"/>
          </v:shape>
        </w:pict>
      </w:r>
    </w:p>
    <w:p w14:paraId="5A38174D" w14:textId="7429D973" w:rsidR="009F3BD1" w:rsidRDefault="009F3BD1">
      <w:pPr>
        <w:rPr>
          <w:rFonts w:ascii="Times New Roman" w:eastAsiaTheme="majorEastAsia" w:hAnsi="Times New Roman" w:cs="Times New Roman"/>
          <w:b/>
          <w:sz w:val="28"/>
          <w:szCs w:val="28"/>
        </w:rPr>
      </w:pPr>
      <w:r>
        <w:rPr>
          <w:rFonts w:ascii="Times New Roman" w:eastAsiaTheme="majorEastAsia" w:hAnsi="Times New Roman" w:cs="Times New Roman"/>
          <w:b/>
          <w:sz w:val="28"/>
          <w:szCs w:val="28"/>
        </w:rPr>
        <w:br w:type="page"/>
      </w:r>
    </w:p>
    <w:p w14:paraId="587EE16F" w14:textId="34D23E53" w:rsidR="009F3BD1" w:rsidRDefault="003D58F9" w:rsidP="00271C77">
      <w:pPr>
        <w:keepNext/>
        <w:keepLines/>
        <w:spacing w:after="0" w:line="240" w:lineRule="auto"/>
        <w:jc w:val="center"/>
        <w:outlineLvl w:val="0"/>
        <w:rPr>
          <w:rFonts w:ascii="Times New Roman" w:eastAsiaTheme="majorEastAsia" w:hAnsi="Times New Roman" w:cs="Times New Roman"/>
          <w:b/>
          <w:sz w:val="28"/>
          <w:szCs w:val="28"/>
        </w:rPr>
      </w:pPr>
      <w:bookmarkStart w:id="64" w:name="_Toc137904371"/>
      <w:r w:rsidRPr="003D58F9">
        <w:rPr>
          <w:rFonts w:ascii="Times New Roman" w:eastAsiaTheme="majorEastAsia" w:hAnsi="Times New Roman" w:cs="Times New Roman"/>
          <w:b/>
          <w:sz w:val="28"/>
          <w:szCs w:val="28"/>
        </w:rPr>
        <w:t>ПРИЛОЖЕНИЕ В</w:t>
      </w:r>
      <w:bookmarkEnd w:id="64"/>
    </w:p>
    <w:p w14:paraId="081D776A" w14:textId="77777777" w:rsidR="00271C77" w:rsidRDefault="00271C77" w:rsidP="00BB76CC">
      <w:pPr>
        <w:spacing w:line="240" w:lineRule="auto"/>
        <w:jc w:val="center"/>
        <w:rPr>
          <w:rFonts w:ascii="Times New Roman" w:hAnsi="Times New Roman" w:cs="Times New Roman"/>
          <w:sz w:val="28"/>
          <w:szCs w:val="28"/>
        </w:rPr>
      </w:pPr>
    </w:p>
    <w:p w14:paraId="6300ED1F" w14:textId="1D274F64" w:rsidR="00BB76CC" w:rsidRDefault="00BB76CC" w:rsidP="00BB76CC">
      <w:pPr>
        <w:spacing w:line="240" w:lineRule="auto"/>
        <w:jc w:val="center"/>
        <w:rPr>
          <w:rFonts w:ascii="Times New Roman" w:hAnsi="Times New Roman" w:cs="Times New Roman"/>
          <w:sz w:val="28"/>
          <w:szCs w:val="28"/>
        </w:rPr>
      </w:pPr>
      <w:r w:rsidRPr="00BB1291">
        <w:rPr>
          <w:rFonts w:ascii="Times New Roman" w:hAnsi="Times New Roman" w:cs="Times New Roman"/>
          <w:sz w:val="28"/>
          <w:szCs w:val="28"/>
        </w:rPr>
        <w:t>Авторские свидетельства</w:t>
      </w:r>
    </w:p>
    <w:p w14:paraId="3595ADC2" w14:textId="77777777" w:rsidR="00BB76CC" w:rsidRDefault="00BB76CC" w:rsidP="00BB76CC">
      <w:pPr>
        <w:spacing w:line="240" w:lineRule="auto"/>
        <w:jc w:val="center"/>
        <w:rPr>
          <w:rFonts w:ascii="Times New Roman" w:hAnsi="Times New Roman" w:cs="Times New Roman"/>
          <w:sz w:val="28"/>
          <w:szCs w:val="28"/>
        </w:rPr>
      </w:pPr>
      <w:r>
        <w:rPr>
          <w:noProof/>
          <w:lang w:eastAsia="ru-RU"/>
        </w:rPr>
        <w:drawing>
          <wp:inline distT="0" distB="0" distL="0" distR="0" wp14:anchorId="5CD7E450" wp14:editId="615EC859">
            <wp:extent cx="5643846" cy="7982076"/>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47420" cy="7987131"/>
                    </a:xfrm>
                    <a:prstGeom prst="rect">
                      <a:avLst/>
                    </a:prstGeom>
                  </pic:spPr>
                </pic:pic>
              </a:graphicData>
            </a:graphic>
          </wp:inline>
        </w:drawing>
      </w:r>
    </w:p>
    <w:p w14:paraId="4A37A9BE" w14:textId="77777777" w:rsidR="00BB76CC" w:rsidRDefault="00BB76CC" w:rsidP="00BB76CC">
      <w:pPr>
        <w:spacing w:line="240" w:lineRule="auto"/>
        <w:jc w:val="center"/>
        <w:rPr>
          <w:rFonts w:ascii="Times New Roman" w:hAnsi="Times New Roman" w:cs="Times New Roman"/>
          <w:sz w:val="28"/>
          <w:szCs w:val="28"/>
        </w:rPr>
      </w:pPr>
    </w:p>
    <w:p w14:paraId="5477B5B0" w14:textId="77777777" w:rsidR="00BB76CC" w:rsidRDefault="00BB76CC" w:rsidP="00BB76CC">
      <w:pPr>
        <w:spacing w:line="240" w:lineRule="auto"/>
        <w:jc w:val="center"/>
        <w:rPr>
          <w:rFonts w:ascii="Times New Roman" w:hAnsi="Times New Roman" w:cs="Times New Roman"/>
          <w:sz w:val="28"/>
          <w:szCs w:val="28"/>
        </w:rPr>
      </w:pPr>
      <w:r>
        <w:rPr>
          <w:noProof/>
          <w:lang w:eastAsia="ru-RU"/>
        </w:rPr>
        <w:drawing>
          <wp:inline distT="0" distB="0" distL="0" distR="0" wp14:anchorId="0C38DEC5" wp14:editId="7CC6D646">
            <wp:extent cx="5821018" cy="8241711"/>
            <wp:effectExtent l="0" t="0" r="8890"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825661" cy="8248285"/>
                    </a:xfrm>
                    <a:prstGeom prst="rect">
                      <a:avLst/>
                    </a:prstGeom>
                  </pic:spPr>
                </pic:pic>
              </a:graphicData>
            </a:graphic>
          </wp:inline>
        </w:drawing>
      </w:r>
    </w:p>
    <w:p w14:paraId="0F820EB6" w14:textId="77777777" w:rsidR="00BB76CC" w:rsidRDefault="00BB76CC" w:rsidP="00BB76CC">
      <w:pPr>
        <w:spacing w:line="240" w:lineRule="auto"/>
        <w:jc w:val="center"/>
        <w:rPr>
          <w:rFonts w:ascii="Times New Roman" w:hAnsi="Times New Roman" w:cs="Times New Roman"/>
          <w:sz w:val="28"/>
          <w:szCs w:val="28"/>
        </w:rPr>
      </w:pPr>
    </w:p>
    <w:p w14:paraId="0B7B1391" w14:textId="77777777" w:rsidR="00BB76CC" w:rsidRDefault="00BB76CC" w:rsidP="00BB76CC">
      <w:pPr>
        <w:spacing w:line="240" w:lineRule="auto"/>
        <w:jc w:val="center"/>
        <w:rPr>
          <w:rFonts w:ascii="Times New Roman" w:hAnsi="Times New Roman" w:cs="Times New Roman"/>
          <w:sz w:val="28"/>
          <w:szCs w:val="28"/>
        </w:rPr>
      </w:pPr>
    </w:p>
    <w:p w14:paraId="0BAA650A" w14:textId="77777777" w:rsidR="00BB76CC" w:rsidRDefault="00BB76CC" w:rsidP="00BB76CC">
      <w:pPr>
        <w:spacing w:line="240" w:lineRule="auto"/>
        <w:jc w:val="center"/>
        <w:rPr>
          <w:rFonts w:ascii="Times New Roman" w:hAnsi="Times New Roman" w:cs="Times New Roman"/>
          <w:sz w:val="28"/>
          <w:szCs w:val="28"/>
        </w:rPr>
      </w:pPr>
    </w:p>
    <w:p w14:paraId="22F2EF6D" w14:textId="77777777" w:rsidR="00BB76CC" w:rsidRDefault="00BB76CC" w:rsidP="00BB76CC">
      <w:pPr>
        <w:spacing w:line="240" w:lineRule="auto"/>
        <w:jc w:val="center"/>
        <w:rPr>
          <w:rFonts w:ascii="Times New Roman" w:hAnsi="Times New Roman" w:cs="Times New Roman"/>
          <w:sz w:val="28"/>
          <w:szCs w:val="28"/>
        </w:rPr>
      </w:pPr>
      <w:r>
        <w:rPr>
          <w:noProof/>
          <w:lang w:eastAsia="ru-RU"/>
        </w:rPr>
        <w:drawing>
          <wp:inline distT="0" distB="0" distL="0" distR="0" wp14:anchorId="731729CC" wp14:editId="5AAB6660">
            <wp:extent cx="5821018" cy="8241711"/>
            <wp:effectExtent l="0" t="0" r="8890" b="698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822347" cy="8243593"/>
                    </a:xfrm>
                    <a:prstGeom prst="rect">
                      <a:avLst/>
                    </a:prstGeom>
                  </pic:spPr>
                </pic:pic>
              </a:graphicData>
            </a:graphic>
          </wp:inline>
        </w:drawing>
      </w:r>
    </w:p>
    <w:p w14:paraId="068FA7B0" w14:textId="77777777" w:rsidR="00BB76CC" w:rsidRPr="003D58F9" w:rsidRDefault="00BB76CC" w:rsidP="00271C77">
      <w:pPr>
        <w:pStyle w:val="afd"/>
      </w:pPr>
    </w:p>
    <w:p w14:paraId="5E090703" w14:textId="17D79A0C" w:rsidR="003D58F9" w:rsidRDefault="003D58F9" w:rsidP="003D58F9">
      <w:pPr>
        <w:spacing w:after="0" w:line="240" w:lineRule="auto"/>
        <w:jc w:val="center"/>
        <w:rPr>
          <w:rFonts w:ascii="Times New Roman" w:hAnsi="Times New Roman" w:cs="Times New Roman"/>
          <w:sz w:val="28"/>
          <w:szCs w:val="28"/>
        </w:rPr>
      </w:pPr>
    </w:p>
    <w:p w14:paraId="70BA4E70" w14:textId="77777777" w:rsidR="00271C77" w:rsidRDefault="00271C77">
      <w:pPr>
        <w:rPr>
          <w:rFonts w:ascii="Times New Roman" w:eastAsiaTheme="majorEastAsia" w:hAnsi="Times New Roman" w:cs="Times New Roman"/>
          <w:b/>
          <w:sz w:val="28"/>
          <w:szCs w:val="28"/>
        </w:rPr>
      </w:pPr>
      <w:r>
        <w:rPr>
          <w:rFonts w:ascii="Times New Roman" w:eastAsiaTheme="majorEastAsia" w:hAnsi="Times New Roman" w:cs="Times New Roman"/>
          <w:b/>
          <w:sz w:val="28"/>
          <w:szCs w:val="28"/>
        </w:rPr>
        <w:br w:type="page"/>
      </w:r>
    </w:p>
    <w:p w14:paraId="78CB2365" w14:textId="2A433E50" w:rsidR="00271C77" w:rsidRDefault="007D4043" w:rsidP="00271C77">
      <w:pPr>
        <w:keepNext/>
        <w:keepLines/>
        <w:spacing w:after="0" w:line="240" w:lineRule="auto"/>
        <w:jc w:val="center"/>
        <w:outlineLvl w:val="0"/>
        <w:rPr>
          <w:rFonts w:ascii="Times New Roman" w:eastAsiaTheme="majorEastAsia" w:hAnsi="Times New Roman" w:cs="Times New Roman"/>
          <w:b/>
          <w:sz w:val="28"/>
          <w:szCs w:val="28"/>
        </w:rPr>
      </w:pPr>
      <w:bookmarkStart w:id="65" w:name="_Toc137904372"/>
      <w:r w:rsidRPr="007D4043">
        <w:rPr>
          <w:rFonts w:ascii="Times New Roman" w:eastAsiaTheme="majorEastAsia" w:hAnsi="Times New Roman" w:cs="Times New Roman"/>
          <w:b/>
          <w:sz w:val="28"/>
          <w:szCs w:val="28"/>
        </w:rPr>
        <w:t>ПРИЛОЖЕНИЕ Г</w:t>
      </w:r>
      <w:bookmarkEnd w:id="65"/>
    </w:p>
    <w:p w14:paraId="74D960C9" w14:textId="77777777" w:rsidR="00271C77" w:rsidRDefault="00271C77" w:rsidP="00271C77">
      <w:pPr>
        <w:pStyle w:val="afd"/>
        <w:jc w:val="center"/>
        <w:rPr>
          <w:rFonts w:ascii="Times New Roman" w:hAnsi="Times New Roman"/>
          <w:sz w:val="28"/>
          <w:szCs w:val="28"/>
        </w:rPr>
      </w:pPr>
    </w:p>
    <w:p w14:paraId="185A6008" w14:textId="3D39FE31" w:rsidR="0044570C" w:rsidRPr="00271C77" w:rsidRDefault="0044570C" w:rsidP="00271C77">
      <w:pPr>
        <w:pStyle w:val="afd"/>
        <w:jc w:val="center"/>
        <w:rPr>
          <w:rFonts w:ascii="Times New Roman" w:eastAsiaTheme="majorEastAsia" w:hAnsi="Times New Roman"/>
          <w:b/>
          <w:sz w:val="28"/>
          <w:szCs w:val="28"/>
        </w:rPr>
      </w:pPr>
      <w:r w:rsidRPr="00271C77">
        <w:rPr>
          <w:rFonts w:ascii="Times New Roman" w:hAnsi="Times New Roman"/>
          <w:sz w:val="28"/>
          <w:szCs w:val="28"/>
        </w:rPr>
        <w:t>Анкета для оценки тяжести симптомов заболевания и качества жизни пациентов с сезонным аллергическим ринитом</w:t>
      </w:r>
    </w:p>
    <w:p w14:paraId="5E22C27C" w14:textId="77777777" w:rsidR="0044570C" w:rsidRPr="00EC38CC" w:rsidRDefault="0044570C" w:rsidP="0044570C">
      <w:pPr>
        <w:tabs>
          <w:tab w:val="left" w:pos="240"/>
        </w:tabs>
        <w:spacing w:after="0" w:line="240" w:lineRule="auto"/>
        <w:ind w:firstLine="567"/>
        <w:rPr>
          <w:rFonts w:ascii="Times New Roman" w:hAnsi="Times New Roman" w:cs="Times New Roman"/>
          <w:b/>
          <w:sz w:val="28"/>
          <w:szCs w:val="28"/>
        </w:rPr>
      </w:pPr>
    </w:p>
    <w:p w14:paraId="768BF5FF" w14:textId="77777777" w:rsidR="0044570C" w:rsidRPr="007D4043" w:rsidRDefault="0044570C" w:rsidP="0044570C">
      <w:pPr>
        <w:tabs>
          <w:tab w:val="left" w:pos="240"/>
        </w:tabs>
        <w:spacing w:after="0" w:line="240" w:lineRule="auto"/>
        <w:ind w:firstLine="567"/>
        <w:rPr>
          <w:rFonts w:ascii="Times New Roman" w:hAnsi="Times New Roman" w:cs="Times New Roman"/>
          <w:sz w:val="28"/>
          <w:szCs w:val="28"/>
        </w:rPr>
      </w:pPr>
      <w:r w:rsidRPr="007D4043">
        <w:rPr>
          <w:rFonts w:ascii="Times New Roman" w:hAnsi="Times New Roman" w:cs="Times New Roman"/>
          <w:sz w:val="28"/>
          <w:szCs w:val="28"/>
        </w:rPr>
        <w:t>ФИО_______________________________________</w:t>
      </w:r>
    </w:p>
    <w:p w14:paraId="72692780" w14:textId="77777777" w:rsidR="0044570C" w:rsidRPr="007D4043" w:rsidRDefault="0044570C" w:rsidP="0044570C">
      <w:pPr>
        <w:tabs>
          <w:tab w:val="left" w:pos="240"/>
        </w:tabs>
        <w:spacing w:after="0" w:line="240" w:lineRule="auto"/>
        <w:ind w:firstLine="567"/>
        <w:rPr>
          <w:rFonts w:ascii="Times New Roman" w:hAnsi="Times New Roman" w:cs="Times New Roman"/>
          <w:sz w:val="28"/>
          <w:szCs w:val="28"/>
          <w:u w:val="single"/>
        </w:rPr>
      </w:pPr>
    </w:p>
    <w:p w14:paraId="471D610C" w14:textId="1FDF99AF" w:rsidR="0044570C" w:rsidRPr="007D4043" w:rsidRDefault="0044570C" w:rsidP="0044570C">
      <w:pPr>
        <w:tabs>
          <w:tab w:val="left" w:pos="240"/>
        </w:tabs>
        <w:spacing w:after="0" w:line="240" w:lineRule="auto"/>
        <w:ind w:firstLine="567"/>
        <w:rPr>
          <w:rFonts w:ascii="Times New Roman" w:hAnsi="Times New Roman" w:cs="Times New Roman"/>
          <w:sz w:val="28"/>
          <w:szCs w:val="28"/>
        </w:rPr>
      </w:pPr>
      <w:r w:rsidRPr="007D4043">
        <w:rPr>
          <w:rFonts w:ascii="Times New Roman" w:hAnsi="Times New Roman" w:cs="Times New Roman"/>
          <w:sz w:val="28"/>
          <w:szCs w:val="28"/>
        </w:rPr>
        <w:t>Пол________</w:t>
      </w:r>
      <w:r w:rsidR="0007459B">
        <w:rPr>
          <w:rFonts w:ascii="Times New Roman" w:hAnsi="Times New Roman" w:cs="Times New Roman"/>
          <w:sz w:val="28"/>
          <w:szCs w:val="28"/>
        </w:rPr>
        <w:t xml:space="preserve">  </w:t>
      </w:r>
      <w:r w:rsidRPr="007D4043">
        <w:rPr>
          <w:rFonts w:ascii="Times New Roman" w:hAnsi="Times New Roman" w:cs="Times New Roman"/>
          <w:sz w:val="28"/>
          <w:szCs w:val="28"/>
        </w:rPr>
        <w:t>Возраст________</w:t>
      </w:r>
      <w:r w:rsidR="0007459B">
        <w:rPr>
          <w:rFonts w:ascii="Times New Roman" w:hAnsi="Times New Roman" w:cs="Times New Roman"/>
          <w:sz w:val="28"/>
          <w:szCs w:val="28"/>
        </w:rPr>
        <w:t xml:space="preserve">  </w:t>
      </w:r>
      <w:r w:rsidRPr="007D4043">
        <w:rPr>
          <w:rFonts w:ascii="Times New Roman" w:hAnsi="Times New Roman" w:cs="Times New Roman"/>
          <w:sz w:val="28"/>
          <w:szCs w:val="28"/>
        </w:rPr>
        <w:t xml:space="preserve"> </w:t>
      </w:r>
    </w:p>
    <w:p w14:paraId="4D20D377" w14:textId="77777777" w:rsidR="0044570C" w:rsidRPr="007D4043" w:rsidRDefault="0044570C" w:rsidP="0044570C">
      <w:pPr>
        <w:spacing w:after="0" w:line="240" w:lineRule="auto"/>
        <w:ind w:firstLine="567"/>
        <w:jc w:val="center"/>
        <w:rPr>
          <w:rFonts w:ascii="Times New Roman" w:hAnsi="Times New Roman" w:cs="Times New Roman"/>
          <w:sz w:val="28"/>
          <w:szCs w:val="28"/>
        </w:rPr>
      </w:pPr>
    </w:p>
    <w:p w14:paraId="7F5D485B" w14:textId="77777777" w:rsidR="0044570C" w:rsidRPr="007D4043" w:rsidRDefault="0044570C" w:rsidP="0044570C">
      <w:pPr>
        <w:spacing w:after="0" w:line="240" w:lineRule="auto"/>
        <w:ind w:firstLine="567"/>
        <w:jc w:val="center"/>
        <w:rPr>
          <w:rFonts w:ascii="Times New Roman" w:hAnsi="Times New Roman" w:cs="Times New Roman"/>
          <w:sz w:val="28"/>
          <w:szCs w:val="28"/>
        </w:rPr>
      </w:pPr>
      <w:r w:rsidRPr="007D4043">
        <w:rPr>
          <w:rFonts w:ascii="Times New Roman" w:hAnsi="Times New Roman" w:cs="Times New Roman"/>
          <w:sz w:val="28"/>
          <w:szCs w:val="28"/>
        </w:rPr>
        <w:t>Оценка тяжести симптомов заболевания</w:t>
      </w:r>
    </w:p>
    <w:p w14:paraId="38ADB9E1" w14:textId="77777777" w:rsidR="0044570C" w:rsidRPr="007D4043" w:rsidRDefault="0044570C" w:rsidP="0044570C">
      <w:pPr>
        <w:spacing w:after="0" w:line="240" w:lineRule="auto"/>
        <w:jc w:val="center"/>
        <w:rPr>
          <w:rFonts w:ascii="Times New Roman" w:hAnsi="Times New Roman" w:cs="Times New Roman"/>
          <w:sz w:val="28"/>
          <w:szCs w:val="28"/>
        </w:rPr>
      </w:pPr>
      <w:r w:rsidRPr="007D4043">
        <w:rPr>
          <w:rFonts w:ascii="Times New Roman" w:hAnsi="Times New Roman" w:cs="Times New Roman"/>
          <w:sz w:val="28"/>
          <w:szCs w:val="28"/>
        </w:rPr>
        <w:t>Раздел 1</w:t>
      </w:r>
    </w:p>
    <w:tbl>
      <w:tblPr>
        <w:tblStyle w:val="af3"/>
        <w:tblW w:w="4967" w:type="pct"/>
        <w:tblLook w:val="04A0" w:firstRow="1" w:lastRow="0" w:firstColumn="1" w:lastColumn="0" w:noHBand="0" w:noVBand="1"/>
      </w:tblPr>
      <w:tblGrid>
        <w:gridCol w:w="7536"/>
        <w:gridCol w:w="1067"/>
        <w:gridCol w:w="953"/>
        <w:gridCol w:w="8"/>
      </w:tblGrid>
      <w:tr w:rsidR="0044570C" w:rsidRPr="007D4043" w14:paraId="2B8984B8" w14:textId="77777777" w:rsidTr="006C735A">
        <w:trPr>
          <w:trHeight w:val="369"/>
        </w:trPr>
        <w:tc>
          <w:tcPr>
            <w:tcW w:w="5000" w:type="pct"/>
            <w:gridSpan w:val="4"/>
          </w:tcPr>
          <w:p w14:paraId="7BC0B916"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Имеется ли у Вас какой-либо из следующих симптомов?</w:t>
            </w:r>
          </w:p>
        </w:tc>
      </w:tr>
      <w:tr w:rsidR="0044570C" w:rsidRPr="00EC38CC" w14:paraId="2BF21145" w14:textId="77777777" w:rsidTr="006C735A">
        <w:trPr>
          <w:gridAfter w:val="1"/>
          <w:wAfter w:w="4" w:type="pct"/>
          <w:trHeight w:val="369"/>
        </w:trPr>
        <w:tc>
          <w:tcPr>
            <w:tcW w:w="3940" w:type="pct"/>
          </w:tcPr>
          <w:p w14:paraId="55B546E8" w14:textId="77777777" w:rsidR="0044570C" w:rsidRPr="00EC38CC" w:rsidRDefault="0044570C" w:rsidP="006C735A">
            <w:pPr>
              <w:ind w:left="31"/>
              <w:rPr>
                <w:rFonts w:ascii="Times New Roman" w:hAnsi="Times New Roman" w:cs="Times New Roman"/>
                <w:sz w:val="24"/>
                <w:szCs w:val="24"/>
              </w:rPr>
            </w:pPr>
            <w:r w:rsidRPr="00EC38CC">
              <w:rPr>
                <w:rFonts w:ascii="Times New Roman" w:hAnsi="Times New Roman" w:cs="Times New Roman"/>
                <w:sz w:val="24"/>
                <w:szCs w:val="24"/>
              </w:rPr>
              <w:t>Только односторонние носовые симптомы</w:t>
            </w:r>
          </w:p>
        </w:tc>
        <w:tc>
          <w:tcPr>
            <w:tcW w:w="558" w:type="pct"/>
          </w:tcPr>
          <w:p w14:paraId="266E17BC" w14:textId="77777777" w:rsidR="0044570C" w:rsidRPr="00EC38CC" w:rsidRDefault="0044570C" w:rsidP="006C735A">
            <w:pPr>
              <w:jc w:val="center"/>
              <w:rPr>
                <w:rFonts w:ascii="Times New Roman" w:hAnsi="Times New Roman" w:cs="Times New Roman"/>
                <w:sz w:val="24"/>
                <w:szCs w:val="24"/>
              </w:rPr>
            </w:pPr>
            <w:r w:rsidRPr="00EC38CC">
              <w:rPr>
                <w:rFonts w:ascii="Times New Roman" w:hAnsi="Times New Roman" w:cs="Times New Roman"/>
                <w:kern w:val="24"/>
                <w:sz w:val="24"/>
                <w:szCs w:val="24"/>
              </w:rPr>
              <w:t>да</w:t>
            </w:r>
          </w:p>
        </w:tc>
        <w:tc>
          <w:tcPr>
            <w:tcW w:w="498" w:type="pct"/>
          </w:tcPr>
          <w:p w14:paraId="68915EE3" w14:textId="77777777" w:rsidR="0044570C" w:rsidRPr="00EC38CC" w:rsidRDefault="0044570C" w:rsidP="006C735A">
            <w:pPr>
              <w:jc w:val="center"/>
              <w:rPr>
                <w:rFonts w:ascii="Times New Roman" w:hAnsi="Times New Roman" w:cs="Times New Roman"/>
                <w:sz w:val="24"/>
                <w:szCs w:val="24"/>
              </w:rPr>
            </w:pPr>
            <w:r w:rsidRPr="00EC38CC">
              <w:rPr>
                <w:rFonts w:ascii="Times New Roman" w:hAnsi="Times New Roman" w:cs="Times New Roman"/>
                <w:kern w:val="24"/>
                <w:sz w:val="24"/>
                <w:szCs w:val="24"/>
              </w:rPr>
              <w:t>нет</w:t>
            </w:r>
          </w:p>
        </w:tc>
      </w:tr>
      <w:tr w:rsidR="0044570C" w:rsidRPr="00EC38CC" w14:paraId="5C16CAAD" w14:textId="77777777" w:rsidTr="006C735A">
        <w:trPr>
          <w:gridAfter w:val="1"/>
          <w:wAfter w:w="4" w:type="pct"/>
          <w:trHeight w:val="369"/>
        </w:trPr>
        <w:tc>
          <w:tcPr>
            <w:tcW w:w="3940" w:type="pct"/>
          </w:tcPr>
          <w:p w14:paraId="008D3FA3" w14:textId="77777777" w:rsidR="0044570C" w:rsidRPr="00EC38CC" w:rsidRDefault="0044570C" w:rsidP="006C735A">
            <w:pPr>
              <w:ind w:left="31"/>
              <w:rPr>
                <w:rFonts w:ascii="Times New Roman" w:hAnsi="Times New Roman" w:cs="Times New Roman"/>
                <w:sz w:val="24"/>
                <w:szCs w:val="24"/>
              </w:rPr>
            </w:pPr>
            <w:r w:rsidRPr="00EC38CC">
              <w:rPr>
                <w:rFonts w:ascii="Times New Roman" w:hAnsi="Times New Roman" w:cs="Times New Roman"/>
                <w:sz w:val="24"/>
                <w:szCs w:val="24"/>
              </w:rPr>
              <w:t xml:space="preserve">Густые выделения из носа зеленого или желтого цвета </w:t>
            </w:r>
          </w:p>
        </w:tc>
        <w:tc>
          <w:tcPr>
            <w:tcW w:w="558" w:type="pct"/>
          </w:tcPr>
          <w:p w14:paraId="45CF1333" w14:textId="77777777" w:rsidR="0044570C" w:rsidRPr="00EC38CC" w:rsidRDefault="0044570C" w:rsidP="006C735A">
            <w:pPr>
              <w:jc w:val="center"/>
              <w:rPr>
                <w:rFonts w:ascii="Times New Roman" w:hAnsi="Times New Roman" w:cs="Times New Roman"/>
                <w:sz w:val="24"/>
                <w:szCs w:val="24"/>
              </w:rPr>
            </w:pPr>
            <w:r w:rsidRPr="00EC38CC">
              <w:rPr>
                <w:rFonts w:ascii="Times New Roman" w:hAnsi="Times New Roman" w:cs="Times New Roman"/>
                <w:kern w:val="24"/>
                <w:sz w:val="24"/>
                <w:szCs w:val="24"/>
              </w:rPr>
              <w:t>да</w:t>
            </w:r>
          </w:p>
        </w:tc>
        <w:tc>
          <w:tcPr>
            <w:tcW w:w="498" w:type="pct"/>
          </w:tcPr>
          <w:p w14:paraId="34207434" w14:textId="77777777" w:rsidR="0044570C" w:rsidRPr="00EC38CC" w:rsidRDefault="0044570C" w:rsidP="006C735A">
            <w:pPr>
              <w:jc w:val="center"/>
              <w:rPr>
                <w:rFonts w:ascii="Times New Roman" w:hAnsi="Times New Roman" w:cs="Times New Roman"/>
                <w:sz w:val="24"/>
                <w:szCs w:val="24"/>
              </w:rPr>
            </w:pPr>
            <w:r w:rsidRPr="00EC38CC">
              <w:rPr>
                <w:rFonts w:ascii="Times New Roman" w:hAnsi="Times New Roman" w:cs="Times New Roman"/>
                <w:kern w:val="24"/>
                <w:sz w:val="24"/>
                <w:szCs w:val="24"/>
              </w:rPr>
              <w:t>нет</w:t>
            </w:r>
          </w:p>
        </w:tc>
      </w:tr>
      <w:tr w:rsidR="0044570C" w:rsidRPr="00EC38CC" w14:paraId="22EA2BD5" w14:textId="77777777" w:rsidTr="006C735A">
        <w:trPr>
          <w:gridAfter w:val="1"/>
          <w:wAfter w:w="4" w:type="pct"/>
          <w:trHeight w:val="369"/>
        </w:trPr>
        <w:tc>
          <w:tcPr>
            <w:tcW w:w="3940" w:type="pct"/>
          </w:tcPr>
          <w:p w14:paraId="716A3C3E" w14:textId="77777777" w:rsidR="0044570C" w:rsidRPr="00EC38CC" w:rsidRDefault="0044570C" w:rsidP="006C735A">
            <w:pPr>
              <w:ind w:left="31"/>
              <w:rPr>
                <w:rFonts w:ascii="Times New Roman" w:hAnsi="Times New Roman" w:cs="Times New Roman"/>
                <w:sz w:val="24"/>
                <w:szCs w:val="24"/>
              </w:rPr>
            </w:pPr>
            <w:r w:rsidRPr="00EC38CC">
              <w:rPr>
                <w:rFonts w:ascii="Times New Roman" w:hAnsi="Times New Roman" w:cs="Times New Roman"/>
                <w:kern w:val="24"/>
                <w:sz w:val="24"/>
                <w:szCs w:val="24"/>
              </w:rPr>
              <w:t xml:space="preserve">Заложенность носа </w:t>
            </w:r>
          </w:p>
        </w:tc>
        <w:tc>
          <w:tcPr>
            <w:tcW w:w="558" w:type="pct"/>
          </w:tcPr>
          <w:p w14:paraId="1395F7DC" w14:textId="77777777" w:rsidR="0044570C" w:rsidRPr="00EC38CC" w:rsidRDefault="0044570C" w:rsidP="006C735A">
            <w:pPr>
              <w:jc w:val="center"/>
              <w:rPr>
                <w:rFonts w:ascii="Times New Roman" w:hAnsi="Times New Roman" w:cs="Times New Roman"/>
                <w:sz w:val="24"/>
                <w:szCs w:val="24"/>
              </w:rPr>
            </w:pPr>
            <w:r w:rsidRPr="00EC38CC">
              <w:rPr>
                <w:rFonts w:ascii="Times New Roman" w:hAnsi="Times New Roman" w:cs="Times New Roman"/>
                <w:kern w:val="24"/>
                <w:sz w:val="24"/>
                <w:szCs w:val="24"/>
              </w:rPr>
              <w:t>да</w:t>
            </w:r>
          </w:p>
        </w:tc>
        <w:tc>
          <w:tcPr>
            <w:tcW w:w="498" w:type="pct"/>
          </w:tcPr>
          <w:p w14:paraId="7B526499" w14:textId="77777777" w:rsidR="0044570C" w:rsidRPr="00EC38CC" w:rsidRDefault="0044570C" w:rsidP="006C735A">
            <w:pPr>
              <w:jc w:val="center"/>
              <w:rPr>
                <w:rFonts w:ascii="Times New Roman" w:hAnsi="Times New Roman" w:cs="Times New Roman"/>
                <w:sz w:val="24"/>
                <w:szCs w:val="24"/>
              </w:rPr>
            </w:pPr>
            <w:r w:rsidRPr="00EC38CC">
              <w:rPr>
                <w:rFonts w:ascii="Times New Roman" w:hAnsi="Times New Roman" w:cs="Times New Roman"/>
                <w:kern w:val="24"/>
                <w:sz w:val="24"/>
                <w:szCs w:val="24"/>
              </w:rPr>
              <w:t>нет</w:t>
            </w:r>
          </w:p>
        </w:tc>
      </w:tr>
      <w:tr w:rsidR="0044570C" w:rsidRPr="00EC38CC" w14:paraId="482E0429" w14:textId="77777777" w:rsidTr="006C735A">
        <w:trPr>
          <w:gridAfter w:val="1"/>
          <w:wAfter w:w="4" w:type="pct"/>
          <w:trHeight w:val="369"/>
        </w:trPr>
        <w:tc>
          <w:tcPr>
            <w:tcW w:w="3940" w:type="pct"/>
          </w:tcPr>
          <w:p w14:paraId="0CA053BD" w14:textId="77777777" w:rsidR="0044570C" w:rsidRPr="00EC38CC" w:rsidRDefault="0044570C" w:rsidP="006C735A">
            <w:pPr>
              <w:ind w:left="31"/>
              <w:rPr>
                <w:rFonts w:ascii="Times New Roman" w:hAnsi="Times New Roman" w:cs="Times New Roman"/>
                <w:sz w:val="24"/>
                <w:szCs w:val="24"/>
              </w:rPr>
            </w:pPr>
            <w:r w:rsidRPr="00EC38CC">
              <w:rPr>
                <w:rFonts w:ascii="Times New Roman" w:hAnsi="Times New Roman" w:cs="Times New Roman"/>
                <w:sz w:val="24"/>
                <w:szCs w:val="24"/>
              </w:rPr>
              <w:t>Выделения из носа водянистого или слизистого характера</w:t>
            </w:r>
          </w:p>
        </w:tc>
        <w:tc>
          <w:tcPr>
            <w:tcW w:w="558" w:type="pct"/>
          </w:tcPr>
          <w:p w14:paraId="7DB92677" w14:textId="77777777" w:rsidR="0044570C" w:rsidRPr="00EC38CC" w:rsidRDefault="0044570C" w:rsidP="006C735A">
            <w:pPr>
              <w:jc w:val="center"/>
              <w:rPr>
                <w:rFonts w:ascii="Times New Roman" w:hAnsi="Times New Roman" w:cs="Times New Roman"/>
                <w:sz w:val="24"/>
                <w:szCs w:val="24"/>
              </w:rPr>
            </w:pPr>
            <w:r w:rsidRPr="00EC38CC">
              <w:rPr>
                <w:rFonts w:ascii="Times New Roman" w:hAnsi="Times New Roman" w:cs="Times New Roman"/>
                <w:kern w:val="24"/>
                <w:sz w:val="24"/>
                <w:szCs w:val="24"/>
              </w:rPr>
              <w:t>да</w:t>
            </w:r>
          </w:p>
        </w:tc>
        <w:tc>
          <w:tcPr>
            <w:tcW w:w="498" w:type="pct"/>
          </w:tcPr>
          <w:p w14:paraId="430594E6" w14:textId="77777777" w:rsidR="0044570C" w:rsidRPr="00EC38CC" w:rsidRDefault="0044570C" w:rsidP="006C735A">
            <w:pPr>
              <w:jc w:val="center"/>
              <w:rPr>
                <w:rFonts w:ascii="Times New Roman" w:hAnsi="Times New Roman" w:cs="Times New Roman"/>
                <w:sz w:val="24"/>
                <w:szCs w:val="24"/>
              </w:rPr>
            </w:pPr>
            <w:r w:rsidRPr="00EC38CC">
              <w:rPr>
                <w:rFonts w:ascii="Times New Roman" w:hAnsi="Times New Roman" w:cs="Times New Roman"/>
                <w:kern w:val="24"/>
                <w:sz w:val="24"/>
                <w:szCs w:val="24"/>
              </w:rPr>
              <w:t>нет</w:t>
            </w:r>
          </w:p>
        </w:tc>
      </w:tr>
      <w:tr w:rsidR="0044570C" w:rsidRPr="00EC38CC" w14:paraId="7B2DEA48" w14:textId="77777777" w:rsidTr="006C735A">
        <w:trPr>
          <w:gridAfter w:val="1"/>
          <w:wAfter w:w="4" w:type="pct"/>
          <w:trHeight w:val="369"/>
        </w:trPr>
        <w:tc>
          <w:tcPr>
            <w:tcW w:w="3940" w:type="pct"/>
          </w:tcPr>
          <w:p w14:paraId="2862731C" w14:textId="77777777" w:rsidR="0044570C" w:rsidRPr="00EC38CC" w:rsidRDefault="0044570C" w:rsidP="006C735A">
            <w:pPr>
              <w:ind w:left="31"/>
              <w:rPr>
                <w:rFonts w:ascii="Times New Roman" w:hAnsi="Times New Roman" w:cs="Times New Roman"/>
                <w:sz w:val="24"/>
                <w:szCs w:val="24"/>
              </w:rPr>
            </w:pPr>
            <w:r w:rsidRPr="00EC38CC">
              <w:rPr>
                <w:rFonts w:ascii="Times New Roman" w:hAnsi="Times New Roman" w:cs="Times New Roman"/>
                <w:kern w:val="24"/>
                <w:sz w:val="24"/>
                <w:szCs w:val="24"/>
              </w:rPr>
              <w:t>Зуд в носу</w:t>
            </w:r>
          </w:p>
        </w:tc>
        <w:tc>
          <w:tcPr>
            <w:tcW w:w="558" w:type="pct"/>
          </w:tcPr>
          <w:p w14:paraId="63E6C752" w14:textId="77777777" w:rsidR="0044570C" w:rsidRPr="00EC38CC" w:rsidRDefault="0044570C" w:rsidP="006C735A">
            <w:pPr>
              <w:jc w:val="center"/>
              <w:rPr>
                <w:rFonts w:ascii="Times New Roman" w:hAnsi="Times New Roman" w:cs="Times New Roman"/>
                <w:sz w:val="24"/>
                <w:szCs w:val="24"/>
              </w:rPr>
            </w:pPr>
            <w:r w:rsidRPr="00EC38CC">
              <w:rPr>
                <w:rFonts w:ascii="Times New Roman" w:hAnsi="Times New Roman" w:cs="Times New Roman"/>
                <w:kern w:val="24"/>
                <w:sz w:val="24"/>
                <w:szCs w:val="24"/>
              </w:rPr>
              <w:t>да</w:t>
            </w:r>
          </w:p>
        </w:tc>
        <w:tc>
          <w:tcPr>
            <w:tcW w:w="498" w:type="pct"/>
          </w:tcPr>
          <w:p w14:paraId="27797FF0" w14:textId="77777777" w:rsidR="0044570C" w:rsidRPr="00EC38CC" w:rsidRDefault="0044570C" w:rsidP="006C735A">
            <w:pPr>
              <w:jc w:val="center"/>
              <w:rPr>
                <w:rFonts w:ascii="Times New Roman" w:hAnsi="Times New Roman" w:cs="Times New Roman"/>
                <w:sz w:val="24"/>
                <w:szCs w:val="24"/>
              </w:rPr>
            </w:pPr>
            <w:r w:rsidRPr="00EC38CC">
              <w:rPr>
                <w:rFonts w:ascii="Times New Roman" w:hAnsi="Times New Roman" w:cs="Times New Roman"/>
                <w:kern w:val="24"/>
                <w:sz w:val="24"/>
                <w:szCs w:val="24"/>
              </w:rPr>
              <w:t>нет</w:t>
            </w:r>
          </w:p>
        </w:tc>
      </w:tr>
      <w:tr w:rsidR="0044570C" w:rsidRPr="00EC38CC" w14:paraId="7CB9FB71" w14:textId="77777777" w:rsidTr="006C735A">
        <w:trPr>
          <w:gridAfter w:val="1"/>
          <w:wAfter w:w="4" w:type="pct"/>
          <w:trHeight w:val="369"/>
        </w:trPr>
        <w:tc>
          <w:tcPr>
            <w:tcW w:w="3940" w:type="pct"/>
          </w:tcPr>
          <w:p w14:paraId="2B81D307" w14:textId="77777777" w:rsidR="0044570C" w:rsidRPr="00EC38CC" w:rsidRDefault="0044570C" w:rsidP="006C735A">
            <w:pPr>
              <w:ind w:left="31"/>
              <w:rPr>
                <w:rFonts w:ascii="Times New Roman" w:hAnsi="Times New Roman" w:cs="Times New Roman"/>
                <w:sz w:val="24"/>
                <w:szCs w:val="24"/>
              </w:rPr>
            </w:pPr>
            <w:r w:rsidRPr="00EC38CC">
              <w:rPr>
                <w:rFonts w:ascii="Times New Roman" w:hAnsi="Times New Roman" w:cs="Times New Roman"/>
                <w:sz w:val="24"/>
                <w:szCs w:val="24"/>
              </w:rPr>
              <w:t>Чихание</w:t>
            </w:r>
          </w:p>
        </w:tc>
        <w:tc>
          <w:tcPr>
            <w:tcW w:w="558" w:type="pct"/>
          </w:tcPr>
          <w:p w14:paraId="2E898B96" w14:textId="77777777" w:rsidR="0044570C" w:rsidRPr="00EC38CC" w:rsidRDefault="0044570C" w:rsidP="006C735A">
            <w:pPr>
              <w:jc w:val="center"/>
              <w:rPr>
                <w:rFonts w:ascii="Times New Roman" w:hAnsi="Times New Roman" w:cs="Times New Roman"/>
                <w:sz w:val="24"/>
                <w:szCs w:val="24"/>
              </w:rPr>
            </w:pPr>
            <w:r w:rsidRPr="00EC38CC">
              <w:rPr>
                <w:rFonts w:ascii="Times New Roman" w:hAnsi="Times New Roman" w:cs="Times New Roman"/>
                <w:kern w:val="24"/>
                <w:sz w:val="24"/>
                <w:szCs w:val="24"/>
              </w:rPr>
              <w:t>да</w:t>
            </w:r>
          </w:p>
        </w:tc>
        <w:tc>
          <w:tcPr>
            <w:tcW w:w="498" w:type="pct"/>
          </w:tcPr>
          <w:p w14:paraId="6DBCBD60" w14:textId="77777777" w:rsidR="0044570C" w:rsidRPr="00EC38CC" w:rsidRDefault="0044570C" w:rsidP="006C735A">
            <w:pPr>
              <w:jc w:val="center"/>
              <w:rPr>
                <w:rFonts w:ascii="Times New Roman" w:hAnsi="Times New Roman" w:cs="Times New Roman"/>
                <w:sz w:val="24"/>
                <w:szCs w:val="24"/>
              </w:rPr>
            </w:pPr>
            <w:r w:rsidRPr="00EC38CC">
              <w:rPr>
                <w:rFonts w:ascii="Times New Roman" w:hAnsi="Times New Roman" w:cs="Times New Roman"/>
                <w:kern w:val="24"/>
                <w:sz w:val="24"/>
                <w:szCs w:val="24"/>
              </w:rPr>
              <w:t>нет</w:t>
            </w:r>
          </w:p>
        </w:tc>
      </w:tr>
      <w:tr w:rsidR="0044570C" w:rsidRPr="00EC38CC" w14:paraId="6DAC2D33" w14:textId="77777777" w:rsidTr="006C735A">
        <w:trPr>
          <w:gridAfter w:val="1"/>
          <w:wAfter w:w="4" w:type="pct"/>
          <w:trHeight w:val="369"/>
        </w:trPr>
        <w:tc>
          <w:tcPr>
            <w:tcW w:w="3940" w:type="pct"/>
          </w:tcPr>
          <w:p w14:paraId="05F009BA" w14:textId="77777777" w:rsidR="0044570C" w:rsidRPr="00EC38CC" w:rsidRDefault="0044570C" w:rsidP="006C735A">
            <w:pPr>
              <w:ind w:left="31"/>
              <w:rPr>
                <w:rFonts w:ascii="Times New Roman" w:hAnsi="Times New Roman" w:cs="Times New Roman"/>
                <w:kern w:val="24"/>
                <w:sz w:val="24"/>
                <w:szCs w:val="24"/>
              </w:rPr>
            </w:pPr>
            <w:r w:rsidRPr="00EC38CC">
              <w:rPr>
                <w:rFonts w:ascii="Times New Roman" w:hAnsi="Times New Roman" w:cs="Times New Roman"/>
                <w:kern w:val="24"/>
                <w:sz w:val="24"/>
                <w:szCs w:val="24"/>
              </w:rPr>
              <w:t>Рецидивирующие носовые кровотечения</w:t>
            </w:r>
          </w:p>
        </w:tc>
        <w:tc>
          <w:tcPr>
            <w:tcW w:w="558" w:type="pct"/>
          </w:tcPr>
          <w:p w14:paraId="64B1D8CB" w14:textId="77777777" w:rsidR="0044570C" w:rsidRPr="00EC38CC" w:rsidRDefault="0044570C" w:rsidP="006C735A">
            <w:pPr>
              <w:jc w:val="center"/>
              <w:rPr>
                <w:rFonts w:ascii="Times New Roman" w:hAnsi="Times New Roman" w:cs="Times New Roman"/>
                <w:sz w:val="24"/>
                <w:szCs w:val="24"/>
              </w:rPr>
            </w:pPr>
            <w:r w:rsidRPr="00EC38CC">
              <w:rPr>
                <w:rFonts w:ascii="Times New Roman" w:hAnsi="Times New Roman" w:cs="Times New Roman"/>
                <w:kern w:val="24"/>
                <w:sz w:val="24"/>
                <w:szCs w:val="24"/>
              </w:rPr>
              <w:t>да</w:t>
            </w:r>
          </w:p>
        </w:tc>
        <w:tc>
          <w:tcPr>
            <w:tcW w:w="498" w:type="pct"/>
          </w:tcPr>
          <w:p w14:paraId="15D6D4BE" w14:textId="77777777" w:rsidR="0044570C" w:rsidRPr="00EC38CC" w:rsidRDefault="0044570C" w:rsidP="006C735A">
            <w:pPr>
              <w:jc w:val="center"/>
              <w:rPr>
                <w:rFonts w:ascii="Times New Roman" w:hAnsi="Times New Roman" w:cs="Times New Roman"/>
                <w:sz w:val="24"/>
                <w:szCs w:val="24"/>
              </w:rPr>
            </w:pPr>
            <w:r w:rsidRPr="00EC38CC">
              <w:rPr>
                <w:rFonts w:ascii="Times New Roman" w:hAnsi="Times New Roman" w:cs="Times New Roman"/>
                <w:kern w:val="24"/>
                <w:sz w:val="24"/>
                <w:szCs w:val="24"/>
              </w:rPr>
              <w:t>нет</w:t>
            </w:r>
          </w:p>
        </w:tc>
      </w:tr>
    </w:tbl>
    <w:p w14:paraId="014EF5DE" w14:textId="77777777" w:rsidR="0044570C" w:rsidRPr="00EC38CC" w:rsidRDefault="0044570C" w:rsidP="0044570C">
      <w:pPr>
        <w:spacing w:after="0" w:line="240" w:lineRule="auto"/>
        <w:jc w:val="center"/>
        <w:rPr>
          <w:rFonts w:ascii="Times New Roman" w:hAnsi="Times New Roman" w:cs="Times New Roman"/>
          <w:b/>
          <w:sz w:val="28"/>
          <w:szCs w:val="28"/>
        </w:rPr>
      </w:pPr>
    </w:p>
    <w:p w14:paraId="4D3AEE56" w14:textId="77777777" w:rsidR="0044570C" w:rsidRPr="007D4043" w:rsidRDefault="0044570C" w:rsidP="0044570C">
      <w:pPr>
        <w:spacing w:after="0" w:line="240" w:lineRule="auto"/>
        <w:jc w:val="center"/>
        <w:rPr>
          <w:rFonts w:ascii="Times New Roman" w:hAnsi="Times New Roman" w:cs="Times New Roman"/>
          <w:sz w:val="28"/>
          <w:szCs w:val="28"/>
        </w:rPr>
      </w:pPr>
      <w:r w:rsidRPr="007D4043">
        <w:rPr>
          <w:rFonts w:ascii="Times New Roman" w:hAnsi="Times New Roman" w:cs="Times New Roman"/>
          <w:sz w:val="28"/>
          <w:szCs w:val="28"/>
        </w:rPr>
        <w:t>Раздел 2</w:t>
      </w:r>
    </w:p>
    <w:p w14:paraId="68D624EB" w14:textId="77777777" w:rsidR="0044570C" w:rsidRPr="007D4043" w:rsidRDefault="0044570C" w:rsidP="0044570C">
      <w:pPr>
        <w:spacing w:after="0" w:line="240" w:lineRule="auto"/>
        <w:jc w:val="center"/>
        <w:rPr>
          <w:rFonts w:ascii="Times New Roman" w:hAnsi="Times New Roman" w:cs="Times New Roman"/>
          <w:sz w:val="28"/>
          <w:szCs w:val="28"/>
        </w:rPr>
      </w:pPr>
      <w:r w:rsidRPr="007D4043">
        <w:rPr>
          <w:rFonts w:ascii="Times New Roman" w:hAnsi="Times New Roman" w:cs="Times New Roman"/>
          <w:sz w:val="28"/>
          <w:szCs w:val="28"/>
        </w:rPr>
        <w:t>Шкала оценки дневных симптомов</w:t>
      </w:r>
    </w:p>
    <w:tbl>
      <w:tblPr>
        <w:tblStyle w:val="af3"/>
        <w:tblW w:w="4967" w:type="pct"/>
        <w:tblLook w:val="04A0" w:firstRow="1" w:lastRow="0" w:firstColumn="1" w:lastColumn="0" w:noHBand="0" w:noVBand="1"/>
      </w:tblPr>
      <w:tblGrid>
        <w:gridCol w:w="2303"/>
        <w:gridCol w:w="1576"/>
        <w:gridCol w:w="1710"/>
        <w:gridCol w:w="1947"/>
        <w:gridCol w:w="2028"/>
      </w:tblGrid>
      <w:tr w:rsidR="0044570C" w:rsidRPr="007D4043" w14:paraId="224084FF" w14:textId="77777777" w:rsidTr="006C735A">
        <w:trPr>
          <w:trHeight w:val="369"/>
        </w:trPr>
        <w:tc>
          <w:tcPr>
            <w:tcW w:w="1204" w:type="pct"/>
          </w:tcPr>
          <w:p w14:paraId="7A534234"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Симптом</w:t>
            </w:r>
          </w:p>
        </w:tc>
        <w:tc>
          <w:tcPr>
            <w:tcW w:w="824" w:type="pct"/>
          </w:tcPr>
          <w:p w14:paraId="671FC83D"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Отсутствие симптома</w:t>
            </w:r>
          </w:p>
        </w:tc>
        <w:tc>
          <w:tcPr>
            <w:tcW w:w="894" w:type="pct"/>
          </w:tcPr>
          <w:p w14:paraId="4951B609"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Легкая степень (симптом минимально выражен, самочувствие не страдает, беспокоит 1-3 раза в неделю)</w:t>
            </w:r>
          </w:p>
        </w:tc>
        <w:tc>
          <w:tcPr>
            <w:tcW w:w="1018" w:type="pct"/>
          </w:tcPr>
          <w:p w14:paraId="5EC143FF" w14:textId="77777777" w:rsidR="0044570C" w:rsidRPr="007D4043" w:rsidRDefault="0044570C" w:rsidP="006C735A">
            <w:pPr>
              <w:ind w:firstLine="39"/>
              <w:rPr>
                <w:rFonts w:ascii="Times New Roman" w:hAnsi="Times New Roman" w:cs="Times New Roman"/>
                <w:sz w:val="24"/>
                <w:szCs w:val="24"/>
              </w:rPr>
            </w:pPr>
            <w:r w:rsidRPr="007D4043">
              <w:rPr>
                <w:rFonts w:ascii="Times New Roman" w:hAnsi="Times New Roman" w:cs="Times New Roman"/>
                <w:sz w:val="24"/>
                <w:szCs w:val="24"/>
              </w:rPr>
              <w:t>Средняя степень (симптом выражен, имеет периодичность проявления, умеренно нарушает самочувствие и сон, беспокоит 4-5 раз в неделю)</w:t>
            </w:r>
          </w:p>
        </w:tc>
        <w:tc>
          <w:tcPr>
            <w:tcW w:w="1060" w:type="pct"/>
          </w:tcPr>
          <w:p w14:paraId="375A677A"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Тяжелая степень (симптом сильно выражен, оказывает выраженное влияние на сон и трудовую активность, беспокоит ежедневно, имеет систематический и упорный характер)</w:t>
            </w:r>
          </w:p>
        </w:tc>
      </w:tr>
      <w:tr w:rsidR="0044570C" w:rsidRPr="007D4043" w14:paraId="0D5690FD" w14:textId="77777777" w:rsidTr="006C735A">
        <w:trPr>
          <w:trHeight w:val="369"/>
        </w:trPr>
        <w:tc>
          <w:tcPr>
            <w:tcW w:w="5000" w:type="pct"/>
            <w:gridSpan w:val="5"/>
          </w:tcPr>
          <w:p w14:paraId="203ADDAA" w14:textId="77777777" w:rsidR="0044570C" w:rsidRPr="007D4043" w:rsidRDefault="0044570C" w:rsidP="006C735A">
            <w:pPr>
              <w:jc w:val="center"/>
              <w:rPr>
                <w:rFonts w:ascii="Times New Roman" w:hAnsi="Times New Roman" w:cs="Times New Roman"/>
                <w:sz w:val="24"/>
                <w:szCs w:val="24"/>
              </w:rPr>
            </w:pPr>
            <w:r w:rsidRPr="007D4043">
              <w:rPr>
                <w:rFonts w:ascii="Times New Roman" w:hAnsi="Times New Roman" w:cs="Times New Roman"/>
                <w:sz w:val="24"/>
                <w:szCs w:val="24"/>
              </w:rPr>
              <w:t>Назальные симптомы</w:t>
            </w:r>
          </w:p>
        </w:tc>
      </w:tr>
      <w:tr w:rsidR="0044570C" w:rsidRPr="007D4043" w14:paraId="1A716240" w14:textId="77777777" w:rsidTr="006C735A">
        <w:trPr>
          <w:trHeight w:val="369"/>
        </w:trPr>
        <w:tc>
          <w:tcPr>
            <w:tcW w:w="1204" w:type="pct"/>
          </w:tcPr>
          <w:p w14:paraId="4D04DF4D"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Заложенность носа</w:t>
            </w:r>
          </w:p>
        </w:tc>
        <w:tc>
          <w:tcPr>
            <w:tcW w:w="824" w:type="pct"/>
          </w:tcPr>
          <w:p w14:paraId="4EF758F3"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0</w:t>
            </w:r>
          </w:p>
        </w:tc>
        <w:tc>
          <w:tcPr>
            <w:tcW w:w="894" w:type="pct"/>
          </w:tcPr>
          <w:p w14:paraId="021C432A"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1</w:t>
            </w:r>
          </w:p>
        </w:tc>
        <w:tc>
          <w:tcPr>
            <w:tcW w:w="1018" w:type="pct"/>
          </w:tcPr>
          <w:p w14:paraId="1149506B" w14:textId="77777777" w:rsidR="0044570C" w:rsidRPr="007D4043" w:rsidRDefault="0044570C" w:rsidP="006C735A">
            <w:pPr>
              <w:ind w:firstLine="39"/>
              <w:rPr>
                <w:rFonts w:ascii="Times New Roman" w:hAnsi="Times New Roman" w:cs="Times New Roman"/>
                <w:sz w:val="24"/>
                <w:szCs w:val="24"/>
              </w:rPr>
            </w:pPr>
            <w:r w:rsidRPr="007D4043">
              <w:rPr>
                <w:rFonts w:ascii="Times New Roman" w:hAnsi="Times New Roman" w:cs="Times New Roman"/>
                <w:sz w:val="24"/>
                <w:szCs w:val="24"/>
              </w:rPr>
              <w:t>2</w:t>
            </w:r>
          </w:p>
        </w:tc>
        <w:tc>
          <w:tcPr>
            <w:tcW w:w="1060" w:type="pct"/>
          </w:tcPr>
          <w:p w14:paraId="449EC827"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3</w:t>
            </w:r>
          </w:p>
        </w:tc>
      </w:tr>
      <w:tr w:rsidR="0044570C" w:rsidRPr="007D4043" w14:paraId="17FB036F" w14:textId="77777777" w:rsidTr="006C735A">
        <w:trPr>
          <w:trHeight w:val="320"/>
        </w:trPr>
        <w:tc>
          <w:tcPr>
            <w:tcW w:w="1204" w:type="pct"/>
          </w:tcPr>
          <w:p w14:paraId="0AD3022D"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Водянистые или слизистые выделения из носа</w:t>
            </w:r>
          </w:p>
        </w:tc>
        <w:tc>
          <w:tcPr>
            <w:tcW w:w="824" w:type="pct"/>
          </w:tcPr>
          <w:p w14:paraId="5C07326A"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0</w:t>
            </w:r>
          </w:p>
        </w:tc>
        <w:tc>
          <w:tcPr>
            <w:tcW w:w="894" w:type="pct"/>
          </w:tcPr>
          <w:p w14:paraId="1B2603F2"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1</w:t>
            </w:r>
          </w:p>
        </w:tc>
        <w:tc>
          <w:tcPr>
            <w:tcW w:w="1018" w:type="pct"/>
          </w:tcPr>
          <w:p w14:paraId="1C7222EC" w14:textId="77777777" w:rsidR="0044570C" w:rsidRPr="007D4043" w:rsidRDefault="0044570C" w:rsidP="006C735A">
            <w:pPr>
              <w:ind w:firstLine="39"/>
              <w:rPr>
                <w:rFonts w:ascii="Times New Roman" w:hAnsi="Times New Roman" w:cs="Times New Roman"/>
                <w:sz w:val="24"/>
                <w:szCs w:val="24"/>
              </w:rPr>
            </w:pPr>
            <w:r w:rsidRPr="007D4043">
              <w:rPr>
                <w:rFonts w:ascii="Times New Roman" w:hAnsi="Times New Roman" w:cs="Times New Roman"/>
                <w:sz w:val="24"/>
                <w:szCs w:val="24"/>
              </w:rPr>
              <w:t>2</w:t>
            </w:r>
          </w:p>
        </w:tc>
        <w:tc>
          <w:tcPr>
            <w:tcW w:w="1060" w:type="pct"/>
          </w:tcPr>
          <w:p w14:paraId="61B28090"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3</w:t>
            </w:r>
          </w:p>
        </w:tc>
      </w:tr>
      <w:tr w:rsidR="0044570C" w:rsidRPr="007D4043" w14:paraId="3E1C25EC" w14:textId="77777777" w:rsidTr="006C735A">
        <w:trPr>
          <w:trHeight w:val="369"/>
        </w:trPr>
        <w:tc>
          <w:tcPr>
            <w:tcW w:w="1204" w:type="pct"/>
          </w:tcPr>
          <w:p w14:paraId="13BF7B1D"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Чихание</w:t>
            </w:r>
          </w:p>
        </w:tc>
        <w:tc>
          <w:tcPr>
            <w:tcW w:w="824" w:type="pct"/>
          </w:tcPr>
          <w:p w14:paraId="33E2CD72"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0</w:t>
            </w:r>
          </w:p>
        </w:tc>
        <w:tc>
          <w:tcPr>
            <w:tcW w:w="894" w:type="pct"/>
          </w:tcPr>
          <w:p w14:paraId="1EF053F3"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1</w:t>
            </w:r>
          </w:p>
        </w:tc>
        <w:tc>
          <w:tcPr>
            <w:tcW w:w="1018" w:type="pct"/>
          </w:tcPr>
          <w:p w14:paraId="04D15A56" w14:textId="77777777" w:rsidR="0044570C" w:rsidRPr="007D4043" w:rsidRDefault="0044570C" w:rsidP="006C735A">
            <w:pPr>
              <w:ind w:firstLine="39"/>
              <w:rPr>
                <w:rFonts w:ascii="Times New Roman" w:hAnsi="Times New Roman" w:cs="Times New Roman"/>
                <w:sz w:val="24"/>
                <w:szCs w:val="24"/>
              </w:rPr>
            </w:pPr>
            <w:r w:rsidRPr="007D4043">
              <w:rPr>
                <w:rFonts w:ascii="Times New Roman" w:hAnsi="Times New Roman" w:cs="Times New Roman"/>
                <w:sz w:val="24"/>
                <w:szCs w:val="24"/>
              </w:rPr>
              <w:t>2</w:t>
            </w:r>
          </w:p>
        </w:tc>
        <w:tc>
          <w:tcPr>
            <w:tcW w:w="1060" w:type="pct"/>
          </w:tcPr>
          <w:p w14:paraId="6E834C89"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3</w:t>
            </w:r>
          </w:p>
        </w:tc>
      </w:tr>
      <w:tr w:rsidR="0044570C" w:rsidRPr="007D4043" w14:paraId="7EABA27B" w14:textId="77777777" w:rsidTr="006C735A">
        <w:trPr>
          <w:trHeight w:val="353"/>
        </w:trPr>
        <w:tc>
          <w:tcPr>
            <w:tcW w:w="1204" w:type="pct"/>
          </w:tcPr>
          <w:p w14:paraId="58E795D7"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Зуд носа</w:t>
            </w:r>
          </w:p>
        </w:tc>
        <w:tc>
          <w:tcPr>
            <w:tcW w:w="824" w:type="pct"/>
          </w:tcPr>
          <w:p w14:paraId="476C4168"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0</w:t>
            </w:r>
          </w:p>
        </w:tc>
        <w:tc>
          <w:tcPr>
            <w:tcW w:w="894" w:type="pct"/>
          </w:tcPr>
          <w:p w14:paraId="1F1606A1"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1</w:t>
            </w:r>
          </w:p>
        </w:tc>
        <w:tc>
          <w:tcPr>
            <w:tcW w:w="1018" w:type="pct"/>
          </w:tcPr>
          <w:p w14:paraId="2B090BC8" w14:textId="77777777" w:rsidR="0044570C" w:rsidRPr="007D4043" w:rsidRDefault="0044570C" w:rsidP="006C735A">
            <w:pPr>
              <w:ind w:firstLine="39"/>
              <w:rPr>
                <w:rFonts w:ascii="Times New Roman" w:hAnsi="Times New Roman" w:cs="Times New Roman"/>
                <w:sz w:val="24"/>
                <w:szCs w:val="24"/>
              </w:rPr>
            </w:pPr>
            <w:r w:rsidRPr="007D4043">
              <w:rPr>
                <w:rFonts w:ascii="Times New Roman" w:hAnsi="Times New Roman" w:cs="Times New Roman"/>
                <w:sz w:val="24"/>
                <w:szCs w:val="24"/>
              </w:rPr>
              <w:t>2</w:t>
            </w:r>
          </w:p>
        </w:tc>
        <w:tc>
          <w:tcPr>
            <w:tcW w:w="1060" w:type="pct"/>
          </w:tcPr>
          <w:p w14:paraId="1515C177"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3</w:t>
            </w:r>
          </w:p>
        </w:tc>
      </w:tr>
      <w:tr w:rsidR="0044570C" w:rsidRPr="007D4043" w14:paraId="29277FC4" w14:textId="77777777" w:rsidTr="006C735A">
        <w:trPr>
          <w:trHeight w:val="353"/>
        </w:trPr>
        <w:tc>
          <w:tcPr>
            <w:tcW w:w="5000" w:type="pct"/>
            <w:gridSpan w:val="5"/>
          </w:tcPr>
          <w:p w14:paraId="198547FD" w14:textId="77777777" w:rsidR="0044570C" w:rsidRPr="007D4043" w:rsidRDefault="0044570C" w:rsidP="006C735A">
            <w:pPr>
              <w:jc w:val="center"/>
              <w:rPr>
                <w:rFonts w:ascii="Times New Roman" w:hAnsi="Times New Roman" w:cs="Times New Roman"/>
                <w:sz w:val="24"/>
                <w:szCs w:val="24"/>
              </w:rPr>
            </w:pPr>
            <w:r w:rsidRPr="007D4043">
              <w:rPr>
                <w:rFonts w:ascii="Times New Roman" w:hAnsi="Times New Roman" w:cs="Times New Roman"/>
                <w:sz w:val="24"/>
                <w:szCs w:val="24"/>
              </w:rPr>
              <w:t>Конъюнктивальные симптомы</w:t>
            </w:r>
          </w:p>
        </w:tc>
      </w:tr>
      <w:tr w:rsidR="0044570C" w:rsidRPr="007D4043" w14:paraId="47C89433" w14:textId="77777777" w:rsidTr="006C735A">
        <w:trPr>
          <w:trHeight w:val="321"/>
        </w:trPr>
        <w:tc>
          <w:tcPr>
            <w:tcW w:w="1204" w:type="pct"/>
          </w:tcPr>
          <w:p w14:paraId="6B5D4749"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 xml:space="preserve">Зуд глаз </w:t>
            </w:r>
          </w:p>
        </w:tc>
        <w:tc>
          <w:tcPr>
            <w:tcW w:w="824" w:type="pct"/>
          </w:tcPr>
          <w:p w14:paraId="7484A77D"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0</w:t>
            </w:r>
          </w:p>
        </w:tc>
        <w:tc>
          <w:tcPr>
            <w:tcW w:w="894" w:type="pct"/>
          </w:tcPr>
          <w:p w14:paraId="201A5CE0"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1</w:t>
            </w:r>
          </w:p>
        </w:tc>
        <w:tc>
          <w:tcPr>
            <w:tcW w:w="1018" w:type="pct"/>
          </w:tcPr>
          <w:p w14:paraId="2E69B798" w14:textId="77777777" w:rsidR="0044570C" w:rsidRPr="007D4043" w:rsidRDefault="0044570C" w:rsidP="006C735A">
            <w:pPr>
              <w:ind w:firstLine="39"/>
              <w:rPr>
                <w:rFonts w:ascii="Times New Roman" w:hAnsi="Times New Roman" w:cs="Times New Roman"/>
                <w:sz w:val="24"/>
                <w:szCs w:val="24"/>
              </w:rPr>
            </w:pPr>
            <w:r w:rsidRPr="007D4043">
              <w:rPr>
                <w:rFonts w:ascii="Times New Roman" w:hAnsi="Times New Roman" w:cs="Times New Roman"/>
                <w:sz w:val="24"/>
                <w:szCs w:val="24"/>
              </w:rPr>
              <w:t>2</w:t>
            </w:r>
          </w:p>
        </w:tc>
        <w:tc>
          <w:tcPr>
            <w:tcW w:w="1060" w:type="pct"/>
          </w:tcPr>
          <w:p w14:paraId="28B5213B"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3</w:t>
            </w:r>
          </w:p>
        </w:tc>
      </w:tr>
      <w:tr w:rsidR="0044570C" w:rsidRPr="007D4043" w14:paraId="417A079C" w14:textId="77777777" w:rsidTr="006C735A">
        <w:trPr>
          <w:trHeight w:val="437"/>
        </w:trPr>
        <w:tc>
          <w:tcPr>
            <w:tcW w:w="1204" w:type="pct"/>
          </w:tcPr>
          <w:p w14:paraId="74EA321B"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Слезотечение</w:t>
            </w:r>
          </w:p>
        </w:tc>
        <w:tc>
          <w:tcPr>
            <w:tcW w:w="824" w:type="pct"/>
          </w:tcPr>
          <w:p w14:paraId="57911DE2"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0</w:t>
            </w:r>
          </w:p>
        </w:tc>
        <w:tc>
          <w:tcPr>
            <w:tcW w:w="894" w:type="pct"/>
          </w:tcPr>
          <w:p w14:paraId="75344C7A"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1</w:t>
            </w:r>
          </w:p>
        </w:tc>
        <w:tc>
          <w:tcPr>
            <w:tcW w:w="1018" w:type="pct"/>
          </w:tcPr>
          <w:p w14:paraId="7266DB4E" w14:textId="77777777" w:rsidR="0044570C" w:rsidRPr="007D4043" w:rsidRDefault="0044570C" w:rsidP="006C735A">
            <w:pPr>
              <w:ind w:firstLine="39"/>
              <w:rPr>
                <w:rFonts w:ascii="Times New Roman" w:hAnsi="Times New Roman" w:cs="Times New Roman"/>
                <w:sz w:val="24"/>
                <w:szCs w:val="24"/>
              </w:rPr>
            </w:pPr>
            <w:r w:rsidRPr="007D4043">
              <w:rPr>
                <w:rFonts w:ascii="Times New Roman" w:hAnsi="Times New Roman" w:cs="Times New Roman"/>
                <w:sz w:val="24"/>
                <w:szCs w:val="24"/>
              </w:rPr>
              <w:t>2</w:t>
            </w:r>
          </w:p>
        </w:tc>
        <w:tc>
          <w:tcPr>
            <w:tcW w:w="1060" w:type="pct"/>
          </w:tcPr>
          <w:p w14:paraId="6EF82A42"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3</w:t>
            </w:r>
          </w:p>
        </w:tc>
      </w:tr>
    </w:tbl>
    <w:p w14:paraId="0182B93A" w14:textId="77777777" w:rsidR="0044570C" w:rsidRPr="007D4043" w:rsidRDefault="0044570C" w:rsidP="0044570C">
      <w:pPr>
        <w:spacing w:after="0" w:line="240" w:lineRule="auto"/>
        <w:rPr>
          <w:rFonts w:ascii="Times New Roman" w:hAnsi="Times New Roman" w:cs="Times New Roman"/>
          <w:sz w:val="28"/>
          <w:szCs w:val="28"/>
        </w:rPr>
      </w:pPr>
    </w:p>
    <w:p w14:paraId="0F089979" w14:textId="77777777" w:rsidR="0044570C" w:rsidRPr="007D4043" w:rsidRDefault="0044570C" w:rsidP="0044570C">
      <w:pPr>
        <w:spacing w:after="0" w:line="240" w:lineRule="auto"/>
        <w:jc w:val="center"/>
        <w:rPr>
          <w:rFonts w:ascii="Times New Roman" w:hAnsi="Times New Roman" w:cs="Times New Roman"/>
          <w:sz w:val="28"/>
          <w:szCs w:val="28"/>
        </w:rPr>
      </w:pPr>
      <w:r w:rsidRPr="007D4043">
        <w:rPr>
          <w:rFonts w:ascii="Times New Roman" w:hAnsi="Times New Roman" w:cs="Times New Roman"/>
          <w:sz w:val="28"/>
          <w:szCs w:val="28"/>
        </w:rPr>
        <w:t>Раздел 3</w:t>
      </w:r>
    </w:p>
    <w:p w14:paraId="57F481A9" w14:textId="77777777" w:rsidR="0044570C" w:rsidRPr="007D4043" w:rsidRDefault="0044570C" w:rsidP="0044570C">
      <w:pPr>
        <w:spacing w:after="0" w:line="240" w:lineRule="auto"/>
        <w:jc w:val="center"/>
        <w:rPr>
          <w:rFonts w:ascii="Times New Roman" w:hAnsi="Times New Roman" w:cs="Times New Roman"/>
          <w:sz w:val="28"/>
          <w:szCs w:val="28"/>
        </w:rPr>
      </w:pPr>
      <w:r w:rsidRPr="007D4043">
        <w:rPr>
          <w:rFonts w:ascii="Times New Roman" w:hAnsi="Times New Roman" w:cs="Times New Roman"/>
          <w:sz w:val="28"/>
          <w:szCs w:val="28"/>
        </w:rPr>
        <w:t>Оценка приема медикаментов</w:t>
      </w:r>
    </w:p>
    <w:tbl>
      <w:tblPr>
        <w:tblStyle w:val="af3"/>
        <w:tblW w:w="4967" w:type="pct"/>
        <w:tblLook w:val="04A0" w:firstRow="1" w:lastRow="0" w:firstColumn="1" w:lastColumn="0" w:noHBand="0" w:noVBand="1"/>
      </w:tblPr>
      <w:tblGrid>
        <w:gridCol w:w="3879"/>
        <w:gridCol w:w="1710"/>
        <w:gridCol w:w="1949"/>
        <w:gridCol w:w="2026"/>
      </w:tblGrid>
      <w:tr w:rsidR="0044570C" w:rsidRPr="007D4043" w14:paraId="32E0E1AD" w14:textId="77777777" w:rsidTr="006C735A">
        <w:trPr>
          <w:trHeight w:val="437"/>
        </w:trPr>
        <w:tc>
          <w:tcPr>
            <w:tcW w:w="2028" w:type="pct"/>
          </w:tcPr>
          <w:p w14:paraId="5A1F1968"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Частота приема препарата, в неделю</w:t>
            </w:r>
          </w:p>
        </w:tc>
        <w:tc>
          <w:tcPr>
            <w:tcW w:w="894" w:type="pct"/>
          </w:tcPr>
          <w:p w14:paraId="761E873D"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Легкая степень</w:t>
            </w:r>
          </w:p>
        </w:tc>
        <w:tc>
          <w:tcPr>
            <w:tcW w:w="1019" w:type="pct"/>
          </w:tcPr>
          <w:p w14:paraId="0C3734E9" w14:textId="77777777" w:rsidR="0044570C" w:rsidRPr="007D4043" w:rsidRDefault="0044570C" w:rsidP="006C735A">
            <w:pPr>
              <w:ind w:firstLine="39"/>
              <w:rPr>
                <w:rFonts w:ascii="Times New Roman" w:hAnsi="Times New Roman" w:cs="Times New Roman"/>
                <w:sz w:val="24"/>
                <w:szCs w:val="24"/>
              </w:rPr>
            </w:pPr>
            <w:r w:rsidRPr="007D4043">
              <w:rPr>
                <w:rFonts w:ascii="Times New Roman" w:hAnsi="Times New Roman" w:cs="Times New Roman"/>
                <w:sz w:val="24"/>
                <w:szCs w:val="24"/>
              </w:rPr>
              <w:t>Средняя степень</w:t>
            </w:r>
          </w:p>
        </w:tc>
        <w:tc>
          <w:tcPr>
            <w:tcW w:w="1059" w:type="pct"/>
          </w:tcPr>
          <w:p w14:paraId="3CF58AF6"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Тяжелая степень</w:t>
            </w:r>
          </w:p>
        </w:tc>
      </w:tr>
      <w:tr w:rsidR="0044570C" w:rsidRPr="007D4043" w14:paraId="7FBE536D" w14:textId="77777777" w:rsidTr="006C735A">
        <w:trPr>
          <w:trHeight w:val="437"/>
        </w:trPr>
        <w:tc>
          <w:tcPr>
            <w:tcW w:w="2028" w:type="pct"/>
          </w:tcPr>
          <w:p w14:paraId="783E694F"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Топических ГКС</w:t>
            </w:r>
          </w:p>
        </w:tc>
        <w:tc>
          <w:tcPr>
            <w:tcW w:w="894" w:type="pct"/>
          </w:tcPr>
          <w:p w14:paraId="0D5AF623"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1-3 раз</w:t>
            </w:r>
          </w:p>
        </w:tc>
        <w:tc>
          <w:tcPr>
            <w:tcW w:w="1019" w:type="pct"/>
          </w:tcPr>
          <w:p w14:paraId="75A148B2" w14:textId="77777777" w:rsidR="0044570C" w:rsidRPr="007D4043" w:rsidRDefault="0044570C" w:rsidP="006C735A">
            <w:pPr>
              <w:ind w:firstLine="39"/>
              <w:rPr>
                <w:rFonts w:ascii="Times New Roman" w:hAnsi="Times New Roman" w:cs="Times New Roman"/>
                <w:sz w:val="24"/>
                <w:szCs w:val="24"/>
              </w:rPr>
            </w:pPr>
            <w:r w:rsidRPr="007D4043">
              <w:rPr>
                <w:rFonts w:ascii="Times New Roman" w:hAnsi="Times New Roman" w:cs="Times New Roman"/>
                <w:sz w:val="24"/>
                <w:szCs w:val="24"/>
              </w:rPr>
              <w:t>4-5 раз</w:t>
            </w:r>
          </w:p>
        </w:tc>
        <w:tc>
          <w:tcPr>
            <w:tcW w:w="1059" w:type="pct"/>
          </w:tcPr>
          <w:p w14:paraId="476EC668"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 xml:space="preserve">Ежедневно </w:t>
            </w:r>
          </w:p>
        </w:tc>
      </w:tr>
      <w:tr w:rsidR="0044570C" w:rsidRPr="007D4043" w14:paraId="7EB07A68" w14:textId="77777777" w:rsidTr="006C735A">
        <w:trPr>
          <w:trHeight w:val="380"/>
        </w:trPr>
        <w:tc>
          <w:tcPr>
            <w:tcW w:w="2028" w:type="pct"/>
          </w:tcPr>
          <w:p w14:paraId="43938006"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Системных ГКС</w:t>
            </w:r>
          </w:p>
        </w:tc>
        <w:tc>
          <w:tcPr>
            <w:tcW w:w="894" w:type="pct"/>
          </w:tcPr>
          <w:p w14:paraId="0CA330BD"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1-3 раз</w:t>
            </w:r>
          </w:p>
        </w:tc>
        <w:tc>
          <w:tcPr>
            <w:tcW w:w="1019" w:type="pct"/>
          </w:tcPr>
          <w:p w14:paraId="6B916BDE" w14:textId="77777777" w:rsidR="0044570C" w:rsidRPr="007D4043" w:rsidRDefault="0044570C" w:rsidP="006C735A">
            <w:pPr>
              <w:ind w:firstLine="39"/>
              <w:rPr>
                <w:rFonts w:ascii="Times New Roman" w:hAnsi="Times New Roman" w:cs="Times New Roman"/>
                <w:sz w:val="24"/>
                <w:szCs w:val="24"/>
              </w:rPr>
            </w:pPr>
            <w:r w:rsidRPr="007D4043">
              <w:rPr>
                <w:rFonts w:ascii="Times New Roman" w:hAnsi="Times New Roman" w:cs="Times New Roman"/>
                <w:sz w:val="24"/>
                <w:szCs w:val="24"/>
              </w:rPr>
              <w:t>4-5 раз</w:t>
            </w:r>
          </w:p>
        </w:tc>
        <w:tc>
          <w:tcPr>
            <w:tcW w:w="1059" w:type="pct"/>
          </w:tcPr>
          <w:p w14:paraId="44E4201B"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 xml:space="preserve">Ежедневно </w:t>
            </w:r>
          </w:p>
        </w:tc>
      </w:tr>
      <w:tr w:rsidR="0044570C" w:rsidRPr="007D4043" w14:paraId="59DC2375" w14:textId="77777777" w:rsidTr="006C735A">
        <w:trPr>
          <w:trHeight w:val="427"/>
        </w:trPr>
        <w:tc>
          <w:tcPr>
            <w:tcW w:w="2028" w:type="pct"/>
          </w:tcPr>
          <w:p w14:paraId="5354D660"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Антигистаминных препаратов</w:t>
            </w:r>
          </w:p>
        </w:tc>
        <w:tc>
          <w:tcPr>
            <w:tcW w:w="894" w:type="pct"/>
          </w:tcPr>
          <w:p w14:paraId="78B0FE9B"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1-3 раз</w:t>
            </w:r>
          </w:p>
        </w:tc>
        <w:tc>
          <w:tcPr>
            <w:tcW w:w="1019" w:type="pct"/>
          </w:tcPr>
          <w:p w14:paraId="3924896E" w14:textId="77777777" w:rsidR="0044570C" w:rsidRPr="007D4043" w:rsidRDefault="0044570C" w:rsidP="006C735A">
            <w:pPr>
              <w:ind w:firstLine="39"/>
              <w:rPr>
                <w:rFonts w:ascii="Times New Roman" w:hAnsi="Times New Roman" w:cs="Times New Roman"/>
                <w:sz w:val="24"/>
                <w:szCs w:val="24"/>
              </w:rPr>
            </w:pPr>
            <w:r w:rsidRPr="007D4043">
              <w:rPr>
                <w:rFonts w:ascii="Times New Roman" w:hAnsi="Times New Roman" w:cs="Times New Roman"/>
                <w:sz w:val="24"/>
                <w:szCs w:val="24"/>
              </w:rPr>
              <w:t>4-5 раз</w:t>
            </w:r>
          </w:p>
        </w:tc>
        <w:tc>
          <w:tcPr>
            <w:tcW w:w="1059" w:type="pct"/>
          </w:tcPr>
          <w:p w14:paraId="49B90406"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 xml:space="preserve">Ежедневно </w:t>
            </w:r>
          </w:p>
        </w:tc>
      </w:tr>
    </w:tbl>
    <w:p w14:paraId="6D493211" w14:textId="77777777" w:rsidR="0044570C" w:rsidRPr="007D4043" w:rsidRDefault="0044570C" w:rsidP="0044570C">
      <w:pPr>
        <w:spacing w:after="0" w:line="240" w:lineRule="auto"/>
        <w:rPr>
          <w:rFonts w:ascii="Times New Roman" w:hAnsi="Times New Roman" w:cs="Times New Roman"/>
          <w:sz w:val="28"/>
          <w:szCs w:val="28"/>
        </w:rPr>
      </w:pPr>
    </w:p>
    <w:p w14:paraId="2C12ABF7" w14:textId="77777777" w:rsidR="0044570C" w:rsidRPr="007D4043" w:rsidRDefault="0044570C" w:rsidP="0044570C">
      <w:pPr>
        <w:spacing w:after="0" w:line="240" w:lineRule="auto"/>
        <w:ind w:firstLine="567"/>
        <w:jc w:val="both"/>
        <w:rPr>
          <w:rFonts w:ascii="Times New Roman" w:eastAsia="Calibri" w:hAnsi="Times New Roman" w:cs="Times New Roman"/>
          <w:sz w:val="28"/>
          <w:szCs w:val="28"/>
        </w:rPr>
      </w:pPr>
      <w:r w:rsidRPr="007D4043">
        <w:rPr>
          <w:rFonts w:ascii="Times New Roman" w:eastAsia="Calibri" w:hAnsi="Times New Roman" w:cs="Times New Roman"/>
          <w:sz w:val="28"/>
          <w:szCs w:val="28"/>
        </w:rPr>
        <w:t>Максимальная оценка была выражена общим баллом тяжести симптомов и составляла 18 баллов. Интерпретация тяжести симптомов осуществлялось по следующей шкале:</w:t>
      </w:r>
    </w:p>
    <w:p w14:paraId="635BEAE2" w14:textId="77777777" w:rsidR="0044570C" w:rsidRPr="007D4043" w:rsidRDefault="0044570C" w:rsidP="0044570C">
      <w:pPr>
        <w:spacing w:after="0" w:line="240" w:lineRule="auto"/>
        <w:ind w:firstLine="567"/>
        <w:jc w:val="both"/>
        <w:rPr>
          <w:rFonts w:ascii="Times New Roman" w:eastAsia="Calibri" w:hAnsi="Times New Roman" w:cs="Times New Roman"/>
          <w:sz w:val="28"/>
          <w:szCs w:val="28"/>
        </w:rPr>
      </w:pPr>
      <w:r w:rsidRPr="007D4043">
        <w:rPr>
          <w:rFonts w:ascii="Times New Roman" w:eastAsia="Calibri" w:hAnsi="Times New Roman" w:cs="Times New Roman"/>
          <w:sz w:val="28"/>
          <w:szCs w:val="28"/>
        </w:rPr>
        <w:t>0 - 6 баллов – симптомы отсутствуют или легкой степени тяжести</w:t>
      </w:r>
    </w:p>
    <w:p w14:paraId="584EDD3B" w14:textId="77777777" w:rsidR="0044570C" w:rsidRPr="007D4043" w:rsidRDefault="0044570C" w:rsidP="0044570C">
      <w:pPr>
        <w:spacing w:after="0" w:line="240" w:lineRule="auto"/>
        <w:ind w:firstLine="567"/>
        <w:jc w:val="both"/>
        <w:rPr>
          <w:rFonts w:ascii="Times New Roman" w:eastAsia="Calibri" w:hAnsi="Times New Roman" w:cs="Times New Roman"/>
          <w:sz w:val="28"/>
          <w:szCs w:val="28"/>
        </w:rPr>
      </w:pPr>
      <w:r w:rsidRPr="007D4043">
        <w:rPr>
          <w:rFonts w:ascii="Times New Roman" w:eastAsia="Calibri" w:hAnsi="Times New Roman" w:cs="Times New Roman"/>
          <w:sz w:val="28"/>
          <w:szCs w:val="28"/>
        </w:rPr>
        <w:t>7 – 12 баллов – симптомы средней степени тяжести</w:t>
      </w:r>
    </w:p>
    <w:p w14:paraId="648A074F" w14:textId="77777777" w:rsidR="0044570C" w:rsidRPr="007D4043" w:rsidRDefault="0044570C" w:rsidP="0044570C">
      <w:pPr>
        <w:spacing w:after="0" w:line="240" w:lineRule="auto"/>
        <w:ind w:firstLine="567"/>
        <w:jc w:val="both"/>
        <w:rPr>
          <w:rFonts w:ascii="Times New Roman" w:eastAsia="Calibri" w:hAnsi="Times New Roman" w:cs="Times New Roman"/>
          <w:sz w:val="28"/>
          <w:szCs w:val="28"/>
        </w:rPr>
      </w:pPr>
      <w:r w:rsidRPr="007D4043">
        <w:rPr>
          <w:rFonts w:ascii="Times New Roman" w:eastAsia="Calibri" w:hAnsi="Times New Roman" w:cs="Times New Roman"/>
          <w:sz w:val="28"/>
          <w:szCs w:val="28"/>
        </w:rPr>
        <w:t>13 – 18 баллов – симптомы тяжелой степени.</w:t>
      </w:r>
    </w:p>
    <w:p w14:paraId="1E474A9A" w14:textId="77777777" w:rsidR="0044570C" w:rsidRPr="007D4043" w:rsidRDefault="0044570C" w:rsidP="0044570C">
      <w:pPr>
        <w:spacing w:after="0" w:line="240" w:lineRule="auto"/>
        <w:ind w:firstLine="567"/>
        <w:jc w:val="both"/>
        <w:rPr>
          <w:rFonts w:ascii="Times New Roman" w:eastAsia="Calibri" w:hAnsi="Times New Roman" w:cs="Times New Roman"/>
          <w:sz w:val="28"/>
          <w:szCs w:val="28"/>
        </w:rPr>
      </w:pPr>
    </w:p>
    <w:p w14:paraId="3005B4D0" w14:textId="77777777" w:rsidR="0044570C" w:rsidRPr="007D4043" w:rsidRDefault="0044570C" w:rsidP="0044570C">
      <w:pPr>
        <w:spacing w:after="0"/>
        <w:jc w:val="center"/>
        <w:rPr>
          <w:rFonts w:ascii="Times New Roman" w:hAnsi="Times New Roman" w:cs="Times New Roman"/>
          <w:color w:val="2E74B5" w:themeColor="accent1" w:themeShade="BF"/>
          <w:sz w:val="28"/>
          <w:szCs w:val="28"/>
        </w:rPr>
      </w:pPr>
      <w:r w:rsidRPr="007D4043">
        <w:rPr>
          <w:rFonts w:ascii="Times New Roman" w:hAnsi="Times New Roman" w:cs="Times New Roman"/>
          <w:sz w:val="28"/>
          <w:szCs w:val="28"/>
        </w:rPr>
        <w:t>Оценки качества жизни пациентов с сезонным аллергическим ринитом</w:t>
      </w:r>
    </w:p>
    <w:p w14:paraId="65F6523F" w14:textId="77777777" w:rsidR="0044570C" w:rsidRPr="007D4043" w:rsidRDefault="0044570C" w:rsidP="0044570C">
      <w:pPr>
        <w:spacing w:after="0" w:line="240" w:lineRule="auto"/>
        <w:jc w:val="center"/>
        <w:rPr>
          <w:rFonts w:ascii="Times New Roman" w:hAnsi="Times New Roman" w:cs="Times New Roman"/>
          <w:sz w:val="28"/>
          <w:szCs w:val="28"/>
        </w:rPr>
      </w:pPr>
      <w:r w:rsidRPr="007D4043">
        <w:rPr>
          <w:rFonts w:ascii="Times New Roman" w:hAnsi="Times New Roman" w:cs="Times New Roman"/>
          <w:sz w:val="28"/>
          <w:szCs w:val="28"/>
        </w:rPr>
        <w:t>Раздел 1</w:t>
      </w:r>
    </w:p>
    <w:p w14:paraId="35BE2E0D" w14:textId="77777777" w:rsidR="0044570C" w:rsidRPr="007D4043" w:rsidRDefault="0044570C" w:rsidP="0044570C">
      <w:pPr>
        <w:spacing w:after="0" w:line="240" w:lineRule="auto"/>
        <w:jc w:val="center"/>
        <w:rPr>
          <w:rFonts w:ascii="Times New Roman" w:hAnsi="Times New Roman" w:cs="Times New Roman"/>
          <w:sz w:val="28"/>
          <w:szCs w:val="28"/>
        </w:rPr>
      </w:pPr>
      <w:r w:rsidRPr="007D4043">
        <w:rPr>
          <w:rFonts w:ascii="Times New Roman" w:hAnsi="Times New Roman" w:cs="Times New Roman"/>
          <w:sz w:val="28"/>
          <w:szCs w:val="28"/>
        </w:rPr>
        <w:t>Оценка физической активности/сна</w:t>
      </w:r>
    </w:p>
    <w:tbl>
      <w:tblPr>
        <w:tblStyle w:val="af3"/>
        <w:tblW w:w="4967" w:type="pct"/>
        <w:tblLook w:val="04A0" w:firstRow="1" w:lastRow="0" w:firstColumn="1" w:lastColumn="0" w:noHBand="0" w:noVBand="1"/>
      </w:tblPr>
      <w:tblGrid>
        <w:gridCol w:w="2292"/>
        <w:gridCol w:w="1567"/>
        <w:gridCol w:w="1700"/>
        <w:gridCol w:w="1991"/>
        <w:gridCol w:w="2014"/>
      </w:tblGrid>
      <w:tr w:rsidR="0044570C" w:rsidRPr="007D4043" w14:paraId="5A41E29D" w14:textId="77777777" w:rsidTr="006C735A">
        <w:trPr>
          <w:trHeight w:val="427"/>
        </w:trPr>
        <w:tc>
          <w:tcPr>
            <w:tcW w:w="1198" w:type="pct"/>
          </w:tcPr>
          <w:p w14:paraId="5BF98987"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Признак</w:t>
            </w:r>
          </w:p>
        </w:tc>
        <w:tc>
          <w:tcPr>
            <w:tcW w:w="819" w:type="pct"/>
          </w:tcPr>
          <w:p w14:paraId="0F1DF3F6"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Не нарушено</w:t>
            </w:r>
          </w:p>
        </w:tc>
        <w:tc>
          <w:tcPr>
            <w:tcW w:w="889" w:type="pct"/>
          </w:tcPr>
          <w:p w14:paraId="0B24D7C6"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Легкая степень (Частичное не ежедневное нарушение в течение дня, 1-2 раза в неделю)</w:t>
            </w:r>
          </w:p>
        </w:tc>
        <w:tc>
          <w:tcPr>
            <w:tcW w:w="1041" w:type="pct"/>
          </w:tcPr>
          <w:p w14:paraId="1F766B46" w14:textId="77777777" w:rsidR="0044570C" w:rsidRPr="007D4043" w:rsidRDefault="0044570C" w:rsidP="006C735A">
            <w:pPr>
              <w:ind w:firstLine="39"/>
              <w:rPr>
                <w:rFonts w:ascii="Times New Roman" w:hAnsi="Times New Roman" w:cs="Times New Roman"/>
                <w:sz w:val="24"/>
                <w:szCs w:val="24"/>
              </w:rPr>
            </w:pPr>
            <w:r w:rsidRPr="007D4043">
              <w:rPr>
                <w:rFonts w:ascii="Times New Roman" w:hAnsi="Times New Roman" w:cs="Times New Roman"/>
                <w:sz w:val="24"/>
                <w:szCs w:val="24"/>
              </w:rPr>
              <w:t>Средняя степень (Периодическое, но систематичное нарушение в течение дня, 3-4 раза в неделю)</w:t>
            </w:r>
          </w:p>
        </w:tc>
        <w:tc>
          <w:tcPr>
            <w:tcW w:w="1054" w:type="pct"/>
          </w:tcPr>
          <w:p w14:paraId="1CFE1394"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Тяжелая степень (Постоянное ежедневное нарушение в течение дня)</w:t>
            </w:r>
          </w:p>
        </w:tc>
      </w:tr>
      <w:tr w:rsidR="0044570C" w:rsidRPr="007D4043" w14:paraId="1D6DB8A0" w14:textId="77777777" w:rsidTr="006C735A">
        <w:trPr>
          <w:trHeight w:val="391"/>
        </w:trPr>
        <w:tc>
          <w:tcPr>
            <w:tcW w:w="1198" w:type="pct"/>
          </w:tcPr>
          <w:p w14:paraId="2C9F96AD" w14:textId="77777777" w:rsidR="0044570C" w:rsidRPr="007D4043" w:rsidRDefault="0044570C" w:rsidP="006C735A">
            <w:pPr>
              <w:ind w:firstLine="31"/>
              <w:rPr>
                <w:rFonts w:ascii="Times New Roman" w:hAnsi="Times New Roman" w:cs="Times New Roman"/>
                <w:sz w:val="28"/>
                <w:szCs w:val="28"/>
              </w:rPr>
            </w:pPr>
            <w:r w:rsidRPr="007D4043">
              <w:rPr>
                <w:rFonts w:ascii="Times New Roman" w:hAnsi="Times New Roman" w:cs="Times New Roman"/>
                <w:sz w:val="28"/>
                <w:szCs w:val="28"/>
              </w:rPr>
              <w:t>Повседневная деятельность</w:t>
            </w:r>
          </w:p>
        </w:tc>
        <w:tc>
          <w:tcPr>
            <w:tcW w:w="819" w:type="pct"/>
          </w:tcPr>
          <w:p w14:paraId="01642512" w14:textId="77777777" w:rsidR="0044570C" w:rsidRPr="007D4043" w:rsidRDefault="0044570C" w:rsidP="006C735A">
            <w:pPr>
              <w:jc w:val="center"/>
              <w:rPr>
                <w:rFonts w:ascii="Times New Roman" w:hAnsi="Times New Roman" w:cs="Times New Roman"/>
                <w:sz w:val="28"/>
                <w:szCs w:val="28"/>
              </w:rPr>
            </w:pPr>
            <w:r w:rsidRPr="007D4043">
              <w:rPr>
                <w:rFonts w:ascii="Times New Roman" w:hAnsi="Times New Roman" w:cs="Times New Roman"/>
                <w:sz w:val="28"/>
                <w:szCs w:val="28"/>
              </w:rPr>
              <w:t>0</w:t>
            </w:r>
          </w:p>
        </w:tc>
        <w:tc>
          <w:tcPr>
            <w:tcW w:w="889" w:type="pct"/>
          </w:tcPr>
          <w:p w14:paraId="79EEDC2F" w14:textId="77777777" w:rsidR="0044570C" w:rsidRPr="007D4043" w:rsidRDefault="0044570C" w:rsidP="006C735A">
            <w:pPr>
              <w:ind w:firstLine="31"/>
              <w:jc w:val="center"/>
              <w:rPr>
                <w:rFonts w:ascii="Times New Roman" w:hAnsi="Times New Roman" w:cs="Times New Roman"/>
                <w:sz w:val="28"/>
                <w:szCs w:val="28"/>
              </w:rPr>
            </w:pPr>
            <w:r w:rsidRPr="007D4043">
              <w:rPr>
                <w:rFonts w:ascii="Times New Roman" w:hAnsi="Times New Roman" w:cs="Times New Roman"/>
                <w:sz w:val="28"/>
                <w:szCs w:val="28"/>
              </w:rPr>
              <w:t>1</w:t>
            </w:r>
          </w:p>
        </w:tc>
        <w:tc>
          <w:tcPr>
            <w:tcW w:w="1041" w:type="pct"/>
          </w:tcPr>
          <w:p w14:paraId="5B81DD34" w14:textId="77777777" w:rsidR="0044570C" w:rsidRPr="007D4043" w:rsidRDefault="0044570C" w:rsidP="006C735A">
            <w:pPr>
              <w:ind w:firstLine="39"/>
              <w:jc w:val="center"/>
              <w:rPr>
                <w:rFonts w:ascii="Times New Roman" w:hAnsi="Times New Roman" w:cs="Times New Roman"/>
                <w:sz w:val="28"/>
                <w:szCs w:val="28"/>
              </w:rPr>
            </w:pPr>
            <w:r w:rsidRPr="007D4043">
              <w:rPr>
                <w:rFonts w:ascii="Times New Roman" w:hAnsi="Times New Roman" w:cs="Times New Roman"/>
                <w:sz w:val="28"/>
                <w:szCs w:val="28"/>
              </w:rPr>
              <w:t>2</w:t>
            </w:r>
          </w:p>
        </w:tc>
        <w:tc>
          <w:tcPr>
            <w:tcW w:w="1054" w:type="pct"/>
          </w:tcPr>
          <w:p w14:paraId="200FE916" w14:textId="77777777" w:rsidR="0044570C" w:rsidRPr="007D4043" w:rsidRDefault="0044570C" w:rsidP="006C735A">
            <w:pPr>
              <w:jc w:val="center"/>
              <w:rPr>
                <w:rFonts w:ascii="Times New Roman" w:hAnsi="Times New Roman" w:cs="Times New Roman"/>
                <w:sz w:val="28"/>
                <w:szCs w:val="28"/>
              </w:rPr>
            </w:pPr>
            <w:r w:rsidRPr="007D4043">
              <w:rPr>
                <w:rFonts w:ascii="Times New Roman" w:hAnsi="Times New Roman" w:cs="Times New Roman"/>
                <w:sz w:val="28"/>
                <w:szCs w:val="28"/>
              </w:rPr>
              <w:t>3</w:t>
            </w:r>
          </w:p>
        </w:tc>
      </w:tr>
      <w:tr w:rsidR="0044570C" w:rsidRPr="007D4043" w14:paraId="084F8184" w14:textId="77777777" w:rsidTr="006C735A">
        <w:trPr>
          <w:trHeight w:val="243"/>
        </w:trPr>
        <w:tc>
          <w:tcPr>
            <w:tcW w:w="1198" w:type="pct"/>
          </w:tcPr>
          <w:p w14:paraId="15509E7B" w14:textId="77777777" w:rsidR="0044570C" w:rsidRPr="007D4043" w:rsidRDefault="0044570C" w:rsidP="006C735A">
            <w:pPr>
              <w:ind w:firstLine="31"/>
              <w:rPr>
                <w:rFonts w:ascii="Times New Roman" w:hAnsi="Times New Roman" w:cs="Times New Roman"/>
                <w:sz w:val="28"/>
                <w:szCs w:val="28"/>
              </w:rPr>
            </w:pPr>
            <w:r w:rsidRPr="007D4043">
              <w:rPr>
                <w:rFonts w:ascii="Times New Roman" w:hAnsi="Times New Roman" w:cs="Times New Roman"/>
                <w:sz w:val="28"/>
                <w:szCs w:val="28"/>
              </w:rPr>
              <w:t xml:space="preserve">Сон </w:t>
            </w:r>
          </w:p>
        </w:tc>
        <w:tc>
          <w:tcPr>
            <w:tcW w:w="819" w:type="pct"/>
          </w:tcPr>
          <w:p w14:paraId="50DC8BAE" w14:textId="77777777" w:rsidR="0044570C" w:rsidRPr="007D4043" w:rsidRDefault="0044570C" w:rsidP="006C735A">
            <w:pPr>
              <w:jc w:val="center"/>
              <w:rPr>
                <w:rFonts w:ascii="Times New Roman" w:hAnsi="Times New Roman" w:cs="Times New Roman"/>
                <w:sz w:val="28"/>
                <w:szCs w:val="28"/>
              </w:rPr>
            </w:pPr>
            <w:r w:rsidRPr="007D4043">
              <w:rPr>
                <w:rFonts w:ascii="Times New Roman" w:hAnsi="Times New Roman" w:cs="Times New Roman"/>
                <w:sz w:val="28"/>
                <w:szCs w:val="28"/>
              </w:rPr>
              <w:t>0</w:t>
            </w:r>
          </w:p>
        </w:tc>
        <w:tc>
          <w:tcPr>
            <w:tcW w:w="889" w:type="pct"/>
          </w:tcPr>
          <w:p w14:paraId="37E7787D" w14:textId="77777777" w:rsidR="0044570C" w:rsidRPr="007D4043" w:rsidRDefault="0044570C" w:rsidP="006C735A">
            <w:pPr>
              <w:ind w:firstLine="31"/>
              <w:jc w:val="center"/>
              <w:rPr>
                <w:rFonts w:ascii="Times New Roman" w:hAnsi="Times New Roman" w:cs="Times New Roman"/>
                <w:sz w:val="28"/>
                <w:szCs w:val="28"/>
              </w:rPr>
            </w:pPr>
            <w:r w:rsidRPr="007D4043">
              <w:rPr>
                <w:rFonts w:ascii="Times New Roman" w:hAnsi="Times New Roman" w:cs="Times New Roman"/>
                <w:sz w:val="28"/>
                <w:szCs w:val="28"/>
              </w:rPr>
              <w:t>1</w:t>
            </w:r>
          </w:p>
        </w:tc>
        <w:tc>
          <w:tcPr>
            <w:tcW w:w="1041" w:type="pct"/>
          </w:tcPr>
          <w:p w14:paraId="46062AED" w14:textId="77777777" w:rsidR="0044570C" w:rsidRPr="007D4043" w:rsidRDefault="0044570C" w:rsidP="006C735A">
            <w:pPr>
              <w:ind w:firstLine="39"/>
              <w:jc w:val="center"/>
              <w:rPr>
                <w:rFonts w:ascii="Times New Roman" w:hAnsi="Times New Roman" w:cs="Times New Roman"/>
                <w:sz w:val="28"/>
                <w:szCs w:val="28"/>
              </w:rPr>
            </w:pPr>
            <w:r w:rsidRPr="007D4043">
              <w:rPr>
                <w:rFonts w:ascii="Times New Roman" w:hAnsi="Times New Roman" w:cs="Times New Roman"/>
                <w:sz w:val="28"/>
                <w:szCs w:val="28"/>
              </w:rPr>
              <w:t>2</w:t>
            </w:r>
          </w:p>
        </w:tc>
        <w:tc>
          <w:tcPr>
            <w:tcW w:w="1054" w:type="pct"/>
          </w:tcPr>
          <w:p w14:paraId="75A9A5EE" w14:textId="77777777" w:rsidR="0044570C" w:rsidRPr="007D4043" w:rsidRDefault="0044570C" w:rsidP="006C735A">
            <w:pPr>
              <w:jc w:val="center"/>
              <w:rPr>
                <w:rFonts w:ascii="Times New Roman" w:hAnsi="Times New Roman" w:cs="Times New Roman"/>
                <w:sz w:val="28"/>
                <w:szCs w:val="28"/>
              </w:rPr>
            </w:pPr>
            <w:r w:rsidRPr="007D4043">
              <w:rPr>
                <w:rFonts w:ascii="Times New Roman" w:hAnsi="Times New Roman" w:cs="Times New Roman"/>
                <w:sz w:val="28"/>
                <w:szCs w:val="28"/>
              </w:rPr>
              <w:t>3</w:t>
            </w:r>
          </w:p>
        </w:tc>
      </w:tr>
    </w:tbl>
    <w:p w14:paraId="6D2867B6" w14:textId="77777777" w:rsidR="0044570C" w:rsidRPr="007D4043" w:rsidRDefault="0044570C" w:rsidP="0044570C">
      <w:pPr>
        <w:spacing w:after="0" w:line="240" w:lineRule="auto"/>
        <w:rPr>
          <w:rFonts w:ascii="Times New Roman" w:hAnsi="Times New Roman" w:cs="Times New Roman"/>
          <w:sz w:val="28"/>
          <w:szCs w:val="28"/>
        </w:rPr>
      </w:pPr>
    </w:p>
    <w:p w14:paraId="421FAB40" w14:textId="77777777" w:rsidR="0044570C" w:rsidRPr="007D4043" w:rsidRDefault="0044570C" w:rsidP="0044570C">
      <w:pPr>
        <w:spacing w:after="0" w:line="240" w:lineRule="auto"/>
        <w:jc w:val="center"/>
        <w:rPr>
          <w:rFonts w:ascii="Times New Roman" w:hAnsi="Times New Roman" w:cs="Times New Roman"/>
          <w:sz w:val="28"/>
          <w:szCs w:val="28"/>
        </w:rPr>
      </w:pPr>
      <w:r w:rsidRPr="007D4043">
        <w:rPr>
          <w:rFonts w:ascii="Times New Roman" w:hAnsi="Times New Roman" w:cs="Times New Roman"/>
          <w:sz w:val="28"/>
          <w:szCs w:val="28"/>
        </w:rPr>
        <w:t>Раздел 2</w:t>
      </w:r>
    </w:p>
    <w:p w14:paraId="53F99316" w14:textId="77777777" w:rsidR="0044570C" w:rsidRPr="007D4043" w:rsidRDefault="0044570C" w:rsidP="0044570C">
      <w:pPr>
        <w:spacing w:after="0" w:line="240" w:lineRule="auto"/>
        <w:jc w:val="center"/>
        <w:rPr>
          <w:rFonts w:ascii="Times New Roman" w:hAnsi="Times New Roman" w:cs="Times New Roman"/>
          <w:sz w:val="28"/>
          <w:szCs w:val="28"/>
        </w:rPr>
      </w:pPr>
      <w:r w:rsidRPr="007D4043">
        <w:rPr>
          <w:rFonts w:ascii="Times New Roman" w:hAnsi="Times New Roman" w:cs="Times New Roman"/>
          <w:sz w:val="28"/>
          <w:szCs w:val="28"/>
        </w:rPr>
        <w:t>Оценка эмоциональной сферы</w:t>
      </w:r>
    </w:p>
    <w:tbl>
      <w:tblPr>
        <w:tblStyle w:val="af3"/>
        <w:tblW w:w="4967" w:type="pct"/>
        <w:tblLook w:val="04A0" w:firstRow="1" w:lastRow="0" w:firstColumn="1" w:lastColumn="0" w:noHBand="0" w:noVBand="1"/>
      </w:tblPr>
      <w:tblGrid>
        <w:gridCol w:w="2303"/>
        <w:gridCol w:w="1576"/>
        <w:gridCol w:w="1710"/>
        <w:gridCol w:w="1949"/>
        <w:gridCol w:w="2026"/>
      </w:tblGrid>
      <w:tr w:rsidR="0044570C" w:rsidRPr="007D4043" w14:paraId="0F75D0AC" w14:textId="77777777" w:rsidTr="006C735A">
        <w:trPr>
          <w:trHeight w:val="427"/>
        </w:trPr>
        <w:tc>
          <w:tcPr>
            <w:tcW w:w="1204" w:type="pct"/>
          </w:tcPr>
          <w:p w14:paraId="288C8EDB"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Признак</w:t>
            </w:r>
          </w:p>
        </w:tc>
        <w:tc>
          <w:tcPr>
            <w:tcW w:w="824" w:type="pct"/>
          </w:tcPr>
          <w:p w14:paraId="3351358F"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Не наблюдается</w:t>
            </w:r>
          </w:p>
        </w:tc>
        <w:tc>
          <w:tcPr>
            <w:tcW w:w="894" w:type="pct"/>
          </w:tcPr>
          <w:p w14:paraId="4D808C29"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Легкая степень (Наблюдается 1-2 раза в неделю)</w:t>
            </w:r>
          </w:p>
        </w:tc>
        <w:tc>
          <w:tcPr>
            <w:tcW w:w="1019" w:type="pct"/>
          </w:tcPr>
          <w:p w14:paraId="578DD93C" w14:textId="77777777" w:rsidR="0044570C" w:rsidRPr="007D4043" w:rsidRDefault="0044570C" w:rsidP="006C735A">
            <w:pPr>
              <w:ind w:firstLine="39"/>
              <w:rPr>
                <w:rFonts w:ascii="Times New Roman" w:hAnsi="Times New Roman" w:cs="Times New Roman"/>
                <w:sz w:val="24"/>
                <w:szCs w:val="24"/>
              </w:rPr>
            </w:pPr>
            <w:r w:rsidRPr="007D4043">
              <w:rPr>
                <w:rFonts w:ascii="Times New Roman" w:hAnsi="Times New Roman" w:cs="Times New Roman"/>
                <w:sz w:val="24"/>
                <w:szCs w:val="24"/>
              </w:rPr>
              <w:t>Средняя степень (Наблюдается 3-4 раза в неделю)</w:t>
            </w:r>
          </w:p>
        </w:tc>
        <w:tc>
          <w:tcPr>
            <w:tcW w:w="1059" w:type="pct"/>
          </w:tcPr>
          <w:p w14:paraId="77D3B28D"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Тяжелая степень (Наблюдается ежедневно)</w:t>
            </w:r>
          </w:p>
        </w:tc>
      </w:tr>
      <w:tr w:rsidR="0044570C" w:rsidRPr="007D4043" w14:paraId="4D96AD80" w14:textId="77777777" w:rsidTr="006C735A">
        <w:trPr>
          <w:trHeight w:val="269"/>
        </w:trPr>
        <w:tc>
          <w:tcPr>
            <w:tcW w:w="1204" w:type="pct"/>
          </w:tcPr>
          <w:p w14:paraId="35D31D4B"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 xml:space="preserve">Раздражительность </w:t>
            </w:r>
          </w:p>
        </w:tc>
        <w:tc>
          <w:tcPr>
            <w:tcW w:w="824" w:type="pct"/>
          </w:tcPr>
          <w:p w14:paraId="7F1792AB"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0</w:t>
            </w:r>
          </w:p>
        </w:tc>
        <w:tc>
          <w:tcPr>
            <w:tcW w:w="894" w:type="pct"/>
          </w:tcPr>
          <w:p w14:paraId="4662B4D0"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1</w:t>
            </w:r>
          </w:p>
        </w:tc>
        <w:tc>
          <w:tcPr>
            <w:tcW w:w="1019" w:type="pct"/>
          </w:tcPr>
          <w:p w14:paraId="53BF71CB" w14:textId="77777777" w:rsidR="0044570C" w:rsidRPr="007D4043" w:rsidRDefault="0044570C" w:rsidP="006C735A">
            <w:pPr>
              <w:ind w:firstLine="39"/>
              <w:rPr>
                <w:rFonts w:ascii="Times New Roman" w:hAnsi="Times New Roman" w:cs="Times New Roman"/>
                <w:sz w:val="24"/>
                <w:szCs w:val="24"/>
              </w:rPr>
            </w:pPr>
            <w:r w:rsidRPr="007D4043">
              <w:rPr>
                <w:rFonts w:ascii="Times New Roman" w:hAnsi="Times New Roman" w:cs="Times New Roman"/>
                <w:sz w:val="24"/>
                <w:szCs w:val="24"/>
              </w:rPr>
              <w:t>2</w:t>
            </w:r>
          </w:p>
        </w:tc>
        <w:tc>
          <w:tcPr>
            <w:tcW w:w="1059" w:type="pct"/>
          </w:tcPr>
          <w:p w14:paraId="727D579A"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3</w:t>
            </w:r>
          </w:p>
        </w:tc>
      </w:tr>
      <w:tr w:rsidR="0044570C" w:rsidRPr="007D4043" w14:paraId="177B2C5C" w14:textId="77777777" w:rsidTr="006C735A">
        <w:trPr>
          <w:trHeight w:val="260"/>
        </w:trPr>
        <w:tc>
          <w:tcPr>
            <w:tcW w:w="1204" w:type="pct"/>
          </w:tcPr>
          <w:p w14:paraId="288AD966"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 xml:space="preserve">Тревожность </w:t>
            </w:r>
          </w:p>
        </w:tc>
        <w:tc>
          <w:tcPr>
            <w:tcW w:w="824" w:type="pct"/>
          </w:tcPr>
          <w:p w14:paraId="71C2E5FC"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0</w:t>
            </w:r>
          </w:p>
        </w:tc>
        <w:tc>
          <w:tcPr>
            <w:tcW w:w="894" w:type="pct"/>
          </w:tcPr>
          <w:p w14:paraId="5CFDDCC5"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1</w:t>
            </w:r>
          </w:p>
        </w:tc>
        <w:tc>
          <w:tcPr>
            <w:tcW w:w="1019" w:type="pct"/>
          </w:tcPr>
          <w:p w14:paraId="120B64E2" w14:textId="77777777" w:rsidR="0044570C" w:rsidRPr="007D4043" w:rsidRDefault="0044570C" w:rsidP="006C735A">
            <w:pPr>
              <w:ind w:firstLine="39"/>
              <w:rPr>
                <w:rFonts w:ascii="Times New Roman" w:hAnsi="Times New Roman" w:cs="Times New Roman"/>
                <w:sz w:val="24"/>
                <w:szCs w:val="24"/>
              </w:rPr>
            </w:pPr>
            <w:r w:rsidRPr="007D4043">
              <w:rPr>
                <w:rFonts w:ascii="Times New Roman" w:hAnsi="Times New Roman" w:cs="Times New Roman"/>
                <w:sz w:val="24"/>
                <w:szCs w:val="24"/>
              </w:rPr>
              <w:t>2</w:t>
            </w:r>
          </w:p>
        </w:tc>
        <w:tc>
          <w:tcPr>
            <w:tcW w:w="1059" w:type="pct"/>
          </w:tcPr>
          <w:p w14:paraId="5A29FA7B"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3</w:t>
            </w:r>
          </w:p>
        </w:tc>
      </w:tr>
    </w:tbl>
    <w:p w14:paraId="6B617992" w14:textId="77777777" w:rsidR="0044570C" w:rsidRPr="007D4043" w:rsidRDefault="0044570C" w:rsidP="0044570C">
      <w:pPr>
        <w:spacing w:after="0" w:line="240" w:lineRule="auto"/>
        <w:rPr>
          <w:rFonts w:ascii="Times New Roman" w:hAnsi="Times New Roman" w:cs="Times New Roman"/>
          <w:sz w:val="28"/>
          <w:szCs w:val="28"/>
        </w:rPr>
      </w:pPr>
    </w:p>
    <w:p w14:paraId="1581C011" w14:textId="77777777" w:rsidR="0044570C" w:rsidRPr="007D4043" w:rsidRDefault="0044570C" w:rsidP="0044570C">
      <w:pPr>
        <w:spacing w:after="0" w:line="240" w:lineRule="auto"/>
        <w:jc w:val="center"/>
        <w:rPr>
          <w:rFonts w:ascii="Times New Roman" w:hAnsi="Times New Roman" w:cs="Times New Roman"/>
          <w:sz w:val="28"/>
          <w:szCs w:val="28"/>
        </w:rPr>
      </w:pPr>
      <w:r w:rsidRPr="007D4043">
        <w:rPr>
          <w:rFonts w:ascii="Times New Roman" w:hAnsi="Times New Roman" w:cs="Times New Roman"/>
          <w:sz w:val="28"/>
          <w:szCs w:val="28"/>
        </w:rPr>
        <w:t>Раздел 3</w:t>
      </w:r>
    </w:p>
    <w:p w14:paraId="2DB2008D" w14:textId="77777777" w:rsidR="0044570C" w:rsidRPr="007D4043" w:rsidRDefault="0044570C" w:rsidP="0044570C">
      <w:pPr>
        <w:spacing w:after="0" w:line="240" w:lineRule="auto"/>
        <w:jc w:val="center"/>
        <w:rPr>
          <w:rFonts w:ascii="Times New Roman" w:hAnsi="Times New Roman" w:cs="Times New Roman"/>
          <w:sz w:val="28"/>
          <w:szCs w:val="28"/>
        </w:rPr>
      </w:pPr>
      <w:r w:rsidRPr="007D4043">
        <w:rPr>
          <w:rFonts w:ascii="Times New Roman" w:hAnsi="Times New Roman" w:cs="Times New Roman"/>
          <w:sz w:val="28"/>
          <w:szCs w:val="28"/>
        </w:rPr>
        <w:t>Оценка общих симптомов</w:t>
      </w:r>
    </w:p>
    <w:tbl>
      <w:tblPr>
        <w:tblStyle w:val="af3"/>
        <w:tblW w:w="4967" w:type="pct"/>
        <w:tblLook w:val="04A0" w:firstRow="1" w:lastRow="0" w:firstColumn="1" w:lastColumn="0" w:noHBand="0" w:noVBand="1"/>
      </w:tblPr>
      <w:tblGrid>
        <w:gridCol w:w="2303"/>
        <w:gridCol w:w="1576"/>
        <w:gridCol w:w="1710"/>
        <w:gridCol w:w="1949"/>
        <w:gridCol w:w="2026"/>
      </w:tblGrid>
      <w:tr w:rsidR="0044570C" w:rsidRPr="007D4043" w14:paraId="6CAB9147" w14:textId="77777777" w:rsidTr="006C735A">
        <w:trPr>
          <w:trHeight w:val="427"/>
        </w:trPr>
        <w:tc>
          <w:tcPr>
            <w:tcW w:w="1204" w:type="pct"/>
          </w:tcPr>
          <w:p w14:paraId="20CBF9CA"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Признак</w:t>
            </w:r>
          </w:p>
        </w:tc>
        <w:tc>
          <w:tcPr>
            <w:tcW w:w="824" w:type="pct"/>
          </w:tcPr>
          <w:p w14:paraId="4C3A88AF"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Не наблюдается</w:t>
            </w:r>
          </w:p>
        </w:tc>
        <w:tc>
          <w:tcPr>
            <w:tcW w:w="894" w:type="pct"/>
          </w:tcPr>
          <w:p w14:paraId="7C9A744B"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Легкая степень (Симптомы непостоянные в течение дня, легкие, беспокоит 1-2 раза в неделю)</w:t>
            </w:r>
          </w:p>
        </w:tc>
        <w:tc>
          <w:tcPr>
            <w:tcW w:w="1019" w:type="pct"/>
          </w:tcPr>
          <w:p w14:paraId="4C6C4F77" w14:textId="77777777" w:rsidR="0044570C" w:rsidRPr="007D4043" w:rsidRDefault="0044570C" w:rsidP="006C735A">
            <w:pPr>
              <w:ind w:firstLine="39"/>
              <w:rPr>
                <w:rFonts w:ascii="Times New Roman" w:hAnsi="Times New Roman" w:cs="Times New Roman"/>
                <w:sz w:val="24"/>
                <w:szCs w:val="24"/>
              </w:rPr>
            </w:pPr>
            <w:r w:rsidRPr="007D4043">
              <w:rPr>
                <w:rFonts w:ascii="Times New Roman" w:hAnsi="Times New Roman" w:cs="Times New Roman"/>
                <w:sz w:val="24"/>
                <w:szCs w:val="24"/>
              </w:rPr>
              <w:t>Средняя степень (Симптомы периодические в течение дня, умеренные, беспокоит 3-4 раза в неделю)</w:t>
            </w:r>
          </w:p>
        </w:tc>
        <w:tc>
          <w:tcPr>
            <w:tcW w:w="1059" w:type="pct"/>
          </w:tcPr>
          <w:p w14:paraId="7231698F" w14:textId="77777777" w:rsidR="0044570C" w:rsidRPr="007D4043" w:rsidRDefault="0044570C" w:rsidP="006C735A">
            <w:pPr>
              <w:rPr>
                <w:rFonts w:ascii="Times New Roman" w:hAnsi="Times New Roman" w:cs="Times New Roman"/>
                <w:sz w:val="24"/>
                <w:szCs w:val="24"/>
              </w:rPr>
            </w:pPr>
            <w:r w:rsidRPr="007D4043">
              <w:rPr>
                <w:rFonts w:ascii="Times New Roman" w:hAnsi="Times New Roman" w:cs="Times New Roman"/>
                <w:sz w:val="24"/>
                <w:szCs w:val="24"/>
              </w:rPr>
              <w:t>Тяжелая степень (Симптомы постоянные в течение дня, сильные, ежедневные)</w:t>
            </w:r>
          </w:p>
        </w:tc>
      </w:tr>
      <w:tr w:rsidR="0044570C" w:rsidRPr="007D4043" w14:paraId="49CDB060" w14:textId="77777777" w:rsidTr="006C735A">
        <w:trPr>
          <w:trHeight w:val="290"/>
        </w:trPr>
        <w:tc>
          <w:tcPr>
            <w:tcW w:w="1204" w:type="pct"/>
          </w:tcPr>
          <w:p w14:paraId="0CF1343A"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Головная боль</w:t>
            </w:r>
          </w:p>
        </w:tc>
        <w:tc>
          <w:tcPr>
            <w:tcW w:w="824" w:type="pct"/>
          </w:tcPr>
          <w:p w14:paraId="1C6D4A0C" w14:textId="77777777" w:rsidR="0044570C" w:rsidRPr="007D4043" w:rsidRDefault="0044570C" w:rsidP="006C735A">
            <w:pPr>
              <w:jc w:val="center"/>
              <w:rPr>
                <w:rFonts w:ascii="Times New Roman" w:hAnsi="Times New Roman" w:cs="Times New Roman"/>
                <w:sz w:val="24"/>
                <w:szCs w:val="24"/>
              </w:rPr>
            </w:pPr>
            <w:r w:rsidRPr="007D4043">
              <w:rPr>
                <w:rFonts w:ascii="Times New Roman" w:hAnsi="Times New Roman" w:cs="Times New Roman"/>
                <w:sz w:val="24"/>
                <w:szCs w:val="24"/>
              </w:rPr>
              <w:t>0</w:t>
            </w:r>
          </w:p>
        </w:tc>
        <w:tc>
          <w:tcPr>
            <w:tcW w:w="894" w:type="pct"/>
          </w:tcPr>
          <w:p w14:paraId="27BE71F2" w14:textId="77777777" w:rsidR="0044570C" w:rsidRPr="007D4043" w:rsidRDefault="0044570C" w:rsidP="006C735A">
            <w:pPr>
              <w:jc w:val="center"/>
              <w:rPr>
                <w:rFonts w:ascii="Times New Roman" w:hAnsi="Times New Roman" w:cs="Times New Roman"/>
                <w:sz w:val="24"/>
                <w:szCs w:val="24"/>
              </w:rPr>
            </w:pPr>
            <w:r w:rsidRPr="007D4043">
              <w:rPr>
                <w:rFonts w:ascii="Times New Roman" w:hAnsi="Times New Roman" w:cs="Times New Roman"/>
                <w:sz w:val="24"/>
                <w:szCs w:val="24"/>
              </w:rPr>
              <w:t>1</w:t>
            </w:r>
          </w:p>
        </w:tc>
        <w:tc>
          <w:tcPr>
            <w:tcW w:w="1019" w:type="pct"/>
          </w:tcPr>
          <w:p w14:paraId="5026249C" w14:textId="77777777" w:rsidR="0044570C" w:rsidRPr="007D4043" w:rsidRDefault="0044570C" w:rsidP="006C735A">
            <w:pPr>
              <w:ind w:firstLine="39"/>
              <w:jc w:val="center"/>
              <w:rPr>
                <w:rFonts w:ascii="Times New Roman" w:hAnsi="Times New Roman" w:cs="Times New Roman"/>
                <w:sz w:val="24"/>
                <w:szCs w:val="24"/>
              </w:rPr>
            </w:pPr>
            <w:r w:rsidRPr="007D4043">
              <w:rPr>
                <w:rFonts w:ascii="Times New Roman" w:hAnsi="Times New Roman" w:cs="Times New Roman"/>
                <w:sz w:val="24"/>
                <w:szCs w:val="24"/>
              </w:rPr>
              <w:t>2</w:t>
            </w:r>
          </w:p>
        </w:tc>
        <w:tc>
          <w:tcPr>
            <w:tcW w:w="1059" w:type="pct"/>
          </w:tcPr>
          <w:p w14:paraId="62574A63" w14:textId="77777777" w:rsidR="0044570C" w:rsidRPr="007D4043" w:rsidRDefault="0044570C" w:rsidP="006C735A">
            <w:pPr>
              <w:jc w:val="center"/>
              <w:rPr>
                <w:rFonts w:ascii="Times New Roman" w:hAnsi="Times New Roman" w:cs="Times New Roman"/>
                <w:sz w:val="24"/>
                <w:szCs w:val="24"/>
              </w:rPr>
            </w:pPr>
            <w:r w:rsidRPr="007D4043">
              <w:rPr>
                <w:rFonts w:ascii="Times New Roman" w:hAnsi="Times New Roman" w:cs="Times New Roman"/>
                <w:sz w:val="24"/>
                <w:szCs w:val="24"/>
              </w:rPr>
              <w:t>3</w:t>
            </w:r>
          </w:p>
        </w:tc>
      </w:tr>
      <w:tr w:rsidR="0044570C" w:rsidRPr="007D4043" w14:paraId="7BC23495" w14:textId="77777777" w:rsidTr="006C735A">
        <w:trPr>
          <w:trHeight w:val="265"/>
        </w:trPr>
        <w:tc>
          <w:tcPr>
            <w:tcW w:w="1204" w:type="pct"/>
          </w:tcPr>
          <w:p w14:paraId="72F428BD"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 xml:space="preserve">Усталость </w:t>
            </w:r>
          </w:p>
        </w:tc>
        <w:tc>
          <w:tcPr>
            <w:tcW w:w="824" w:type="pct"/>
          </w:tcPr>
          <w:p w14:paraId="1BCBE102" w14:textId="77777777" w:rsidR="0044570C" w:rsidRPr="007D4043" w:rsidRDefault="0044570C" w:rsidP="006C735A">
            <w:pPr>
              <w:jc w:val="center"/>
              <w:rPr>
                <w:rFonts w:ascii="Times New Roman" w:hAnsi="Times New Roman" w:cs="Times New Roman"/>
                <w:sz w:val="24"/>
                <w:szCs w:val="24"/>
              </w:rPr>
            </w:pPr>
            <w:r w:rsidRPr="007D4043">
              <w:rPr>
                <w:rFonts w:ascii="Times New Roman" w:hAnsi="Times New Roman" w:cs="Times New Roman"/>
                <w:sz w:val="24"/>
                <w:szCs w:val="24"/>
              </w:rPr>
              <w:t>0</w:t>
            </w:r>
          </w:p>
        </w:tc>
        <w:tc>
          <w:tcPr>
            <w:tcW w:w="894" w:type="pct"/>
          </w:tcPr>
          <w:p w14:paraId="7783D76D" w14:textId="77777777" w:rsidR="0044570C" w:rsidRPr="007D4043" w:rsidRDefault="0044570C" w:rsidP="006C735A">
            <w:pPr>
              <w:jc w:val="center"/>
              <w:rPr>
                <w:rFonts w:ascii="Times New Roman" w:hAnsi="Times New Roman" w:cs="Times New Roman"/>
                <w:sz w:val="24"/>
                <w:szCs w:val="24"/>
              </w:rPr>
            </w:pPr>
            <w:r w:rsidRPr="007D4043">
              <w:rPr>
                <w:rFonts w:ascii="Times New Roman" w:hAnsi="Times New Roman" w:cs="Times New Roman"/>
                <w:sz w:val="24"/>
                <w:szCs w:val="24"/>
              </w:rPr>
              <w:t>1</w:t>
            </w:r>
          </w:p>
        </w:tc>
        <w:tc>
          <w:tcPr>
            <w:tcW w:w="1019" w:type="pct"/>
          </w:tcPr>
          <w:p w14:paraId="17EC584D" w14:textId="77777777" w:rsidR="0044570C" w:rsidRPr="007D4043" w:rsidRDefault="0044570C" w:rsidP="006C735A">
            <w:pPr>
              <w:ind w:firstLine="39"/>
              <w:jc w:val="center"/>
              <w:rPr>
                <w:rFonts w:ascii="Times New Roman" w:hAnsi="Times New Roman" w:cs="Times New Roman"/>
                <w:sz w:val="24"/>
                <w:szCs w:val="24"/>
              </w:rPr>
            </w:pPr>
            <w:r w:rsidRPr="007D4043">
              <w:rPr>
                <w:rFonts w:ascii="Times New Roman" w:hAnsi="Times New Roman" w:cs="Times New Roman"/>
                <w:sz w:val="24"/>
                <w:szCs w:val="24"/>
              </w:rPr>
              <w:t>2</w:t>
            </w:r>
          </w:p>
        </w:tc>
        <w:tc>
          <w:tcPr>
            <w:tcW w:w="1059" w:type="pct"/>
          </w:tcPr>
          <w:p w14:paraId="6104446F" w14:textId="77777777" w:rsidR="0044570C" w:rsidRPr="007D4043" w:rsidRDefault="0044570C" w:rsidP="006C735A">
            <w:pPr>
              <w:jc w:val="center"/>
              <w:rPr>
                <w:rFonts w:ascii="Times New Roman" w:hAnsi="Times New Roman" w:cs="Times New Roman"/>
                <w:sz w:val="24"/>
                <w:szCs w:val="24"/>
              </w:rPr>
            </w:pPr>
            <w:r w:rsidRPr="007D4043">
              <w:rPr>
                <w:rFonts w:ascii="Times New Roman" w:hAnsi="Times New Roman" w:cs="Times New Roman"/>
                <w:sz w:val="24"/>
                <w:szCs w:val="24"/>
              </w:rPr>
              <w:t>3</w:t>
            </w:r>
          </w:p>
        </w:tc>
      </w:tr>
      <w:tr w:rsidR="0044570C" w:rsidRPr="007D4043" w14:paraId="6B26FCD4" w14:textId="77777777" w:rsidTr="006C735A">
        <w:trPr>
          <w:trHeight w:val="128"/>
        </w:trPr>
        <w:tc>
          <w:tcPr>
            <w:tcW w:w="1204" w:type="pct"/>
          </w:tcPr>
          <w:p w14:paraId="6468254C" w14:textId="77777777" w:rsidR="0044570C" w:rsidRPr="007D4043" w:rsidRDefault="0044570C" w:rsidP="006C735A">
            <w:pPr>
              <w:ind w:firstLine="31"/>
              <w:rPr>
                <w:rFonts w:ascii="Times New Roman" w:hAnsi="Times New Roman" w:cs="Times New Roman"/>
                <w:sz w:val="24"/>
                <w:szCs w:val="24"/>
              </w:rPr>
            </w:pPr>
            <w:r w:rsidRPr="007D4043">
              <w:rPr>
                <w:rFonts w:ascii="Times New Roman" w:hAnsi="Times New Roman" w:cs="Times New Roman"/>
                <w:sz w:val="24"/>
                <w:szCs w:val="24"/>
              </w:rPr>
              <w:t xml:space="preserve">Рассеянность </w:t>
            </w:r>
          </w:p>
        </w:tc>
        <w:tc>
          <w:tcPr>
            <w:tcW w:w="824" w:type="pct"/>
          </w:tcPr>
          <w:p w14:paraId="0A6BC77A" w14:textId="77777777" w:rsidR="0044570C" w:rsidRPr="007D4043" w:rsidRDefault="0044570C" w:rsidP="006C735A">
            <w:pPr>
              <w:jc w:val="center"/>
              <w:rPr>
                <w:rFonts w:ascii="Times New Roman" w:hAnsi="Times New Roman" w:cs="Times New Roman"/>
                <w:sz w:val="24"/>
                <w:szCs w:val="24"/>
              </w:rPr>
            </w:pPr>
            <w:r w:rsidRPr="007D4043">
              <w:rPr>
                <w:rFonts w:ascii="Times New Roman" w:hAnsi="Times New Roman" w:cs="Times New Roman"/>
                <w:sz w:val="24"/>
                <w:szCs w:val="24"/>
              </w:rPr>
              <w:t>0</w:t>
            </w:r>
          </w:p>
        </w:tc>
        <w:tc>
          <w:tcPr>
            <w:tcW w:w="894" w:type="pct"/>
          </w:tcPr>
          <w:p w14:paraId="63D05841" w14:textId="77777777" w:rsidR="0044570C" w:rsidRPr="007D4043" w:rsidRDefault="0044570C" w:rsidP="006C735A">
            <w:pPr>
              <w:jc w:val="center"/>
              <w:rPr>
                <w:rFonts w:ascii="Times New Roman" w:hAnsi="Times New Roman" w:cs="Times New Roman"/>
                <w:sz w:val="24"/>
                <w:szCs w:val="24"/>
              </w:rPr>
            </w:pPr>
            <w:r w:rsidRPr="007D4043">
              <w:rPr>
                <w:rFonts w:ascii="Times New Roman" w:hAnsi="Times New Roman" w:cs="Times New Roman"/>
                <w:sz w:val="24"/>
                <w:szCs w:val="24"/>
              </w:rPr>
              <w:t>1</w:t>
            </w:r>
          </w:p>
        </w:tc>
        <w:tc>
          <w:tcPr>
            <w:tcW w:w="1019" w:type="pct"/>
          </w:tcPr>
          <w:p w14:paraId="4AD693A6" w14:textId="77777777" w:rsidR="0044570C" w:rsidRPr="007D4043" w:rsidRDefault="0044570C" w:rsidP="006C735A">
            <w:pPr>
              <w:ind w:firstLine="39"/>
              <w:jc w:val="center"/>
              <w:rPr>
                <w:rFonts w:ascii="Times New Roman" w:hAnsi="Times New Roman" w:cs="Times New Roman"/>
                <w:sz w:val="24"/>
                <w:szCs w:val="24"/>
              </w:rPr>
            </w:pPr>
            <w:r w:rsidRPr="007D4043">
              <w:rPr>
                <w:rFonts w:ascii="Times New Roman" w:hAnsi="Times New Roman" w:cs="Times New Roman"/>
                <w:sz w:val="24"/>
                <w:szCs w:val="24"/>
              </w:rPr>
              <w:t>2</w:t>
            </w:r>
          </w:p>
        </w:tc>
        <w:tc>
          <w:tcPr>
            <w:tcW w:w="1059" w:type="pct"/>
          </w:tcPr>
          <w:p w14:paraId="24EB1F92" w14:textId="77777777" w:rsidR="0044570C" w:rsidRPr="007D4043" w:rsidRDefault="0044570C" w:rsidP="006C735A">
            <w:pPr>
              <w:jc w:val="center"/>
              <w:rPr>
                <w:rFonts w:ascii="Times New Roman" w:hAnsi="Times New Roman" w:cs="Times New Roman"/>
                <w:sz w:val="24"/>
                <w:szCs w:val="24"/>
              </w:rPr>
            </w:pPr>
            <w:r w:rsidRPr="007D4043">
              <w:rPr>
                <w:rFonts w:ascii="Times New Roman" w:hAnsi="Times New Roman" w:cs="Times New Roman"/>
                <w:sz w:val="24"/>
                <w:szCs w:val="24"/>
              </w:rPr>
              <w:t>3</w:t>
            </w:r>
          </w:p>
        </w:tc>
      </w:tr>
    </w:tbl>
    <w:p w14:paraId="51BE3438" w14:textId="77777777" w:rsidR="0044570C" w:rsidRPr="007D4043" w:rsidRDefault="0044570C" w:rsidP="0044570C">
      <w:pPr>
        <w:spacing w:after="0" w:line="240" w:lineRule="auto"/>
        <w:jc w:val="center"/>
        <w:rPr>
          <w:rFonts w:ascii="Times New Roman" w:hAnsi="Times New Roman" w:cs="Times New Roman"/>
          <w:sz w:val="28"/>
          <w:szCs w:val="28"/>
        </w:rPr>
      </w:pPr>
    </w:p>
    <w:p w14:paraId="08E63512" w14:textId="77777777" w:rsidR="0044570C" w:rsidRPr="007D4043" w:rsidRDefault="0044570C" w:rsidP="0044570C">
      <w:pPr>
        <w:spacing w:after="0" w:line="240" w:lineRule="auto"/>
        <w:jc w:val="center"/>
        <w:rPr>
          <w:rFonts w:ascii="Times New Roman" w:hAnsi="Times New Roman" w:cs="Times New Roman"/>
          <w:sz w:val="28"/>
          <w:szCs w:val="28"/>
        </w:rPr>
      </w:pPr>
      <w:r w:rsidRPr="007D4043">
        <w:rPr>
          <w:rFonts w:ascii="Times New Roman" w:hAnsi="Times New Roman" w:cs="Times New Roman"/>
          <w:sz w:val="28"/>
          <w:szCs w:val="28"/>
        </w:rPr>
        <w:t>Раздел 4</w:t>
      </w:r>
    </w:p>
    <w:p w14:paraId="028E9629" w14:textId="77777777" w:rsidR="0044570C" w:rsidRPr="007D4043" w:rsidRDefault="0044570C" w:rsidP="0044570C">
      <w:pPr>
        <w:spacing w:after="0" w:line="240" w:lineRule="auto"/>
        <w:jc w:val="center"/>
        <w:rPr>
          <w:rFonts w:ascii="Times New Roman" w:hAnsi="Times New Roman" w:cs="Times New Roman"/>
          <w:sz w:val="28"/>
          <w:szCs w:val="28"/>
        </w:rPr>
      </w:pPr>
      <w:r w:rsidRPr="007D4043">
        <w:rPr>
          <w:rFonts w:ascii="Times New Roman" w:hAnsi="Times New Roman" w:cs="Times New Roman"/>
          <w:sz w:val="28"/>
          <w:szCs w:val="28"/>
        </w:rPr>
        <w:t>Какие виды физической активности чаще всего вы вынуждены ограничивать в период обострения?</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387"/>
        <w:gridCol w:w="608"/>
        <w:gridCol w:w="3921"/>
        <w:gridCol w:w="712"/>
      </w:tblGrid>
      <w:tr w:rsidR="0044570C" w:rsidRPr="007D4043" w14:paraId="236171F0" w14:textId="77777777" w:rsidTr="006C735A">
        <w:tc>
          <w:tcPr>
            <w:tcW w:w="2278" w:type="pct"/>
            <w:tcBorders>
              <w:top w:val="single" w:sz="4" w:space="0" w:color="auto"/>
              <w:left w:val="single" w:sz="4" w:space="0" w:color="auto"/>
              <w:bottom w:val="single" w:sz="4" w:space="0" w:color="auto"/>
              <w:right w:val="single" w:sz="4" w:space="0" w:color="auto"/>
            </w:tcBorders>
            <w:vAlign w:val="center"/>
            <w:hideMark/>
          </w:tcPr>
          <w:p w14:paraId="33235339" w14:textId="77777777" w:rsidR="0044570C" w:rsidRPr="007D4043" w:rsidRDefault="0044570C" w:rsidP="006C735A">
            <w:pPr>
              <w:spacing w:after="0" w:line="240" w:lineRule="auto"/>
              <w:ind w:firstLine="36"/>
              <w:jc w:val="both"/>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 xml:space="preserve">1. Езда на велосипеде </w:t>
            </w:r>
          </w:p>
        </w:tc>
        <w:tc>
          <w:tcPr>
            <w:tcW w:w="316" w:type="pct"/>
            <w:tcBorders>
              <w:top w:val="single" w:sz="4" w:space="0" w:color="auto"/>
              <w:left w:val="single" w:sz="4" w:space="0" w:color="auto"/>
              <w:bottom w:val="single" w:sz="4" w:space="0" w:color="auto"/>
              <w:right w:val="single" w:sz="4" w:space="0" w:color="auto"/>
            </w:tcBorders>
          </w:tcPr>
          <w:p w14:paraId="6D3C919D"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47AB380F"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16. Пение</w:t>
            </w:r>
          </w:p>
        </w:tc>
        <w:tc>
          <w:tcPr>
            <w:tcW w:w="370" w:type="pct"/>
            <w:tcBorders>
              <w:top w:val="single" w:sz="4" w:space="0" w:color="auto"/>
              <w:left w:val="single" w:sz="4" w:space="0" w:color="auto"/>
              <w:bottom w:val="single" w:sz="4" w:space="0" w:color="auto"/>
              <w:right w:val="single" w:sz="4" w:space="0" w:color="auto"/>
            </w:tcBorders>
          </w:tcPr>
          <w:p w14:paraId="0E927364"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r>
      <w:tr w:rsidR="0044570C" w:rsidRPr="007D4043" w14:paraId="5DE33CCC" w14:textId="77777777" w:rsidTr="006C735A">
        <w:tc>
          <w:tcPr>
            <w:tcW w:w="2278" w:type="pct"/>
            <w:tcBorders>
              <w:top w:val="single" w:sz="4" w:space="0" w:color="auto"/>
              <w:left w:val="single" w:sz="4" w:space="0" w:color="auto"/>
              <w:bottom w:val="single" w:sz="4" w:space="0" w:color="auto"/>
              <w:right w:val="single" w:sz="4" w:space="0" w:color="auto"/>
            </w:tcBorders>
            <w:vAlign w:val="center"/>
            <w:hideMark/>
          </w:tcPr>
          <w:p w14:paraId="6C5CB6E9" w14:textId="77777777" w:rsidR="0044570C" w:rsidRPr="007D4043" w:rsidRDefault="0044570C" w:rsidP="006C735A">
            <w:pPr>
              <w:spacing w:after="0" w:line="240" w:lineRule="auto"/>
              <w:ind w:firstLine="36"/>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 xml:space="preserve">2. Чтение </w:t>
            </w:r>
          </w:p>
        </w:tc>
        <w:tc>
          <w:tcPr>
            <w:tcW w:w="316" w:type="pct"/>
            <w:tcBorders>
              <w:top w:val="single" w:sz="4" w:space="0" w:color="auto"/>
              <w:left w:val="single" w:sz="4" w:space="0" w:color="auto"/>
              <w:bottom w:val="single" w:sz="4" w:space="0" w:color="auto"/>
              <w:right w:val="single" w:sz="4" w:space="0" w:color="auto"/>
            </w:tcBorders>
          </w:tcPr>
          <w:p w14:paraId="3BE207B9"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694F2071"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17. Повседневное общение с людьми</w:t>
            </w:r>
          </w:p>
        </w:tc>
        <w:tc>
          <w:tcPr>
            <w:tcW w:w="370" w:type="pct"/>
            <w:tcBorders>
              <w:top w:val="single" w:sz="4" w:space="0" w:color="auto"/>
              <w:left w:val="single" w:sz="4" w:space="0" w:color="auto"/>
              <w:bottom w:val="single" w:sz="4" w:space="0" w:color="auto"/>
              <w:right w:val="single" w:sz="4" w:space="0" w:color="auto"/>
            </w:tcBorders>
          </w:tcPr>
          <w:p w14:paraId="1B9C7FE5"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r>
      <w:tr w:rsidR="0044570C" w:rsidRPr="007D4043" w14:paraId="29EF5FF9" w14:textId="77777777" w:rsidTr="006C735A">
        <w:tc>
          <w:tcPr>
            <w:tcW w:w="2278" w:type="pct"/>
            <w:tcBorders>
              <w:top w:val="single" w:sz="4" w:space="0" w:color="auto"/>
              <w:left w:val="single" w:sz="4" w:space="0" w:color="auto"/>
              <w:bottom w:val="single" w:sz="4" w:space="0" w:color="auto"/>
              <w:right w:val="single" w:sz="4" w:space="0" w:color="auto"/>
            </w:tcBorders>
            <w:vAlign w:val="center"/>
            <w:hideMark/>
          </w:tcPr>
          <w:p w14:paraId="71A03852" w14:textId="77777777" w:rsidR="0044570C" w:rsidRPr="007D4043" w:rsidRDefault="0044570C" w:rsidP="006C735A">
            <w:pPr>
              <w:spacing w:after="0" w:line="240" w:lineRule="auto"/>
              <w:ind w:firstLine="36"/>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 xml:space="preserve">3. Покупки </w:t>
            </w:r>
          </w:p>
        </w:tc>
        <w:tc>
          <w:tcPr>
            <w:tcW w:w="316" w:type="pct"/>
            <w:tcBorders>
              <w:top w:val="single" w:sz="4" w:space="0" w:color="auto"/>
              <w:left w:val="single" w:sz="4" w:space="0" w:color="auto"/>
              <w:bottom w:val="single" w:sz="4" w:space="0" w:color="auto"/>
              <w:right w:val="single" w:sz="4" w:space="0" w:color="auto"/>
            </w:tcBorders>
          </w:tcPr>
          <w:p w14:paraId="2A9D964E"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7A9BF331"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18. Половая жизнь</w:t>
            </w:r>
          </w:p>
        </w:tc>
        <w:tc>
          <w:tcPr>
            <w:tcW w:w="370" w:type="pct"/>
            <w:tcBorders>
              <w:top w:val="single" w:sz="4" w:space="0" w:color="auto"/>
              <w:left w:val="single" w:sz="4" w:space="0" w:color="auto"/>
              <w:bottom w:val="single" w:sz="4" w:space="0" w:color="auto"/>
              <w:right w:val="single" w:sz="4" w:space="0" w:color="auto"/>
            </w:tcBorders>
          </w:tcPr>
          <w:p w14:paraId="4BCD9C3B"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r>
      <w:tr w:rsidR="0044570C" w:rsidRPr="007D4043" w14:paraId="526A1F71" w14:textId="77777777" w:rsidTr="006C735A">
        <w:tc>
          <w:tcPr>
            <w:tcW w:w="2278" w:type="pct"/>
            <w:tcBorders>
              <w:top w:val="single" w:sz="4" w:space="0" w:color="auto"/>
              <w:left w:val="single" w:sz="4" w:space="0" w:color="auto"/>
              <w:bottom w:val="single" w:sz="4" w:space="0" w:color="auto"/>
              <w:right w:val="single" w:sz="4" w:space="0" w:color="auto"/>
            </w:tcBorders>
            <w:vAlign w:val="center"/>
            <w:hideMark/>
          </w:tcPr>
          <w:p w14:paraId="5F419372" w14:textId="77777777" w:rsidR="0044570C" w:rsidRPr="007D4043" w:rsidRDefault="0044570C" w:rsidP="006C735A">
            <w:pPr>
              <w:spacing w:after="0" w:line="240" w:lineRule="auto"/>
              <w:ind w:firstLine="36"/>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 xml:space="preserve">4. Работа на дому </w:t>
            </w:r>
          </w:p>
        </w:tc>
        <w:tc>
          <w:tcPr>
            <w:tcW w:w="316" w:type="pct"/>
            <w:tcBorders>
              <w:top w:val="single" w:sz="4" w:space="0" w:color="auto"/>
              <w:left w:val="single" w:sz="4" w:space="0" w:color="auto"/>
              <w:bottom w:val="single" w:sz="4" w:space="0" w:color="auto"/>
              <w:right w:val="single" w:sz="4" w:space="0" w:color="auto"/>
            </w:tcBorders>
          </w:tcPr>
          <w:p w14:paraId="71C25AE5"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48260544"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19. Учеба</w:t>
            </w:r>
          </w:p>
        </w:tc>
        <w:tc>
          <w:tcPr>
            <w:tcW w:w="370" w:type="pct"/>
            <w:tcBorders>
              <w:top w:val="single" w:sz="4" w:space="0" w:color="auto"/>
              <w:left w:val="single" w:sz="4" w:space="0" w:color="auto"/>
              <w:bottom w:val="single" w:sz="4" w:space="0" w:color="auto"/>
              <w:right w:val="single" w:sz="4" w:space="0" w:color="auto"/>
            </w:tcBorders>
          </w:tcPr>
          <w:p w14:paraId="75A4E821"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r>
      <w:tr w:rsidR="0044570C" w:rsidRPr="007D4043" w14:paraId="41643182" w14:textId="77777777" w:rsidTr="006C735A">
        <w:tc>
          <w:tcPr>
            <w:tcW w:w="2278" w:type="pct"/>
            <w:tcBorders>
              <w:top w:val="single" w:sz="4" w:space="0" w:color="auto"/>
              <w:left w:val="single" w:sz="4" w:space="0" w:color="auto"/>
              <w:bottom w:val="single" w:sz="4" w:space="0" w:color="auto"/>
              <w:right w:val="single" w:sz="4" w:space="0" w:color="auto"/>
            </w:tcBorders>
            <w:vAlign w:val="center"/>
            <w:hideMark/>
          </w:tcPr>
          <w:p w14:paraId="4C4509CB" w14:textId="77777777" w:rsidR="0044570C" w:rsidRPr="007D4043" w:rsidRDefault="0044570C" w:rsidP="006C735A">
            <w:pPr>
              <w:spacing w:after="0" w:line="240" w:lineRule="auto"/>
              <w:ind w:firstLine="36"/>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 xml:space="preserve">5. Поездки за город </w:t>
            </w:r>
          </w:p>
        </w:tc>
        <w:tc>
          <w:tcPr>
            <w:tcW w:w="316" w:type="pct"/>
            <w:tcBorders>
              <w:top w:val="single" w:sz="4" w:space="0" w:color="auto"/>
              <w:left w:val="single" w:sz="4" w:space="0" w:color="auto"/>
              <w:bottom w:val="single" w:sz="4" w:space="0" w:color="auto"/>
              <w:right w:val="single" w:sz="4" w:space="0" w:color="auto"/>
            </w:tcBorders>
          </w:tcPr>
          <w:p w14:paraId="0F957F20"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753AA1F3"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20. Разговоры</w:t>
            </w:r>
          </w:p>
        </w:tc>
        <w:tc>
          <w:tcPr>
            <w:tcW w:w="370" w:type="pct"/>
            <w:tcBorders>
              <w:top w:val="single" w:sz="4" w:space="0" w:color="auto"/>
              <w:left w:val="single" w:sz="4" w:space="0" w:color="auto"/>
              <w:bottom w:val="single" w:sz="4" w:space="0" w:color="auto"/>
              <w:right w:val="single" w:sz="4" w:space="0" w:color="auto"/>
            </w:tcBorders>
          </w:tcPr>
          <w:p w14:paraId="6563D160"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r>
      <w:tr w:rsidR="0044570C" w:rsidRPr="007D4043" w14:paraId="30A625B2" w14:textId="77777777" w:rsidTr="006C735A">
        <w:tc>
          <w:tcPr>
            <w:tcW w:w="2278" w:type="pct"/>
            <w:tcBorders>
              <w:top w:val="single" w:sz="4" w:space="0" w:color="auto"/>
              <w:left w:val="single" w:sz="4" w:space="0" w:color="auto"/>
              <w:bottom w:val="single" w:sz="4" w:space="0" w:color="auto"/>
              <w:right w:val="single" w:sz="4" w:space="0" w:color="auto"/>
            </w:tcBorders>
            <w:vAlign w:val="center"/>
            <w:hideMark/>
          </w:tcPr>
          <w:p w14:paraId="3BCC15B4" w14:textId="77777777" w:rsidR="0044570C" w:rsidRPr="007D4043" w:rsidRDefault="0044570C" w:rsidP="006C735A">
            <w:pPr>
              <w:spacing w:after="0" w:line="240" w:lineRule="auto"/>
              <w:ind w:firstLine="36"/>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 xml:space="preserve">6. Садоводство </w:t>
            </w:r>
          </w:p>
        </w:tc>
        <w:tc>
          <w:tcPr>
            <w:tcW w:w="316" w:type="pct"/>
            <w:tcBorders>
              <w:top w:val="single" w:sz="4" w:space="0" w:color="auto"/>
              <w:left w:val="single" w:sz="4" w:space="0" w:color="auto"/>
              <w:bottom w:val="single" w:sz="4" w:space="0" w:color="auto"/>
              <w:right w:val="single" w:sz="4" w:space="0" w:color="auto"/>
            </w:tcBorders>
          </w:tcPr>
          <w:p w14:paraId="1F696D30"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2A8E9944"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21. Еда</w:t>
            </w:r>
          </w:p>
        </w:tc>
        <w:tc>
          <w:tcPr>
            <w:tcW w:w="370" w:type="pct"/>
            <w:tcBorders>
              <w:top w:val="single" w:sz="4" w:space="0" w:color="auto"/>
              <w:left w:val="single" w:sz="4" w:space="0" w:color="auto"/>
              <w:bottom w:val="single" w:sz="4" w:space="0" w:color="auto"/>
              <w:right w:val="single" w:sz="4" w:space="0" w:color="auto"/>
            </w:tcBorders>
          </w:tcPr>
          <w:p w14:paraId="3B9A7C7A"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r>
      <w:tr w:rsidR="0044570C" w:rsidRPr="007D4043" w14:paraId="44D54489" w14:textId="77777777" w:rsidTr="006C735A">
        <w:tc>
          <w:tcPr>
            <w:tcW w:w="2278" w:type="pct"/>
            <w:tcBorders>
              <w:top w:val="single" w:sz="4" w:space="0" w:color="auto"/>
              <w:left w:val="single" w:sz="4" w:space="0" w:color="auto"/>
              <w:bottom w:val="single" w:sz="4" w:space="0" w:color="auto"/>
              <w:right w:val="single" w:sz="4" w:space="0" w:color="auto"/>
            </w:tcBorders>
            <w:vAlign w:val="center"/>
            <w:hideMark/>
          </w:tcPr>
          <w:p w14:paraId="7100DB2D" w14:textId="77777777" w:rsidR="0044570C" w:rsidRPr="007D4043" w:rsidRDefault="0044570C" w:rsidP="006C735A">
            <w:pPr>
              <w:spacing w:after="0" w:line="240" w:lineRule="auto"/>
              <w:ind w:firstLine="36"/>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 xml:space="preserve">7. Просмотр телепрограмм </w:t>
            </w:r>
          </w:p>
        </w:tc>
        <w:tc>
          <w:tcPr>
            <w:tcW w:w="316" w:type="pct"/>
            <w:tcBorders>
              <w:top w:val="single" w:sz="4" w:space="0" w:color="auto"/>
              <w:left w:val="single" w:sz="4" w:space="0" w:color="auto"/>
              <w:bottom w:val="single" w:sz="4" w:space="0" w:color="auto"/>
              <w:right w:val="single" w:sz="4" w:space="0" w:color="auto"/>
            </w:tcBorders>
          </w:tcPr>
          <w:p w14:paraId="48E5526C"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2097C37E"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22. Уборка пылесосом</w:t>
            </w:r>
          </w:p>
        </w:tc>
        <w:tc>
          <w:tcPr>
            <w:tcW w:w="370" w:type="pct"/>
            <w:tcBorders>
              <w:top w:val="single" w:sz="4" w:space="0" w:color="auto"/>
              <w:left w:val="single" w:sz="4" w:space="0" w:color="auto"/>
              <w:bottom w:val="single" w:sz="4" w:space="0" w:color="auto"/>
              <w:right w:val="single" w:sz="4" w:space="0" w:color="auto"/>
            </w:tcBorders>
          </w:tcPr>
          <w:p w14:paraId="79336C79"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r>
      <w:tr w:rsidR="0044570C" w:rsidRPr="007D4043" w14:paraId="7EEBB279" w14:textId="77777777" w:rsidTr="006C735A">
        <w:tc>
          <w:tcPr>
            <w:tcW w:w="2278" w:type="pct"/>
            <w:tcBorders>
              <w:top w:val="single" w:sz="4" w:space="0" w:color="auto"/>
              <w:left w:val="single" w:sz="4" w:space="0" w:color="auto"/>
              <w:bottom w:val="single" w:sz="4" w:space="0" w:color="auto"/>
              <w:right w:val="single" w:sz="4" w:space="0" w:color="auto"/>
            </w:tcBorders>
            <w:vAlign w:val="center"/>
            <w:hideMark/>
          </w:tcPr>
          <w:p w14:paraId="44B308DF" w14:textId="77777777" w:rsidR="0044570C" w:rsidRPr="007D4043" w:rsidRDefault="0044570C" w:rsidP="006C735A">
            <w:pPr>
              <w:spacing w:after="0" w:line="240" w:lineRule="auto"/>
              <w:ind w:firstLine="36"/>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 xml:space="preserve">8. Физические упражнения </w:t>
            </w:r>
          </w:p>
        </w:tc>
        <w:tc>
          <w:tcPr>
            <w:tcW w:w="316" w:type="pct"/>
            <w:tcBorders>
              <w:top w:val="single" w:sz="4" w:space="0" w:color="auto"/>
              <w:left w:val="single" w:sz="4" w:space="0" w:color="auto"/>
              <w:bottom w:val="single" w:sz="4" w:space="0" w:color="auto"/>
              <w:right w:val="single" w:sz="4" w:space="0" w:color="auto"/>
            </w:tcBorders>
          </w:tcPr>
          <w:p w14:paraId="23682955"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6E065EF1"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23. Визиты к друзьям или родственникам</w:t>
            </w:r>
          </w:p>
        </w:tc>
        <w:tc>
          <w:tcPr>
            <w:tcW w:w="370" w:type="pct"/>
            <w:tcBorders>
              <w:top w:val="single" w:sz="4" w:space="0" w:color="auto"/>
              <w:left w:val="single" w:sz="4" w:space="0" w:color="auto"/>
              <w:bottom w:val="single" w:sz="4" w:space="0" w:color="auto"/>
              <w:right w:val="single" w:sz="4" w:space="0" w:color="auto"/>
            </w:tcBorders>
          </w:tcPr>
          <w:p w14:paraId="0575452E"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r>
      <w:tr w:rsidR="0044570C" w:rsidRPr="007D4043" w14:paraId="3487DF3F" w14:textId="77777777" w:rsidTr="006C735A">
        <w:tc>
          <w:tcPr>
            <w:tcW w:w="2278" w:type="pct"/>
            <w:tcBorders>
              <w:top w:val="single" w:sz="4" w:space="0" w:color="auto"/>
              <w:left w:val="single" w:sz="4" w:space="0" w:color="auto"/>
              <w:bottom w:val="single" w:sz="4" w:space="0" w:color="auto"/>
              <w:right w:val="single" w:sz="4" w:space="0" w:color="auto"/>
            </w:tcBorders>
            <w:vAlign w:val="center"/>
            <w:hideMark/>
          </w:tcPr>
          <w:p w14:paraId="332AD813" w14:textId="77777777" w:rsidR="0044570C" w:rsidRPr="007D4043" w:rsidRDefault="0044570C" w:rsidP="006C735A">
            <w:pPr>
              <w:spacing w:after="0" w:line="240" w:lineRule="auto"/>
              <w:ind w:firstLine="36"/>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9. Поездки на общественном транспорте</w:t>
            </w:r>
          </w:p>
        </w:tc>
        <w:tc>
          <w:tcPr>
            <w:tcW w:w="316" w:type="pct"/>
            <w:tcBorders>
              <w:top w:val="single" w:sz="4" w:space="0" w:color="auto"/>
              <w:left w:val="single" w:sz="4" w:space="0" w:color="auto"/>
              <w:bottom w:val="single" w:sz="4" w:space="0" w:color="auto"/>
              <w:right w:val="single" w:sz="4" w:space="0" w:color="auto"/>
            </w:tcBorders>
          </w:tcPr>
          <w:p w14:paraId="0DB01E28"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3881A26C"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24. Прогулки пешком</w:t>
            </w:r>
          </w:p>
        </w:tc>
        <w:tc>
          <w:tcPr>
            <w:tcW w:w="370" w:type="pct"/>
            <w:tcBorders>
              <w:top w:val="single" w:sz="4" w:space="0" w:color="auto"/>
              <w:left w:val="single" w:sz="4" w:space="0" w:color="auto"/>
              <w:bottom w:val="single" w:sz="4" w:space="0" w:color="auto"/>
              <w:right w:val="single" w:sz="4" w:space="0" w:color="auto"/>
            </w:tcBorders>
          </w:tcPr>
          <w:p w14:paraId="6040E46C"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r>
      <w:tr w:rsidR="0044570C" w:rsidRPr="007D4043" w14:paraId="0EFD27E2" w14:textId="77777777" w:rsidTr="006C735A">
        <w:tc>
          <w:tcPr>
            <w:tcW w:w="2278" w:type="pct"/>
            <w:tcBorders>
              <w:top w:val="single" w:sz="4" w:space="0" w:color="auto"/>
              <w:left w:val="single" w:sz="4" w:space="0" w:color="auto"/>
              <w:bottom w:val="single" w:sz="4" w:space="0" w:color="auto"/>
              <w:right w:val="single" w:sz="4" w:space="0" w:color="auto"/>
            </w:tcBorders>
            <w:vAlign w:val="center"/>
            <w:hideMark/>
          </w:tcPr>
          <w:p w14:paraId="5B8C4FD3" w14:textId="77777777" w:rsidR="0044570C" w:rsidRPr="007D4043" w:rsidRDefault="0044570C" w:rsidP="006C735A">
            <w:pPr>
              <w:spacing w:after="0" w:line="240" w:lineRule="auto"/>
              <w:ind w:firstLine="36"/>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 xml:space="preserve">10. Работа за компьютером </w:t>
            </w:r>
          </w:p>
        </w:tc>
        <w:tc>
          <w:tcPr>
            <w:tcW w:w="316" w:type="pct"/>
            <w:tcBorders>
              <w:top w:val="single" w:sz="4" w:space="0" w:color="auto"/>
              <w:left w:val="single" w:sz="4" w:space="0" w:color="auto"/>
              <w:bottom w:val="single" w:sz="4" w:space="0" w:color="auto"/>
              <w:right w:val="single" w:sz="4" w:space="0" w:color="auto"/>
            </w:tcBorders>
          </w:tcPr>
          <w:p w14:paraId="30DF269F"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7BD97AD9"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25. Прогулки с собакой</w:t>
            </w:r>
          </w:p>
        </w:tc>
        <w:tc>
          <w:tcPr>
            <w:tcW w:w="370" w:type="pct"/>
            <w:tcBorders>
              <w:top w:val="single" w:sz="4" w:space="0" w:color="auto"/>
              <w:left w:val="single" w:sz="4" w:space="0" w:color="auto"/>
              <w:bottom w:val="single" w:sz="4" w:space="0" w:color="auto"/>
              <w:right w:val="single" w:sz="4" w:space="0" w:color="auto"/>
            </w:tcBorders>
          </w:tcPr>
          <w:p w14:paraId="614AD5E9"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r>
      <w:tr w:rsidR="0044570C" w:rsidRPr="007D4043" w14:paraId="284F15CF" w14:textId="77777777" w:rsidTr="006C735A">
        <w:tc>
          <w:tcPr>
            <w:tcW w:w="2278" w:type="pct"/>
            <w:tcBorders>
              <w:top w:val="single" w:sz="4" w:space="0" w:color="auto"/>
              <w:left w:val="single" w:sz="4" w:space="0" w:color="auto"/>
              <w:bottom w:val="single" w:sz="4" w:space="0" w:color="auto"/>
              <w:right w:val="single" w:sz="4" w:space="0" w:color="auto"/>
            </w:tcBorders>
            <w:vAlign w:val="center"/>
            <w:hideMark/>
          </w:tcPr>
          <w:p w14:paraId="20EFD395" w14:textId="77777777" w:rsidR="0044570C" w:rsidRPr="007D4043" w:rsidRDefault="0044570C" w:rsidP="006C735A">
            <w:pPr>
              <w:spacing w:after="0" w:line="240" w:lineRule="auto"/>
              <w:ind w:firstLine="36"/>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 xml:space="preserve">11. Походы в театр/кино </w:t>
            </w:r>
          </w:p>
        </w:tc>
        <w:tc>
          <w:tcPr>
            <w:tcW w:w="316" w:type="pct"/>
            <w:tcBorders>
              <w:top w:val="single" w:sz="4" w:space="0" w:color="auto"/>
              <w:left w:val="single" w:sz="4" w:space="0" w:color="auto"/>
              <w:bottom w:val="single" w:sz="4" w:space="0" w:color="auto"/>
              <w:right w:val="single" w:sz="4" w:space="0" w:color="auto"/>
            </w:tcBorders>
          </w:tcPr>
          <w:p w14:paraId="2B94C3BC"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0525DD84"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26. Деятельность на открытом воздухе</w:t>
            </w:r>
          </w:p>
        </w:tc>
        <w:tc>
          <w:tcPr>
            <w:tcW w:w="370" w:type="pct"/>
            <w:tcBorders>
              <w:top w:val="single" w:sz="4" w:space="0" w:color="auto"/>
              <w:left w:val="single" w:sz="4" w:space="0" w:color="auto"/>
              <w:bottom w:val="single" w:sz="4" w:space="0" w:color="auto"/>
              <w:right w:val="single" w:sz="4" w:space="0" w:color="auto"/>
            </w:tcBorders>
          </w:tcPr>
          <w:p w14:paraId="18AFB8BE"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r>
      <w:tr w:rsidR="0044570C" w:rsidRPr="007D4043" w14:paraId="19177EE5" w14:textId="77777777" w:rsidTr="006C735A">
        <w:tc>
          <w:tcPr>
            <w:tcW w:w="2278" w:type="pct"/>
            <w:tcBorders>
              <w:top w:val="single" w:sz="4" w:space="0" w:color="auto"/>
              <w:left w:val="single" w:sz="4" w:space="0" w:color="auto"/>
              <w:bottom w:val="single" w:sz="4" w:space="0" w:color="auto"/>
              <w:right w:val="single" w:sz="4" w:space="0" w:color="auto"/>
            </w:tcBorders>
            <w:vAlign w:val="center"/>
            <w:hideMark/>
          </w:tcPr>
          <w:p w14:paraId="7D04764B" w14:textId="77777777" w:rsidR="0044570C" w:rsidRPr="007D4043" w:rsidRDefault="0044570C" w:rsidP="006C735A">
            <w:pPr>
              <w:spacing w:after="0" w:line="240" w:lineRule="auto"/>
              <w:ind w:firstLine="36"/>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 xml:space="preserve">12. Игра с домашними животными </w:t>
            </w:r>
          </w:p>
        </w:tc>
        <w:tc>
          <w:tcPr>
            <w:tcW w:w="316" w:type="pct"/>
            <w:tcBorders>
              <w:top w:val="single" w:sz="4" w:space="0" w:color="auto"/>
              <w:left w:val="single" w:sz="4" w:space="0" w:color="auto"/>
              <w:bottom w:val="single" w:sz="4" w:space="0" w:color="auto"/>
              <w:right w:val="single" w:sz="4" w:space="0" w:color="auto"/>
            </w:tcBorders>
          </w:tcPr>
          <w:p w14:paraId="2F3B221E"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0A98B0F1"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27. Работа</w:t>
            </w:r>
          </w:p>
        </w:tc>
        <w:tc>
          <w:tcPr>
            <w:tcW w:w="370" w:type="pct"/>
            <w:tcBorders>
              <w:top w:val="single" w:sz="4" w:space="0" w:color="auto"/>
              <w:left w:val="single" w:sz="4" w:space="0" w:color="auto"/>
              <w:bottom w:val="single" w:sz="4" w:space="0" w:color="auto"/>
              <w:right w:val="single" w:sz="4" w:space="0" w:color="auto"/>
            </w:tcBorders>
          </w:tcPr>
          <w:p w14:paraId="1EC8D170"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r>
      <w:tr w:rsidR="0044570C" w:rsidRPr="007D4043" w14:paraId="71A6F3D4" w14:textId="77777777" w:rsidTr="006C735A">
        <w:tc>
          <w:tcPr>
            <w:tcW w:w="2278" w:type="pct"/>
            <w:tcBorders>
              <w:top w:val="single" w:sz="4" w:space="0" w:color="auto"/>
              <w:left w:val="single" w:sz="4" w:space="0" w:color="auto"/>
              <w:bottom w:val="single" w:sz="4" w:space="0" w:color="auto"/>
              <w:right w:val="single" w:sz="4" w:space="0" w:color="auto"/>
            </w:tcBorders>
            <w:vAlign w:val="center"/>
            <w:hideMark/>
          </w:tcPr>
          <w:p w14:paraId="356BDC6D" w14:textId="77777777" w:rsidR="0044570C" w:rsidRPr="007D4043" w:rsidRDefault="0044570C" w:rsidP="006C735A">
            <w:pPr>
              <w:spacing w:after="0" w:line="240" w:lineRule="auto"/>
              <w:ind w:firstLine="36"/>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 xml:space="preserve">13. Игра с детьми или внуками </w:t>
            </w:r>
          </w:p>
        </w:tc>
        <w:tc>
          <w:tcPr>
            <w:tcW w:w="316" w:type="pct"/>
            <w:tcBorders>
              <w:top w:val="single" w:sz="4" w:space="0" w:color="auto"/>
              <w:left w:val="single" w:sz="4" w:space="0" w:color="auto"/>
              <w:bottom w:val="single" w:sz="4" w:space="0" w:color="auto"/>
              <w:right w:val="single" w:sz="4" w:space="0" w:color="auto"/>
            </w:tcBorders>
          </w:tcPr>
          <w:p w14:paraId="05F41526"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7FDBF438"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28. Пребывание на открытом воздухе</w:t>
            </w:r>
          </w:p>
        </w:tc>
        <w:tc>
          <w:tcPr>
            <w:tcW w:w="370" w:type="pct"/>
            <w:tcBorders>
              <w:top w:val="single" w:sz="4" w:space="0" w:color="auto"/>
              <w:left w:val="single" w:sz="4" w:space="0" w:color="auto"/>
              <w:bottom w:val="single" w:sz="4" w:space="0" w:color="auto"/>
              <w:right w:val="single" w:sz="4" w:space="0" w:color="auto"/>
            </w:tcBorders>
          </w:tcPr>
          <w:p w14:paraId="343508FF"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r>
      <w:tr w:rsidR="0044570C" w:rsidRPr="007D4043" w14:paraId="079161C1" w14:textId="77777777" w:rsidTr="006C735A">
        <w:tc>
          <w:tcPr>
            <w:tcW w:w="2278" w:type="pct"/>
            <w:tcBorders>
              <w:top w:val="single" w:sz="4" w:space="0" w:color="auto"/>
              <w:left w:val="single" w:sz="4" w:space="0" w:color="auto"/>
              <w:bottom w:val="single" w:sz="4" w:space="0" w:color="auto"/>
              <w:right w:val="single" w:sz="4" w:space="0" w:color="auto"/>
            </w:tcBorders>
            <w:vAlign w:val="center"/>
            <w:hideMark/>
          </w:tcPr>
          <w:p w14:paraId="2CE4FA03" w14:textId="77777777" w:rsidR="0044570C" w:rsidRPr="007D4043" w:rsidRDefault="0044570C" w:rsidP="006C735A">
            <w:pPr>
              <w:spacing w:after="0" w:line="240" w:lineRule="auto"/>
              <w:ind w:firstLine="36"/>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 xml:space="preserve">14. Спортивные игры </w:t>
            </w:r>
          </w:p>
        </w:tc>
        <w:tc>
          <w:tcPr>
            <w:tcW w:w="316" w:type="pct"/>
            <w:tcBorders>
              <w:top w:val="single" w:sz="4" w:space="0" w:color="auto"/>
              <w:left w:val="single" w:sz="4" w:space="0" w:color="auto"/>
              <w:bottom w:val="single" w:sz="4" w:space="0" w:color="auto"/>
              <w:right w:val="single" w:sz="4" w:space="0" w:color="auto"/>
            </w:tcBorders>
          </w:tcPr>
          <w:p w14:paraId="67581171"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38A1F96A"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29. Прогулки в парке с детьми</w:t>
            </w:r>
          </w:p>
        </w:tc>
        <w:tc>
          <w:tcPr>
            <w:tcW w:w="370" w:type="pct"/>
            <w:tcBorders>
              <w:top w:val="single" w:sz="4" w:space="0" w:color="auto"/>
              <w:left w:val="single" w:sz="4" w:space="0" w:color="auto"/>
              <w:bottom w:val="single" w:sz="4" w:space="0" w:color="auto"/>
              <w:right w:val="single" w:sz="4" w:space="0" w:color="auto"/>
            </w:tcBorders>
          </w:tcPr>
          <w:p w14:paraId="38EA176C"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r>
      <w:tr w:rsidR="0044570C" w:rsidRPr="007D4043" w14:paraId="14884847" w14:textId="77777777" w:rsidTr="006C735A">
        <w:tc>
          <w:tcPr>
            <w:tcW w:w="2278" w:type="pct"/>
            <w:tcBorders>
              <w:top w:val="single" w:sz="4" w:space="0" w:color="auto"/>
              <w:left w:val="single" w:sz="4" w:space="0" w:color="auto"/>
              <w:bottom w:val="single" w:sz="4" w:space="0" w:color="auto"/>
              <w:right w:val="single" w:sz="4" w:space="0" w:color="auto"/>
            </w:tcBorders>
            <w:vAlign w:val="center"/>
            <w:hideMark/>
          </w:tcPr>
          <w:p w14:paraId="6F5FE295" w14:textId="77777777" w:rsidR="0044570C" w:rsidRPr="007D4043" w:rsidRDefault="0044570C" w:rsidP="006C735A">
            <w:pPr>
              <w:spacing w:after="0" w:line="240" w:lineRule="auto"/>
              <w:ind w:firstLine="36"/>
              <w:jc w:val="both"/>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15. Вождение автомобиля</w:t>
            </w:r>
          </w:p>
        </w:tc>
        <w:tc>
          <w:tcPr>
            <w:tcW w:w="316" w:type="pct"/>
          </w:tcPr>
          <w:p w14:paraId="4C84542E"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c>
          <w:tcPr>
            <w:tcW w:w="2036" w:type="pct"/>
            <w:vAlign w:val="center"/>
            <w:hideMark/>
          </w:tcPr>
          <w:p w14:paraId="0B9E51D7"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c>
          <w:tcPr>
            <w:tcW w:w="370" w:type="pct"/>
          </w:tcPr>
          <w:p w14:paraId="53B65283" w14:textId="77777777" w:rsidR="0044570C" w:rsidRPr="007D4043" w:rsidRDefault="0044570C" w:rsidP="006C735A">
            <w:pPr>
              <w:spacing w:after="0" w:line="240" w:lineRule="auto"/>
              <w:ind w:firstLine="44"/>
              <w:rPr>
                <w:rFonts w:ascii="Times New Roman" w:eastAsia="Times New Roman" w:hAnsi="Times New Roman" w:cs="Times New Roman"/>
                <w:sz w:val="24"/>
                <w:szCs w:val="24"/>
                <w:lang w:eastAsia="ru-RU"/>
              </w:rPr>
            </w:pPr>
          </w:p>
        </w:tc>
      </w:tr>
    </w:tbl>
    <w:p w14:paraId="4B4999B8" w14:textId="77777777" w:rsidR="0044570C" w:rsidRPr="007D4043" w:rsidRDefault="0044570C" w:rsidP="0044570C">
      <w:pPr>
        <w:spacing w:after="0" w:line="240" w:lineRule="auto"/>
        <w:ind w:firstLine="567"/>
        <w:jc w:val="both"/>
        <w:rPr>
          <w:rFonts w:ascii="Times New Roman" w:hAnsi="Times New Roman" w:cs="Times New Roman"/>
          <w:sz w:val="28"/>
          <w:szCs w:val="28"/>
        </w:rPr>
      </w:pPr>
    </w:p>
    <w:p w14:paraId="619AFE16" w14:textId="77777777" w:rsidR="0044570C" w:rsidRPr="007D4043" w:rsidRDefault="0044570C" w:rsidP="0044570C">
      <w:pPr>
        <w:spacing w:after="0" w:line="240" w:lineRule="auto"/>
        <w:ind w:firstLine="567"/>
        <w:jc w:val="both"/>
        <w:rPr>
          <w:rFonts w:ascii="Times New Roman" w:eastAsia="Calibri" w:hAnsi="Times New Roman" w:cs="Times New Roman"/>
          <w:sz w:val="28"/>
          <w:szCs w:val="28"/>
        </w:rPr>
      </w:pPr>
      <w:r w:rsidRPr="007D4043">
        <w:rPr>
          <w:rFonts w:ascii="Times New Roman" w:eastAsia="Calibri" w:hAnsi="Times New Roman" w:cs="Times New Roman"/>
          <w:sz w:val="28"/>
          <w:szCs w:val="28"/>
        </w:rPr>
        <w:t>Максимальная оценка была выражена общим баллом качества жизни и составляла 18 баллов. Интерпретация тяжести симптомов осуществлялось по следующей шкале:</w:t>
      </w:r>
    </w:p>
    <w:p w14:paraId="12126E75" w14:textId="77777777" w:rsidR="0044570C" w:rsidRPr="007D4043" w:rsidRDefault="0044570C" w:rsidP="0044570C">
      <w:pPr>
        <w:spacing w:after="0" w:line="240" w:lineRule="auto"/>
        <w:ind w:firstLine="567"/>
        <w:jc w:val="both"/>
        <w:rPr>
          <w:rFonts w:ascii="Times New Roman" w:eastAsia="Calibri" w:hAnsi="Times New Roman" w:cs="Times New Roman"/>
          <w:sz w:val="28"/>
          <w:szCs w:val="28"/>
        </w:rPr>
      </w:pPr>
      <w:r w:rsidRPr="007D4043">
        <w:rPr>
          <w:rFonts w:ascii="Times New Roman" w:eastAsia="Calibri" w:hAnsi="Times New Roman" w:cs="Times New Roman"/>
          <w:sz w:val="28"/>
          <w:szCs w:val="28"/>
        </w:rPr>
        <w:t>0 - 7 баллов – симптомы отсутствуют или легкой степени тяжести</w:t>
      </w:r>
    </w:p>
    <w:p w14:paraId="68243786" w14:textId="77777777" w:rsidR="0044570C" w:rsidRPr="007D4043" w:rsidRDefault="0044570C" w:rsidP="0044570C">
      <w:pPr>
        <w:spacing w:after="0" w:line="240" w:lineRule="auto"/>
        <w:ind w:firstLine="567"/>
        <w:jc w:val="both"/>
        <w:rPr>
          <w:rFonts w:ascii="Times New Roman" w:eastAsia="Calibri" w:hAnsi="Times New Roman" w:cs="Times New Roman"/>
          <w:sz w:val="28"/>
          <w:szCs w:val="28"/>
        </w:rPr>
      </w:pPr>
      <w:r w:rsidRPr="007D4043">
        <w:rPr>
          <w:rFonts w:ascii="Times New Roman" w:eastAsia="Calibri" w:hAnsi="Times New Roman" w:cs="Times New Roman"/>
          <w:sz w:val="28"/>
          <w:szCs w:val="28"/>
        </w:rPr>
        <w:t>8 – 14 баллов – симптомы средней степени тяжести</w:t>
      </w:r>
    </w:p>
    <w:p w14:paraId="5072F249" w14:textId="77777777" w:rsidR="0044570C" w:rsidRPr="007D4043" w:rsidRDefault="0044570C" w:rsidP="0044570C">
      <w:pPr>
        <w:spacing w:after="0" w:line="240" w:lineRule="auto"/>
        <w:ind w:firstLine="567"/>
        <w:jc w:val="both"/>
        <w:rPr>
          <w:rFonts w:ascii="Times New Roman" w:eastAsia="Calibri" w:hAnsi="Times New Roman" w:cs="Times New Roman"/>
          <w:sz w:val="28"/>
          <w:szCs w:val="28"/>
        </w:rPr>
      </w:pPr>
      <w:r w:rsidRPr="007D4043">
        <w:rPr>
          <w:rFonts w:ascii="Times New Roman" w:eastAsia="Calibri" w:hAnsi="Times New Roman" w:cs="Times New Roman"/>
          <w:sz w:val="28"/>
          <w:szCs w:val="28"/>
        </w:rPr>
        <w:t>15 – 21 балл – симптомы тяжелой степени.</w:t>
      </w:r>
    </w:p>
    <w:p w14:paraId="64C5B5DB" w14:textId="77777777" w:rsidR="0044570C" w:rsidRPr="007D4043" w:rsidRDefault="0044570C" w:rsidP="0044570C">
      <w:pPr>
        <w:spacing w:after="0" w:line="240" w:lineRule="auto"/>
        <w:ind w:firstLine="567"/>
        <w:jc w:val="both"/>
        <w:rPr>
          <w:rFonts w:ascii="Times New Roman" w:hAnsi="Times New Roman" w:cs="Times New Roman"/>
          <w:sz w:val="28"/>
          <w:szCs w:val="28"/>
        </w:rPr>
      </w:pPr>
    </w:p>
    <w:p w14:paraId="0FDE7C83" w14:textId="77777777" w:rsidR="0044570C" w:rsidRPr="007D4043" w:rsidRDefault="0044570C" w:rsidP="0044570C">
      <w:pPr>
        <w:spacing w:after="0" w:line="240" w:lineRule="auto"/>
        <w:ind w:firstLine="567"/>
        <w:jc w:val="both"/>
        <w:rPr>
          <w:rFonts w:ascii="Times New Roman" w:hAnsi="Times New Roman" w:cs="Times New Roman"/>
          <w:sz w:val="28"/>
          <w:szCs w:val="28"/>
        </w:rPr>
      </w:pPr>
      <w:r w:rsidRPr="007D4043">
        <w:rPr>
          <w:rFonts w:ascii="Times New Roman" w:hAnsi="Times New Roman" w:cs="Times New Roman"/>
          <w:sz w:val="28"/>
          <w:szCs w:val="28"/>
        </w:rPr>
        <w:t>Легкий рино-конъюнктивит: «У вас риноконъюнктивит (аллергия на нос и глаза / сенная лихорадка), но он вас очень мало беспокоит. Слабые или умеренные назальные и конъюнктивальные симптомы, но они редко мешают повседневной деятельности. Иногда они мешают вам хорошо выспаться ночью, и вы можете чувствовать себя немного уставшим в течение дня. Ваши симптомы едва ли заставляют вас расстраиваться или раздражаться».</w:t>
      </w:r>
    </w:p>
    <w:p w14:paraId="655B5AEB" w14:textId="77777777" w:rsidR="0044570C" w:rsidRPr="007D4043" w:rsidRDefault="0044570C" w:rsidP="0044570C">
      <w:pPr>
        <w:spacing w:after="0" w:line="240" w:lineRule="auto"/>
        <w:ind w:firstLine="567"/>
        <w:jc w:val="both"/>
        <w:rPr>
          <w:rFonts w:ascii="Times New Roman" w:hAnsi="Times New Roman" w:cs="Times New Roman"/>
          <w:sz w:val="28"/>
          <w:szCs w:val="28"/>
        </w:rPr>
      </w:pPr>
      <w:r w:rsidRPr="007D4043">
        <w:rPr>
          <w:rFonts w:ascii="Times New Roman" w:hAnsi="Times New Roman" w:cs="Times New Roman"/>
          <w:sz w:val="28"/>
          <w:szCs w:val="28"/>
        </w:rPr>
        <w:t>Умеренный рино-конъюнктивит: «У вас риноконъюнктивит, и он вас немного беспокоит. У вас довольно неприятные носовые и глазные симптомы довольно часто, и иногда они вызывают головную боль. Ваши симптомы часто мешают вашей повседневной деятельности. Часто они мешают вам хорошо выспаться ночью. Вы иногда чувствуете усталость и вам трудно сосредоточиться. Вы расстроены и чувствуете раздражение из-за ваших симптомов».</w:t>
      </w:r>
    </w:p>
    <w:p w14:paraId="7CBBE573" w14:textId="6CFAE938" w:rsidR="004E44B5" w:rsidRDefault="0044570C" w:rsidP="0044570C">
      <w:pPr>
        <w:spacing w:after="0" w:line="240" w:lineRule="auto"/>
        <w:ind w:firstLine="567"/>
        <w:jc w:val="both"/>
        <w:rPr>
          <w:rFonts w:ascii="Times New Roman" w:hAnsi="Times New Roman" w:cs="Times New Roman"/>
          <w:sz w:val="28"/>
          <w:szCs w:val="28"/>
        </w:rPr>
      </w:pPr>
      <w:r w:rsidRPr="007D4043">
        <w:rPr>
          <w:rFonts w:ascii="Times New Roman" w:hAnsi="Times New Roman" w:cs="Times New Roman"/>
          <w:sz w:val="28"/>
          <w:szCs w:val="28"/>
        </w:rPr>
        <w:t>Тяжелый рино-конъюнктивит: «У вас тяжелый риноконъюнктивит, и он очень неприятный. Симптомы носа и глаз чрезвычайно беспокоят, и у вас часто болит голова. Ваша повседневная деятельность очень ограничена, и ночью всегда трудно спать. Вы чувствуете се</w:t>
      </w:r>
      <w:r w:rsidRPr="00EC38CC">
        <w:rPr>
          <w:rFonts w:ascii="Times New Roman" w:hAnsi="Times New Roman" w:cs="Times New Roman"/>
          <w:sz w:val="28"/>
          <w:szCs w:val="28"/>
        </w:rPr>
        <w:t>бя очень уставшим в течение дня, и очень трудно сосредоточиться. Это заставляет вас чувствовать себя очень расстроенным и очень раздражительным».</w:t>
      </w:r>
    </w:p>
    <w:p w14:paraId="70D1EF8B" w14:textId="77777777" w:rsidR="004E44B5" w:rsidRDefault="004E44B5">
      <w:pPr>
        <w:rPr>
          <w:rFonts w:ascii="Times New Roman" w:hAnsi="Times New Roman" w:cs="Times New Roman"/>
          <w:sz w:val="28"/>
          <w:szCs w:val="28"/>
        </w:rPr>
      </w:pPr>
      <w:r>
        <w:rPr>
          <w:rFonts w:ascii="Times New Roman" w:hAnsi="Times New Roman" w:cs="Times New Roman"/>
          <w:sz w:val="28"/>
          <w:szCs w:val="28"/>
        </w:rPr>
        <w:br w:type="page"/>
      </w:r>
    </w:p>
    <w:p w14:paraId="01EEF4F2" w14:textId="09EEB156" w:rsidR="004E44B5" w:rsidRPr="00EC38CC" w:rsidRDefault="004E44B5" w:rsidP="004E44B5">
      <w:pPr>
        <w:tabs>
          <w:tab w:val="left" w:pos="240"/>
        </w:tabs>
        <w:spacing w:after="0" w:line="240" w:lineRule="auto"/>
        <w:ind w:firstLine="567"/>
        <w:jc w:val="center"/>
        <w:rPr>
          <w:rFonts w:ascii="Times New Roman" w:hAnsi="Times New Roman" w:cs="Times New Roman"/>
          <w:b/>
          <w:sz w:val="28"/>
          <w:szCs w:val="28"/>
        </w:rPr>
      </w:pPr>
      <w:r w:rsidRPr="004E44B5">
        <w:rPr>
          <w:rFonts w:ascii="Times New Roman" w:eastAsia="Calibri" w:hAnsi="Times New Roman" w:cs="Times New Roman"/>
          <w:sz w:val="28"/>
          <w:szCs w:val="28"/>
        </w:rPr>
        <w:t>Аурудың симптомдарының ауырлығын және маусымдық аллергиялық ринитпен ауыратын науқастардың өмір сүру сапасын бағалауға арналған сауалнама</w:t>
      </w:r>
    </w:p>
    <w:p w14:paraId="4737A86D" w14:textId="6497EF08" w:rsidR="004E44B5" w:rsidRPr="007D4043" w:rsidRDefault="004E44B5" w:rsidP="004E44B5">
      <w:pPr>
        <w:tabs>
          <w:tab w:val="left" w:pos="240"/>
        </w:tabs>
        <w:spacing w:after="0" w:line="240" w:lineRule="auto"/>
        <w:ind w:firstLine="567"/>
        <w:rPr>
          <w:rFonts w:ascii="Times New Roman" w:hAnsi="Times New Roman" w:cs="Times New Roman"/>
          <w:sz w:val="28"/>
          <w:szCs w:val="28"/>
        </w:rPr>
      </w:pPr>
      <w:r w:rsidRPr="004E44B5">
        <w:rPr>
          <w:rFonts w:ascii="Times New Roman" w:hAnsi="Times New Roman" w:cs="Times New Roman"/>
          <w:sz w:val="28"/>
          <w:szCs w:val="28"/>
        </w:rPr>
        <w:t xml:space="preserve">Тегі Аты Әкесінің Аты </w:t>
      </w:r>
      <w:r w:rsidRPr="007D4043">
        <w:rPr>
          <w:rFonts w:ascii="Times New Roman" w:hAnsi="Times New Roman" w:cs="Times New Roman"/>
          <w:sz w:val="28"/>
          <w:szCs w:val="28"/>
        </w:rPr>
        <w:t>_______________________________________</w:t>
      </w:r>
    </w:p>
    <w:p w14:paraId="3D454680" w14:textId="77777777" w:rsidR="004E44B5" w:rsidRPr="007D4043" w:rsidRDefault="004E44B5" w:rsidP="004E44B5">
      <w:pPr>
        <w:tabs>
          <w:tab w:val="left" w:pos="240"/>
        </w:tabs>
        <w:spacing w:after="0" w:line="240" w:lineRule="auto"/>
        <w:ind w:firstLine="567"/>
        <w:rPr>
          <w:rFonts w:ascii="Times New Roman" w:hAnsi="Times New Roman" w:cs="Times New Roman"/>
          <w:sz w:val="28"/>
          <w:szCs w:val="28"/>
          <w:u w:val="single"/>
        </w:rPr>
      </w:pPr>
    </w:p>
    <w:p w14:paraId="25AE725F" w14:textId="0E50C677" w:rsidR="004E44B5" w:rsidRPr="007D4043" w:rsidRDefault="004E44B5" w:rsidP="004E44B5">
      <w:pPr>
        <w:tabs>
          <w:tab w:val="left" w:pos="240"/>
        </w:tabs>
        <w:spacing w:after="0" w:line="240" w:lineRule="auto"/>
        <w:ind w:firstLine="567"/>
        <w:rPr>
          <w:rFonts w:ascii="Times New Roman" w:hAnsi="Times New Roman" w:cs="Times New Roman"/>
          <w:sz w:val="28"/>
          <w:szCs w:val="28"/>
        </w:rPr>
      </w:pPr>
      <w:r w:rsidRPr="004E44B5">
        <w:rPr>
          <w:rFonts w:ascii="Times New Roman" w:hAnsi="Times New Roman" w:cs="Times New Roman"/>
          <w:sz w:val="28"/>
          <w:szCs w:val="28"/>
        </w:rPr>
        <w:t xml:space="preserve">Жынысы </w:t>
      </w:r>
      <w:r w:rsidRPr="007D4043">
        <w:rPr>
          <w:rFonts w:ascii="Times New Roman" w:hAnsi="Times New Roman" w:cs="Times New Roman"/>
          <w:sz w:val="28"/>
          <w:szCs w:val="28"/>
        </w:rPr>
        <w:t>________</w:t>
      </w:r>
      <w:r w:rsidR="0007459B">
        <w:rPr>
          <w:rFonts w:ascii="Times New Roman" w:hAnsi="Times New Roman" w:cs="Times New Roman"/>
          <w:sz w:val="28"/>
          <w:szCs w:val="28"/>
        </w:rPr>
        <w:t xml:space="preserve">  </w:t>
      </w:r>
      <w:r w:rsidRPr="004E44B5">
        <w:rPr>
          <w:rFonts w:ascii="Times New Roman" w:hAnsi="Times New Roman" w:cs="Times New Roman"/>
          <w:sz w:val="28"/>
          <w:szCs w:val="28"/>
        </w:rPr>
        <w:t xml:space="preserve">Жасы </w:t>
      </w:r>
      <w:r w:rsidRPr="007D4043">
        <w:rPr>
          <w:rFonts w:ascii="Times New Roman" w:hAnsi="Times New Roman" w:cs="Times New Roman"/>
          <w:sz w:val="28"/>
          <w:szCs w:val="28"/>
        </w:rPr>
        <w:t>________</w:t>
      </w:r>
      <w:r w:rsidR="0007459B">
        <w:rPr>
          <w:rFonts w:ascii="Times New Roman" w:hAnsi="Times New Roman" w:cs="Times New Roman"/>
          <w:sz w:val="28"/>
          <w:szCs w:val="28"/>
        </w:rPr>
        <w:t xml:space="preserve">  </w:t>
      </w:r>
      <w:r w:rsidRPr="007D4043">
        <w:rPr>
          <w:rFonts w:ascii="Times New Roman" w:hAnsi="Times New Roman" w:cs="Times New Roman"/>
          <w:sz w:val="28"/>
          <w:szCs w:val="28"/>
        </w:rPr>
        <w:t xml:space="preserve"> </w:t>
      </w:r>
    </w:p>
    <w:p w14:paraId="30666022" w14:textId="77777777" w:rsidR="004E44B5" w:rsidRPr="007D4043" w:rsidRDefault="004E44B5" w:rsidP="004E44B5">
      <w:pPr>
        <w:spacing w:after="0" w:line="240" w:lineRule="auto"/>
        <w:ind w:firstLine="567"/>
        <w:jc w:val="center"/>
        <w:rPr>
          <w:rFonts w:ascii="Times New Roman" w:hAnsi="Times New Roman" w:cs="Times New Roman"/>
          <w:sz w:val="28"/>
          <w:szCs w:val="28"/>
        </w:rPr>
      </w:pPr>
    </w:p>
    <w:p w14:paraId="5532B079" w14:textId="77777777" w:rsidR="002A1A75" w:rsidRDefault="002A1A75" w:rsidP="004E44B5">
      <w:pPr>
        <w:spacing w:after="0" w:line="240" w:lineRule="auto"/>
        <w:jc w:val="center"/>
        <w:rPr>
          <w:rFonts w:ascii="Times New Roman" w:hAnsi="Times New Roman" w:cs="Times New Roman"/>
          <w:sz w:val="28"/>
          <w:szCs w:val="28"/>
        </w:rPr>
      </w:pPr>
      <w:r w:rsidRPr="004E44B5">
        <w:rPr>
          <w:rFonts w:ascii="Times New Roman" w:hAnsi="Times New Roman" w:cs="Times New Roman"/>
          <w:sz w:val="28"/>
          <w:szCs w:val="28"/>
        </w:rPr>
        <w:t xml:space="preserve">Бөлім </w:t>
      </w:r>
      <w:r w:rsidRPr="007D4043">
        <w:rPr>
          <w:rFonts w:ascii="Times New Roman" w:hAnsi="Times New Roman" w:cs="Times New Roman"/>
          <w:sz w:val="28"/>
          <w:szCs w:val="28"/>
        </w:rPr>
        <w:t>1</w:t>
      </w:r>
    </w:p>
    <w:p w14:paraId="14908B8B" w14:textId="0617AC1E" w:rsidR="004E44B5" w:rsidRDefault="004E44B5" w:rsidP="004E44B5">
      <w:pPr>
        <w:spacing w:after="0" w:line="240" w:lineRule="auto"/>
        <w:jc w:val="center"/>
        <w:rPr>
          <w:rFonts w:ascii="Times New Roman" w:hAnsi="Times New Roman" w:cs="Times New Roman"/>
          <w:sz w:val="28"/>
          <w:szCs w:val="28"/>
        </w:rPr>
      </w:pPr>
      <w:r w:rsidRPr="004E44B5">
        <w:rPr>
          <w:rFonts w:ascii="Times New Roman" w:hAnsi="Times New Roman" w:cs="Times New Roman"/>
          <w:sz w:val="28"/>
          <w:szCs w:val="28"/>
        </w:rPr>
        <w:t>Ауру белгілерінің ауырлығын бағалау</w:t>
      </w:r>
    </w:p>
    <w:tbl>
      <w:tblPr>
        <w:tblStyle w:val="af3"/>
        <w:tblW w:w="4967" w:type="pct"/>
        <w:tblLook w:val="04A0" w:firstRow="1" w:lastRow="0" w:firstColumn="1" w:lastColumn="0" w:noHBand="0" w:noVBand="1"/>
      </w:tblPr>
      <w:tblGrid>
        <w:gridCol w:w="7536"/>
        <w:gridCol w:w="1067"/>
        <w:gridCol w:w="953"/>
        <w:gridCol w:w="8"/>
      </w:tblGrid>
      <w:tr w:rsidR="004E44B5" w:rsidRPr="007D4043" w14:paraId="67BD8D81" w14:textId="77777777" w:rsidTr="0013539F">
        <w:trPr>
          <w:trHeight w:val="369"/>
        </w:trPr>
        <w:tc>
          <w:tcPr>
            <w:tcW w:w="5000" w:type="pct"/>
            <w:gridSpan w:val="4"/>
          </w:tcPr>
          <w:p w14:paraId="5473562B" w14:textId="54F3B272" w:rsidR="004E44B5" w:rsidRPr="007D4043" w:rsidRDefault="003B3DD9" w:rsidP="0013539F">
            <w:pPr>
              <w:rPr>
                <w:rFonts w:ascii="Times New Roman" w:hAnsi="Times New Roman" w:cs="Times New Roman"/>
                <w:sz w:val="24"/>
                <w:szCs w:val="24"/>
              </w:rPr>
            </w:pPr>
            <w:r w:rsidRPr="003B3DD9">
              <w:rPr>
                <w:rFonts w:ascii="Times New Roman" w:hAnsi="Times New Roman" w:cs="Times New Roman"/>
                <w:sz w:val="24"/>
                <w:szCs w:val="24"/>
              </w:rPr>
              <w:t>Сізде келесі белгілердің кез келгені бар ма</w:t>
            </w:r>
            <w:r w:rsidR="004E44B5" w:rsidRPr="007D4043">
              <w:rPr>
                <w:rFonts w:ascii="Times New Roman" w:hAnsi="Times New Roman" w:cs="Times New Roman"/>
                <w:sz w:val="24"/>
                <w:szCs w:val="24"/>
              </w:rPr>
              <w:t>?</w:t>
            </w:r>
          </w:p>
        </w:tc>
      </w:tr>
      <w:tr w:rsidR="002664D9" w:rsidRPr="00EC38CC" w14:paraId="74104FD4" w14:textId="77777777" w:rsidTr="0013539F">
        <w:trPr>
          <w:gridAfter w:val="1"/>
          <w:wAfter w:w="4" w:type="pct"/>
          <w:trHeight w:val="369"/>
        </w:trPr>
        <w:tc>
          <w:tcPr>
            <w:tcW w:w="3940" w:type="pct"/>
          </w:tcPr>
          <w:p w14:paraId="6DEA7E8E" w14:textId="594C167B" w:rsidR="002664D9" w:rsidRPr="00EC38CC" w:rsidRDefault="002664D9" w:rsidP="002664D9">
            <w:pPr>
              <w:ind w:left="31"/>
              <w:rPr>
                <w:rFonts w:ascii="Times New Roman" w:hAnsi="Times New Roman" w:cs="Times New Roman"/>
                <w:sz w:val="24"/>
                <w:szCs w:val="24"/>
              </w:rPr>
            </w:pPr>
            <w:r w:rsidRPr="003B3DD9">
              <w:rPr>
                <w:rFonts w:ascii="Times New Roman" w:hAnsi="Times New Roman" w:cs="Times New Roman"/>
                <w:sz w:val="24"/>
                <w:szCs w:val="24"/>
              </w:rPr>
              <w:t>Тек бір жақты мұрын белгілері</w:t>
            </w:r>
          </w:p>
        </w:tc>
        <w:tc>
          <w:tcPr>
            <w:tcW w:w="558" w:type="pct"/>
          </w:tcPr>
          <w:p w14:paraId="5805EE9E" w14:textId="26B4204B" w:rsidR="002664D9" w:rsidRPr="00EC38CC" w:rsidRDefault="002664D9" w:rsidP="002664D9">
            <w:pPr>
              <w:jc w:val="center"/>
              <w:rPr>
                <w:rFonts w:ascii="Times New Roman" w:hAnsi="Times New Roman" w:cs="Times New Roman"/>
                <w:sz w:val="24"/>
                <w:szCs w:val="24"/>
              </w:rPr>
            </w:pPr>
            <w:r w:rsidRPr="00FE7577">
              <w:t>Иә</w:t>
            </w:r>
          </w:p>
        </w:tc>
        <w:tc>
          <w:tcPr>
            <w:tcW w:w="498" w:type="pct"/>
          </w:tcPr>
          <w:p w14:paraId="76A005ED" w14:textId="2708B1FC" w:rsidR="002664D9" w:rsidRPr="00EC38CC" w:rsidRDefault="002664D9" w:rsidP="002664D9">
            <w:pPr>
              <w:jc w:val="center"/>
              <w:rPr>
                <w:rFonts w:ascii="Times New Roman" w:hAnsi="Times New Roman" w:cs="Times New Roman"/>
                <w:sz w:val="24"/>
                <w:szCs w:val="24"/>
              </w:rPr>
            </w:pPr>
            <w:r w:rsidRPr="007D6397">
              <w:t>Жоқ</w:t>
            </w:r>
          </w:p>
        </w:tc>
      </w:tr>
      <w:tr w:rsidR="002664D9" w:rsidRPr="00EC38CC" w14:paraId="0D1D8DED" w14:textId="77777777" w:rsidTr="0013539F">
        <w:trPr>
          <w:gridAfter w:val="1"/>
          <w:wAfter w:w="4" w:type="pct"/>
          <w:trHeight w:val="369"/>
        </w:trPr>
        <w:tc>
          <w:tcPr>
            <w:tcW w:w="3940" w:type="pct"/>
          </w:tcPr>
          <w:p w14:paraId="30D3663D" w14:textId="24F6ED9F" w:rsidR="002664D9" w:rsidRPr="00EC38CC" w:rsidRDefault="002664D9" w:rsidP="002664D9">
            <w:pPr>
              <w:ind w:left="31"/>
              <w:rPr>
                <w:rFonts w:ascii="Times New Roman" w:hAnsi="Times New Roman" w:cs="Times New Roman"/>
                <w:sz w:val="24"/>
                <w:szCs w:val="24"/>
              </w:rPr>
            </w:pPr>
            <w:r w:rsidRPr="003B3DD9">
              <w:rPr>
                <w:rFonts w:ascii="Times New Roman" w:hAnsi="Times New Roman" w:cs="Times New Roman"/>
                <w:sz w:val="24"/>
                <w:szCs w:val="24"/>
              </w:rPr>
              <w:t>Мұрыннан жасыл немесе сары түсті қалың разряд</w:t>
            </w:r>
          </w:p>
        </w:tc>
        <w:tc>
          <w:tcPr>
            <w:tcW w:w="558" w:type="pct"/>
          </w:tcPr>
          <w:p w14:paraId="3905ED21" w14:textId="4195E336" w:rsidR="002664D9" w:rsidRPr="00EC38CC" w:rsidRDefault="002664D9" w:rsidP="002664D9">
            <w:pPr>
              <w:jc w:val="center"/>
              <w:rPr>
                <w:rFonts w:ascii="Times New Roman" w:hAnsi="Times New Roman" w:cs="Times New Roman"/>
                <w:sz w:val="24"/>
                <w:szCs w:val="24"/>
              </w:rPr>
            </w:pPr>
            <w:r w:rsidRPr="00FE7577">
              <w:t>Иә</w:t>
            </w:r>
          </w:p>
        </w:tc>
        <w:tc>
          <w:tcPr>
            <w:tcW w:w="498" w:type="pct"/>
          </w:tcPr>
          <w:p w14:paraId="3366E2F5" w14:textId="1B4A77CF" w:rsidR="002664D9" w:rsidRPr="00EC38CC" w:rsidRDefault="002664D9" w:rsidP="002664D9">
            <w:pPr>
              <w:jc w:val="center"/>
              <w:rPr>
                <w:rFonts w:ascii="Times New Roman" w:hAnsi="Times New Roman" w:cs="Times New Roman"/>
                <w:sz w:val="24"/>
                <w:szCs w:val="24"/>
              </w:rPr>
            </w:pPr>
            <w:r w:rsidRPr="007D6397">
              <w:t>Жоқ</w:t>
            </w:r>
          </w:p>
        </w:tc>
      </w:tr>
      <w:tr w:rsidR="002664D9" w:rsidRPr="00EC38CC" w14:paraId="4DC4F4C2" w14:textId="77777777" w:rsidTr="0013539F">
        <w:trPr>
          <w:gridAfter w:val="1"/>
          <w:wAfter w:w="4" w:type="pct"/>
          <w:trHeight w:val="369"/>
        </w:trPr>
        <w:tc>
          <w:tcPr>
            <w:tcW w:w="3940" w:type="pct"/>
          </w:tcPr>
          <w:p w14:paraId="41DA6410" w14:textId="778E1521" w:rsidR="002664D9" w:rsidRPr="00EC38CC" w:rsidRDefault="002664D9" w:rsidP="002664D9">
            <w:pPr>
              <w:ind w:left="31"/>
              <w:rPr>
                <w:rFonts w:ascii="Times New Roman" w:hAnsi="Times New Roman" w:cs="Times New Roman"/>
                <w:sz w:val="24"/>
                <w:szCs w:val="24"/>
              </w:rPr>
            </w:pPr>
            <w:r w:rsidRPr="003B3DD9">
              <w:rPr>
                <w:rFonts w:ascii="Times New Roman" w:hAnsi="Times New Roman" w:cs="Times New Roman"/>
                <w:kern w:val="24"/>
                <w:sz w:val="24"/>
                <w:szCs w:val="24"/>
              </w:rPr>
              <w:t>Мұрын бітелуі</w:t>
            </w:r>
          </w:p>
        </w:tc>
        <w:tc>
          <w:tcPr>
            <w:tcW w:w="558" w:type="pct"/>
          </w:tcPr>
          <w:p w14:paraId="723D7EAB" w14:textId="13ABEC53" w:rsidR="002664D9" w:rsidRPr="00EC38CC" w:rsidRDefault="002664D9" w:rsidP="002664D9">
            <w:pPr>
              <w:jc w:val="center"/>
              <w:rPr>
                <w:rFonts w:ascii="Times New Roman" w:hAnsi="Times New Roman" w:cs="Times New Roman"/>
                <w:sz w:val="24"/>
                <w:szCs w:val="24"/>
              </w:rPr>
            </w:pPr>
            <w:r w:rsidRPr="00FE7577">
              <w:t>Иә</w:t>
            </w:r>
          </w:p>
        </w:tc>
        <w:tc>
          <w:tcPr>
            <w:tcW w:w="498" w:type="pct"/>
          </w:tcPr>
          <w:p w14:paraId="3C31638D" w14:textId="299C4F26" w:rsidR="002664D9" w:rsidRPr="00EC38CC" w:rsidRDefault="002664D9" w:rsidP="002664D9">
            <w:pPr>
              <w:jc w:val="center"/>
              <w:rPr>
                <w:rFonts w:ascii="Times New Roman" w:hAnsi="Times New Roman" w:cs="Times New Roman"/>
                <w:sz w:val="24"/>
                <w:szCs w:val="24"/>
              </w:rPr>
            </w:pPr>
            <w:r w:rsidRPr="007D6397">
              <w:t>Жоқ</w:t>
            </w:r>
          </w:p>
        </w:tc>
      </w:tr>
      <w:tr w:rsidR="002664D9" w:rsidRPr="00EC38CC" w14:paraId="1420A70C" w14:textId="77777777" w:rsidTr="0013539F">
        <w:trPr>
          <w:gridAfter w:val="1"/>
          <w:wAfter w:w="4" w:type="pct"/>
          <w:trHeight w:val="369"/>
        </w:trPr>
        <w:tc>
          <w:tcPr>
            <w:tcW w:w="3940" w:type="pct"/>
          </w:tcPr>
          <w:p w14:paraId="17EE9CD5" w14:textId="672E731A" w:rsidR="002664D9" w:rsidRPr="00EC38CC" w:rsidRDefault="002664D9" w:rsidP="002664D9">
            <w:pPr>
              <w:ind w:left="31"/>
              <w:rPr>
                <w:rFonts w:ascii="Times New Roman" w:hAnsi="Times New Roman" w:cs="Times New Roman"/>
                <w:sz w:val="24"/>
                <w:szCs w:val="24"/>
              </w:rPr>
            </w:pPr>
            <w:r w:rsidRPr="003B3DD9">
              <w:rPr>
                <w:rFonts w:ascii="Times New Roman" w:hAnsi="Times New Roman" w:cs="Times New Roman"/>
                <w:sz w:val="24"/>
                <w:szCs w:val="24"/>
              </w:rPr>
              <w:t>Мұрыннан сулы немесе шырышты бөліністер</w:t>
            </w:r>
          </w:p>
        </w:tc>
        <w:tc>
          <w:tcPr>
            <w:tcW w:w="558" w:type="pct"/>
          </w:tcPr>
          <w:p w14:paraId="38034F80" w14:textId="20BCA028" w:rsidR="002664D9" w:rsidRPr="00EC38CC" w:rsidRDefault="002664D9" w:rsidP="002664D9">
            <w:pPr>
              <w:jc w:val="center"/>
              <w:rPr>
                <w:rFonts w:ascii="Times New Roman" w:hAnsi="Times New Roman" w:cs="Times New Roman"/>
                <w:sz w:val="24"/>
                <w:szCs w:val="24"/>
              </w:rPr>
            </w:pPr>
            <w:r w:rsidRPr="00FE7577">
              <w:t>Иә</w:t>
            </w:r>
          </w:p>
        </w:tc>
        <w:tc>
          <w:tcPr>
            <w:tcW w:w="498" w:type="pct"/>
          </w:tcPr>
          <w:p w14:paraId="720DBD36" w14:textId="3124590F" w:rsidR="002664D9" w:rsidRPr="00EC38CC" w:rsidRDefault="002664D9" w:rsidP="002664D9">
            <w:pPr>
              <w:jc w:val="center"/>
              <w:rPr>
                <w:rFonts w:ascii="Times New Roman" w:hAnsi="Times New Roman" w:cs="Times New Roman"/>
                <w:sz w:val="24"/>
                <w:szCs w:val="24"/>
              </w:rPr>
            </w:pPr>
            <w:r w:rsidRPr="007D6397">
              <w:t>Жоқ</w:t>
            </w:r>
          </w:p>
        </w:tc>
      </w:tr>
      <w:tr w:rsidR="002664D9" w:rsidRPr="00EC38CC" w14:paraId="0B11216A" w14:textId="77777777" w:rsidTr="0013539F">
        <w:trPr>
          <w:gridAfter w:val="1"/>
          <w:wAfter w:w="4" w:type="pct"/>
          <w:trHeight w:val="369"/>
        </w:trPr>
        <w:tc>
          <w:tcPr>
            <w:tcW w:w="3940" w:type="pct"/>
          </w:tcPr>
          <w:p w14:paraId="43B53686" w14:textId="0839CEFE" w:rsidR="002664D9" w:rsidRPr="00EC38CC" w:rsidRDefault="002664D9" w:rsidP="002664D9">
            <w:pPr>
              <w:ind w:left="31"/>
              <w:rPr>
                <w:rFonts w:ascii="Times New Roman" w:hAnsi="Times New Roman" w:cs="Times New Roman"/>
                <w:sz w:val="24"/>
                <w:szCs w:val="24"/>
              </w:rPr>
            </w:pPr>
            <w:r w:rsidRPr="003B3DD9">
              <w:rPr>
                <w:rFonts w:ascii="Times New Roman" w:hAnsi="Times New Roman" w:cs="Times New Roman"/>
                <w:kern w:val="24"/>
                <w:sz w:val="24"/>
                <w:szCs w:val="24"/>
              </w:rPr>
              <w:t>Мұрынның қышуы</w:t>
            </w:r>
          </w:p>
        </w:tc>
        <w:tc>
          <w:tcPr>
            <w:tcW w:w="558" w:type="pct"/>
          </w:tcPr>
          <w:p w14:paraId="19F9913E" w14:textId="0E2CC083" w:rsidR="002664D9" w:rsidRPr="00EC38CC" w:rsidRDefault="002664D9" w:rsidP="002664D9">
            <w:pPr>
              <w:jc w:val="center"/>
              <w:rPr>
                <w:rFonts w:ascii="Times New Roman" w:hAnsi="Times New Roman" w:cs="Times New Roman"/>
                <w:sz w:val="24"/>
                <w:szCs w:val="24"/>
              </w:rPr>
            </w:pPr>
            <w:r w:rsidRPr="00FE7577">
              <w:t>Иә</w:t>
            </w:r>
          </w:p>
        </w:tc>
        <w:tc>
          <w:tcPr>
            <w:tcW w:w="498" w:type="pct"/>
          </w:tcPr>
          <w:p w14:paraId="1645B3D8" w14:textId="7E1EAED9" w:rsidR="002664D9" w:rsidRPr="00EC38CC" w:rsidRDefault="002664D9" w:rsidP="002664D9">
            <w:pPr>
              <w:jc w:val="center"/>
              <w:rPr>
                <w:rFonts w:ascii="Times New Roman" w:hAnsi="Times New Roman" w:cs="Times New Roman"/>
                <w:sz w:val="24"/>
                <w:szCs w:val="24"/>
              </w:rPr>
            </w:pPr>
            <w:r w:rsidRPr="007D6397">
              <w:t>Жоқ</w:t>
            </w:r>
          </w:p>
        </w:tc>
      </w:tr>
      <w:tr w:rsidR="002664D9" w:rsidRPr="00EC38CC" w14:paraId="3E921AF7" w14:textId="77777777" w:rsidTr="0013539F">
        <w:trPr>
          <w:gridAfter w:val="1"/>
          <w:wAfter w:w="4" w:type="pct"/>
          <w:trHeight w:val="369"/>
        </w:trPr>
        <w:tc>
          <w:tcPr>
            <w:tcW w:w="3940" w:type="pct"/>
          </w:tcPr>
          <w:p w14:paraId="2B3B9EF9" w14:textId="08EF797C" w:rsidR="002664D9" w:rsidRPr="00EC38CC" w:rsidRDefault="002664D9" w:rsidP="002664D9">
            <w:pPr>
              <w:ind w:left="31"/>
              <w:rPr>
                <w:rFonts w:ascii="Times New Roman" w:hAnsi="Times New Roman" w:cs="Times New Roman"/>
                <w:sz w:val="24"/>
                <w:szCs w:val="24"/>
              </w:rPr>
            </w:pPr>
            <w:r w:rsidRPr="003B3DD9">
              <w:rPr>
                <w:rFonts w:ascii="Times New Roman" w:hAnsi="Times New Roman" w:cs="Times New Roman"/>
                <w:sz w:val="24"/>
                <w:szCs w:val="24"/>
              </w:rPr>
              <w:t>Түшкіру</w:t>
            </w:r>
          </w:p>
        </w:tc>
        <w:tc>
          <w:tcPr>
            <w:tcW w:w="558" w:type="pct"/>
          </w:tcPr>
          <w:p w14:paraId="294E8A87" w14:textId="2FD2E1E1" w:rsidR="002664D9" w:rsidRPr="00EC38CC" w:rsidRDefault="002664D9" w:rsidP="002664D9">
            <w:pPr>
              <w:jc w:val="center"/>
              <w:rPr>
                <w:rFonts w:ascii="Times New Roman" w:hAnsi="Times New Roman" w:cs="Times New Roman"/>
                <w:sz w:val="24"/>
                <w:szCs w:val="24"/>
              </w:rPr>
            </w:pPr>
            <w:r w:rsidRPr="00FE7577">
              <w:t>Иә</w:t>
            </w:r>
          </w:p>
        </w:tc>
        <w:tc>
          <w:tcPr>
            <w:tcW w:w="498" w:type="pct"/>
          </w:tcPr>
          <w:p w14:paraId="45252F3D" w14:textId="3824B993" w:rsidR="002664D9" w:rsidRPr="00EC38CC" w:rsidRDefault="002664D9" w:rsidP="002664D9">
            <w:pPr>
              <w:jc w:val="center"/>
              <w:rPr>
                <w:rFonts w:ascii="Times New Roman" w:hAnsi="Times New Roman" w:cs="Times New Roman"/>
                <w:sz w:val="24"/>
                <w:szCs w:val="24"/>
              </w:rPr>
            </w:pPr>
            <w:r w:rsidRPr="007D6397">
              <w:t>Жоқ</w:t>
            </w:r>
          </w:p>
        </w:tc>
      </w:tr>
      <w:tr w:rsidR="002664D9" w:rsidRPr="00EC38CC" w14:paraId="0BFB13C7" w14:textId="77777777" w:rsidTr="0013539F">
        <w:trPr>
          <w:gridAfter w:val="1"/>
          <w:wAfter w:w="4" w:type="pct"/>
          <w:trHeight w:val="369"/>
        </w:trPr>
        <w:tc>
          <w:tcPr>
            <w:tcW w:w="3940" w:type="pct"/>
          </w:tcPr>
          <w:p w14:paraId="06214D7A" w14:textId="05D3738D" w:rsidR="002664D9" w:rsidRPr="00EC38CC" w:rsidRDefault="002664D9" w:rsidP="002664D9">
            <w:pPr>
              <w:ind w:left="31"/>
              <w:rPr>
                <w:rFonts w:ascii="Times New Roman" w:hAnsi="Times New Roman" w:cs="Times New Roman"/>
                <w:kern w:val="24"/>
                <w:sz w:val="24"/>
                <w:szCs w:val="24"/>
              </w:rPr>
            </w:pPr>
            <w:r w:rsidRPr="003B3DD9">
              <w:rPr>
                <w:rFonts w:ascii="Times New Roman" w:hAnsi="Times New Roman" w:cs="Times New Roman"/>
                <w:kern w:val="24"/>
                <w:sz w:val="24"/>
                <w:szCs w:val="24"/>
              </w:rPr>
              <w:t>Қайталанатын мұрыннан қан кету</w:t>
            </w:r>
          </w:p>
        </w:tc>
        <w:tc>
          <w:tcPr>
            <w:tcW w:w="558" w:type="pct"/>
          </w:tcPr>
          <w:p w14:paraId="46A5E955" w14:textId="7FD61A59" w:rsidR="002664D9" w:rsidRPr="00EC38CC" w:rsidRDefault="002664D9" w:rsidP="002664D9">
            <w:pPr>
              <w:jc w:val="center"/>
              <w:rPr>
                <w:rFonts w:ascii="Times New Roman" w:hAnsi="Times New Roman" w:cs="Times New Roman"/>
                <w:sz w:val="24"/>
                <w:szCs w:val="24"/>
              </w:rPr>
            </w:pPr>
            <w:r w:rsidRPr="00FE7577">
              <w:t>Иә</w:t>
            </w:r>
          </w:p>
        </w:tc>
        <w:tc>
          <w:tcPr>
            <w:tcW w:w="498" w:type="pct"/>
          </w:tcPr>
          <w:p w14:paraId="65F53B91" w14:textId="5905C310" w:rsidR="002664D9" w:rsidRPr="00EC38CC" w:rsidRDefault="002664D9" w:rsidP="002664D9">
            <w:pPr>
              <w:jc w:val="center"/>
              <w:rPr>
                <w:rFonts w:ascii="Times New Roman" w:hAnsi="Times New Roman" w:cs="Times New Roman"/>
                <w:sz w:val="24"/>
                <w:szCs w:val="24"/>
              </w:rPr>
            </w:pPr>
            <w:r w:rsidRPr="007D6397">
              <w:t>Жоқ</w:t>
            </w:r>
          </w:p>
        </w:tc>
      </w:tr>
    </w:tbl>
    <w:p w14:paraId="3A327490" w14:textId="77777777" w:rsidR="004E44B5" w:rsidRPr="00EC38CC" w:rsidRDefault="004E44B5" w:rsidP="004E44B5">
      <w:pPr>
        <w:spacing w:after="0" w:line="240" w:lineRule="auto"/>
        <w:jc w:val="center"/>
        <w:rPr>
          <w:rFonts w:ascii="Times New Roman" w:hAnsi="Times New Roman" w:cs="Times New Roman"/>
          <w:b/>
          <w:sz w:val="28"/>
          <w:szCs w:val="28"/>
        </w:rPr>
      </w:pPr>
    </w:p>
    <w:p w14:paraId="3CAE85CA" w14:textId="29FB5CBD" w:rsidR="004E44B5" w:rsidRPr="007D4043" w:rsidRDefault="000853C1" w:rsidP="004E44B5">
      <w:pPr>
        <w:spacing w:after="0" w:line="240" w:lineRule="auto"/>
        <w:jc w:val="center"/>
        <w:rPr>
          <w:rFonts w:ascii="Times New Roman" w:hAnsi="Times New Roman" w:cs="Times New Roman"/>
          <w:sz w:val="28"/>
          <w:szCs w:val="28"/>
        </w:rPr>
      </w:pPr>
      <w:r w:rsidRPr="004E44B5">
        <w:rPr>
          <w:rFonts w:ascii="Times New Roman" w:hAnsi="Times New Roman" w:cs="Times New Roman"/>
          <w:sz w:val="28"/>
          <w:szCs w:val="28"/>
        </w:rPr>
        <w:t xml:space="preserve">Бөлім </w:t>
      </w:r>
      <w:r w:rsidR="004E44B5" w:rsidRPr="007D4043">
        <w:rPr>
          <w:rFonts w:ascii="Times New Roman" w:hAnsi="Times New Roman" w:cs="Times New Roman"/>
          <w:sz w:val="28"/>
          <w:szCs w:val="28"/>
        </w:rPr>
        <w:t>2</w:t>
      </w:r>
    </w:p>
    <w:p w14:paraId="0E4F692F" w14:textId="7CCF245C" w:rsidR="004E44B5" w:rsidRPr="007D4043" w:rsidRDefault="000853C1" w:rsidP="004E44B5">
      <w:pPr>
        <w:spacing w:after="0" w:line="240" w:lineRule="auto"/>
        <w:jc w:val="center"/>
        <w:rPr>
          <w:rFonts w:ascii="Times New Roman" w:hAnsi="Times New Roman" w:cs="Times New Roman"/>
          <w:sz w:val="28"/>
          <w:szCs w:val="28"/>
        </w:rPr>
      </w:pPr>
      <w:r w:rsidRPr="000853C1">
        <w:rPr>
          <w:rFonts w:ascii="Times New Roman" w:hAnsi="Times New Roman" w:cs="Times New Roman"/>
          <w:sz w:val="28"/>
          <w:szCs w:val="28"/>
        </w:rPr>
        <w:t>Күндізгі симптомдарды бағалау шкаласы</w:t>
      </w:r>
    </w:p>
    <w:tbl>
      <w:tblPr>
        <w:tblStyle w:val="af3"/>
        <w:tblW w:w="4967" w:type="pct"/>
        <w:tblLook w:val="04A0" w:firstRow="1" w:lastRow="0" w:firstColumn="1" w:lastColumn="0" w:noHBand="0" w:noVBand="1"/>
      </w:tblPr>
      <w:tblGrid>
        <w:gridCol w:w="2302"/>
        <w:gridCol w:w="1580"/>
        <w:gridCol w:w="1709"/>
        <w:gridCol w:w="1946"/>
        <w:gridCol w:w="2027"/>
      </w:tblGrid>
      <w:tr w:rsidR="004E44B5" w:rsidRPr="007D4043" w14:paraId="24C1BF4C" w14:textId="77777777" w:rsidTr="0013539F">
        <w:trPr>
          <w:trHeight w:val="369"/>
        </w:trPr>
        <w:tc>
          <w:tcPr>
            <w:tcW w:w="1204" w:type="pct"/>
          </w:tcPr>
          <w:p w14:paraId="1782D88A" w14:textId="77777777" w:rsidR="004E44B5" w:rsidRPr="007D4043" w:rsidRDefault="004E44B5" w:rsidP="0013539F">
            <w:pPr>
              <w:ind w:firstLine="31"/>
              <w:rPr>
                <w:rFonts w:ascii="Times New Roman" w:hAnsi="Times New Roman" w:cs="Times New Roman"/>
                <w:sz w:val="24"/>
                <w:szCs w:val="24"/>
              </w:rPr>
            </w:pPr>
            <w:r w:rsidRPr="007D4043">
              <w:rPr>
                <w:rFonts w:ascii="Times New Roman" w:hAnsi="Times New Roman" w:cs="Times New Roman"/>
                <w:sz w:val="24"/>
                <w:szCs w:val="24"/>
              </w:rPr>
              <w:t>Симптом</w:t>
            </w:r>
          </w:p>
        </w:tc>
        <w:tc>
          <w:tcPr>
            <w:tcW w:w="824" w:type="pct"/>
          </w:tcPr>
          <w:p w14:paraId="11B9DCE9" w14:textId="3F1016E7" w:rsidR="004E44B5" w:rsidRPr="007D4043" w:rsidRDefault="000853C1" w:rsidP="0013539F">
            <w:pPr>
              <w:rPr>
                <w:rFonts w:ascii="Times New Roman" w:hAnsi="Times New Roman" w:cs="Times New Roman"/>
                <w:sz w:val="24"/>
                <w:szCs w:val="24"/>
              </w:rPr>
            </w:pPr>
            <w:r w:rsidRPr="000853C1">
              <w:rPr>
                <w:rFonts w:ascii="Times New Roman" w:hAnsi="Times New Roman" w:cs="Times New Roman"/>
                <w:sz w:val="24"/>
                <w:szCs w:val="24"/>
              </w:rPr>
              <w:t>Симптомның болмауы</w:t>
            </w:r>
          </w:p>
        </w:tc>
        <w:tc>
          <w:tcPr>
            <w:tcW w:w="894" w:type="pct"/>
          </w:tcPr>
          <w:p w14:paraId="225C81A8" w14:textId="44D3AF3C" w:rsidR="004E44B5" w:rsidRPr="007D4043" w:rsidRDefault="000853C1" w:rsidP="0013539F">
            <w:pPr>
              <w:ind w:firstLine="31"/>
              <w:rPr>
                <w:rFonts w:ascii="Times New Roman" w:hAnsi="Times New Roman" w:cs="Times New Roman"/>
                <w:sz w:val="24"/>
                <w:szCs w:val="24"/>
              </w:rPr>
            </w:pPr>
            <w:r w:rsidRPr="000853C1">
              <w:rPr>
                <w:rFonts w:ascii="Times New Roman" w:hAnsi="Times New Roman" w:cs="Times New Roman"/>
                <w:sz w:val="24"/>
                <w:szCs w:val="24"/>
              </w:rPr>
              <w:t>Жеңіл дәреже (симптом аз көрінеді, әл-ауқат зардап шекпейді, аптасына 1-3 рет мазалайды)</w:t>
            </w:r>
          </w:p>
        </w:tc>
        <w:tc>
          <w:tcPr>
            <w:tcW w:w="1018" w:type="pct"/>
          </w:tcPr>
          <w:p w14:paraId="51E6C78C" w14:textId="6C5526C8" w:rsidR="004E44B5" w:rsidRPr="007D4043" w:rsidRDefault="000853C1" w:rsidP="0013539F">
            <w:pPr>
              <w:ind w:firstLine="39"/>
              <w:rPr>
                <w:rFonts w:ascii="Times New Roman" w:hAnsi="Times New Roman" w:cs="Times New Roman"/>
                <w:sz w:val="24"/>
                <w:szCs w:val="24"/>
              </w:rPr>
            </w:pPr>
            <w:r w:rsidRPr="000853C1">
              <w:rPr>
                <w:rFonts w:ascii="Times New Roman" w:hAnsi="Times New Roman" w:cs="Times New Roman"/>
                <w:sz w:val="24"/>
                <w:szCs w:val="24"/>
              </w:rPr>
              <w:t>Орташа дәреже (симптом айқын, көріну жиілігі бар, әл-ауқат пен ұйқыны орташа бұзады, аптасына 4-5 рет мазалайды)</w:t>
            </w:r>
          </w:p>
        </w:tc>
        <w:tc>
          <w:tcPr>
            <w:tcW w:w="1060" w:type="pct"/>
          </w:tcPr>
          <w:p w14:paraId="1D822492" w14:textId="11BA9EAB" w:rsidR="004E44B5" w:rsidRPr="007D4043" w:rsidRDefault="000853C1" w:rsidP="0013539F">
            <w:pPr>
              <w:rPr>
                <w:rFonts w:ascii="Times New Roman" w:hAnsi="Times New Roman" w:cs="Times New Roman"/>
                <w:sz w:val="24"/>
                <w:szCs w:val="24"/>
              </w:rPr>
            </w:pPr>
            <w:r w:rsidRPr="000853C1">
              <w:rPr>
                <w:rFonts w:ascii="Times New Roman" w:hAnsi="Times New Roman" w:cs="Times New Roman"/>
                <w:sz w:val="24"/>
                <w:szCs w:val="24"/>
              </w:rPr>
              <w:t>Ауыр дәреже (симптом өте айқын, ұйқы мен еңбек белсенділігіне айқын әсер етеді, күнделікті алаңдатады, жүйелі және табанды сипатқа ие)</w:t>
            </w:r>
          </w:p>
        </w:tc>
      </w:tr>
      <w:tr w:rsidR="004E44B5" w:rsidRPr="007D4043" w14:paraId="6D650F46" w14:textId="77777777" w:rsidTr="0013539F">
        <w:trPr>
          <w:trHeight w:val="369"/>
        </w:trPr>
        <w:tc>
          <w:tcPr>
            <w:tcW w:w="5000" w:type="pct"/>
            <w:gridSpan w:val="5"/>
          </w:tcPr>
          <w:p w14:paraId="37D47A50" w14:textId="02A44C64" w:rsidR="004E44B5" w:rsidRPr="007D4043" w:rsidRDefault="00797405" w:rsidP="0013539F">
            <w:pPr>
              <w:jc w:val="center"/>
              <w:rPr>
                <w:rFonts w:ascii="Times New Roman" w:hAnsi="Times New Roman" w:cs="Times New Roman"/>
                <w:sz w:val="24"/>
                <w:szCs w:val="24"/>
              </w:rPr>
            </w:pPr>
            <w:r w:rsidRPr="00797405">
              <w:rPr>
                <w:rFonts w:ascii="Times New Roman" w:hAnsi="Times New Roman" w:cs="Times New Roman"/>
                <w:sz w:val="24"/>
                <w:szCs w:val="24"/>
              </w:rPr>
              <w:t>Мұрын белгілері</w:t>
            </w:r>
          </w:p>
        </w:tc>
      </w:tr>
      <w:tr w:rsidR="004E44B5" w:rsidRPr="007D4043" w14:paraId="723A01FA" w14:textId="77777777" w:rsidTr="0013539F">
        <w:trPr>
          <w:trHeight w:val="369"/>
        </w:trPr>
        <w:tc>
          <w:tcPr>
            <w:tcW w:w="1204" w:type="pct"/>
          </w:tcPr>
          <w:p w14:paraId="5907E3D1" w14:textId="672642D8" w:rsidR="004E44B5" w:rsidRPr="007D4043" w:rsidRDefault="00797405" w:rsidP="0013539F">
            <w:pPr>
              <w:ind w:firstLine="31"/>
              <w:rPr>
                <w:rFonts w:ascii="Times New Roman" w:hAnsi="Times New Roman" w:cs="Times New Roman"/>
                <w:sz w:val="24"/>
                <w:szCs w:val="24"/>
              </w:rPr>
            </w:pPr>
            <w:r w:rsidRPr="00797405">
              <w:rPr>
                <w:rFonts w:ascii="Times New Roman" w:hAnsi="Times New Roman" w:cs="Times New Roman"/>
                <w:sz w:val="24"/>
                <w:szCs w:val="24"/>
              </w:rPr>
              <w:t>Мұрын бітелуі</w:t>
            </w:r>
          </w:p>
        </w:tc>
        <w:tc>
          <w:tcPr>
            <w:tcW w:w="824" w:type="pct"/>
          </w:tcPr>
          <w:p w14:paraId="1EBBBEA4" w14:textId="77777777" w:rsidR="004E44B5" w:rsidRPr="007D4043" w:rsidRDefault="004E44B5" w:rsidP="0013539F">
            <w:pPr>
              <w:rPr>
                <w:rFonts w:ascii="Times New Roman" w:hAnsi="Times New Roman" w:cs="Times New Roman"/>
                <w:sz w:val="24"/>
                <w:szCs w:val="24"/>
              </w:rPr>
            </w:pPr>
            <w:r w:rsidRPr="007D4043">
              <w:rPr>
                <w:rFonts w:ascii="Times New Roman" w:hAnsi="Times New Roman" w:cs="Times New Roman"/>
                <w:sz w:val="24"/>
                <w:szCs w:val="24"/>
              </w:rPr>
              <w:t>0</w:t>
            </w:r>
          </w:p>
        </w:tc>
        <w:tc>
          <w:tcPr>
            <w:tcW w:w="894" w:type="pct"/>
          </w:tcPr>
          <w:p w14:paraId="238D5AC5" w14:textId="77777777" w:rsidR="004E44B5" w:rsidRPr="007D4043" w:rsidRDefault="004E44B5" w:rsidP="0013539F">
            <w:pPr>
              <w:ind w:firstLine="31"/>
              <w:rPr>
                <w:rFonts w:ascii="Times New Roman" w:hAnsi="Times New Roman" w:cs="Times New Roman"/>
                <w:sz w:val="24"/>
                <w:szCs w:val="24"/>
              </w:rPr>
            </w:pPr>
            <w:r w:rsidRPr="007D4043">
              <w:rPr>
                <w:rFonts w:ascii="Times New Roman" w:hAnsi="Times New Roman" w:cs="Times New Roman"/>
                <w:sz w:val="24"/>
                <w:szCs w:val="24"/>
              </w:rPr>
              <w:t>1</w:t>
            </w:r>
          </w:p>
        </w:tc>
        <w:tc>
          <w:tcPr>
            <w:tcW w:w="1018" w:type="pct"/>
          </w:tcPr>
          <w:p w14:paraId="00DFEC18" w14:textId="77777777" w:rsidR="004E44B5" w:rsidRPr="007D4043" w:rsidRDefault="004E44B5" w:rsidP="0013539F">
            <w:pPr>
              <w:ind w:firstLine="39"/>
              <w:rPr>
                <w:rFonts w:ascii="Times New Roman" w:hAnsi="Times New Roman" w:cs="Times New Roman"/>
                <w:sz w:val="24"/>
                <w:szCs w:val="24"/>
              </w:rPr>
            </w:pPr>
            <w:r w:rsidRPr="007D4043">
              <w:rPr>
                <w:rFonts w:ascii="Times New Roman" w:hAnsi="Times New Roman" w:cs="Times New Roman"/>
                <w:sz w:val="24"/>
                <w:szCs w:val="24"/>
              </w:rPr>
              <w:t>2</w:t>
            </w:r>
          </w:p>
        </w:tc>
        <w:tc>
          <w:tcPr>
            <w:tcW w:w="1060" w:type="pct"/>
          </w:tcPr>
          <w:p w14:paraId="297114DC" w14:textId="77777777" w:rsidR="004E44B5" w:rsidRPr="007D4043" w:rsidRDefault="004E44B5" w:rsidP="0013539F">
            <w:pPr>
              <w:rPr>
                <w:rFonts w:ascii="Times New Roman" w:hAnsi="Times New Roman" w:cs="Times New Roman"/>
                <w:sz w:val="24"/>
                <w:szCs w:val="24"/>
              </w:rPr>
            </w:pPr>
            <w:r w:rsidRPr="007D4043">
              <w:rPr>
                <w:rFonts w:ascii="Times New Roman" w:hAnsi="Times New Roman" w:cs="Times New Roman"/>
                <w:sz w:val="24"/>
                <w:szCs w:val="24"/>
              </w:rPr>
              <w:t>3</w:t>
            </w:r>
          </w:p>
        </w:tc>
      </w:tr>
      <w:tr w:rsidR="004E44B5" w:rsidRPr="007D4043" w14:paraId="36B7F956" w14:textId="77777777" w:rsidTr="0013539F">
        <w:trPr>
          <w:trHeight w:val="320"/>
        </w:trPr>
        <w:tc>
          <w:tcPr>
            <w:tcW w:w="1204" w:type="pct"/>
          </w:tcPr>
          <w:p w14:paraId="366AD928" w14:textId="772A3B9C" w:rsidR="004E44B5" w:rsidRPr="007D4043" w:rsidRDefault="00797405" w:rsidP="0013539F">
            <w:pPr>
              <w:ind w:firstLine="31"/>
              <w:rPr>
                <w:rFonts w:ascii="Times New Roman" w:hAnsi="Times New Roman" w:cs="Times New Roman"/>
                <w:sz w:val="24"/>
                <w:szCs w:val="24"/>
              </w:rPr>
            </w:pPr>
            <w:r w:rsidRPr="00797405">
              <w:rPr>
                <w:rFonts w:ascii="Times New Roman" w:hAnsi="Times New Roman" w:cs="Times New Roman"/>
                <w:sz w:val="24"/>
                <w:szCs w:val="24"/>
              </w:rPr>
              <w:t>Мұрыннан сулы немесе шырышты ағу</w:t>
            </w:r>
          </w:p>
        </w:tc>
        <w:tc>
          <w:tcPr>
            <w:tcW w:w="824" w:type="pct"/>
          </w:tcPr>
          <w:p w14:paraId="3C19A308" w14:textId="77777777" w:rsidR="004E44B5" w:rsidRPr="007D4043" w:rsidRDefault="004E44B5" w:rsidP="0013539F">
            <w:pPr>
              <w:rPr>
                <w:rFonts w:ascii="Times New Roman" w:hAnsi="Times New Roman" w:cs="Times New Roman"/>
                <w:sz w:val="24"/>
                <w:szCs w:val="24"/>
              </w:rPr>
            </w:pPr>
            <w:r w:rsidRPr="007D4043">
              <w:rPr>
                <w:rFonts w:ascii="Times New Roman" w:hAnsi="Times New Roman" w:cs="Times New Roman"/>
                <w:sz w:val="24"/>
                <w:szCs w:val="24"/>
              </w:rPr>
              <w:t>0</w:t>
            </w:r>
          </w:p>
        </w:tc>
        <w:tc>
          <w:tcPr>
            <w:tcW w:w="894" w:type="pct"/>
          </w:tcPr>
          <w:p w14:paraId="3E903908" w14:textId="77777777" w:rsidR="004E44B5" w:rsidRPr="007D4043" w:rsidRDefault="004E44B5" w:rsidP="0013539F">
            <w:pPr>
              <w:ind w:firstLine="31"/>
              <w:rPr>
                <w:rFonts w:ascii="Times New Roman" w:hAnsi="Times New Roman" w:cs="Times New Roman"/>
                <w:sz w:val="24"/>
                <w:szCs w:val="24"/>
              </w:rPr>
            </w:pPr>
            <w:r w:rsidRPr="007D4043">
              <w:rPr>
                <w:rFonts w:ascii="Times New Roman" w:hAnsi="Times New Roman" w:cs="Times New Roman"/>
                <w:sz w:val="24"/>
                <w:szCs w:val="24"/>
              </w:rPr>
              <w:t>1</w:t>
            </w:r>
          </w:p>
        </w:tc>
        <w:tc>
          <w:tcPr>
            <w:tcW w:w="1018" w:type="pct"/>
          </w:tcPr>
          <w:p w14:paraId="3DE8BA8D" w14:textId="77777777" w:rsidR="004E44B5" w:rsidRPr="007D4043" w:rsidRDefault="004E44B5" w:rsidP="0013539F">
            <w:pPr>
              <w:ind w:firstLine="39"/>
              <w:rPr>
                <w:rFonts w:ascii="Times New Roman" w:hAnsi="Times New Roman" w:cs="Times New Roman"/>
                <w:sz w:val="24"/>
                <w:szCs w:val="24"/>
              </w:rPr>
            </w:pPr>
            <w:r w:rsidRPr="007D4043">
              <w:rPr>
                <w:rFonts w:ascii="Times New Roman" w:hAnsi="Times New Roman" w:cs="Times New Roman"/>
                <w:sz w:val="24"/>
                <w:szCs w:val="24"/>
              </w:rPr>
              <w:t>2</w:t>
            </w:r>
          </w:p>
        </w:tc>
        <w:tc>
          <w:tcPr>
            <w:tcW w:w="1060" w:type="pct"/>
          </w:tcPr>
          <w:p w14:paraId="24499A7A" w14:textId="77777777" w:rsidR="004E44B5" w:rsidRPr="007D4043" w:rsidRDefault="004E44B5" w:rsidP="0013539F">
            <w:pPr>
              <w:rPr>
                <w:rFonts w:ascii="Times New Roman" w:hAnsi="Times New Roman" w:cs="Times New Roman"/>
                <w:sz w:val="24"/>
                <w:szCs w:val="24"/>
              </w:rPr>
            </w:pPr>
            <w:r w:rsidRPr="007D4043">
              <w:rPr>
                <w:rFonts w:ascii="Times New Roman" w:hAnsi="Times New Roman" w:cs="Times New Roman"/>
                <w:sz w:val="24"/>
                <w:szCs w:val="24"/>
              </w:rPr>
              <w:t>3</w:t>
            </w:r>
          </w:p>
        </w:tc>
      </w:tr>
      <w:tr w:rsidR="004E44B5" w:rsidRPr="007D4043" w14:paraId="1A7698F5" w14:textId="77777777" w:rsidTr="0013539F">
        <w:trPr>
          <w:trHeight w:val="369"/>
        </w:trPr>
        <w:tc>
          <w:tcPr>
            <w:tcW w:w="1204" w:type="pct"/>
          </w:tcPr>
          <w:p w14:paraId="4AE528DD" w14:textId="208738FD" w:rsidR="004E44B5" w:rsidRPr="007D4043" w:rsidRDefault="00797405" w:rsidP="0013539F">
            <w:pPr>
              <w:ind w:firstLine="31"/>
              <w:rPr>
                <w:rFonts w:ascii="Times New Roman" w:hAnsi="Times New Roman" w:cs="Times New Roman"/>
                <w:sz w:val="24"/>
                <w:szCs w:val="24"/>
              </w:rPr>
            </w:pPr>
            <w:r w:rsidRPr="00797405">
              <w:rPr>
                <w:rFonts w:ascii="Times New Roman" w:hAnsi="Times New Roman" w:cs="Times New Roman"/>
                <w:sz w:val="24"/>
                <w:szCs w:val="24"/>
              </w:rPr>
              <w:t>Түшкіру</w:t>
            </w:r>
          </w:p>
        </w:tc>
        <w:tc>
          <w:tcPr>
            <w:tcW w:w="824" w:type="pct"/>
          </w:tcPr>
          <w:p w14:paraId="545D9135" w14:textId="77777777" w:rsidR="004E44B5" w:rsidRPr="007D4043" w:rsidRDefault="004E44B5" w:rsidP="0013539F">
            <w:pPr>
              <w:rPr>
                <w:rFonts w:ascii="Times New Roman" w:hAnsi="Times New Roman" w:cs="Times New Roman"/>
                <w:sz w:val="24"/>
                <w:szCs w:val="24"/>
              </w:rPr>
            </w:pPr>
            <w:r w:rsidRPr="007D4043">
              <w:rPr>
                <w:rFonts w:ascii="Times New Roman" w:hAnsi="Times New Roman" w:cs="Times New Roman"/>
                <w:sz w:val="24"/>
                <w:szCs w:val="24"/>
              </w:rPr>
              <w:t>0</w:t>
            </w:r>
          </w:p>
        </w:tc>
        <w:tc>
          <w:tcPr>
            <w:tcW w:w="894" w:type="pct"/>
          </w:tcPr>
          <w:p w14:paraId="24987FD0" w14:textId="77777777" w:rsidR="004E44B5" w:rsidRPr="007D4043" w:rsidRDefault="004E44B5" w:rsidP="0013539F">
            <w:pPr>
              <w:ind w:firstLine="31"/>
              <w:rPr>
                <w:rFonts w:ascii="Times New Roman" w:hAnsi="Times New Roman" w:cs="Times New Roman"/>
                <w:sz w:val="24"/>
                <w:szCs w:val="24"/>
              </w:rPr>
            </w:pPr>
            <w:r w:rsidRPr="007D4043">
              <w:rPr>
                <w:rFonts w:ascii="Times New Roman" w:hAnsi="Times New Roman" w:cs="Times New Roman"/>
                <w:sz w:val="24"/>
                <w:szCs w:val="24"/>
              </w:rPr>
              <w:t>1</w:t>
            </w:r>
          </w:p>
        </w:tc>
        <w:tc>
          <w:tcPr>
            <w:tcW w:w="1018" w:type="pct"/>
          </w:tcPr>
          <w:p w14:paraId="096C1513" w14:textId="77777777" w:rsidR="004E44B5" w:rsidRPr="007D4043" w:rsidRDefault="004E44B5" w:rsidP="0013539F">
            <w:pPr>
              <w:ind w:firstLine="39"/>
              <w:rPr>
                <w:rFonts w:ascii="Times New Roman" w:hAnsi="Times New Roman" w:cs="Times New Roman"/>
                <w:sz w:val="24"/>
                <w:szCs w:val="24"/>
              </w:rPr>
            </w:pPr>
            <w:r w:rsidRPr="007D4043">
              <w:rPr>
                <w:rFonts w:ascii="Times New Roman" w:hAnsi="Times New Roman" w:cs="Times New Roman"/>
                <w:sz w:val="24"/>
                <w:szCs w:val="24"/>
              </w:rPr>
              <w:t>2</w:t>
            </w:r>
          </w:p>
        </w:tc>
        <w:tc>
          <w:tcPr>
            <w:tcW w:w="1060" w:type="pct"/>
          </w:tcPr>
          <w:p w14:paraId="12712A76" w14:textId="77777777" w:rsidR="004E44B5" w:rsidRPr="007D4043" w:rsidRDefault="004E44B5" w:rsidP="0013539F">
            <w:pPr>
              <w:rPr>
                <w:rFonts w:ascii="Times New Roman" w:hAnsi="Times New Roman" w:cs="Times New Roman"/>
                <w:sz w:val="24"/>
                <w:szCs w:val="24"/>
              </w:rPr>
            </w:pPr>
            <w:r w:rsidRPr="007D4043">
              <w:rPr>
                <w:rFonts w:ascii="Times New Roman" w:hAnsi="Times New Roman" w:cs="Times New Roman"/>
                <w:sz w:val="24"/>
                <w:szCs w:val="24"/>
              </w:rPr>
              <w:t>3</w:t>
            </w:r>
          </w:p>
        </w:tc>
      </w:tr>
      <w:tr w:rsidR="004E44B5" w:rsidRPr="007D4043" w14:paraId="14567D84" w14:textId="77777777" w:rsidTr="0013539F">
        <w:trPr>
          <w:trHeight w:val="353"/>
        </w:trPr>
        <w:tc>
          <w:tcPr>
            <w:tcW w:w="1204" w:type="pct"/>
          </w:tcPr>
          <w:p w14:paraId="52D6A94C" w14:textId="49B14CFC" w:rsidR="004E44B5" w:rsidRPr="007D4043" w:rsidRDefault="00797405" w:rsidP="0013539F">
            <w:pPr>
              <w:ind w:firstLine="31"/>
              <w:rPr>
                <w:rFonts w:ascii="Times New Roman" w:hAnsi="Times New Roman" w:cs="Times New Roman"/>
                <w:sz w:val="24"/>
                <w:szCs w:val="24"/>
              </w:rPr>
            </w:pPr>
            <w:r w:rsidRPr="00797405">
              <w:rPr>
                <w:rFonts w:ascii="Times New Roman" w:hAnsi="Times New Roman" w:cs="Times New Roman"/>
                <w:sz w:val="24"/>
                <w:szCs w:val="24"/>
              </w:rPr>
              <w:t>Мұрынның қышуы</w:t>
            </w:r>
          </w:p>
        </w:tc>
        <w:tc>
          <w:tcPr>
            <w:tcW w:w="824" w:type="pct"/>
          </w:tcPr>
          <w:p w14:paraId="1029AE97" w14:textId="77777777" w:rsidR="004E44B5" w:rsidRPr="007D4043" w:rsidRDefault="004E44B5" w:rsidP="0013539F">
            <w:pPr>
              <w:rPr>
                <w:rFonts w:ascii="Times New Roman" w:hAnsi="Times New Roman" w:cs="Times New Roman"/>
                <w:sz w:val="24"/>
                <w:szCs w:val="24"/>
              </w:rPr>
            </w:pPr>
            <w:r w:rsidRPr="007D4043">
              <w:rPr>
                <w:rFonts w:ascii="Times New Roman" w:hAnsi="Times New Roman" w:cs="Times New Roman"/>
                <w:sz w:val="24"/>
                <w:szCs w:val="24"/>
              </w:rPr>
              <w:t>0</w:t>
            </w:r>
          </w:p>
        </w:tc>
        <w:tc>
          <w:tcPr>
            <w:tcW w:w="894" w:type="pct"/>
          </w:tcPr>
          <w:p w14:paraId="2A1B9280" w14:textId="77777777" w:rsidR="004E44B5" w:rsidRPr="007D4043" w:rsidRDefault="004E44B5" w:rsidP="0013539F">
            <w:pPr>
              <w:ind w:firstLine="31"/>
              <w:rPr>
                <w:rFonts w:ascii="Times New Roman" w:hAnsi="Times New Roman" w:cs="Times New Roman"/>
                <w:sz w:val="24"/>
                <w:szCs w:val="24"/>
              </w:rPr>
            </w:pPr>
            <w:r w:rsidRPr="007D4043">
              <w:rPr>
                <w:rFonts w:ascii="Times New Roman" w:hAnsi="Times New Roman" w:cs="Times New Roman"/>
                <w:sz w:val="24"/>
                <w:szCs w:val="24"/>
              </w:rPr>
              <w:t>1</w:t>
            </w:r>
          </w:p>
        </w:tc>
        <w:tc>
          <w:tcPr>
            <w:tcW w:w="1018" w:type="pct"/>
          </w:tcPr>
          <w:p w14:paraId="7ED00273" w14:textId="77777777" w:rsidR="004E44B5" w:rsidRPr="007D4043" w:rsidRDefault="004E44B5" w:rsidP="0013539F">
            <w:pPr>
              <w:ind w:firstLine="39"/>
              <w:rPr>
                <w:rFonts w:ascii="Times New Roman" w:hAnsi="Times New Roman" w:cs="Times New Roman"/>
                <w:sz w:val="24"/>
                <w:szCs w:val="24"/>
              </w:rPr>
            </w:pPr>
            <w:r w:rsidRPr="007D4043">
              <w:rPr>
                <w:rFonts w:ascii="Times New Roman" w:hAnsi="Times New Roman" w:cs="Times New Roman"/>
                <w:sz w:val="24"/>
                <w:szCs w:val="24"/>
              </w:rPr>
              <w:t>2</w:t>
            </w:r>
          </w:p>
        </w:tc>
        <w:tc>
          <w:tcPr>
            <w:tcW w:w="1060" w:type="pct"/>
          </w:tcPr>
          <w:p w14:paraId="0CFB00B3" w14:textId="77777777" w:rsidR="004E44B5" w:rsidRPr="007D4043" w:rsidRDefault="004E44B5" w:rsidP="0013539F">
            <w:pPr>
              <w:rPr>
                <w:rFonts w:ascii="Times New Roman" w:hAnsi="Times New Roman" w:cs="Times New Roman"/>
                <w:sz w:val="24"/>
                <w:szCs w:val="24"/>
              </w:rPr>
            </w:pPr>
            <w:r w:rsidRPr="007D4043">
              <w:rPr>
                <w:rFonts w:ascii="Times New Roman" w:hAnsi="Times New Roman" w:cs="Times New Roman"/>
                <w:sz w:val="24"/>
                <w:szCs w:val="24"/>
              </w:rPr>
              <w:t>3</w:t>
            </w:r>
          </w:p>
        </w:tc>
      </w:tr>
      <w:tr w:rsidR="004E44B5" w:rsidRPr="007D4043" w14:paraId="5D4EC247" w14:textId="77777777" w:rsidTr="0013539F">
        <w:trPr>
          <w:trHeight w:val="353"/>
        </w:trPr>
        <w:tc>
          <w:tcPr>
            <w:tcW w:w="5000" w:type="pct"/>
            <w:gridSpan w:val="5"/>
          </w:tcPr>
          <w:p w14:paraId="5519E40E" w14:textId="678508E1" w:rsidR="004E44B5" w:rsidRPr="007D4043" w:rsidRDefault="00797405" w:rsidP="0013539F">
            <w:pPr>
              <w:jc w:val="center"/>
              <w:rPr>
                <w:rFonts w:ascii="Times New Roman" w:hAnsi="Times New Roman" w:cs="Times New Roman"/>
                <w:sz w:val="24"/>
                <w:szCs w:val="24"/>
              </w:rPr>
            </w:pPr>
            <w:r w:rsidRPr="00797405">
              <w:rPr>
                <w:rFonts w:ascii="Times New Roman" w:hAnsi="Times New Roman" w:cs="Times New Roman"/>
                <w:sz w:val="24"/>
                <w:szCs w:val="24"/>
              </w:rPr>
              <w:t>Конъюнктивалық белгілер</w:t>
            </w:r>
          </w:p>
        </w:tc>
      </w:tr>
      <w:tr w:rsidR="004E44B5" w:rsidRPr="007D4043" w14:paraId="30425BC3" w14:textId="77777777" w:rsidTr="0013539F">
        <w:trPr>
          <w:trHeight w:val="321"/>
        </w:trPr>
        <w:tc>
          <w:tcPr>
            <w:tcW w:w="1204" w:type="pct"/>
          </w:tcPr>
          <w:p w14:paraId="31800BCA" w14:textId="196B4409" w:rsidR="004E44B5" w:rsidRPr="007D4043" w:rsidRDefault="00797405" w:rsidP="0013539F">
            <w:pPr>
              <w:ind w:firstLine="31"/>
              <w:rPr>
                <w:rFonts w:ascii="Times New Roman" w:hAnsi="Times New Roman" w:cs="Times New Roman"/>
                <w:sz w:val="24"/>
                <w:szCs w:val="24"/>
              </w:rPr>
            </w:pPr>
            <w:r w:rsidRPr="00797405">
              <w:rPr>
                <w:rFonts w:ascii="Times New Roman" w:hAnsi="Times New Roman" w:cs="Times New Roman"/>
                <w:sz w:val="24"/>
                <w:szCs w:val="24"/>
              </w:rPr>
              <w:t>Көздің қышуы</w:t>
            </w:r>
          </w:p>
        </w:tc>
        <w:tc>
          <w:tcPr>
            <w:tcW w:w="824" w:type="pct"/>
          </w:tcPr>
          <w:p w14:paraId="185110BD" w14:textId="77777777" w:rsidR="004E44B5" w:rsidRPr="007D4043" w:rsidRDefault="004E44B5" w:rsidP="0013539F">
            <w:pPr>
              <w:rPr>
                <w:rFonts w:ascii="Times New Roman" w:hAnsi="Times New Roman" w:cs="Times New Roman"/>
                <w:sz w:val="24"/>
                <w:szCs w:val="24"/>
              </w:rPr>
            </w:pPr>
            <w:r w:rsidRPr="007D4043">
              <w:rPr>
                <w:rFonts w:ascii="Times New Roman" w:hAnsi="Times New Roman" w:cs="Times New Roman"/>
                <w:sz w:val="24"/>
                <w:szCs w:val="24"/>
              </w:rPr>
              <w:t>0</w:t>
            </w:r>
          </w:p>
        </w:tc>
        <w:tc>
          <w:tcPr>
            <w:tcW w:w="894" w:type="pct"/>
          </w:tcPr>
          <w:p w14:paraId="78FBD9A8" w14:textId="77777777" w:rsidR="004E44B5" w:rsidRPr="007D4043" w:rsidRDefault="004E44B5" w:rsidP="0013539F">
            <w:pPr>
              <w:ind w:firstLine="31"/>
              <w:rPr>
                <w:rFonts w:ascii="Times New Roman" w:hAnsi="Times New Roman" w:cs="Times New Roman"/>
                <w:sz w:val="24"/>
                <w:szCs w:val="24"/>
              </w:rPr>
            </w:pPr>
            <w:r w:rsidRPr="007D4043">
              <w:rPr>
                <w:rFonts w:ascii="Times New Roman" w:hAnsi="Times New Roman" w:cs="Times New Roman"/>
                <w:sz w:val="24"/>
                <w:szCs w:val="24"/>
              </w:rPr>
              <w:t>1</w:t>
            </w:r>
          </w:p>
        </w:tc>
        <w:tc>
          <w:tcPr>
            <w:tcW w:w="1018" w:type="pct"/>
          </w:tcPr>
          <w:p w14:paraId="70D9E84E" w14:textId="77777777" w:rsidR="004E44B5" w:rsidRPr="007D4043" w:rsidRDefault="004E44B5" w:rsidP="0013539F">
            <w:pPr>
              <w:ind w:firstLine="39"/>
              <w:rPr>
                <w:rFonts w:ascii="Times New Roman" w:hAnsi="Times New Roman" w:cs="Times New Roman"/>
                <w:sz w:val="24"/>
                <w:szCs w:val="24"/>
              </w:rPr>
            </w:pPr>
            <w:r w:rsidRPr="007D4043">
              <w:rPr>
                <w:rFonts w:ascii="Times New Roman" w:hAnsi="Times New Roman" w:cs="Times New Roman"/>
                <w:sz w:val="24"/>
                <w:szCs w:val="24"/>
              </w:rPr>
              <w:t>2</w:t>
            </w:r>
          </w:p>
        </w:tc>
        <w:tc>
          <w:tcPr>
            <w:tcW w:w="1060" w:type="pct"/>
          </w:tcPr>
          <w:p w14:paraId="72B1F64A" w14:textId="77777777" w:rsidR="004E44B5" w:rsidRPr="007D4043" w:rsidRDefault="004E44B5" w:rsidP="0013539F">
            <w:pPr>
              <w:rPr>
                <w:rFonts w:ascii="Times New Roman" w:hAnsi="Times New Roman" w:cs="Times New Roman"/>
                <w:sz w:val="24"/>
                <w:szCs w:val="24"/>
              </w:rPr>
            </w:pPr>
            <w:r w:rsidRPr="007D4043">
              <w:rPr>
                <w:rFonts w:ascii="Times New Roman" w:hAnsi="Times New Roman" w:cs="Times New Roman"/>
                <w:sz w:val="24"/>
                <w:szCs w:val="24"/>
              </w:rPr>
              <w:t>3</w:t>
            </w:r>
          </w:p>
        </w:tc>
      </w:tr>
      <w:tr w:rsidR="004E44B5" w:rsidRPr="007D4043" w14:paraId="73274FFB" w14:textId="77777777" w:rsidTr="0013539F">
        <w:trPr>
          <w:trHeight w:val="437"/>
        </w:trPr>
        <w:tc>
          <w:tcPr>
            <w:tcW w:w="1204" w:type="pct"/>
          </w:tcPr>
          <w:p w14:paraId="7CC70A73" w14:textId="17272097" w:rsidR="004E44B5" w:rsidRPr="007D4043" w:rsidRDefault="00797405" w:rsidP="0013539F">
            <w:pPr>
              <w:ind w:firstLine="31"/>
              <w:rPr>
                <w:rFonts w:ascii="Times New Roman" w:hAnsi="Times New Roman" w:cs="Times New Roman"/>
                <w:sz w:val="24"/>
                <w:szCs w:val="24"/>
              </w:rPr>
            </w:pPr>
            <w:r w:rsidRPr="00797405">
              <w:rPr>
                <w:rFonts w:ascii="Times New Roman" w:hAnsi="Times New Roman" w:cs="Times New Roman"/>
                <w:sz w:val="24"/>
                <w:szCs w:val="24"/>
              </w:rPr>
              <w:t>Лакримация</w:t>
            </w:r>
          </w:p>
        </w:tc>
        <w:tc>
          <w:tcPr>
            <w:tcW w:w="824" w:type="pct"/>
          </w:tcPr>
          <w:p w14:paraId="7AE8C9F8" w14:textId="77777777" w:rsidR="004E44B5" w:rsidRPr="007D4043" w:rsidRDefault="004E44B5" w:rsidP="0013539F">
            <w:pPr>
              <w:rPr>
                <w:rFonts w:ascii="Times New Roman" w:hAnsi="Times New Roman" w:cs="Times New Roman"/>
                <w:sz w:val="24"/>
                <w:szCs w:val="24"/>
              </w:rPr>
            </w:pPr>
            <w:r w:rsidRPr="007D4043">
              <w:rPr>
                <w:rFonts w:ascii="Times New Roman" w:hAnsi="Times New Roman" w:cs="Times New Roman"/>
                <w:sz w:val="24"/>
                <w:szCs w:val="24"/>
              </w:rPr>
              <w:t>0</w:t>
            </w:r>
          </w:p>
        </w:tc>
        <w:tc>
          <w:tcPr>
            <w:tcW w:w="894" w:type="pct"/>
          </w:tcPr>
          <w:p w14:paraId="4F993A63" w14:textId="77777777" w:rsidR="004E44B5" w:rsidRPr="007D4043" w:rsidRDefault="004E44B5" w:rsidP="0013539F">
            <w:pPr>
              <w:ind w:firstLine="31"/>
              <w:rPr>
                <w:rFonts w:ascii="Times New Roman" w:hAnsi="Times New Roman" w:cs="Times New Roman"/>
                <w:sz w:val="24"/>
                <w:szCs w:val="24"/>
              </w:rPr>
            </w:pPr>
            <w:r w:rsidRPr="007D4043">
              <w:rPr>
                <w:rFonts w:ascii="Times New Roman" w:hAnsi="Times New Roman" w:cs="Times New Roman"/>
                <w:sz w:val="24"/>
                <w:szCs w:val="24"/>
              </w:rPr>
              <w:t>1</w:t>
            </w:r>
          </w:p>
        </w:tc>
        <w:tc>
          <w:tcPr>
            <w:tcW w:w="1018" w:type="pct"/>
          </w:tcPr>
          <w:p w14:paraId="4461B537" w14:textId="77777777" w:rsidR="004E44B5" w:rsidRPr="007D4043" w:rsidRDefault="004E44B5" w:rsidP="0013539F">
            <w:pPr>
              <w:ind w:firstLine="39"/>
              <w:rPr>
                <w:rFonts w:ascii="Times New Roman" w:hAnsi="Times New Roman" w:cs="Times New Roman"/>
                <w:sz w:val="24"/>
                <w:szCs w:val="24"/>
              </w:rPr>
            </w:pPr>
            <w:r w:rsidRPr="007D4043">
              <w:rPr>
                <w:rFonts w:ascii="Times New Roman" w:hAnsi="Times New Roman" w:cs="Times New Roman"/>
                <w:sz w:val="24"/>
                <w:szCs w:val="24"/>
              </w:rPr>
              <w:t>2</w:t>
            </w:r>
          </w:p>
        </w:tc>
        <w:tc>
          <w:tcPr>
            <w:tcW w:w="1060" w:type="pct"/>
          </w:tcPr>
          <w:p w14:paraId="7371E33B" w14:textId="77777777" w:rsidR="004E44B5" w:rsidRPr="007D4043" w:rsidRDefault="004E44B5" w:rsidP="0013539F">
            <w:pPr>
              <w:rPr>
                <w:rFonts w:ascii="Times New Roman" w:hAnsi="Times New Roman" w:cs="Times New Roman"/>
                <w:sz w:val="24"/>
                <w:szCs w:val="24"/>
              </w:rPr>
            </w:pPr>
            <w:r w:rsidRPr="007D4043">
              <w:rPr>
                <w:rFonts w:ascii="Times New Roman" w:hAnsi="Times New Roman" w:cs="Times New Roman"/>
                <w:sz w:val="24"/>
                <w:szCs w:val="24"/>
              </w:rPr>
              <w:t>3</w:t>
            </w:r>
          </w:p>
        </w:tc>
      </w:tr>
    </w:tbl>
    <w:p w14:paraId="463452A2" w14:textId="77777777" w:rsidR="004E44B5" w:rsidRPr="007D4043" w:rsidRDefault="004E44B5" w:rsidP="004E44B5">
      <w:pPr>
        <w:spacing w:after="0" w:line="240" w:lineRule="auto"/>
        <w:rPr>
          <w:rFonts w:ascii="Times New Roman" w:hAnsi="Times New Roman" w:cs="Times New Roman"/>
          <w:sz w:val="28"/>
          <w:szCs w:val="28"/>
        </w:rPr>
      </w:pPr>
    </w:p>
    <w:p w14:paraId="6052F3D5" w14:textId="07958029" w:rsidR="004E44B5" w:rsidRPr="007D4043" w:rsidRDefault="005815D8" w:rsidP="004E44B5">
      <w:pPr>
        <w:spacing w:after="0" w:line="240" w:lineRule="auto"/>
        <w:jc w:val="center"/>
        <w:rPr>
          <w:rFonts w:ascii="Times New Roman" w:hAnsi="Times New Roman" w:cs="Times New Roman"/>
          <w:sz w:val="28"/>
          <w:szCs w:val="28"/>
        </w:rPr>
      </w:pPr>
      <w:r w:rsidRPr="004E44B5">
        <w:rPr>
          <w:rFonts w:ascii="Times New Roman" w:hAnsi="Times New Roman" w:cs="Times New Roman"/>
          <w:sz w:val="28"/>
          <w:szCs w:val="28"/>
        </w:rPr>
        <w:t>Бөлім</w:t>
      </w:r>
      <w:r w:rsidRPr="007D4043">
        <w:rPr>
          <w:rFonts w:ascii="Times New Roman" w:hAnsi="Times New Roman" w:cs="Times New Roman"/>
          <w:sz w:val="28"/>
          <w:szCs w:val="28"/>
        </w:rPr>
        <w:t xml:space="preserve"> </w:t>
      </w:r>
      <w:r w:rsidR="004E44B5" w:rsidRPr="007D4043">
        <w:rPr>
          <w:rFonts w:ascii="Times New Roman" w:hAnsi="Times New Roman" w:cs="Times New Roman"/>
          <w:sz w:val="28"/>
          <w:szCs w:val="28"/>
        </w:rPr>
        <w:t>3</w:t>
      </w:r>
    </w:p>
    <w:p w14:paraId="69610A31" w14:textId="7683A0FB" w:rsidR="004E44B5" w:rsidRPr="007D4043" w:rsidRDefault="005815D8" w:rsidP="004E44B5">
      <w:pPr>
        <w:spacing w:after="0" w:line="240" w:lineRule="auto"/>
        <w:jc w:val="center"/>
        <w:rPr>
          <w:rFonts w:ascii="Times New Roman" w:hAnsi="Times New Roman" w:cs="Times New Roman"/>
          <w:sz w:val="28"/>
          <w:szCs w:val="28"/>
        </w:rPr>
      </w:pPr>
      <w:r w:rsidRPr="005815D8">
        <w:rPr>
          <w:rFonts w:ascii="Times New Roman" w:hAnsi="Times New Roman" w:cs="Times New Roman"/>
          <w:sz w:val="28"/>
          <w:szCs w:val="28"/>
        </w:rPr>
        <w:t>Дәрі-дәрмектерді қабылдауды бағалау</w:t>
      </w:r>
    </w:p>
    <w:tbl>
      <w:tblPr>
        <w:tblStyle w:val="af3"/>
        <w:tblW w:w="4967" w:type="pct"/>
        <w:tblLook w:val="04A0" w:firstRow="1" w:lastRow="0" w:firstColumn="1" w:lastColumn="0" w:noHBand="0" w:noVBand="1"/>
      </w:tblPr>
      <w:tblGrid>
        <w:gridCol w:w="3879"/>
        <w:gridCol w:w="1710"/>
        <w:gridCol w:w="1949"/>
        <w:gridCol w:w="2026"/>
      </w:tblGrid>
      <w:tr w:rsidR="004E44B5" w:rsidRPr="007D4043" w14:paraId="14745661" w14:textId="77777777" w:rsidTr="0013539F">
        <w:trPr>
          <w:trHeight w:val="437"/>
        </w:trPr>
        <w:tc>
          <w:tcPr>
            <w:tcW w:w="2028" w:type="pct"/>
          </w:tcPr>
          <w:p w14:paraId="4AD0F582" w14:textId="0F88BC33" w:rsidR="004E44B5" w:rsidRPr="007D4043" w:rsidRDefault="00C6260C" w:rsidP="0013539F">
            <w:pPr>
              <w:rPr>
                <w:rFonts w:ascii="Times New Roman" w:hAnsi="Times New Roman" w:cs="Times New Roman"/>
                <w:sz w:val="24"/>
                <w:szCs w:val="24"/>
              </w:rPr>
            </w:pPr>
            <w:r w:rsidRPr="00C6260C">
              <w:rPr>
                <w:rFonts w:ascii="Times New Roman" w:hAnsi="Times New Roman" w:cs="Times New Roman"/>
                <w:sz w:val="24"/>
                <w:szCs w:val="24"/>
              </w:rPr>
              <w:t>Препаратты қабылдау жиілігі, аптасына</w:t>
            </w:r>
          </w:p>
        </w:tc>
        <w:tc>
          <w:tcPr>
            <w:tcW w:w="894" w:type="pct"/>
          </w:tcPr>
          <w:p w14:paraId="4D6751CB" w14:textId="14D3DDD9" w:rsidR="004E44B5" w:rsidRPr="007D4043" w:rsidRDefault="00C6260C" w:rsidP="0013539F">
            <w:pPr>
              <w:ind w:firstLine="31"/>
              <w:rPr>
                <w:rFonts w:ascii="Times New Roman" w:hAnsi="Times New Roman" w:cs="Times New Roman"/>
                <w:sz w:val="24"/>
                <w:szCs w:val="24"/>
              </w:rPr>
            </w:pPr>
            <w:r w:rsidRPr="00C6260C">
              <w:rPr>
                <w:rFonts w:ascii="Times New Roman" w:hAnsi="Times New Roman" w:cs="Times New Roman"/>
                <w:sz w:val="24"/>
                <w:szCs w:val="24"/>
              </w:rPr>
              <w:t>Жеңіл дәреже</w:t>
            </w:r>
          </w:p>
        </w:tc>
        <w:tc>
          <w:tcPr>
            <w:tcW w:w="1019" w:type="pct"/>
          </w:tcPr>
          <w:p w14:paraId="0FB9C339" w14:textId="5107CEF4" w:rsidR="004E44B5" w:rsidRPr="007D4043" w:rsidRDefault="00C6260C" w:rsidP="00C6260C">
            <w:pPr>
              <w:ind w:firstLine="39"/>
              <w:rPr>
                <w:rFonts w:ascii="Times New Roman" w:hAnsi="Times New Roman" w:cs="Times New Roman"/>
                <w:sz w:val="24"/>
                <w:szCs w:val="24"/>
              </w:rPr>
            </w:pPr>
            <w:r w:rsidRPr="00C6260C">
              <w:rPr>
                <w:rFonts w:ascii="Times New Roman" w:hAnsi="Times New Roman" w:cs="Times New Roman"/>
                <w:sz w:val="24"/>
                <w:szCs w:val="24"/>
              </w:rPr>
              <w:t>Орташа</w:t>
            </w:r>
            <w:r>
              <w:rPr>
                <w:rFonts w:ascii="Times New Roman" w:hAnsi="Times New Roman" w:cs="Times New Roman"/>
                <w:sz w:val="24"/>
                <w:szCs w:val="24"/>
              </w:rPr>
              <w:t xml:space="preserve"> </w:t>
            </w:r>
            <w:r w:rsidRPr="00C6260C">
              <w:rPr>
                <w:rFonts w:ascii="Times New Roman" w:hAnsi="Times New Roman" w:cs="Times New Roman"/>
                <w:sz w:val="24"/>
                <w:szCs w:val="24"/>
              </w:rPr>
              <w:t>дәреже</w:t>
            </w:r>
          </w:p>
        </w:tc>
        <w:tc>
          <w:tcPr>
            <w:tcW w:w="1059" w:type="pct"/>
          </w:tcPr>
          <w:p w14:paraId="64831974" w14:textId="2CCE73F9" w:rsidR="004E44B5" w:rsidRPr="007D4043" w:rsidRDefault="00C6260C" w:rsidP="00C6260C">
            <w:pPr>
              <w:rPr>
                <w:rFonts w:ascii="Times New Roman" w:hAnsi="Times New Roman" w:cs="Times New Roman"/>
                <w:sz w:val="24"/>
                <w:szCs w:val="24"/>
              </w:rPr>
            </w:pPr>
            <w:r w:rsidRPr="00C6260C">
              <w:rPr>
                <w:rFonts w:ascii="Times New Roman" w:hAnsi="Times New Roman" w:cs="Times New Roman"/>
                <w:sz w:val="24"/>
                <w:szCs w:val="24"/>
              </w:rPr>
              <w:t>Ауыр</w:t>
            </w:r>
            <w:r>
              <w:rPr>
                <w:rFonts w:ascii="Times New Roman" w:hAnsi="Times New Roman" w:cs="Times New Roman"/>
                <w:sz w:val="24"/>
                <w:szCs w:val="24"/>
              </w:rPr>
              <w:t xml:space="preserve"> </w:t>
            </w:r>
            <w:r w:rsidRPr="00C6260C">
              <w:rPr>
                <w:rFonts w:ascii="Times New Roman" w:hAnsi="Times New Roman" w:cs="Times New Roman"/>
                <w:sz w:val="24"/>
                <w:szCs w:val="24"/>
              </w:rPr>
              <w:t>дәреже</w:t>
            </w:r>
          </w:p>
        </w:tc>
      </w:tr>
      <w:tr w:rsidR="009C7D0A" w:rsidRPr="007D4043" w14:paraId="5AE012A3" w14:textId="77777777" w:rsidTr="0013539F">
        <w:trPr>
          <w:trHeight w:val="437"/>
        </w:trPr>
        <w:tc>
          <w:tcPr>
            <w:tcW w:w="2028" w:type="pct"/>
          </w:tcPr>
          <w:p w14:paraId="4E22758B" w14:textId="1C4F7218" w:rsidR="009C7D0A" w:rsidRPr="007D4043" w:rsidRDefault="009C7D0A" w:rsidP="009C7D0A">
            <w:pPr>
              <w:rPr>
                <w:rFonts w:ascii="Times New Roman" w:hAnsi="Times New Roman" w:cs="Times New Roman"/>
                <w:sz w:val="24"/>
                <w:szCs w:val="24"/>
              </w:rPr>
            </w:pPr>
            <w:r w:rsidRPr="00C6260C">
              <w:rPr>
                <w:rFonts w:ascii="Times New Roman" w:hAnsi="Times New Roman" w:cs="Times New Roman"/>
                <w:sz w:val="24"/>
                <w:szCs w:val="24"/>
              </w:rPr>
              <w:t>Топикалық ГКС</w:t>
            </w:r>
          </w:p>
        </w:tc>
        <w:tc>
          <w:tcPr>
            <w:tcW w:w="894" w:type="pct"/>
          </w:tcPr>
          <w:p w14:paraId="1B043914" w14:textId="6DE966BA" w:rsidR="009C7D0A" w:rsidRPr="007D4043" w:rsidRDefault="009C7D0A" w:rsidP="009C7D0A">
            <w:pPr>
              <w:ind w:firstLine="31"/>
              <w:rPr>
                <w:rFonts w:ascii="Times New Roman" w:hAnsi="Times New Roman" w:cs="Times New Roman"/>
                <w:sz w:val="24"/>
                <w:szCs w:val="24"/>
              </w:rPr>
            </w:pPr>
            <w:r w:rsidRPr="007D4043">
              <w:rPr>
                <w:rFonts w:ascii="Times New Roman" w:hAnsi="Times New Roman" w:cs="Times New Roman"/>
                <w:sz w:val="24"/>
                <w:szCs w:val="24"/>
              </w:rPr>
              <w:t xml:space="preserve">1-3 </w:t>
            </w:r>
            <w:r w:rsidRPr="009C7D0A">
              <w:rPr>
                <w:rFonts w:ascii="Times New Roman" w:hAnsi="Times New Roman" w:cs="Times New Roman"/>
                <w:sz w:val="24"/>
                <w:szCs w:val="24"/>
              </w:rPr>
              <w:t>рет</w:t>
            </w:r>
          </w:p>
        </w:tc>
        <w:tc>
          <w:tcPr>
            <w:tcW w:w="1019" w:type="pct"/>
          </w:tcPr>
          <w:p w14:paraId="0C0E771B" w14:textId="4DAA3BE8" w:rsidR="009C7D0A" w:rsidRPr="007D4043" w:rsidRDefault="009C7D0A" w:rsidP="009C7D0A">
            <w:pPr>
              <w:ind w:firstLine="39"/>
              <w:rPr>
                <w:rFonts w:ascii="Times New Roman" w:hAnsi="Times New Roman" w:cs="Times New Roman"/>
                <w:sz w:val="24"/>
                <w:szCs w:val="24"/>
              </w:rPr>
            </w:pPr>
            <w:r w:rsidRPr="007D4043">
              <w:rPr>
                <w:rFonts w:ascii="Times New Roman" w:hAnsi="Times New Roman" w:cs="Times New Roman"/>
                <w:sz w:val="24"/>
                <w:szCs w:val="24"/>
              </w:rPr>
              <w:t xml:space="preserve">4-5 </w:t>
            </w:r>
            <w:r w:rsidRPr="009C7D0A">
              <w:rPr>
                <w:rFonts w:ascii="Times New Roman" w:hAnsi="Times New Roman" w:cs="Times New Roman"/>
                <w:sz w:val="24"/>
                <w:szCs w:val="24"/>
              </w:rPr>
              <w:t>рет</w:t>
            </w:r>
          </w:p>
        </w:tc>
        <w:tc>
          <w:tcPr>
            <w:tcW w:w="1059" w:type="pct"/>
          </w:tcPr>
          <w:p w14:paraId="21FBFB30" w14:textId="580FB38E" w:rsidR="009C7D0A" w:rsidRPr="009C7D0A" w:rsidRDefault="009C7D0A" w:rsidP="009C7D0A">
            <w:pPr>
              <w:rPr>
                <w:rFonts w:ascii="Times New Roman" w:hAnsi="Times New Roman" w:cs="Times New Roman"/>
                <w:sz w:val="24"/>
                <w:szCs w:val="24"/>
              </w:rPr>
            </w:pPr>
            <w:r w:rsidRPr="009C7D0A">
              <w:rPr>
                <w:rFonts w:ascii="Times New Roman" w:hAnsi="Times New Roman" w:cs="Times New Roman"/>
                <w:sz w:val="24"/>
                <w:szCs w:val="24"/>
              </w:rPr>
              <w:t>Күнделікті</w:t>
            </w:r>
          </w:p>
        </w:tc>
      </w:tr>
      <w:tr w:rsidR="009C7D0A" w:rsidRPr="007D4043" w14:paraId="31AFCB3B" w14:textId="77777777" w:rsidTr="0013539F">
        <w:trPr>
          <w:trHeight w:val="380"/>
        </w:trPr>
        <w:tc>
          <w:tcPr>
            <w:tcW w:w="2028" w:type="pct"/>
          </w:tcPr>
          <w:p w14:paraId="6137EBE0" w14:textId="48941667" w:rsidR="009C7D0A" w:rsidRPr="007D4043" w:rsidRDefault="009C7D0A" w:rsidP="009C7D0A">
            <w:pPr>
              <w:rPr>
                <w:rFonts w:ascii="Times New Roman" w:hAnsi="Times New Roman" w:cs="Times New Roman"/>
                <w:sz w:val="24"/>
                <w:szCs w:val="24"/>
              </w:rPr>
            </w:pPr>
            <w:r w:rsidRPr="00C6260C">
              <w:rPr>
                <w:rFonts w:ascii="Times New Roman" w:hAnsi="Times New Roman" w:cs="Times New Roman"/>
                <w:sz w:val="24"/>
                <w:szCs w:val="24"/>
              </w:rPr>
              <w:t>Жүйелік ГКС</w:t>
            </w:r>
          </w:p>
        </w:tc>
        <w:tc>
          <w:tcPr>
            <w:tcW w:w="894" w:type="pct"/>
          </w:tcPr>
          <w:p w14:paraId="3960E976" w14:textId="054A790B" w:rsidR="009C7D0A" w:rsidRPr="007D4043" w:rsidRDefault="009C7D0A" w:rsidP="009C7D0A">
            <w:pPr>
              <w:ind w:firstLine="31"/>
              <w:rPr>
                <w:rFonts w:ascii="Times New Roman" w:hAnsi="Times New Roman" w:cs="Times New Roman"/>
                <w:sz w:val="24"/>
                <w:szCs w:val="24"/>
              </w:rPr>
            </w:pPr>
            <w:r w:rsidRPr="007D4043">
              <w:rPr>
                <w:rFonts w:ascii="Times New Roman" w:hAnsi="Times New Roman" w:cs="Times New Roman"/>
                <w:sz w:val="24"/>
                <w:szCs w:val="24"/>
              </w:rPr>
              <w:t xml:space="preserve">1-3 </w:t>
            </w:r>
            <w:r w:rsidRPr="009C7D0A">
              <w:rPr>
                <w:rFonts w:ascii="Times New Roman" w:hAnsi="Times New Roman" w:cs="Times New Roman"/>
                <w:sz w:val="24"/>
                <w:szCs w:val="24"/>
              </w:rPr>
              <w:t>рет</w:t>
            </w:r>
          </w:p>
        </w:tc>
        <w:tc>
          <w:tcPr>
            <w:tcW w:w="1019" w:type="pct"/>
          </w:tcPr>
          <w:p w14:paraId="55E91BB9" w14:textId="5A54B1D3" w:rsidR="009C7D0A" w:rsidRPr="007D4043" w:rsidRDefault="009C7D0A" w:rsidP="009C7D0A">
            <w:pPr>
              <w:ind w:firstLine="39"/>
              <w:rPr>
                <w:rFonts w:ascii="Times New Roman" w:hAnsi="Times New Roman" w:cs="Times New Roman"/>
                <w:sz w:val="24"/>
                <w:szCs w:val="24"/>
              </w:rPr>
            </w:pPr>
            <w:r w:rsidRPr="007D4043">
              <w:rPr>
                <w:rFonts w:ascii="Times New Roman" w:hAnsi="Times New Roman" w:cs="Times New Roman"/>
                <w:sz w:val="24"/>
                <w:szCs w:val="24"/>
              </w:rPr>
              <w:t xml:space="preserve">4-5 </w:t>
            </w:r>
            <w:r w:rsidRPr="009C7D0A">
              <w:rPr>
                <w:rFonts w:ascii="Times New Roman" w:hAnsi="Times New Roman" w:cs="Times New Roman"/>
                <w:sz w:val="24"/>
                <w:szCs w:val="24"/>
              </w:rPr>
              <w:t>рет</w:t>
            </w:r>
          </w:p>
        </w:tc>
        <w:tc>
          <w:tcPr>
            <w:tcW w:w="1059" w:type="pct"/>
          </w:tcPr>
          <w:p w14:paraId="6AD96976" w14:textId="50148D12" w:rsidR="009C7D0A" w:rsidRPr="009C7D0A" w:rsidRDefault="009C7D0A" w:rsidP="009C7D0A">
            <w:pPr>
              <w:rPr>
                <w:rFonts w:ascii="Times New Roman" w:hAnsi="Times New Roman" w:cs="Times New Roman"/>
                <w:sz w:val="24"/>
                <w:szCs w:val="24"/>
              </w:rPr>
            </w:pPr>
            <w:r w:rsidRPr="009C7D0A">
              <w:rPr>
                <w:rFonts w:ascii="Times New Roman" w:hAnsi="Times New Roman" w:cs="Times New Roman"/>
                <w:sz w:val="24"/>
                <w:szCs w:val="24"/>
              </w:rPr>
              <w:t>Күнделікті</w:t>
            </w:r>
          </w:p>
        </w:tc>
      </w:tr>
      <w:tr w:rsidR="009C7D0A" w:rsidRPr="007D4043" w14:paraId="5A9A8214" w14:textId="77777777" w:rsidTr="0013539F">
        <w:trPr>
          <w:trHeight w:val="427"/>
        </w:trPr>
        <w:tc>
          <w:tcPr>
            <w:tcW w:w="2028" w:type="pct"/>
          </w:tcPr>
          <w:p w14:paraId="4014578C" w14:textId="1B565EB0" w:rsidR="009C7D0A" w:rsidRPr="007D4043" w:rsidRDefault="009C7D0A" w:rsidP="009C7D0A">
            <w:pPr>
              <w:rPr>
                <w:rFonts w:ascii="Times New Roman" w:hAnsi="Times New Roman" w:cs="Times New Roman"/>
                <w:sz w:val="24"/>
                <w:szCs w:val="24"/>
              </w:rPr>
            </w:pPr>
            <w:r w:rsidRPr="00C6260C">
              <w:rPr>
                <w:rFonts w:ascii="Times New Roman" w:hAnsi="Times New Roman" w:cs="Times New Roman"/>
                <w:sz w:val="24"/>
                <w:szCs w:val="24"/>
              </w:rPr>
              <w:t>Антигистаминдер</w:t>
            </w:r>
          </w:p>
        </w:tc>
        <w:tc>
          <w:tcPr>
            <w:tcW w:w="894" w:type="pct"/>
          </w:tcPr>
          <w:p w14:paraId="676F69C7" w14:textId="6B971969" w:rsidR="009C7D0A" w:rsidRPr="007D4043" w:rsidRDefault="009C7D0A" w:rsidP="009C7D0A">
            <w:pPr>
              <w:ind w:firstLine="31"/>
              <w:rPr>
                <w:rFonts w:ascii="Times New Roman" w:hAnsi="Times New Roman" w:cs="Times New Roman"/>
                <w:sz w:val="24"/>
                <w:szCs w:val="24"/>
              </w:rPr>
            </w:pPr>
            <w:r w:rsidRPr="007D4043">
              <w:rPr>
                <w:rFonts w:ascii="Times New Roman" w:hAnsi="Times New Roman" w:cs="Times New Roman"/>
                <w:sz w:val="24"/>
                <w:szCs w:val="24"/>
              </w:rPr>
              <w:t xml:space="preserve">1-3 </w:t>
            </w:r>
            <w:r w:rsidRPr="009C7D0A">
              <w:rPr>
                <w:rFonts w:ascii="Times New Roman" w:hAnsi="Times New Roman" w:cs="Times New Roman"/>
                <w:sz w:val="24"/>
                <w:szCs w:val="24"/>
              </w:rPr>
              <w:t>рет</w:t>
            </w:r>
          </w:p>
        </w:tc>
        <w:tc>
          <w:tcPr>
            <w:tcW w:w="1019" w:type="pct"/>
          </w:tcPr>
          <w:p w14:paraId="3839E1EB" w14:textId="1098E2EA" w:rsidR="009C7D0A" w:rsidRPr="007D4043" w:rsidRDefault="009C7D0A" w:rsidP="009C7D0A">
            <w:pPr>
              <w:ind w:firstLine="39"/>
              <w:rPr>
                <w:rFonts w:ascii="Times New Roman" w:hAnsi="Times New Roman" w:cs="Times New Roman"/>
                <w:sz w:val="24"/>
                <w:szCs w:val="24"/>
              </w:rPr>
            </w:pPr>
            <w:r w:rsidRPr="007D4043">
              <w:rPr>
                <w:rFonts w:ascii="Times New Roman" w:hAnsi="Times New Roman" w:cs="Times New Roman"/>
                <w:sz w:val="24"/>
                <w:szCs w:val="24"/>
              </w:rPr>
              <w:t xml:space="preserve">4-5 </w:t>
            </w:r>
            <w:r w:rsidRPr="009C7D0A">
              <w:rPr>
                <w:rFonts w:ascii="Times New Roman" w:hAnsi="Times New Roman" w:cs="Times New Roman"/>
                <w:sz w:val="24"/>
                <w:szCs w:val="24"/>
              </w:rPr>
              <w:t>рет</w:t>
            </w:r>
          </w:p>
        </w:tc>
        <w:tc>
          <w:tcPr>
            <w:tcW w:w="1059" w:type="pct"/>
          </w:tcPr>
          <w:p w14:paraId="1F9CBA0F" w14:textId="7EB6610B" w:rsidR="009C7D0A" w:rsidRPr="009C7D0A" w:rsidRDefault="009C7D0A" w:rsidP="009C7D0A">
            <w:pPr>
              <w:rPr>
                <w:rFonts w:ascii="Times New Roman" w:hAnsi="Times New Roman" w:cs="Times New Roman"/>
                <w:sz w:val="24"/>
                <w:szCs w:val="24"/>
              </w:rPr>
            </w:pPr>
            <w:r w:rsidRPr="009C7D0A">
              <w:rPr>
                <w:rFonts w:ascii="Times New Roman" w:hAnsi="Times New Roman" w:cs="Times New Roman"/>
                <w:sz w:val="24"/>
                <w:szCs w:val="24"/>
              </w:rPr>
              <w:t>Күнделікті</w:t>
            </w:r>
          </w:p>
        </w:tc>
      </w:tr>
    </w:tbl>
    <w:p w14:paraId="747D0EAE" w14:textId="77777777" w:rsidR="004E44B5" w:rsidRPr="007D4043" w:rsidRDefault="004E44B5" w:rsidP="004E44B5">
      <w:pPr>
        <w:spacing w:after="0" w:line="240" w:lineRule="auto"/>
        <w:rPr>
          <w:rFonts w:ascii="Times New Roman" w:hAnsi="Times New Roman" w:cs="Times New Roman"/>
          <w:sz w:val="28"/>
          <w:szCs w:val="28"/>
        </w:rPr>
      </w:pPr>
    </w:p>
    <w:p w14:paraId="05C21730" w14:textId="77777777" w:rsidR="007C2A5A" w:rsidRPr="007C2A5A" w:rsidRDefault="007C2A5A" w:rsidP="007C2A5A">
      <w:pPr>
        <w:spacing w:after="0" w:line="240" w:lineRule="auto"/>
        <w:ind w:firstLine="567"/>
        <w:jc w:val="both"/>
        <w:rPr>
          <w:rFonts w:ascii="Times New Roman" w:eastAsia="Calibri" w:hAnsi="Times New Roman" w:cs="Times New Roman"/>
          <w:sz w:val="28"/>
          <w:szCs w:val="28"/>
        </w:rPr>
      </w:pPr>
      <w:r w:rsidRPr="007C2A5A">
        <w:rPr>
          <w:rFonts w:ascii="Times New Roman" w:eastAsia="Calibri" w:hAnsi="Times New Roman" w:cs="Times New Roman"/>
          <w:sz w:val="28"/>
          <w:szCs w:val="28"/>
        </w:rPr>
        <w:t>Максималды балл симптомдардың ауырлығының жалпы ұпайымен көрсетілді және 18 балл болды. Симптомдардың ауырлығын түсіндіру келесі шкала бойынша жүргізілді:</w:t>
      </w:r>
    </w:p>
    <w:p w14:paraId="02003C2C" w14:textId="77777777" w:rsidR="007C2A5A" w:rsidRPr="007C2A5A" w:rsidRDefault="007C2A5A" w:rsidP="007C2A5A">
      <w:pPr>
        <w:spacing w:after="0" w:line="240" w:lineRule="auto"/>
        <w:ind w:firstLine="567"/>
        <w:jc w:val="both"/>
        <w:rPr>
          <w:rFonts w:ascii="Times New Roman" w:eastAsia="Calibri" w:hAnsi="Times New Roman" w:cs="Times New Roman"/>
          <w:sz w:val="28"/>
          <w:szCs w:val="28"/>
        </w:rPr>
      </w:pPr>
      <w:r w:rsidRPr="007C2A5A">
        <w:rPr>
          <w:rFonts w:ascii="Times New Roman" w:eastAsia="Calibri" w:hAnsi="Times New Roman" w:cs="Times New Roman"/>
          <w:sz w:val="28"/>
          <w:szCs w:val="28"/>
        </w:rPr>
        <w:t>0-6 ұпай-симптомдар жоқ немесе жеңіл</w:t>
      </w:r>
    </w:p>
    <w:p w14:paraId="5E110C25" w14:textId="77777777" w:rsidR="007C2A5A" w:rsidRPr="007C2A5A" w:rsidRDefault="007C2A5A" w:rsidP="007C2A5A">
      <w:pPr>
        <w:spacing w:after="0" w:line="240" w:lineRule="auto"/>
        <w:ind w:firstLine="567"/>
        <w:jc w:val="both"/>
        <w:rPr>
          <w:rFonts w:ascii="Times New Roman" w:eastAsia="Calibri" w:hAnsi="Times New Roman" w:cs="Times New Roman"/>
          <w:sz w:val="28"/>
          <w:szCs w:val="28"/>
        </w:rPr>
      </w:pPr>
      <w:r w:rsidRPr="007C2A5A">
        <w:rPr>
          <w:rFonts w:ascii="Times New Roman" w:eastAsia="Calibri" w:hAnsi="Times New Roman" w:cs="Times New Roman"/>
          <w:sz w:val="28"/>
          <w:szCs w:val="28"/>
        </w:rPr>
        <w:t>7-12 ұпай-орташа ауырлық белгілері</w:t>
      </w:r>
    </w:p>
    <w:p w14:paraId="2889D31E" w14:textId="58F410F8" w:rsidR="004E44B5" w:rsidRDefault="007C2A5A" w:rsidP="007C2A5A">
      <w:pPr>
        <w:spacing w:after="0" w:line="240" w:lineRule="auto"/>
        <w:ind w:firstLine="567"/>
        <w:jc w:val="both"/>
        <w:rPr>
          <w:rFonts w:ascii="Times New Roman" w:eastAsia="Calibri" w:hAnsi="Times New Roman" w:cs="Times New Roman"/>
          <w:sz w:val="28"/>
          <w:szCs w:val="28"/>
        </w:rPr>
      </w:pPr>
      <w:r w:rsidRPr="007C2A5A">
        <w:rPr>
          <w:rFonts w:ascii="Times New Roman" w:eastAsia="Calibri" w:hAnsi="Times New Roman" w:cs="Times New Roman"/>
          <w:sz w:val="28"/>
          <w:szCs w:val="28"/>
        </w:rPr>
        <w:t>13-18 ұпай-ауыр симптомдар.</w:t>
      </w:r>
    </w:p>
    <w:p w14:paraId="263BE3D2" w14:textId="77777777" w:rsidR="007C2A5A" w:rsidRPr="007D4043" w:rsidRDefault="007C2A5A" w:rsidP="007C2A5A">
      <w:pPr>
        <w:spacing w:after="0" w:line="240" w:lineRule="auto"/>
        <w:ind w:firstLine="567"/>
        <w:jc w:val="both"/>
        <w:rPr>
          <w:rFonts w:ascii="Times New Roman" w:eastAsia="Calibri" w:hAnsi="Times New Roman" w:cs="Times New Roman"/>
          <w:sz w:val="28"/>
          <w:szCs w:val="28"/>
        </w:rPr>
      </w:pPr>
    </w:p>
    <w:p w14:paraId="44EE38BA" w14:textId="77777777" w:rsidR="006023A5" w:rsidRDefault="006023A5" w:rsidP="004E44B5">
      <w:pPr>
        <w:spacing w:after="0" w:line="240" w:lineRule="auto"/>
        <w:jc w:val="center"/>
        <w:rPr>
          <w:rFonts w:ascii="Times New Roman" w:hAnsi="Times New Roman" w:cs="Times New Roman"/>
          <w:sz w:val="28"/>
          <w:szCs w:val="28"/>
        </w:rPr>
      </w:pPr>
      <w:r w:rsidRPr="006023A5">
        <w:rPr>
          <w:rFonts w:ascii="Times New Roman" w:hAnsi="Times New Roman" w:cs="Times New Roman"/>
          <w:sz w:val="28"/>
          <w:szCs w:val="28"/>
        </w:rPr>
        <w:t>Маусымдық аллергиялық ринитпен ауыратын науқастардың өмір сүру сапасын бағалау</w:t>
      </w:r>
    </w:p>
    <w:p w14:paraId="4C5A2F04" w14:textId="77777777" w:rsidR="006023A5" w:rsidRDefault="006023A5" w:rsidP="004E44B5">
      <w:pPr>
        <w:spacing w:after="0" w:line="240" w:lineRule="auto"/>
        <w:jc w:val="center"/>
        <w:rPr>
          <w:rFonts w:ascii="Times New Roman" w:hAnsi="Times New Roman" w:cs="Times New Roman"/>
          <w:sz w:val="28"/>
          <w:szCs w:val="28"/>
        </w:rPr>
      </w:pPr>
    </w:p>
    <w:p w14:paraId="033F2176" w14:textId="0BCC2CD0" w:rsidR="004E44B5" w:rsidRPr="007D4043" w:rsidRDefault="00457EF3" w:rsidP="004E44B5">
      <w:pPr>
        <w:spacing w:after="0" w:line="240" w:lineRule="auto"/>
        <w:jc w:val="center"/>
        <w:rPr>
          <w:rFonts w:ascii="Times New Roman" w:hAnsi="Times New Roman" w:cs="Times New Roman"/>
          <w:sz w:val="28"/>
          <w:szCs w:val="28"/>
        </w:rPr>
      </w:pPr>
      <w:r w:rsidRPr="004E44B5">
        <w:rPr>
          <w:rFonts w:ascii="Times New Roman" w:hAnsi="Times New Roman" w:cs="Times New Roman"/>
          <w:sz w:val="28"/>
          <w:szCs w:val="28"/>
        </w:rPr>
        <w:t>Бөлім</w:t>
      </w:r>
      <w:r w:rsidRPr="007D4043">
        <w:rPr>
          <w:rFonts w:ascii="Times New Roman" w:hAnsi="Times New Roman" w:cs="Times New Roman"/>
          <w:sz w:val="28"/>
          <w:szCs w:val="28"/>
        </w:rPr>
        <w:t xml:space="preserve"> </w:t>
      </w:r>
      <w:r w:rsidR="004E44B5" w:rsidRPr="007D4043">
        <w:rPr>
          <w:rFonts w:ascii="Times New Roman" w:hAnsi="Times New Roman" w:cs="Times New Roman"/>
          <w:sz w:val="28"/>
          <w:szCs w:val="28"/>
        </w:rPr>
        <w:t>1</w:t>
      </w:r>
    </w:p>
    <w:p w14:paraId="27F3535B" w14:textId="66615892" w:rsidR="004E44B5" w:rsidRPr="007D4043" w:rsidRDefault="00457EF3" w:rsidP="004E44B5">
      <w:pPr>
        <w:spacing w:after="0" w:line="240" w:lineRule="auto"/>
        <w:jc w:val="center"/>
        <w:rPr>
          <w:rFonts w:ascii="Times New Roman" w:hAnsi="Times New Roman" w:cs="Times New Roman"/>
          <w:sz w:val="28"/>
          <w:szCs w:val="28"/>
        </w:rPr>
      </w:pPr>
      <w:r w:rsidRPr="00457EF3">
        <w:rPr>
          <w:rFonts w:ascii="Times New Roman" w:hAnsi="Times New Roman" w:cs="Times New Roman"/>
          <w:sz w:val="28"/>
          <w:szCs w:val="28"/>
        </w:rPr>
        <w:t>Физикалық белсенділікті/ұйқыны бағалау</w:t>
      </w:r>
    </w:p>
    <w:tbl>
      <w:tblPr>
        <w:tblStyle w:val="af3"/>
        <w:tblW w:w="4967" w:type="pct"/>
        <w:tblLook w:val="04A0" w:firstRow="1" w:lastRow="0" w:firstColumn="1" w:lastColumn="0" w:noHBand="0" w:noVBand="1"/>
      </w:tblPr>
      <w:tblGrid>
        <w:gridCol w:w="2292"/>
        <w:gridCol w:w="1567"/>
        <w:gridCol w:w="1700"/>
        <w:gridCol w:w="1991"/>
        <w:gridCol w:w="2014"/>
      </w:tblGrid>
      <w:tr w:rsidR="004E44B5" w:rsidRPr="00D65092" w14:paraId="7EB10568" w14:textId="77777777" w:rsidTr="0013539F">
        <w:trPr>
          <w:trHeight w:val="427"/>
        </w:trPr>
        <w:tc>
          <w:tcPr>
            <w:tcW w:w="1198" w:type="pct"/>
          </w:tcPr>
          <w:p w14:paraId="3CD19956" w14:textId="11A0CD9D" w:rsidR="004E44B5" w:rsidRPr="00D65092" w:rsidRDefault="00457EF3" w:rsidP="0013539F">
            <w:pPr>
              <w:ind w:firstLine="31"/>
              <w:rPr>
                <w:rFonts w:ascii="Times New Roman" w:hAnsi="Times New Roman" w:cs="Times New Roman"/>
                <w:sz w:val="24"/>
                <w:szCs w:val="24"/>
              </w:rPr>
            </w:pPr>
            <w:r w:rsidRPr="00D65092">
              <w:rPr>
                <w:rFonts w:ascii="Times New Roman" w:hAnsi="Times New Roman" w:cs="Times New Roman"/>
                <w:sz w:val="24"/>
                <w:szCs w:val="24"/>
              </w:rPr>
              <w:t>Белгісі</w:t>
            </w:r>
          </w:p>
        </w:tc>
        <w:tc>
          <w:tcPr>
            <w:tcW w:w="819" w:type="pct"/>
          </w:tcPr>
          <w:p w14:paraId="4FF44977" w14:textId="48B6BE76" w:rsidR="004E44B5" w:rsidRPr="00D65092" w:rsidRDefault="00457EF3" w:rsidP="0013539F">
            <w:pPr>
              <w:rPr>
                <w:rFonts w:ascii="Times New Roman" w:hAnsi="Times New Roman" w:cs="Times New Roman"/>
                <w:sz w:val="24"/>
                <w:szCs w:val="24"/>
              </w:rPr>
            </w:pPr>
            <w:r w:rsidRPr="00D65092">
              <w:rPr>
                <w:rFonts w:ascii="Times New Roman" w:hAnsi="Times New Roman" w:cs="Times New Roman"/>
                <w:sz w:val="24"/>
                <w:szCs w:val="24"/>
              </w:rPr>
              <w:t>Бұзылған жоқ</w:t>
            </w:r>
          </w:p>
        </w:tc>
        <w:tc>
          <w:tcPr>
            <w:tcW w:w="889" w:type="pct"/>
          </w:tcPr>
          <w:p w14:paraId="69B3302C" w14:textId="571B515C" w:rsidR="004E44B5" w:rsidRPr="00D65092" w:rsidRDefault="00457EF3" w:rsidP="0013539F">
            <w:pPr>
              <w:ind w:firstLine="31"/>
              <w:rPr>
                <w:rFonts w:ascii="Times New Roman" w:hAnsi="Times New Roman" w:cs="Times New Roman"/>
                <w:sz w:val="24"/>
                <w:szCs w:val="24"/>
              </w:rPr>
            </w:pPr>
            <w:r w:rsidRPr="00D65092">
              <w:rPr>
                <w:rFonts w:ascii="Times New Roman" w:hAnsi="Times New Roman" w:cs="Times New Roman"/>
                <w:sz w:val="24"/>
                <w:szCs w:val="24"/>
              </w:rPr>
              <w:t>Жеңіл дәреже (күн ішінде ішінара күнделікті емес бұзушылық, аптасына 1-2 рет)</w:t>
            </w:r>
          </w:p>
        </w:tc>
        <w:tc>
          <w:tcPr>
            <w:tcW w:w="1041" w:type="pct"/>
          </w:tcPr>
          <w:p w14:paraId="1A4BEEF0" w14:textId="308A2372" w:rsidR="004E44B5" w:rsidRPr="00D65092" w:rsidRDefault="00457EF3" w:rsidP="0013539F">
            <w:pPr>
              <w:ind w:firstLine="39"/>
              <w:rPr>
                <w:rFonts w:ascii="Times New Roman" w:hAnsi="Times New Roman" w:cs="Times New Roman"/>
                <w:sz w:val="24"/>
                <w:szCs w:val="24"/>
              </w:rPr>
            </w:pPr>
            <w:r w:rsidRPr="00D65092">
              <w:rPr>
                <w:rFonts w:ascii="Times New Roman" w:hAnsi="Times New Roman" w:cs="Times New Roman"/>
                <w:sz w:val="24"/>
                <w:szCs w:val="24"/>
              </w:rPr>
              <w:t>Орташа дәреже (күндіз мерзімді, бірақ жүйелі бұзылыс, аптасына 3-4 рет)</w:t>
            </w:r>
          </w:p>
        </w:tc>
        <w:tc>
          <w:tcPr>
            <w:tcW w:w="1054" w:type="pct"/>
          </w:tcPr>
          <w:p w14:paraId="6E1A36B1" w14:textId="6AE70855" w:rsidR="004E44B5" w:rsidRPr="00D65092" w:rsidRDefault="00457EF3" w:rsidP="0013539F">
            <w:pPr>
              <w:rPr>
                <w:rFonts w:ascii="Times New Roman" w:hAnsi="Times New Roman" w:cs="Times New Roman"/>
                <w:sz w:val="24"/>
                <w:szCs w:val="24"/>
              </w:rPr>
            </w:pPr>
            <w:r w:rsidRPr="00D65092">
              <w:rPr>
                <w:rFonts w:ascii="Times New Roman" w:hAnsi="Times New Roman" w:cs="Times New Roman"/>
                <w:sz w:val="24"/>
                <w:szCs w:val="24"/>
              </w:rPr>
              <w:t>Ауыр дәреже (күні бойы тұрақты күнделікті бұзушылық)</w:t>
            </w:r>
          </w:p>
        </w:tc>
      </w:tr>
      <w:tr w:rsidR="004E44B5" w:rsidRPr="00D65092" w14:paraId="3BCDA00F" w14:textId="77777777" w:rsidTr="0013539F">
        <w:trPr>
          <w:trHeight w:val="391"/>
        </w:trPr>
        <w:tc>
          <w:tcPr>
            <w:tcW w:w="1198" w:type="pct"/>
          </w:tcPr>
          <w:p w14:paraId="68295034" w14:textId="5A8B5001" w:rsidR="004E44B5" w:rsidRPr="00D65092" w:rsidRDefault="00D65092" w:rsidP="0013539F">
            <w:pPr>
              <w:ind w:firstLine="31"/>
              <w:rPr>
                <w:rFonts w:ascii="Times New Roman" w:hAnsi="Times New Roman" w:cs="Times New Roman"/>
                <w:sz w:val="24"/>
                <w:szCs w:val="24"/>
              </w:rPr>
            </w:pPr>
            <w:r w:rsidRPr="00D65092">
              <w:rPr>
                <w:rFonts w:ascii="Times New Roman" w:hAnsi="Times New Roman" w:cs="Times New Roman"/>
                <w:sz w:val="24"/>
                <w:szCs w:val="24"/>
              </w:rPr>
              <w:t>Күнделікті іс-шаралар</w:t>
            </w:r>
          </w:p>
        </w:tc>
        <w:tc>
          <w:tcPr>
            <w:tcW w:w="819" w:type="pct"/>
          </w:tcPr>
          <w:p w14:paraId="13F6CA9D" w14:textId="77777777" w:rsidR="004E44B5" w:rsidRPr="00D65092" w:rsidRDefault="004E44B5" w:rsidP="0013539F">
            <w:pPr>
              <w:jc w:val="center"/>
              <w:rPr>
                <w:rFonts w:ascii="Times New Roman" w:hAnsi="Times New Roman" w:cs="Times New Roman"/>
                <w:sz w:val="24"/>
                <w:szCs w:val="24"/>
              </w:rPr>
            </w:pPr>
            <w:r w:rsidRPr="00D65092">
              <w:rPr>
                <w:rFonts w:ascii="Times New Roman" w:hAnsi="Times New Roman" w:cs="Times New Roman"/>
                <w:sz w:val="24"/>
                <w:szCs w:val="24"/>
              </w:rPr>
              <w:t>0</w:t>
            </w:r>
          </w:p>
        </w:tc>
        <w:tc>
          <w:tcPr>
            <w:tcW w:w="889" w:type="pct"/>
          </w:tcPr>
          <w:p w14:paraId="7DC795D7" w14:textId="77777777" w:rsidR="004E44B5" w:rsidRPr="00D65092" w:rsidRDefault="004E44B5" w:rsidP="0013539F">
            <w:pPr>
              <w:ind w:firstLine="31"/>
              <w:jc w:val="center"/>
              <w:rPr>
                <w:rFonts w:ascii="Times New Roman" w:hAnsi="Times New Roman" w:cs="Times New Roman"/>
                <w:sz w:val="24"/>
                <w:szCs w:val="24"/>
              </w:rPr>
            </w:pPr>
            <w:r w:rsidRPr="00D65092">
              <w:rPr>
                <w:rFonts w:ascii="Times New Roman" w:hAnsi="Times New Roman" w:cs="Times New Roman"/>
                <w:sz w:val="24"/>
                <w:szCs w:val="24"/>
              </w:rPr>
              <w:t>1</w:t>
            </w:r>
          </w:p>
        </w:tc>
        <w:tc>
          <w:tcPr>
            <w:tcW w:w="1041" w:type="pct"/>
          </w:tcPr>
          <w:p w14:paraId="6CCC4AC5" w14:textId="77777777" w:rsidR="004E44B5" w:rsidRPr="00D65092" w:rsidRDefault="004E44B5" w:rsidP="0013539F">
            <w:pPr>
              <w:ind w:firstLine="39"/>
              <w:jc w:val="center"/>
              <w:rPr>
                <w:rFonts w:ascii="Times New Roman" w:hAnsi="Times New Roman" w:cs="Times New Roman"/>
                <w:sz w:val="24"/>
                <w:szCs w:val="24"/>
              </w:rPr>
            </w:pPr>
            <w:r w:rsidRPr="00D65092">
              <w:rPr>
                <w:rFonts w:ascii="Times New Roman" w:hAnsi="Times New Roman" w:cs="Times New Roman"/>
                <w:sz w:val="24"/>
                <w:szCs w:val="24"/>
              </w:rPr>
              <w:t>2</w:t>
            </w:r>
          </w:p>
        </w:tc>
        <w:tc>
          <w:tcPr>
            <w:tcW w:w="1054" w:type="pct"/>
          </w:tcPr>
          <w:p w14:paraId="745D5688" w14:textId="77777777" w:rsidR="004E44B5" w:rsidRPr="00D65092" w:rsidRDefault="004E44B5" w:rsidP="0013539F">
            <w:pPr>
              <w:jc w:val="center"/>
              <w:rPr>
                <w:rFonts w:ascii="Times New Roman" w:hAnsi="Times New Roman" w:cs="Times New Roman"/>
                <w:sz w:val="24"/>
                <w:szCs w:val="24"/>
              </w:rPr>
            </w:pPr>
            <w:r w:rsidRPr="00D65092">
              <w:rPr>
                <w:rFonts w:ascii="Times New Roman" w:hAnsi="Times New Roman" w:cs="Times New Roman"/>
                <w:sz w:val="24"/>
                <w:szCs w:val="24"/>
              </w:rPr>
              <w:t>3</w:t>
            </w:r>
          </w:p>
        </w:tc>
      </w:tr>
      <w:tr w:rsidR="004E44B5" w:rsidRPr="00D65092" w14:paraId="7B85224F" w14:textId="77777777" w:rsidTr="0013539F">
        <w:trPr>
          <w:trHeight w:val="243"/>
        </w:trPr>
        <w:tc>
          <w:tcPr>
            <w:tcW w:w="1198" w:type="pct"/>
          </w:tcPr>
          <w:p w14:paraId="5A8234A4" w14:textId="17B4E568" w:rsidR="004E44B5" w:rsidRPr="00D65092" w:rsidRDefault="00D65092" w:rsidP="0013539F">
            <w:pPr>
              <w:ind w:firstLine="31"/>
              <w:rPr>
                <w:rFonts w:ascii="Times New Roman" w:hAnsi="Times New Roman" w:cs="Times New Roman"/>
                <w:sz w:val="24"/>
                <w:szCs w:val="24"/>
              </w:rPr>
            </w:pPr>
            <w:r w:rsidRPr="00D65092">
              <w:rPr>
                <w:rFonts w:ascii="Times New Roman" w:hAnsi="Times New Roman" w:cs="Times New Roman"/>
                <w:sz w:val="24"/>
                <w:szCs w:val="24"/>
              </w:rPr>
              <w:t>Ұйқы</w:t>
            </w:r>
          </w:p>
        </w:tc>
        <w:tc>
          <w:tcPr>
            <w:tcW w:w="819" w:type="pct"/>
          </w:tcPr>
          <w:p w14:paraId="502A6592" w14:textId="77777777" w:rsidR="004E44B5" w:rsidRPr="00D65092" w:rsidRDefault="004E44B5" w:rsidP="0013539F">
            <w:pPr>
              <w:jc w:val="center"/>
              <w:rPr>
                <w:rFonts w:ascii="Times New Roman" w:hAnsi="Times New Roman" w:cs="Times New Roman"/>
                <w:sz w:val="24"/>
                <w:szCs w:val="24"/>
              </w:rPr>
            </w:pPr>
            <w:r w:rsidRPr="00D65092">
              <w:rPr>
                <w:rFonts w:ascii="Times New Roman" w:hAnsi="Times New Roman" w:cs="Times New Roman"/>
                <w:sz w:val="24"/>
                <w:szCs w:val="24"/>
              </w:rPr>
              <w:t>0</w:t>
            </w:r>
          </w:p>
        </w:tc>
        <w:tc>
          <w:tcPr>
            <w:tcW w:w="889" w:type="pct"/>
          </w:tcPr>
          <w:p w14:paraId="058784C2" w14:textId="77777777" w:rsidR="004E44B5" w:rsidRPr="00D65092" w:rsidRDefault="004E44B5" w:rsidP="0013539F">
            <w:pPr>
              <w:ind w:firstLine="31"/>
              <w:jc w:val="center"/>
              <w:rPr>
                <w:rFonts w:ascii="Times New Roman" w:hAnsi="Times New Roman" w:cs="Times New Roman"/>
                <w:sz w:val="24"/>
                <w:szCs w:val="24"/>
              </w:rPr>
            </w:pPr>
            <w:r w:rsidRPr="00D65092">
              <w:rPr>
                <w:rFonts w:ascii="Times New Roman" w:hAnsi="Times New Roman" w:cs="Times New Roman"/>
                <w:sz w:val="24"/>
                <w:szCs w:val="24"/>
              </w:rPr>
              <w:t>1</w:t>
            </w:r>
          </w:p>
        </w:tc>
        <w:tc>
          <w:tcPr>
            <w:tcW w:w="1041" w:type="pct"/>
          </w:tcPr>
          <w:p w14:paraId="3AFCBD79" w14:textId="77777777" w:rsidR="004E44B5" w:rsidRPr="00D65092" w:rsidRDefault="004E44B5" w:rsidP="0013539F">
            <w:pPr>
              <w:ind w:firstLine="39"/>
              <w:jc w:val="center"/>
              <w:rPr>
                <w:rFonts w:ascii="Times New Roman" w:hAnsi="Times New Roman" w:cs="Times New Roman"/>
                <w:sz w:val="24"/>
                <w:szCs w:val="24"/>
              </w:rPr>
            </w:pPr>
            <w:r w:rsidRPr="00D65092">
              <w:rPr>
                <w:rFonts w:ascii="Times New Roman" w:hAnsi="Times New Roman" w:cs="Times New Roman"/>
                <w:sz w:val="24"/>
                <w:szCs w:val="24"/>
              </w:rPr>
              <w:t>2</w:t>
            </w:r>
          </w:p>
        </w:tc>
        <w:tc>
          <w:tcPr>
            <w:tcW w:w="1054" w:type="pct"/>
          </w:tcPr>
          <w:p w14:paraId="0CFDB13D" w14:textId="77777777" w:rsidR="004E44B5" w:rsidRPr="00D65092" w:rsidRDefault="004E44B5" w:rsidP="0013539F">
            <w:pPr>
              <w:jc w:val="center"/>
              <w:rPr>
                <w:rFonts w:ascii="Times New Roman" w:hAnsi="Times New Roman" w:cs="Times New Roman"/>
                <w:sz w:val="24"/>
                <w:szCs w:val="24"/>
              </w:rPr>
            </w:pPr>
            <w:r w:rsidRPr="00D65092">
              <w:rPr>
                <w:rFonts w:ascii="Times New Roman" w:hAnsi="Times New Roman" w:cs="Times New Roman"/>
                <w:sz w:val="24"/>
                <w:szCs w:val="24"/>
              </w:rPr>
              <w:t>3</w:t>
            </w:r>
          </w:p>
        </w:tc>
      </w:tr>
    </w:tbl>
    <w:p w14:paraId="3D8236E5" w14:textId="77777777" w:rsidR="004E44B5" w:rsidRPr="007D4043" w:rsidRDefault="004E44B5" w:rsidP="004E44B5">
      <w:pPr>
        <w:spacing w:after="0" w:line="240" w:lineRule="auto"/>
        <w:rPr>
          <w:rFonts w:ascii="Times New Roman" w:hAnsi="Times New Roman" w:cs="Times New Roman"/>
          <w:sz w:val="28"/>
          <w:szCs w:val="28"/>
        </w:rPr>
      </w:pPr>
    </w:p>
    <w:p w14:paraId="4780D552" w14:textId="168D730C" w:rsidR="004E44B5" w:rsidRPr="007D4043" w:rsidRDefault="00D65092" w:rsidP="004E44B5">
      <w:pPr>
        <w:spacing w:after="0" w:line="240" w:lineRule="auto"/>
        <w:jc w:val="center"/>
        <w:rPr>
          <w:rFonts w:ascii="Times New Roman" w:hAnsi="Times New Roman" w:cs="Times New Roman"/>
          <w:sz w:val="28"/>
          <w:szCs w:val="28"/>
        </w:rPr>
      </w:pPr>
      <w:r w:rsidRPr="004E44B5">
        <w:rPr>
          <w:rFonts w:ascii="Times New Roman" w:hAnsi="Times New Roman" w:cs="Times New Roman"/>
          <w:sz w:val="28"/>
          <w:szCs w:val="28"/>
        </w:rPr>
        <w:t>Бөлім</w:t>
      </w:r>
      <w:r w:rsidRPr="007D4043">
        <w:rPr>
          <w:rFonts w:ascii="Times New Roman" w:hAnsi="Times New Roman" w:cs="Times New Roman"/>
          <w:sz w:val="28"/>
          <w:szCs w:val="28"/>
        </w:rPr>
        <w:t xml:space="preserve"> </w:t>
      </w:r>
      <w:r w:rsidR="004E44B5" w:rsidRPr="007D4043">
        <w:rPr>
          <w:rFonts w:ascii="Times New Roman" w:hAnsi="Times New Roman" w:cs="Times New Roman"/>
          <w:sz w:val="28"/>
          <w:szCs w:val="28"/>
        </w:rPr>
        <w:t>2</w:t>
      </w:r>
    </w:p>
    <w:p w14:paraId="3484745F" w14:textId="4EF5DCE4" w:rsidR="004E44B5" w:rsidRPr="007D4043" w:rsidRDefault="00D65092" w:rsidP="004E44B5">
      <w:pPr>
        <w:spacing w:after="0" w:line="240" w:lineRule="auto"/>
        <w:jc w:val="center"/>
        <w:rPr>
          <w:rFonts w:ascii="Times New Roman" w:hAnsi="Times New Roman" w:cs="Times New Roman"/>
          <w:sz w:val="28"/>
          <w:szCs w:val="28"/>
        </w:rPr>
      </w:pPr>
      <w:r w:rsidRPr="00D65092">
        <w:rPr>
          <w:rFonts w:ascii="Times New Roman" w:hAnsi="Times New Roman" w:cs="Times New Roman"/>
          <w:sz w:val="28"/>
          <w:szCs w:val="28"/>
        </w:rPr>
        <w:t>Эмоционалды саланы бағалау</w:t>
      </w:r>
    </w:p>
    <w:tbl>
      <w:tblPr>
        <w:tblStyle w:val="af3"/>
        <w:tblW w:w="4967" w:type="pct"/>
        <w:tblLook w:val="04A0" w:firstRow="1" w:lastRow="0" w:firstColumn="1" w:lastColumn="0" w:noHBand="0" w:noVBand="1"/>
      </w:tblPr>
      <w:tblGrid>
        <w:gridCol w:w="2303"/>
        <w:gridCol w:w="1576"/>
        <w:gridCol w:w="1710"/>
        <w:gridCol w:w="1949"/>
        <w:gridCol w:w="2026"/>
      </w:tblGrid>
      <w:tr w:rsidR="00D65092" w:rsidRPr="007D4043" w14:paraId="579AAA31" w14:textId="77777777" w:rsidTr="0013539F">
        <w:trPr>
          <w:trHeight w:val="427"/>
        </w:trPr>
        <w:tc>
          <w:tcPr>
            <w:tcW w:w="1204" w:type="pct"/>
          </w:tcPr>
          <w:p w14:paraId="58712239" w14:textId="0CCA3B6B" w:rsidR="00D65092" w:rsidRPr="007D4043" w:rsidRDefault="00D65092" w:rsidP="00D65092">
            <w:pPr>
              <w:ind w:firstLine="31"/>
              <w:rPr>
                <w:rFonts w:ascii="Times New Roman" w:hAnsi="Times New Roman" w:cs="Times New Roman"/>
                <w:sz w:val="24"/>
                <w:szCs w:val="24"/>
              </w:rPr>
            </w:pPr>
            <w:r w:rsidRPr="00D65092">
              <w:rPr>
                <w:rFonts w:ascii="Times New Roman" w:hAnsi="Times New Roman" w:cs="Times New Roman"/>
                <w:sz w:val="24"/>
                <w:szCs w:val="24"/>
              </w:rPr>
              <w:t>Белгісі</w:t>
            </w:r>
          </w:p>
        </w:tc>
        <w:tc>
          <w:tcPr>
            <w:tcW w:w="824" w:type="pct"/>
          </w:tcPr>
          <w:p w14:paraId="073ACA04" w14:textId="690C7AF0" w:rsidR="00D65092" w:rsidRPr="007D4043" w:rsidRDefault="00D65092" w:rsidP="00D65092">
            <w:pPr>
              <w:rPr>
                <w:rFonts w:ascii="Times New Roman" w:hAnsi="Times New Roman" w:cs="Times New Roman"/>
                <w:sz w:val="24"/>
                <w:szCs w:val="24"/>
              </w:rPr>
            </w:pPr>
            <w:r w:rsidRPr="00D65092">
              <w:rPr>
                <w:rFonts w:ascii="Times New Roman" w:hAnsi="Times New Roman" w:cs="Times New Roman"/>
                <w:sz w:val="24"/>
                <w:szCs w:val="24"/>
              </w:rPr>
              <w:t>Бұзылған жоқ</w:t>
            </w:r>
          </w:p>
        </w:tc>
        <w:tc>
          <w:tcPr>
            <w:tcW w:w="894" w:type="pct"/>
          </w:tcPr>
          <w:p w14:paraId="75649EBE" w14:textId="3357A526" w:rsidR="00D65092" w:rsidRPr="007D4043" w:rsidRDefault="00D65092" w:rsidP="00D65092">
            <w:pPr>
              <w:ind w:firstLine="31"/>
              <w:rPr>
                <w:rFonts w:ascii="Times New Roman" w:hAnsi="Times New Roman" w:cs="Times New Roman"/>
                <w:sz w:val="24"/>
                <w:szCs w:val="24"/>
              </w:rPr>
            </w:pPr>
            <w:r w:rsidRPr="00D65092">
              <w:rPr>
                <w:rFonts w:ascii="Times New Roman" w:hAnsi="Times New Roman" w:cs="Times New Roman"/>
                <w:sz w:val="24"/>
                <w:szCs w:val="24"/>
              </w:rPr>
              <w:t>Жеңіл дәреже (аптасына 1-2 рет байқалады)</w:t>
            </w:r>
          </w:p>
        </w:tc>
        <w:tc>
          <w:tcPr>
            <w:tcW w:w="1019" w:type="pct"/>
          </w:tcPr>
          <w:p w14:paraId="302ACE12" w14:textId="78769C30" w:rsidR="00D65092" w:rsidRPr="007D4043" w:rsidRDefault="00D65092" w:rsidP="00D65092">
            <w:pPr>
              <w:ind w:firstLine="39"/>
              <w:rPr>
                <w:rFonts w:ascii="Times New Roman" w:hAnsi="Times New Roman" w:cs="Times New Roman"/>
                <w:sz w:val="24"/>
                <w:szCs w:val="24"/>
              </w:rPr>
            </w:pPr>
            <w:r w:rsidRPr="00D65092">
              <w:rPr>
                <w:rFonts w:ascii="Times New Roman" w:hAnsi="Times New Roman" w:cs="Times New Roman"/>
                <w:sz w:val="24"/>
                <w:szCs w:val="24"/>
              </w:rPr>
              <w:t>Орташа дәреже (аптасына 3-4 рет байқалады)</w:t>
            </w:r>
          </w:p>
        </w:tc>
        <w:tc>
          <w:tcPr>
            <w:tcW w:w="1059" w:type="pct"/>
          </w:tcPr>
          <w:p w14:paraId="75304381" w14:textId="35C82CF3" w:rsidR="00D65092" w:rsidRPr="007D4043" w:rsidRDefault="00D65092" w:rsidP="00D65092">
            <w:pPr>
              <w:rPr>
                <w:rFonts w:ascii="Times New Roman" w:hAnsi="Times New Roman" w:cs="Times New Roman"/>
                <w:sz w:val="24"/>
                <w:szCs w:val="24"/>
              </w:rPr>
            </w:pPr>
            <w:r w:rsidRPr="00D65092">
              <w:rPr>
                <w:rFonts w:ascii="Times New Roman" w:hAnsi="Times New Roman" w:cs="Times New Roman"/>
                <w:sz w:val="24"/>
                <w:szCs w:val="24"/>
              </w:rPr>
              <w:t>Ауыр дәреже (күнделікті байқалады)</w:t>
            </w:r>
          </w:p>
        </w:tc>
      </w:tr>
      <w:tr w:rsidR="004E44B5" w:rsidRPr="007D4043" w14:paraId="625667DB" w14:textId="77777777" w:rsidTr="0013539F">
        <w:trPr>
          <w:trHeight w:val="269"/>
        </w:trPr>
        <w:tc>
          <w:tcPr>
            <w:tcW w:w="1204" w:type="pct"/>
          </w:tcPr>
          <w:p w14:paraId="637FFD3B" w14:textId="79423118" w:rsidR="004E44B5" w:rsidRPr="007D4043" w:rsidRDefault="00D65092" w:rsidP="0013539F">
            <w:pPr>
              <w:ind w:firstLine="31"/>
              <w:rPr>
                <w:rFonts w:ascii="Times New Roman" w:hAnsi="Times New Roman" w:cs="Times New Roman"/>
                <w:sz w:val="24"/>
                <w:szCs w:val="24"/>
              </w:rPr>
            </w:pPr>
            <w:r w:rsidRPr="00D65092">
              <w:rPr>
                <w:rFonts w:ascii="Times New Roman" w:hAnsi="Times New Roman" w:cs="Times New Roman"/>
                <w:sz w:val="24"/>
                <w:szCs w:val="24"/>
              </w:rPr>
              <w:t>Тітіркену</w:t>
            </w:r>
          </w:p>
        </w:tc>
        <w:tc>
          <w:tcPr>
            <w:tcW w:w="824" w:type="pct"/>
          </w:tcPr>
          <w:p w14:paraId="40229BB2" w14:textId="77777777" w:rsidR="004E44B5" w:rsidRPr="007D4043" w:rsidRDefault="004E44B5" w:rsidP="0013539F">
            <w:pPr>
              <w:rPr>
                <w:rFonts w:ascii="Times New Roman" w:hAnsi="Times New Roman" w:cs="Times New Roman"/>
                <w:sz w:val="24"/>
                <w:szCs w:val="24"/>
              </w:rPr>
            </w:pPr>
            <w:r w:rsidRPr="007D4043">
              <w:rPr>
                <w:rFonts w:ascii="Times New Roman" w:hAnsi="Times New Roman" w:cs="Times New Roman"/>
                <w:sz w:val="24"/>
                <w:szCs w:val="24"/>
              </w:rPr>
              <w:t>0</w:t>
            </w:r>
          </w:p>
        </w:tc>
        <w:tc>
          <w:tcPr>
            <w:tcW w:w="894" w:type="pct"/>
          </w:tcPr>
          <w:p w14:paraId="0ABBDEA6" w14:textId="77777777" w:rsidR="004E44B5" w:rsidRPr="007D4043" w:rsidRDefault="004E44B5" w:rsidP="0013539F">
            <w:pPr>
              <w:ind w:firstLine="31"/>
              <w:rPr>
                <w:rFonts w:ascii="Times New Roman" w:hAnsi="Times New Roman" w:cs="Times New Roman"/>
                <w:sz w:val="24"/>
                <w:szCs w:val="24"/>
              </w:rPr>
            </w:pPr>
            <w:r w:rsidRPr="007D4043">
              <w:rPr>
                <w:rFonts w:ascii="Times New Roman" w:hAnsi="Times New Roman" w:cs="Times New Roman"/>
                <w:sz w:val="24"/>
                <w:szCs w:val="24"/>
              </w:rPr>
              <w:t>1</w:t>
            </w:r>
          </w:p>
        </w:tc>
        <w:tc>
          <w:tcPr>
            <w:tcW w:w="1019" w:type="pct"/>
          </w:tcPr>
          <w:p w14:paraId="645937C1" w14:textId="77777777" w:rsidR="004E44B5" w:rsidRPr="007D4043" w:rsidRDefault="004E44B5" w:rsidP="0013539F">
            <w:pPr>
              <w:ind w:firstLine="39"/>
              <w:rPr>
                <w:rFonts w:ascii="Times New Roman" w:hAnsi="Times New Roman" w:cs="Times New Roman"/>
                <w:sz w:val="24"/>
                <w:szCs w:val="24"/>
              </w:rPr>
            </w:pPr>
            <w:r w:rsidRPr="007D4043">
              <w:rPr>
                <w:rFonts w:ascii="Times New Roman" w:hAnsi="Times New Roman" w:cs="Times New Roman"/>
                <w:sz w:val="24"/>
                <w:szCs w:val="24"/>
              </w:rPr>
              <w:t>2</w:t>
            </w:r>
          </w:p>
        </w:tc>
        <w:tc>
          <w:tcPr>
            <w:tcW w:w="1059" w:type="pct"/>
          </w:tcPr>
          <w:p w14:paraId="4DBCE2D2" w14:textId="77777777" w:rsidR="004E44B5" w:rsidRPr="007D4043" w:rsidRDefault="004E44B5" w:rsidP="0013539F">
            <w:pPr>
              <w:rPr>
                <w:rFonts w:ascii="Times New Roman" w:hAnsi="Times New Roman" w:cs="Times New Roman"/>
                <w:sz w:val="24"/>
                <w:szCs w:val="24"/>
              </w:rPr>
            </w:pPr>
            <w:r w:rsidRPr="007D4043">
              <w:rPr>
                <w:rFonts w:ascii="Times New Roman" w:hAnsi="Times New Roman" w:cs="Times New Roman"/>
                <w:sz w:val="24"/>
                <w:szCs w:val="24"/>
              </w:rPr>
              <w:t>3</w:t>
            </w:r>
          </w:p>
        </w:tc>
      </w:tr>
      <w:tr w:rsidR="004E44B5" w:rsidRPr="007D4043" w14:paraId="0FA49EAB" w14:textId="77777777" w:rsidTr="0013539F">
        <w:trPr>
          <w:trHeight w:val="260"/>
        </w:trPr>
        <w:tc>
          <w:tcPr>
            <w:tcW w:w="1204" w:type="pct"/>
          </w:tcPr>
          <w:p w14:paraId="27DB2709" w14:textId="4B2BD190" w:rsidR="004E44B5" w:rsidRPr="007D4043" w:rsidRDefault="00D65092" w:rsidP="0013539F">
            <w:pPr>
              <w:ind w:firstLine="31"/>
              <w:rPr>
                <w:rFonts w:ascii="Times New Roman" w:hAnsi="Times New Roman" w:cs="Times New Roman"/>
                <w:sz w:val="24"/>
                <w:szCs w:val="24"/>
              </w:rPr>
            </w:pPr>
            <w:r w:rsidRPr="00D65092">
              <w:rPr>
                <w:rFonts w:ascii="Times New Roman" w:hAnsi="Times New Roman" w:cs="Times New Roman"/>
                <w:sz w:val="24"/>
                <w:szCs w:val="24"/>
              </w:rPr>
              <w:t>Мазасыздық</w:t>
            </w:r>
          </w:p>
        </w:tc>
        <w:tc>
          <w:tcPr>
            <w:tcW w:w="824" w:type="pct"/>
          </w:tcPr>
          <w:p w14:paraId="1D753C05" w14:textId="77777777" w:rsidR="004E44B5" w:rsidRPr="007D4043" w:rsidRDefault="004E44B5" w:rsidP="0013539F">
            <w:pPr>
              <w:rPr>
                <w:rFonts w:ascii="Times New Roman" w:hAnsi="Times New Roman" w:cs="Times New Roman"/>
                <w:sz w:val="24"/>
                <w:szCs w:val="24"/>
              </w:rPr>
            </w:pPr>
            <w:r w:rsidRPr="007D4043">
              <w:rPr>
                <w:rFonts w:ascii="Times New Roman" w:hAnsi="Times New Roman" w:cs="Times New Roman"/>
                <w:sz w:val="24"/>
                <w:szCs w:val="24"/>
              </w:rPr>
              <w:t>0</w:t>
            </w:r>
          </w:p>
        </w:tc>
        <w:tc>
          <w:tcPr>
            <w:tcW w:w="894" w:type="pct"/>
          </w:tcPr>
          <w:p w14:paraId="358C44B0" w14:textId="77777777" w:rsidR="004E44B5" w:rsidRPr="007D4043" w:rsidRDefault="004E44B5" w:rsidP="0013539F">
            <w:pPr>
              <w:ind w:firstLine="31"/>
              <w:rPr>
                <w:rFonts w:ascii="Times New Roman" w:hAnsi="Times New Roman" w:cs="Times New Roman"/>
                <w:sz w:val="24"/>
                <w:szCs w:val="24"/>
              </w:rPr>
            </w:pPr>
            <w:r w:rsidRPr="007D4043">
              <w:rPr>
                <w:rFonts w:ascii="Times New Roman" w:hAnsi="Times New Roman" w:cs="Times New Roman"/>
                <w:sz w:val="24"/>
                <w:szCs w:val="24"/>
              </w:rPr>
              <w:t>1</w:t>
            </w:r>
          </w:p>
        </w:tc>
        <w:tc>
          <w:tcPr>
            <w:tcW w:w="1019" w:type="pct"/>
          </w:tcPr>
          <w:p w14:paraId="6133E89B" w14:textId="77777777" w:rsidR="004E44B5" w:rsidRPr="007D4043" w:rsidRDefault="004E44B5" w:rsidP="0013539F">
            <w:pPr>
              <w:ind w:firstLine="39"/>
              <w:rPr>
                <w:rFonts w:ascii="Times New Roman" w:hAnsi="Times New Roman" w:cs="Times New Roman"/>
                <w:sz w:val="24"/>
                <w:szCs w:val="24"/>
              </w:rPr>
            </w:pPr>
            <w:r w:rsidRPr="007D4043">
              <w:rPr>
                <w:rFonts w:ascii="Times New Roman" w:hAnsi="Times New Roman" w:cs="Times New Roman"/>
                <w:sz w:val="24"/>
                <w:szCs w:val="24"/>
              </w:rPr>
              <w:t>2</w:t>
            </w:r>
          </w:p>
        </w:tc>
        <w:tc>
          <w:tcPr>
            <w:tcW w:w="1059" w:type="pct"/>
          </w:tcPr>
          <w:p w14:paraId="1F6F65E4" w14:textId="77777777" w:rsidR="004E44B5" w:rsidRPr="007D4043" w:rsidRDefault="004E44B5" w:rsidP="0013539F">
            <w:pPr>
              <w:rPr>
                <w:rFonts w:ascii="Times New Roman" w:hAnsi="Times New Roman" w:cs="Times New Roman"/>
                <w:sz w:val="24"/>
                <w:szCs w:val="24"/>
              </w:rPr>
            </w:pPr>
            <w:r w:rsidRPr="007D4043">
              <w:rPr>
                <w:rFonts w:ascii="Times New Roman" w:hAnsi="Times New Roman" w:cs="Times New Roman"/>
                <w:sz w:val="24"/>
                <w:szCs w:val="24"/>
              </w:rPr>
              <w:t>3</w:t>
            </w:r>
          </w:p>
        </w:tc>
      </w:tr>
    </w:tbl>
    <w:p w14:paraId="3967BA7F" w14:textId="77777777" w:rsidR="004E44B5" w:rsidRPr="007D4043" w:rsidRDefault="004E44B5" w:rsidP="004E44B5">
      <w:pPr>
        <w:spacing w:after="0" w:line="240" w:lineRule="auto"/>
        <w:rPr>
          <w:rFonts w:ascii="Times New Roman" w:hAnsi="Times New Roman" w:cs="Times New Roman"/>
          <w:sz w:val="28"/>
          <w:szCs w:val="28"/>
        </w:rPr>
      </w:pPr>
    </w:p>
    <w:p w14:paraId="5B6A72B3" w14:textId="3E07A683" w:rsidR="004E44B5" w:rsidRPr="007D4043" w:rsidRDefault="00864882" w:rsidP="004E44B5">
      <w:pPr>
        <w:spacing w:after="0" w:line="240" w:lineRule="auto"/>
        <w:jc w:val="center"/>
        <w:rPr>
          <w:rFonts w:ascii="Times New Roman" w:hAnsi="Times New Roman" w:cs="Times New Roman"/>
          <w:sz w:val="28"/>
          <w:szCs w:val="28"/>
        </w:rPr>
      </w:pPr>
      <w:r w:rsidRPr="004E44B5">
        <w:rPr>
          <w:rFonts w:ascii="Times New Roman" w:hAnsi="Times New Roman" w:cs="Times New Roman"/>
          <w:sz w:val="28"/>
          <w:szCs w:val="28"/>
        </w:rPr>
        <w:t>Бөлім</w:t>
      </w:r>
      <w:r w:rsidRPr="007D4043">
        <w:rPr>
          <w:rFonts w:ascii="Times New Roman" w:hAnsi="Times New Roman" w:cs="Times New Roman"/>
          <w:sz w:val="28"/>
          <w:szCs w:val="28"/>
        </w:rPr>
        <w:t xml:space="preserve"> </w:t>
      </w:r>
      <w:r w:rsidR="004E44B5" w:rsidRPr="007D4043">
        <w:rPr>
          <w:rFonts w:ascii="Times New Roman" w:hAnsi="Times New Roman" w:cs="Times New Roman"/>
          <w:sz w:val="28"/>
          <w:szCs w:val="28"/>
        </w:rPr>
        <w:t>3</w:t>
      </w:r>
    </w:p>
    <w:p w14:paraId="1DBF31B1" w14:textId="6BEB2A15" w:rsidR="004E44B5" w:rsidRPr="007D4043" w:rsidRDefault="00864882" w:rsidP="004E44B5">
      <w:pPr>
        <w:spacing w:after="0" w:line="240" w:lineRule="auto"/>
        <w:jc w:val="center"/>
        <w:rPr>
          <w:rFonts w:ascii="Times New Roman" w:hAnsi="Times New Roman" w:cs="Times New Roman"/>
          <w:sz w:val="28"/>
          <w:szCs w:val="28"/>
        </w:rPr>
      </w:pPr>
      <w:r w:rsidRPr="00864882">
        <w:rPr>
          <w:rFonts w:ascii="Times New Roman" w:hAnsi="Times New Roman" w:cs="Times New Roman"/>
          <w:sz w:val="28"/>
          <w:szCs w:val="28"/>
        </w:rPr>
        <w:t>Жалпы белгілерді бағалау</w:t>
      </w:r>
    </w:p>
    <w:tbl>
      <w:tblPr>
        <w:tblStyle w:val="af3"/>
        <w:tblW w:w="4967" w:type="pct"/>
        <w:tblLook w:val="04A0" w:firstRow="1" w:lastRow="0" w:firstColumn="1" w:lastColumn="0" w:noHBand="0" w:noVBand="1"/>
      </w:tblPr>
      <w:tblGrid>
        <w:gridCol w:w="2303"/>
        <w:gridCol w:w="1576"/>
        <w:gridCol w:w="1710"/>
        <w:gridCol w:w="1949"/>
        <w:gridCol w:w="2026"/>
      </w:tblGrid>
      <w:tr w:rsidR="00864882" w:rsidRPr="007E6025" w14:paraId="3E6B5B39" w14:textId="77777777" w:rsidTr="0013539F">
        <w:trPr>
          <w:trHeight w:val="427"/>
        </w:trPr>
        <w:tc>
          <w:tcPr>
            <w:tcW w:w="1204" w:type="pct"/>
          </w:tcPr>
          <w:p w14:paraId="4AE22605" w14:textId="004B4FE3" w:rsidR="00864882" w:rsidRPr="007E6025" w:rsidRDefault="00864882" w:rsidP="00864882">
            <w:pPr>
              <w:ind w:firstLine="31"/>
              <w:rPr>
                <w:rFonts w:ascii="Times New Roman" w:hAnsi="Times New Roman" w:cs="Times New Roman"/>
                <w:sz w:val="24"/>
                <w:szCs w:val="24"/>
              </w:rPr>
            </w:pPr>
            <w:r w:rsidRPr="007E6025">
              <w:rPr>
                <w:rFonts w:ascii="Times New Roman" w:hAnsi="Times New Roman" w:cs="Times New Roman"/>
                <w:sz w:val="24"/>
                <w:szCs w:val="24"/>
              </w:rPr>
              <w:t>Белгісі</w:t>
            </w:r>
          </w:p>
        </w:tc>
        <w:tc>
          <w:tcPr>
            <w:tcW w:w="824" w:type="pct"/>
          </w:tcPr>
          <w:p w14:paraId="60D97C09" w14:textId="1416752A" w:rsidR="00864882" w:rsidRPr="007E6025" w:rsidRDefault="00864882" w:rsidP="00864882">
            <w:pPr>
              <w:rPr>
                <w:rFonts w:ascii="Times New Roman" w:hAnsi="Times New Roman" w:cs="Times New Roman"/>
                <w:sz w:val="24"/>
                <w:szCs w:val="24"/>
              </w:rPr>
            </w:pPr>
            <w:r w:rsidRPr="007E6025">
              <w:rPr>
                <w:rFonts w:ascii="Times New Roman" w:hAnsi="Times New Roman" w:cs="Times New Roman"/>
                <w:sz w:val="24"/>
                <w:szCs w:val="24"/>
              </w:rPr>
              <w:t>Бұзылған жоқ</w:t>
            </w:r>
          </w:p>
        </w:tc>
        <w:tc>
          <w:tcPr>
            <w:tcW w:w="894" w:type="pct"/>
          </w:tcPr>
          <w:p w14:paraId="12784688" w14:textId="114B466B" w:rsidR="00864882" w:rsidRPr="007E6025" w:rsidRDefault="007E6025" w:rsidP="00864882">
            <w:pPr>
              <w:rPr>
                <w:rFonts w:ascii="Times New Roman" w:hAnsi="Times New Roman" w:cs="Times New Roman"/>
                <w:sz w:val="24"/>
                <w:szCs w:val="24"/>
              </w:rPr>
            </w:pPr>
            <w:r w:rsidRPr="007E6025">
              <w:rPr>
                <w:rFonts w:ascii="Times New Roman" w:hAnsi="Times New Roman" w:cs="Times New Roman"/>
                <w:sz w:val="24"/>
                <w:szCs w:val="24"/>
              </w:rPr>
              <w:t>Жеңіл дәреже (симптомдар күні бойы өзгермелі, жеңіл, аптасына 1-2 рет мазалайды)</w:t>
            </w:r>
          </w:p>
        </w:tc>
        <w:tc>
          <w:tcPr>
            <w:tcW w:w="1019" w:type="pct"/>
          </w:tcPr>
          <w:p w14:paraId="2B367A0B" w14:textId="69D7376B" w:rsidR="00864882" w:rsidRPr="007E6025" w:rsidRDefault="007E6025" w:rsidP="00864882">
            <w:pPr>
              <w:ind w:firstLine="39"/>
              <w:rPr>
                <w:rFonts w:ascii="Times New Roman" w:hAnsi="Times New Roman" w:cs="Times New Roman"/>
                <w:sz w:val="24"/>
                <w:szCs w:val="24"/>
              </w:rPr>
            </w:pPr>
            <w:r w:rsidRPr="007E6025">
              <w:rPr>
                <w:rFonts w:ascii="Times New Roman" w:hAnsi="Times New Roman" w:cs="Times New Roman"/>
                <w:sz w:val="24"/>
                <w:szCs w:val="24"/>
              </w:rPr>
              <w:t>Орташа дәреже (симптомдар күндіз мезгіл - мезгіл, орташа, аптасына 3-4 рет мазалайды)</w:t>
            </w:r>
          </w:p>
        </w:tc>
        <w:tc>
          <w:tcPr>
            <w:tcW w:w="1059" w:type="pct"/>
          </w:tcPr>
          <w:p w14:paraId="63F4B908" w14:textId="74A3F4C2" w:rsidR="00864882" w:rsidRPr="007E6025" w:rsidRDefault="007E6025" w:rsidP="00864882">
            <w:pPr>
              <w:rPr>
                <w:rFonts w:ascii="Times New Roman" w:hAnsi="Times New Roman" w:cs="Times New Roman"/>
                <w:sz w:val="24"/>
                <w:szCs w:val="24"/>
              </w:rPr>
            </w:pPr>
            <w:r w:rsidRPr="007E6025">
              <w:rPr>
                <w:rFonts w:ascii="Times New Roman" w:hAnsi="Times New Roman" w:cs="Times New Roman"/>
                <w:sz w:val="24"/>
                <w:szCs w:val="24"/>
              </w:rPr>
              <w:t>Ауыр дәреже (симптомдар күні бойы тұрақты, күшті, күнделікті)</w:t>
            </w:r>
          </w:p>
        </w:tc>
      </w:tr>
      <w:tr w:rsidR="004E44B5" w:rsidRPr="007E6025" w14:paraId="3D81D86A" w14:textId="77777777" w:rsidTr="0013539F">
        <w:trPr>
          <w:trHeight w:val="290"/>
        </w:trPr>
        <w:tc>
          <w:tcPr>
            <w:tcW w:w="1204" w:type="pct"/>
          </w:tcPr>
          <w:p w14:paraId="37976217" w14:textId="1B4B610C" w:rsidR="004E44B5" w:rsidRPr="007E6025" w:rsidRDefault="0013539F" w:rsidP="0013539F">
            <w:pPr>
              <w:ind w:firstLine="31"/>
              <w:rPr>
                <w:rFonts w:ascii="Times New Roman" w:hAnsi="Times New Roman" w:cs="Times New Roman"/>
                <w:sz w:val="24"/>
                <w:szCs w:val="24"/>
              </w:rPr>
            </w:pPr>
            <w:r w:rsidRPr="0013539F">
              <w:rPr>
                <w:rFonts w:ascii="Times New Roman" w:hAnsi="Times New Roman" w:cs="Times New Roman"/>
                <w:sz w:val="24"/>
                <w:szCs w:val="24"/>
              </w:rPr>
              <w:t>Бас ауруы</w:t>
            </w:r>
          </w:p>
        </w:tc>
        <w:tc>
          <w:tcPr>
            <w:tcW w:w="824" w:type="pct"/>
          </w:tcPr>
          <w:p w14:paraId="459AD1AA" w14:textId="77777777" w:rsidR="004E44B5" w:rsidRPr="007E6025" w:rsidRDefault="004E44B5" w:rsidP="0013539F">
            <w:pPr>
              <w:jc w:val="center"/>
              <w:rPr>
                <w:rFonts w:ascii="Times New Roman" w:hAnsi="Times New Roman" w:cs="Times New Roman"/>
                <w:sz w:val="24"/>
                <w:szCs w:val="24"/>
              </w:rPr>
            </w:pPr>
            <w:r w:rsidRPr="007E6025">
              <w:rPr>
                <w:rFonts w:ascii="Times New Roman" w:hAnsi="Times New Roman" w:cs="Times New Roman"/>
                <w:sz w:val="24"/>
                <w:szCs w:val="24"/>
              </w:rPr>
              <w:t>0</w:t>
            </w:r>
          </w:p>
        </w:tc>
        <w:tc>
          <w:tcPr>
            <w:tcW w:w="894" w:type="pct"/>
          </w:tcPr>
          <w:p w14:paraId="5F6A4145" w14:textId="77777777" w:rsidR="004E44B5" w:rsidRPr="007E6025" w:rsidRDefault="004E44B5" w:rsidP="0013539F">
            <w:pPr>
              <w:jc w:val="center"/>
              <w:rPr>
                <w:rFonts w:ascii="Times New Roman" w:hAnsi="Times New Roman" w:cs="Times New Roman"/>
                <w:sz w:val="24"/>
                <w:szCs w:val="24"/>
              </w:rPr>
            </w:pPr>
            <w:r w:rsidRPr="007E6025">
              <w:rPr>
                <w:rFonts w:ascii="Times New Roman" w:hAnsi="Times New Roman" w:cs="Times New Roman"/>
                <w:sz w:val="24"/>
                <w:szCs w:val="24"/>
              </w:rPr>
              <w:t>1</w:t>
            </w:r>
          </w:p>
        </w:tc>
        <w:tc>
          <w:tcPr>
            <w:tcW w:w="1019" w:type="pct"/>
          </w:tcPr>
          <w:p w14:paraId="0A56DE18" w14:textId="77777777" w:rsidR="004E44B5" w:rsidRPr="007E6025" w:rsidRDefault="004E44B5" w:rsidP="0013539F">
            <w:pPr>
              <w:ind w:firstLine="39"/>
              <w:jc w:val="center"/>
              <w:rPr>
                <w:rFonts w:ascii="Times New Roman" w:hAnsi="Times New Roman" w:cs="Times New Roman"/>
                <w:sz w:val="24"/>
                <w:szCs w:val="24"/>
              </w:rPr>
            </w:pPr>
            <w:r w:rsidRPr="007E6025">
              <w:rPr>
                <w:rFonts w:ascii="Times New Roman" w:hAnsi="Times New Roman" w:cs="Times New Roman"/>
                <w:sz w:val="24"/>
                <w:szCs w:val="24"/>
              </w:rPr>
              <w:t>2</w:t>
            </w:r>
          </w:p>
        </w:tc>
        <w:tc>
          <w:tcPr>
            <w:tcW w:w="1059" w:type="pct"/>
          </w:tcPr>
          <w:p w14:paraId="4192F305" w14:textId="77777777" w:rsidR="004E44B5" w:rsidRPr="007E6025" w:rsidRDefault="004E44B5" w:rsidP="0013539F">
            <w:pPr>
              <w:jc w:val="center"/>
              <w:rPr>
                <w:rFonts w:ascii="Times New Roman" w:hAnsi="Times New Roman" w:cs="Times New Roman"/>
                <w:sz w:val="24"/>
                <w:szCs w:val="24"/>
              </w:rPr>
            </w:pPr>
            <w:r w:rsidRPr="007E6025">
              <w:rPr>
                <w:rFonts w:ascii="Times New Roman" w:hAnsi="Times New Roman" w:cs="Times New Roman"/>
                <w:sz w:val="24"/>
                <w:szCs w:val="24"/>
              </w:rPr>
              <w:t>3</w:t>
            </w:r>
          </w:p>
        </w:tc>
      </w:tr>
      <w:tr w:rsidR="004E44B5" w:rsidRPr="007E6025" w14:paraId="6867E7A9" w14:textId="77777777" w:rsidTr="0013539F">
        <w:trPr>
          <w:trHeight w:val="265"/>
        </w:trPr>
        <w:tc>
          <w:tcPr>
            <w:tcW w:w="1204" w:type="pct"/>
          </w:tcPr>
          <w:p w14:paraId="39582CEE" w14:textId="311B4653" w:rsidR="004E44B5" w:rsidRPr="007E6025" w:rsidRDefault="0013539F" w:rsidP="0013539F">
            <w:pPr>
              <w:ind w:firstLine="31"/>
              <w:rPr>
                <w:rFonts w:ascii="Times New Roman" w:hAnsi="Times New Roman" w:cs="Times New Roman"/>
                <w:sz w:val="24"/>
                <w:szCs w:val="24"/>
              </w:rPr>
            </w:pPr>
            <w:r w:rsidRPr="0013539F">
              <w:rPr>
                <w:rFonts w:ascii="Times New Roman" w:hAnsi="Times New Roman" w:cs="Times New Roman"/>
                <w:sz w:val="24"/>
                <w:szCs w:val="24"/>
              </w:rPr>
              <w:t>Шаршау</w:t>
            </w:r>
          </w:p>
        </w:tc>
        <w:tc>
          <w:tcPr>
            <w:tcW w:w="824" w:type="pct"/>
          </w:tcPr>
          <w:p w14:paraId="06C078D0" w14:textId="77777777" w:rsidR="004E44B5" w:rsidRPr="007E6025" w:rsidRDefault="004E44B5" w:rsidP="0013539F">
            <w:pPr>
              <w:jc w:val="center"/>
              <w:rPr>
                <w:rFonts w:ascii="Times New Roman" w:hAnsi="Times New Roman" w:cs="Times New Roman"/>
                <w:sz w:val="24"/>
                <w:szCs w:val="24"/>
              </w:rPr>
            </w:pPr>
            <w:r w:rsidRPr="007E6025">
              <w:rPr>
                <w:rFonts w:ascii="Times New Roman" w:hAnsi="Times New Roman" w:cs="Times New Roman"/>
                <w:sz w:val="24"/>
                <w:szCs w:val="24"/>
              </w:rPr>
              <w:t>0</w:t>
            </w:r>
          </w:p>
        </w:tc>
        <w:tc>
          <w:tcPr>
            <w:tcW w:w="894" w:type="pct"/>
          </w:tcPr>
          <w:p w14:paraId="20E76894" w14:textId="77777777" w:rsidR="004E44B5" w:rsidRPr="007E6025" w:rsidRDefault="004E44B5" w:rsidP="0013539F">
            <w:pPr>
              <w:jc w:val="center"/>
              <w:rPr>
                <w:rFonts w:ascii="Times New Roman" w:hAnsi="Times New Roman" w:cs="Times New Roman"/>
                <w:sz w:val="24"/>
                <w:szCs w:val="24"/>
              </w:rPr>
            </w:pPr>
            <w:r w:rsidRPr="007E6025">
              <w:rPr>
                <w:rFonts w:ascii="Times New Roman" w:hAnsi="Times New Roman" w:cs="Times New Roman"/>
                <w:sz w:val="24"/>
                <w:szCs w:val="24"/>
              </w:rPr>
              <w:t>1</w:t>
            </w:r>
          </w:p>
        </w:tc>
        <w:tc>
          <w:tcPr>
            <w:tcW w:w="1019" w:type="pct"/>
          </w:tcPr>
          <w:p w14:paraId="68A3C543" w14:textId="77777777" w:rsidR="004E44B5" w:rsidRPr="007E6025" w:rsidRDefault="004E44B5" w:rsidP="0013539F">
            <w:pPr>
              <w:ind w:firstLine="39"/>
              <w:jc w:val="center"/>
              <w:rPr>
                <w:rFonts w:ascii="Times New Roman" w:hAnsi="Times New Roman" w:cs="Times New Roman"/>
                <w:sz w:val="24"/>
                <w:szCs w:val="24"/>
              </w:rPr>
            </w:pPr>
            <w:r w:rsidRPr="007E6025">
              <w:rPr>
                <w:rFonts w:ascii="Times New Roman" w:hAnsi="Times New Roman" w:cs="Times New Roman"/>
                <w:sz w:val="24"/>
                <w:szCs w:val="24"/>
              </w:rPr>
              <w:t>2</w:t>
            </w:r>
          </w:p>
        </w:tc>
        <w:tc>
          <w:tcPr>
            <w:tcW w:w="1059" w:type="pct"/>
          </w:tcPr>
          <w:p w14:paraId="6DD390D3" w14:textId="77777777" w:rsidR="004E44B5" w:rsidRPr="007E6025" w:rsidRDefault="004E44B5" w:rsidP="0013539F">
            <w:pPr>
              <w:jc w:val="center"/>
              <w:rPr>
                <w:rFonts w:ascii="Times New Roman" w:hAnsi="Times New Roman" w:cs="Times New Roman"/>
                <w:sz w:val="24"/>
                <w:szCs w:val="24"/>
              </w:rPr>
            </w:pPr>
            <w:r w:rsidRPr="007E6025">
              <w:rPr>
                <w:rFonts w:ascii="Times New Roman" w:hAnsi="Times New Roman" w:cs="Times New Roman"/>
                <w:sz w:val="24"/>
                <w:szCs w:val="24"/>
              </w:rPr>
              <w:t>3</w:t>
            </w:r>
          </w:p>
        </w:tc>
      </w:tr>
      <w:tr w:rsidR="004E44B5" w:rsidRPr="007E6025" w14:paraId="1309201F" w14:textId="77777777" w:rsidTr="0013539F">
        <w:trPr>
          <w:trHeight w:val="128"/>
        </w:trPr>
        <w:tc>
          <w:tcPr>
            <w:tcW w:w="1204" w:type="pct"/>
          </w:tcPr>
          <w:p w14:paraId="752F25B8" w14:textId="1B1EB8E3" w:rsidR="004E44B5" w:rsidRPr="007E6025" w:rsidRDefault="006512B2" w:rsidP="0013539F">
            <w:pPr>
              <w:ind w:firstLine="31"/>
              <w:rPr>
                <w:rFonts w:ascii="Times New Roman" w:hAnsi="Times New Roman" w:cs="Times New Roman"/>
                <w:sz w:val="24"/>
                <w:szCs w:val="24"/>
              </w:rPr>
            </w:pPr>
            <w:r w:rsidRPr="006512B2">
              <w:rPr>
                <w:rFonts w:ascii="Times New Roman" w:hAnsi="Times New Roman" w:cs="Times New Roman"/>
                <w:sz w:val="24"/>
                <w:szCs w:val="24"/>
              </w:rPr>
              <w:t>Назар аудару</w:t>
            </w:r>
          </w:p>
        </w:tc>
        <w:tc>
          <w:tcPr>
            <w:tcW w:w="824" w:type="pct"/>
          </w:tcPr>
          <w:p w14:paraId="2CC6F031" w14:textId="77777777" w:rsidR="004E44B5" w:rsidRPr="007E6025" w:rsidRDefault="004E44B5" w:rsidP="0013539F">
            <w:pPr>
              <w:jc w:val="center"/>
              <w:rPr>
                <w:rFonts w:ascii="Times New Roman" w:hAnsi="Times New Roman" w:cs="Times New Roman"/>
                <w:sz w:val="24"/>
                <w:szCs w:val="24"/>
              </w:rPr>
            </w:pPr>
            <w:r w:rsidRPr="007E6025">
              <w:rPr>
                <w:rFonts w:ascii="Times New Roman" w:hAnsi="Times New Roman" w:cs="Times New Roman"/>
                <w:sz w:val="24"/>
                <w:szCs w:val="24"/>
              </w:rPr>
              <w:t>0</w:t>
            </w:r>
          </w:p>
        </w:tc>
        <w:tc>
          <w:tcPr>
            <w:tcW w:w="894" w:type="pct"/>
          </w:tcPr>
          <w:p w14:paraId="66F95473" w14:textId="77777777" w:rsidR="004E44B5" w:rsidRPr="007E6025" w:rsidRDefault="004E44B5" w:rsidP="0013539F">
            <w:pPr>
              <w:jc w:val="center"/>
              <w:rPr>
                <w:rFonts w:ascii="Times New Roman" w:hAnsi="Times New Roman" w:cs="Times New Roman"/>
                <w:sz w:val="24"/>
                <w:szCs w:val="24"/>
              </w:rPr>
            </w:pPr>
            <w:r w:rsidRPr="007E6025">
              <w:rPr>
                <w:rFonts w:ascii="Times New Roman" w:hAnsi="Times New Roman" w:cs="Times New Roman"/>
                <w:sz w:val="24"/>
                <w:szCs w:val="24"/>
              </w:rPr>
              <w:t>1</w:t>
            </w:r>
          </w:p>
        </w:tc>
        <w:tc>
          <w:tcPr>
            <w:tcW w:w="1019" w:type="pct"/>
          </w:tcPr>
          <w:p w14:paraId="0629B904" w14:textId="77777777" w:rsidR="004E44B5" w:rsidRPr="007E6025" w:rsidRDefault="004E44B5" w:rsidP="0013539F">
            <w:pPr>
              <w:ind w:firstLine="39"/>
              <w:jc w:val="center"/>
              <w:rPr>
                <w:rFonts w:ascii="Times New Roman" w:hAnsi="Times New Roman" w:cs="Times New Roman"/>
                <w:sz w:val="24"/>
                <w:szCs w:val="24"/>
              </w:rPr>
            </w:pPr>
            <w:r w:rsidRPr="007E6025">
              <w:rPr>
                <w:rFonts w:ascii="Times New Roman" w:hAnsi="Times New Roman" w:cs="Times New Roman"/>
                <w:sz w:val="24"/>
                <w:szCs w:val="24"/>
              </w:rPr>
              <w:t>2</w:t>
            </w:r>
          </w:p>
        </w:tc>
        <w:tc>
          <w:tcPr>
            <w:tcW w:w="1059" w:type="pct"/>
          </w:tcPr>
          <w:p w14:paraId="09AB7DE3" w14:textId="77777777" w:rsidR="004E44B5" w:rsidRPr="007E6025" w:rsidRDefault="004E44B5" w:rsidP="0013539F">
            <w:pPr>
              <w:jc w:val="center"/>
              <w:rPr>
                <w:rFonts w:ascii="Times New Roman" w:hAnsi="Times New Roman" w:cs="Times New Roman"/>
                <w:sz w:val="24"/>
                <w:szCs w:val="24"/>
              </w:rPr>
            </w:pPr>
            <w:r w:rsidRPr="007E6025">
              <w:rPr>
                <w:rFonts w:ascii="Times New Roman" w:hAnsi="Times New Roman" w:cs="Times New Roman"/>
                <w:sz w:val="24"/>
                <w:szCs w:val="24"/>
              </w:rPr>
              <w:t>3</w:t>
            </w:r>
          </w:p>
        </w:tc>
      </w:tr>
    </w:tbl>
    <w:p w14:paraId="6021F0A5" w14:textId="77777777" w:rsidR="004E44B5" w:rsidRPr="007D4043" w:rsidRDefault="004E44B5" w:rsidP="004E44B5">
      <w:pPr>
        <w:spacing w:after="0" w:line="240" w:lineRule="auto"/>
        <w:jc w:val="center"/>
        <w:rPr>
          <w:rFonts w:ascii="Times New Roman" w:hAnsi="Times New Roman" w:cs="Times New Roman"/>
          <w:sz w:val="28"/>
          <w:szCs w:val="28"/>
        </w:rPr>
      </w:pPr>
    </w:p>
    <w:p w14:paraId="1119CA4D" w14:textId="6A07625E" w:rsidR="004E44B5" w:rsidRPr="007D4043" w:rsidRDefault="00D44780" w:rsidP="004E44B5">
      <w:pPr>
        <w:spacing w:after="0" w:line="240" w:lineRule="auto"/>
        <w:jc w:val="center"/>
        <w:rPr>
          <w:rFonts w:ascii="Times New Roman" w:hAnsi="Times New Roman" w:cs="Times New Roman"/>
          <w:sz w:val="28"/>
          <w:szCs w:val="28"/>
        </w:rPr>
      </w:pPr>
      <w:r w:rsidRPr="004E44B5">
        <w:rPr>
          <w:rFonts w:ascii="Times New Roman" w:hAnsi="Times New Roman" w:cs="Times New Roman"/>
          <w:sz w:val="28"/>
          <w:szCs w:val="28"/>
        </w:rPr>
        <w:t>Бөлім</w:t>
      </w:r>
      <w:r w:rsidRPr="007D4043">
        <w:rPr>
          <w:rFonts w:ascii="Times New Roman" w:hAnsi="Times New Roman" w:cs="Times New Roman"/>
          <w:sz w:val="28"/>
          <w:szCs w:val="28"/>
        </w:rPr>
        <w:t xml:space="preserve"> </w:t>
      </w:r>
      <w:r w:rsidR="004E44B5" w:rsidRPr="007D4043">
        <w:rPr>
          <w:rFonts w:ascii="Times New Roman" w:hAnsi="Times New Roman" w:cs="Times New Roman"/>
          <w:sz w:val="28"/>
          <w:szCs w:val="28"/>
        </w:rPr>
        <w:t>4</w:t>
      </w:r>
    </w:p>
    <w:p w14:paraId="2572B614" w14:textId="68F81A3B" w:rsidR="004E44B5" w:rsidRPr="007D4043" w:rsidRDefault="00D44780" w:rsidP="004E44B5">
      <w:pPr>
        <w:spacing w:after="0" w:line="240" w:lineRule="auto"/>
        <w:jc w:val="center"/>
        <w:rPr>
          <w:rFonts w:ascii="Times New Roman" w:hAnsi="Times New Roman" w:cs="Times New Roman"/>
          <w:sz w:val="28"/>
          <w:szCs w:val="28"/>
        </w:rPr>
      </w:pPr>
      <w:r w:rsidRPr="00D44780">
        <w:rPr>
          <w:rFonts w:ascii="Times New Roman" w:hAnsi="Times New Roman" w:cs="Times New Roman"/>
          <w:sz w:val="28"/>
          <w:szCs w:val="28"/>
        </w:rPr>
        <w:t>Өршу кезеңінде физикалық белсенділіктің қандай түрлерін жиі шектеуге тура келеді?</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387"/>
        <w:gridCol w:w="608"/>
        <w:gridCol w:w="3921"/>
        <w:gridCol w:w="712"/>
      </w:tblGrid>
      <w:tr w:rsidR="004E44B5" w:rsidRPr="007D4043" w14:paraId="315EF437" w14:textId="77777777" w:rsidTr="0013539F">
        <w:tc>
          <w:tcPr>
            <w:tcW w:w="2278" w:type="pct"/>
            <w:tcBorders>
              <w:top w:val="single" w:sz="4" w:space="0" w:color="auto"/>
              <w:left w:val="single" w:sz="4" w:space="0" w:color="auto"/>
              <w:bottom w:val="single" w:sz="4" w:space="0" w:color="auto"/>
              <w:right w:val="single" w:sz="4" w:space="0" w:color="auto"/>
            </w:tcBorders>
            <w:vAlign w:val="center"/>
            <w:hideMark/>
          </w:tcPr>
          <w:p w14:paraId="3CBFE965" w14:textId="7B543F78" w:rsidR="004E44B5" w:rsidRPr="007D4043" w:rsidRDefault="004E44B5" w:rsidP="0013539F">
            <w:pPr>
              <w:spacing w:after="0" w:line="240" w:lineRule="auto"/>
              <w:ind w:firstLine="36"/>
              <w:jc w:val="both"/>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 xml:space="preserve">1. </w:t>
            </w:r>
            <w:r w:rsidR="002D5C2D" w:rsidRPr="002D5C2D">
              <w:rPr>
                <w:rFonts w:ascii="Times New Roman" w:eastAsia="Times New Roman" w:hAnsi="Times New Roman" w:cs="Times New Roman"/>
                <w:sz w:val="24"/>
                <w:szCs w:val="24"/>
                <w:lang w:eastAsia="ru-RU"/>
              </w:rPr>
              <w:t>Велосипедпен жүру</w:t>
            </w:r>
          </w:p>
        </w:tc>
        <w:tc>
          <w:tcPr>
            <w:tcW w:w="316" w:type="pct"/>
            <w:tcBorders>
              <w:top w:val="single" w:sz="4" w:space="0" w:color="auto"/>
              <w:left w:val="single" w:sz="4" w:space="0" w:color="auto"/>
              <w:bottom w:val="single" w:sz="4" w:space="0" w:color="auto"/>
              <w:right w:val="single" w:sz="4" w:space="0" w:color="auto"/>
            </w:tcBorders>
          </w:tcPr>
          <w:p w14:paraId="29699026"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51CBCE15" w14:textId="1F400AFD" w:rsidR="004E44B5" w:rsidRPr="007D4043" w:rsidRDefault="00661399" w:rsidP="0013539F">
            <w:pPr>
              <w:spacing w:after="0" w:line="240" w:lineRule="auto"/>
              <w:ind w:firstLine="44"/>
              <w:rPr>
                <w:rFonts w:ascii="Times New Roman" w:eastAsia="Times New Roman" w:hAnsi="Times New Roman" w:cs="Times New Roman"/>
                <w:sz w:val="24"/>
                <w:szCs w:val="24"/>
                <w:lang w:eastAsia="ru-RU"/>
              </w:rPr>
            </w:pPr>
            <w:r w:rsidRPr="00661399">
              <w:rPr>
                <w:rFonts w:ascii="Times New Roman" w:eastAsia="Times New Roman" w:hAnsi="Times New Roman" w:cs="Times New Roman"/>
                <w:sz w:val="24"/>
                <w:szCs w:val="24"/>
                <w:lang w:eastAsia="ru-RU"/>
              </w:rPr>
              <w:t>16. Ән айту</w:t>
            </w:r>
          </w:p>
        </w:tc>
        <w:tc>
          <w:tcPr>
            <w:tcW w:w="370" w:type="pct"/>
            <w:tcBorders>
              <w:top w:val="single" w:sz="4" w:space="0" w:color="auto"/>
              <w:left w:val="single" w:sz="4" w:space="0" w:color="auto"/>
              <w:bottom w:val="single" w:sz="4" w:space="0" w:color="auto"/>
              <w:right w:val="single" w:sz="4" w:space="0" w:color="auto"/>
            </w:tcBorders>
          </w:tcPr>
          <w:p w14:paraId="12ADD206"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r>
      <w:tr w:rsidR="004E44B5" w:rsidRPr="007D4043" w14:paraId="25DEB9BB" w14:textId="77777777" w:rsidTr="0013539F">
        <w:tc>
          <w:tcPr>
            <w:tcW w:w="2278" w:type="pct"/>
            <w:tcBorders>
              <w:top w:val="single" w:sz="4" w:space="0" w:color="auto"/>
              <w:left w:val="single" w:sz="4" w:space="0" w:color="auto"/>
              <w:bottom w:val="single" w:sz="4" w:space="0" w:color="auto"/>
              <w:right w:val="single" w:sz="4" w:space="0" w:color="auto"/>
            </w:tcBorders>
            <w:vAlign w:val="center"/>
            <w:hideMark/>
          </w:tcPr>
          <w:p w14:paraId="22CBB920" w14:textId="0E9D6451" w:rsidR="004E44B5" w:rsidRPr="007D4043" w:rsidRDefault="004E44B5" w:rsidP="0013539F">
            <w:pPr>
              <w:spacing w:after="0" w:line="240" w:lineRule="auto"/>
              <w:ind w:firstLine="36"/>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 xml:space="preserve">2. </w:t>
            </w:r>
            <w:r w:rsidR="002D5C2D" w:rsidRPr="002D5C2D">
              <w:rPr>
                <w:rFonts w:ascii="Times New Roman" w:eastAsia="Times New Roman" w:hAnsi="Times New Roman" w:cs="Times New Roman"/>
                <w:sz w:val="24"/>
                <w:szCs w:val="24"/>
                <w:lang w:eastAsia="ru-RU"/>
              </w:rPr>
              <w:t>Оқу</w:t>
            </w:r>
          </w:p>
        </w:tc>
        <w:tc>
          <w:tcPr>
            <w:tcW w:w="316" w:type="pct"/>
            <w:tcBorders>
              <w:top w:val="single" w:sz="4" w:space="0" w:color="auto"/>
              <w:left w:val="single" w:sz="4" w:space="0" w:color="auto"/>
              <w:bottom w:val="single" w:sz="4" w:space="0" w:color="auto"/>
              <w:right w:val="single" w:sz="4" w:space="0" w:color="auto"/>
            </w:tcBorders>
          </w:tcPr>
          <w:p w14:paraId="7C89BD9D"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4B3C2AB1" w14:textId="5CA76420" w:rsidR="004E44B5" w:rsidRPr="007D4043" w:rsidRDefault="00661399" w:rsidP="0013539F">
            <w:pPr>
              <w:spacing w:after="0" w:line="240" w:lineRule="auto"/>
              <w:ind w:firstLine="44"/>
              <w:rPr>
                <w:rFonts w:ascii="Times New Roman" w:eastAsia="Times New Roman" w:hAnsi="Times New Roman" w:cs="Times New Roman"/>
                <w:sz w:val="24"/>
                <w:szCs w:val="24"/>
                <w:lang w:eastAsia="ru-RU"/>
              </w:rPr>
            </w:pPr>
            <w:r w:rsidRPr="00661399">
              <w:rPr>
                <w:rFonts w:ascii="Times New Roman" w:eastAsia="Times New Roman" w:hAnsi="Times New Roman" w:cs="Times New Roman"/>
                <w:sz w:val="24"/>
                <w:szCs w:val="24"/>
                <w:lang w:eastAsia="ru-RU"/>
              </w:rPr>
              <w:t>17. Адамдармен күнделікті қарым-қатынас</w:t>
            </w:r>
          </w:p>
        </w:tc>
        <w:tc>
          <w:tcPr>
            <w:tcW w:w="370" w:type="pct"/>
            <w:tcBorders>
              <w:top w:val="single" w:sz="4" w:space="0" w:color="auto"/>
              <w:left w:val="single" w:sz="4" w:space="0" w:color="auto"/>
              <w:bottom w:val="single" w:sz="4" w:space="0" w:color="auto"/>
              <w:right w:val="single" w:sz="4" w:space="0" w:color="auto"/>
            </w:tcBorders>
          </w:tcPr>
          <w:p w14:paraId="5E3EAF7A"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r>
      <w:tr w:rsidR="004E44B5" w:rsidRPr="007D4043" w14:paraId="215C8D0A" w14:textId="77777777" w:rsidTr="0013539F">
        <w:tc>
          <w:tcPr>
            <w:tcW w:w="2278" w:type="pct"/>
            <w:tcBorders>
              <w:top w:val="single" w:sz="4" w:space="0" w:color="auto"/>
              <w:left w:val="single" w:sz="4" w:space="0" w:color="auto"/>
              <w:bottom w:val="single" w:sz="4" w:space="0" w:color="auto"/>
              <w:right w:val="single" w:sz="4" w:space="0" w:color="auto"/>
            </w:tcBorders>
            <w:vAlign w:val="center"/>
            <w:hideMark/>
          </w:tcPr>
          <w:p w14:paraId="6C880FAD" w14:textId="33F5FCAE" w:rsidR="004E44B5" w:rsidRPr="007D4043" w:rsidRDefault="004E44B5" w:rsidP="0013539F">
            <w:pPr>
              <w:spacing w:after="0" w:line="240" w:lineRule="auto"/>
              <w:ind w:firstLine="36"/>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 xml:space="preserve">3. </w:t>
            </w:r>
            <w:r w:rsidR="002D5C2D" w:rsidRPr="002D5C2D">
              <w:rPr>
                <w:rFonts w:ascii="Times New Roman" w:eastAsia="Times New Roman" w:hAnsi="Times New Roman" w:cs="Times New Roman"/>
                <w:sz w:val="24"/>
                <w:szCs w:val="24"/>
                <w:lang w:eastAsia="ru-RU"/>
              </w:rPr>
              <w:t>Сатып алу</w:t>
            </w:r>
          </w:p>
        </w:tc>
        <w:tc>
          <w:tcPr>
            <w:tcW w:w="316" w:type="pct"/>
            <w:tcBorders>
              <w:top w:val="single" w:sz="4" w:space="0" w:color="auto"/>
              <w:left w:val="single" w:sz="4" w:space="0" w:color="auto"/>
              <w:bottom w:val="single" w:sz="4" w:space="0" w:color="auto"/>
              <w:right w:val="single" w:sz="4" w:space="0" w:color="auto"/>
            </w:tcBorders>
          </w:tcPr>
          <w:p w14:paraId="3ACE4A65"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1708E9EC" w14:textId="0035E9DA" w:rsidR="004E44B5" w:rsidRPr="007D4043" w:rsidRDefault="00661399" w:rsidP="0013539F">
            <w:pPr>
              <w:spacing w:after="0" w:line="240" w:lineRule="auto"/>
              <w:ind w:firstLine="44"/>
              <w:rPr>
                <w:rFonts w:ascii="Times New Roman" w:eastAsia="Times New Roman" w:hAnsi="Times New Roman" w:cs="Times New Roman"/>
                <w:sz w:val="24"/>
                <w:szCs w:val="24"/>
                <w:lang w:eastAsia="ru-RU"/>
              </w:rPr>
            </w:pPr>
            <w:r w:rsidRPr="00661399">
              <w:rPr>
                <w:rFonts w:ascii="Times New Roman" w:eastAsia="Times New Roman" w:hAnsi="Times New Roman" w:cs="Times New Roman"/>
                <w:sz w:val="24"/>
                <w:szCs w:val="24"/>
                <w:lang w:eastAsia="ru-RU"/>
              </w:rPr>
              <w:t>18. Жыныстық өмір</w:t>
            </w:r>
          </w:p>
        </w:tc>
        <w:tc>
          <w:tcPr>
            <w:tcW w:w="370" w:type="pct"/>
            <w:tcBorders>
              <w:top w:val="single" w:sz="4" w:space="0" w:color="auto"/>
              <w:left w:val="single" w:sz="4" w:space="0" w:color="auto"/>
              <w:bottom w:val="single" w:sz="4" w:space="0" w:color="auto"/>
              <w:right w:val="single" w:sz="4" w:space="0" w:color="auto"/>
            </w:tcBorders>
          </w:tcPr>
          <w:p w14:paraId="4C02C56C"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r>
      <w:tr w:rsidR="004E44B5" w:rsidRPr="007D4043" w14:paraId="05EB7CEB" w14:textId="77777777" w:rsidTr="0013539F">
        <w:tc>
          <w:tcPr>
            <w:tcW w:w="2278" w:type="pct"/>
            <w:tcBorders>
              <w:top w:val="single" w:sz="4" w:space="0" w:color="auto"/>
              <w:left w:val="single" w:sz="4" w:space="0" w:color="auto"/>
              <w:bottom w:val="single" w:sz="4" w:space="0" w:color="auto"/>
              <w:right w:val="single" w:sz="4" w:space="0" w:color="auto"/>
            </w:tcBorders>
            <w:vAlign w:val="center"/>
            <w:hideMark/>
          </w:tcPr>
          <w:p w14:paraId="769B7313" w14:textId="3754B845" w:rsidR="004E44B5" w:rsidRPr="007D4043" w:rsidRDefault="004E44B5" w:rsidP="0013539F">
            <w:pPr>
              <w:spacing w:after="0" w:line="240" w:lineRule="auto"/>
              <w:ind w:firstLine="36"/>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 xml:space="preserve">4. </w:t>
            </w:r>
            <w:r w:rsidR="002D5C2D" w:rsidRPr="002D5C2D">
              <w:rPr>
                <w:rFonts w:ascii="Times New Roman" w:eastAsia="Times New Roman" w:hAnsi="Times New Roman" w:cs="Times New Roman"/>
                <w:sz w:val="24"/>
                <w:szCs w:val="24"/>
                <w:lang w:eastAsia="ru-RU"/>
              </w:rPr>
              <w:t>Үйде жұмыс істеу</w:t>
            </w:r>
          </w:p>
        </w:tc>
        <w:tc>
          <w:tcPr>
            <w:tcW w:w="316" w:type="pct"/>
            <w:tcBorders>
              <w:top w:val="single" w:sz="4" w:space="0" w:color="auto"/>
              <w:left w:val="single" w:sz="4" w:space="0" w:color="auto"/>
              <w:bottom w:val="single" w:sz="4" w:space="0" w:color="auto"/>
              <w:right w:val="single" w:sz="4" w:space="0" w:color="auto"/>
            </w:tcBorders>
          </w:tcPr>
          <w:p w14:paraId="449A93D1"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792592C3" w14:textId="2A1C2D74" w:rsidR="004E44B5" w:rsidRPr="007D4043" w:rsidRDefault="00661399" w:rsidP="0013539F">
            <w:pPr>
              <w:spacing w:after="0" w:line="240" w:lineRule="auto"/>
              <w:ind w:firstLine="44"/>
              <w:rPr>
                <w:rFonts w:ascii="Times New Roman" w:eastAsia="Times New Roman" w:hAnsi="Times New Roman" w:cs="Times New Roman"/>
                <w:sz w:val="24"/>
                <w:szCs w:val="24"/>
                <w:lang w:eastAsia="ru-RU"/>
              </w:rPr>
            </w:pPr>
            <w:r w:rsidRPr="00661399">
              <w:rPr>
                <w:rFonts w:ascii="Times New Roman" w:eastAsia="Times New Roman" w:hAnsi="Times New Roman" w:cs="Times New Roman"/>
                <w:sz w:val="24"/>
                <w:szCs w:val="24"/>
                <w:lang w:eastAsia="ru-RU"/>
              </w:rPr>
              <w:t>19. Оқу</w:t>
            </w:r>
          </w:p>
        </w:tc>
        <w:tc>
          <w:tcPr>
            <w:tcW w:w="370" w:type="pct"/>
            <w:tcBorders>
              <w:top w:val="single" w:sz="4" w:space="0" w:color="auto"/>
              <w:left w:val="single" w:sz="4" w:space="0" w:color="auto"/>
              <w:bottom w:val="single" w:sz="4" w:space="0" w:color="auto"/>
              <w:right w:val="single" w:sz="4" w:space="0" w:color="auto"/>
            </w:tcBorders>
          </w:tcPr>
          <w:p w14:paraId="317C3AE0"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r>
      <w:tr w:rsidR="004E44B5" w:rsidRPr="007D4043" w14:paraId="391C394C" w14:textId="77777777" w:rsidTr="0013539F">
        <w:tc>
          <w:tcPr>
            <w:tcW w:w="2278" w:type="pct"/>
            <w:tcBorders>
              <w:top w:val="single" w:sz="4" w:space="0" w:color="auto"/>
              <w:left w:val="single" w:sz="4" w:space="0" w:color="auto"/>
              <w:bottom w:val="single" w:sz="4" w:space="0" w:color="auto"/>
              <w:right w:val="single" w:sz="4" w:space="0" w:color="auto"/>
            </w:tcBorders>
            <w:vAlign w:val="center"/>
            <w:hideMark/>
          </w:tcPr>
          <w:p w14:paraId="3623F92C" w14:textId="5B514E6E" w:rsidR="004E44B5" w:rsidRPr="007D4043" w:rsidRDefault="004E44B5" w:rsidP="0013539F">
            <w:pPr>
              <w:spacing w:after="0" w:line="240" w:lineRule="auto"/>
              <w:ind w:firstLine="36"/>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 xml:space="preserve">5. </w:t>
            </w:r>
            <w:r w:rsidR="002D5C2D" w:rsidRPr="002D5C2D">
              <w:rPr>
                <w:rFonts w:ascii="Times New Roman" w:eastAsia="Times New Roman" w:hAnsi="Times New Roman" w:cs="Times New Roman"/>
                <w:sz w:val="24"/>
                <w:szCs w:val="24"/>
                <w:lang w:eastAsia="ru-RU"/>
              </w:rPr>
              <w:t>Қаладан тыс сапарлар</w:t>
            </w:r>
          </w:p>
        </w:tc>
        <w:tc>
          <w:tcPr>
            <w:tcW w:w="316" w:type="pct"/>
            <w:tcBorders>
              <w:top w:val="single" w:sz="4" w:space="0" w:color="auto"/>
              <w:left w:val="single" w:sz="4" w:space="0" w:color="auto"/>
              <w:bottom w:val="single" w:sz="4" w:space="0" w:color="auto"/>
              <w:right w:val="single" w:sz="4" w:space="0" w:color="auto"/>
            </w:tcBorders>
          </w:tcPr>
          <w:p w14:paraId="1D1AD07F"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28BD64DD" w14:textId="6E0C1660" w:rsidR="004E44B5" w:rsidRPr="007D4043" w:rsidRDefault="00661399" w:rsidP="0013539F">
            <w:pPr>
              <w:spacing w:after="0" w:line="240" w:lineRule="auto"/>
              <w:ind w:firstLine="44"/>
              <w:rPr>
                <w:rFonts w:ascii="Times New Roman" w:eastAsia="Times New Roman" w:hAnsi="Times New Roman" w:cs="Times New Roman"/>
                <w:sz w:val="24"/>
                <w:szCs w:val="24"/>
                <w:lang w:eastAsia="ru-RU"/>
              </w:rPr>
            </w:pPr>
            <w:r w:rsidRPr="00661399">
              <w:rPr>
                <w:rFonts w:ascii="Times New Roman" w:eastAsia="Times New Roman" w:hAnsi="Times New Roman" w:cs="Times New Roman"/>
                <w:sz w:val="24"/>
                <w:szCs w:val="24"/>
                <w:lang w:eastAsia="ru-RU"/>
              </w:rPr>
              <w:t>20. Әңгімелер</w:t>
            </w:r>
          </w:p>
        </w:tc>
        <w:tc>
          <w:tcPr>
            <w:tcW w:w="370" w:type="pct"/>
            <w:tcBorders>
              <w:top w:val="single" w:sz="4" w:space="0" w:color="auto"/>
              <w:left w:val="single" w:sz="4" w:space="0" w:color="auto"/>
              <w:bottom w:val="single" w:sz="4" w:space="0" w:color="auto"/>
              <w:right w:val="single" w:sz="4" w:space="0" w:color="auto"/>
            </w:tcBorders>
          </w:tcPr>
          <w:p w14:paraId="04D34C21"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r>
      <w:tr w:rsidR="004E44B5" w:rsidRPr="007D4043" w14:paraId="5EEF775E" w14:textId="77777777" w:rsidTr="0013539F">
        <w:tc>
          <w:tcPr>
            <w:tcW w:w="2278" w:type="pct"/>
            <w:tcBorders>
              <w:top w:val="single" w:sz="4" w:space="0" w:color="auto"/>
              <w:left w:val="single" w:sz="4" w:space="0" w:color="auto"/>
              <w:bottom w:val="single" w:sz="4" w:space="0" w:color="auto"/>
              <w:right w:val="single" w:sz="4" w:space="0" w:color="auto"/>
            </w:tcBorders>
            <w:vAlign w:val="center"/>
            <w:hideMark/>
          </w:tcPr>
          <w:p w14:paraId="0ACEF201" w14:textId="1B5FCAE3" w:rsidR="004E44B5" w:rsidRPr="007D4043" w:rsidRDefault="004E44B5" w:rsidP="0013539F">
            <w:pPr>
              <w:spacing w:after="0" w:line="240" w:lineRule="auto"/>
              <w:ind w:firstLine="36"/>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 xml:space="preserve">6. </w:t>
            </w:r>
            <w:r w:rsidR="002D5C2D" w:rsidRPr="002D5C2D">
              <w:rPr>
                <w:rFonts w:ascii="Times New Roman" w:eastAsia="Times New Roman" w:hAnsi="Times New Roman" w:cs="Times New Roman"/>
                <w:sz w:val="24"/>
                <w:szCs w:val="24"/>
                <w:lang w:eastAsia="ru-RU"/>
              </w:rPr>
              <w:t>Көгалдандыру</w:t>
            </w:r>
          </w:p>
        </w:tc>
        <w:tc>
          <w:tcPr>
            <w:tcW w:w="316" w:type="pct"/>
            <w:tcBorders>
              <w:top w:val="single" w:sz="4" w:space="0" w:color="auto"/>
              <w:left w:val="single" w:sz="4" w:space="0" w:color="auto"/>
              <w:bottom w:val="single" w:sz="4" w:space="0" w:color="auto"/>
              <w:right w:val="single" w:sz="4" w:space="0" w:color="auto"/>
            </w:tcBorders>
          </w:tcPr>
          <w:p w14:paraId="4026B83A"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287654D3" w14:textId="00F0CB5A" w:rsidR="004E44B5" w:rsidRPr="007D4043" w:rsidRDefault="00661399" w:rsidP="0013539F">
            <w:pPr>
              <w:spacing w:after="0" w:line="240" w:lineRule="auto"/>
              <w:ind w:firstLine="44"/>
              <w:rPr>
                <w:rFonts w:ascii="Times New Roman" w:eastAsia="Times New Roman" w:hAnsi="Times New Roman" w:cs="Times New Roman"/>
                <w:sz w:val="24"/>
                <w:szCs w:val="24"/>
                <w:lang w:eastAsia="ru-RU"/>
              </w:rPr>
            </w:pPr>
            <w:r w:rsidRPr="00661399">
              <w:rPr>
                <w:rFonts w:ascii="Times New Roman" w:eastAsia="Times New Roman" w:hAnsi="Times New Roman" w:cs="Times New Roman"/>
                <w:sz w:val="24"/>
                <w:szCs w:val="24"/>
                <w:lang w:eastAsia="ru-RU"/>
              </w:rPr>
              <w:t>21. Тамақ</w:t>
            </w:r>
          </w:p>
        </w:tc>
        <w:tc>
          <w:tcPr>
            <w:tcW w:w="370" w:type="pct"/>
            <w:tcBorders>
              <w:top w:val="single" w:sz="4" w:space="0" w:color="auto"/>
              <w:left w:val="single" w:sz="4" w:space="0" w:color="auto"/>
              <w:bottom w:val="single" w:sz="4" w:space="0" w:color="auto"/>
              <w:right w:val="single" w:sz="4" w:space="0" w:color="auto"/>
            </w:tcBorders>
          </w:tcPr>
          <w:p w14:paraId="5EA0EEA1"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r>
      <w:tr w:rsidR="004E44B5" w:rsidRPr="007D4043" w14:paraId="5A29340D" w14:textId="77777777" w:rsidTr="0013539F">
        <w:tc>
          <w:tcPr>
            <w:tcW w:w="2278" w:type="pct"/>
            <w:tcBorders>
              <w:top w:val="single" w:sz="4" w:space="0" w:color="auto"/>
              <w:left w:val="single" w:sz="4" w:space="0" w:color="auto"/>
              <w:bottom w:val="single" w:sz="4" w:space="0" w:color="auto"/>
              <w:right w:val="single" w:sz="4" w:space="0" w:color="auto"/>
            </w:tcBorders>
            <w:vAlign w:val="center"/>
            <w:hideMark/>
          </w:tcPr>
          <w:p w14:paraId="23C34C08" w14:textId="68F3F33E" w:rsidR="004E44B5" w:rsidRPr="007D4043" w:rsidRDefault="002D5C2D" w:rsidP="0013539F">
            <w:pPr>
              <w:spacing w:after="0" w:line="240" w:lineRule="auto"/>
              <w:ind w:firstLine="36"/>
              <w:rPr>
                <w:rFonts w:ascii="Times New Roman" w:eastAsia="Times New Roman" w:hAnsi="Times New Roman" w:cs="Times New Roman"/>
                <w:sz w:val="24"/>
                <w:szCs w:val="24"/>
                <w:lang w:eastAsia="ru-RU"/>
              </w:rPr>
            </w:pPr>
            <w:r w:rsidRPr="002D5C2D">
              <w:rPr>
                <w:rFonts w:ascii="Times New Roman" w:eastAsia="Times New Roman" w:hAnsi="Times New Roman" w:cs="Times New Roman"/>
                <w:sz w:val="24"/>
                <w:szCs w:val="24"/>
                <w:lang w:eastAsia="ru-RU"/>
              </w:rPr>
              <w:t>7. Теледидар бағдарламаларын қарау</w:t>
            </w:r>
          </w:p>
        </w:tc>
        <w:tc>
          <w:tcPr>
            <w:tcW w:w="316" w:type="pct"/>
            <w:tcBorders>
              <w:top w:val="single" w:sz="4" w:space="0" w:color="auto"/>
              <w:left w:val="single" w:sz="4" w:space="0" w:color="auto"/>
              <w:bottom w:val="single" w:sz="4" w:space="0" w:color="auto"/>
              <w:right w:val="single" w:sz="4" w:space="0" w:color="auto"/>
            </w:tcBorders>
          </w:tcPr>
          <w:p w14:paraId="1648A48D"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7BDD804C" w14:textId="2A88EC95" w:rsidR="004E44B5" w:rsidRPr="007D4043" w:rsidRDefault="00661399" w:rsidP="0013539F">
            <w:pPr>
              <w:spacing w:after="0" w:line="240" w:lineRule="auto"/>
              <w:ind w:firstLine="44"/>
              <w:rPr>
                <w:rFonts w:ascii="Times New Roman" w:eastAsia="Times New Roman" w:hAnsi="Times New Roman" w:cs="Times New Roman"/>
                <w:sz w:val="24"/>
                <w:szCs w:val="24"/>
                <w:lang w:eastAsia="ru-RU"/>
              </w:rPr>
            </w:pPr>
            <w:r w:rsidRPr="00661399">
              <w:rPr>
                <w:rFonts w:ascii="Times New Roman" w:eastAsia="Times New Roman" w:hAnsi="Times New Roman" w:cs="Times New Roman"/>
                <w:sz w:val="24"/>
                <w:szCs w:val="24"/>
                <w:lang w:eastAsia="ru-RU"/>
              </w:rPr>
              <w:t>22. Шаңсорғышпен тазалау</w:t>
            </w:r>
          </w:p>
        </w:tc>
        <w:tc>
          <w:tcPr>
            <w:tcW w:w="370" w:type="pct"/>
            <w:tcBorders>
              <w:top w:val="single" w:sz="4" w:space="0" w:color="auto"/>
              <w:left w:val="single" w:sz="4" w:space="0" w:color="auto"/>
              <w:bottom w:val="single" w:sz="4" w:space="0" w:color="auto"/>
              <w:right w:val="single" w:sz="4" w:space="0" w:color="auto"/>
            </w:tcBorders>
          </w:tcPr>
          <w:p w14:paraId="7B8FE3F5"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r>
      <w:tr w:rsidR="004E44B5" w:rsidRPr="007D4043" w14:paraId="0639E225" w14:textId="77777777" w:rsidTr="0013539F">
        <w:tc>
          <w:tcPr>
            <w:tcW w:w="2278" w:type="pct"/>
            <w:tcBorders>
              <w:top w:val="single" w:sz="4" w:space="0" w:color="auto"/>
              <w:left w:val="single" w:sz="4" w:space="0" w:color="auto"/>
              <w:bottom w:val="single" w:sz="4" w:space="0" w:color="auto"/>
              <w:right w:val="single" w:sz="4" w:space="0" w:color="auto"/>
            </w:tcBorders>
            <w:vAlign w:val="center"/>
            <w:hideMark/>
          </w:tcPr>
          <w:p w14:paraId="79BEAEE9" w14:textId="7915BDD4" w:rsidR="004E44B5" w:rsidRPr="007D4043" w:rsidRDefault="002D5C2D" w:rsidP="0013539F">
            <w:pPr>
              <w:spacing w:after="0" w:line="240" w:lineRule="auto"/>
              <w:ind w:firstLine="36"/>
              <w:rPr>
                <w:rFonts w:ascii="Times New Roman" w:eastAsia="Times New Roman" w:hAnsi="Times New Roman" w:cs="Times New Roman"/>
                <w:sz w:val="24"/>
                <w:szCs w:val="24"/>
                <w:lang w:eastAsia="ru-RU"/>
              </w:rPr>
            </w:pPr>
            <w:r w:rsidRPr="002D5C2D">
              <w:rPr>
                <w:rFonts w:ascii="Times New Roman" w:eastAsia="Times New Roman" w:hAnsi="Times New Roman" w:cs="Times New Roman"/>
                <w:sz w:val="24"/>
                <w:szCs w:val="24"/>
                <w:lang w:eastAsia="ru-RU"/>
              </w:rPr>
              <w:t>8. Дене жаттығулары</w:t>
            </w:r>
          </w:p>
        </w:tc>
        <w:tc>
          <w:tcPr>
            <w:tcW w:w="316" w:type="pct"/>
            <w:tcBorders>
              <w:top w:val="single" w:sz="4" w:space="0" w:color="auto"/>
              <w:left w:val="single" w:sz="4" w:space="0" w:color="auto"/>
              <w:bottom w:val="single" w:sz="4" w:space="0" w:color="auto"/>
              <w:right w:val="single" w:sz="4" w:space="0" w:color="auto"/>
            </w:tcBorders>
          </w:tcPr>
          <w:p w14:paraId="234918D5"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464A6457" w14:textId="40438B7D" w:rsidR="004E44B5" w:rsidRPr="007D4043" w:rsidRDefault="00661399" w:rsidP="0013539F">
            <w:pPr>
              <w:spacing w:after="0" w:line="240" w:lineRule="auto"/>
              <w:ind w:firstLine="44"/>
              <w:rPr>
                <w:rFonts w:ascii="Times New Roman" w:eastAsia="Times New Roman" w:hAnsi="Times New Roman" w:cs="Times New Roman"/>
                <w:sz w:val="24"/>
                <w:szCs w:val="24"/>
                <w:lang w:eastAsia="ru-RU"/>
              </w:rPr>
            </w:pPr>
            <w:r w:rsidRPr="00661399">
              <w:rPr>
                <w:rFonts w:ascii="Times New Roman" w:eastAsia="Times New Roman" w:hAnsi="Times New Roman" w:cs="Times New Roman"/>
                <w:sz w:val="24"/>
                <w:szCs w:val="24"/>
                <w:lang w:eastAsia="ru-RU"/>
              </w:rPr>
              <w:t>23. Достарыңызға немесе туыстарыңызға бару</w:t>
            </w:r>
          </w:p>
        </w:tc>
        <w:tc>
          <w:tcPr>
            <w:tcW w:w="370" w:type="pct"/>
            <w:tcBorders>
              <w:top w:val="single" w:sz="4" w:space="0" w:color="auto"/>
              <w:left w:val="single" w:sz="4" w:space="0" w:color="auto"/>
              <w:bottom w:val="single" w:sz="4" w:space="0" w:color="auto"/>
              <w:right w:val="single" w:sz="4" w:space="0" w:color="auto"/>
            </w:tcBorders>
          </w:tcPr>
          <w:p w14:paraId="2EF849F4"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r>
      <w:tr w:rsidR="004E44B5" w:rsidRPr="007D4043" w14:paraId="44A2E26C" w14:textId="77777777" w:rsidTr="0013539F">
        <w:tc>
          <w:tcPr>
            <w:tcW w:w="2278" w:type="pct"/>
            <w:tcBorders>
              <w:top w:val="single" w:sz="4" w:space="0" w:color="auto"/>
              <w:left w:val="single" w:sz="4" w:space="0" w:color="auto"/>
              <w:bottom w:val="single" w:sz="4" w:space="0" w:color="auto"/>
              <w:right w:val="single" w:sz="4" w:space="0" w:color="auto"/>
            </w:tcBorders>
            <w:vAlign w:val="center"/>
            <w:hideMark/>
          </w:tcPr>
          <w:p w14:paraId="75A56A5F" w14:textId="5D39DED7" w:rsidR="004E44B5" w:rsidRPr="007D4043" w:rsidRDefault="002D5C2D" w:rsidP="0013539F">
            <w:pPr>
              <w:spacing w:after="0" w:line="240" w:lineRule="auto"/>
              <w:ind w:firstLine="36"/>
              <w:rPr>
                <w:rFonts w:ascii="Times New Roman" w:eastAsia="Times New Roman" w:hAnsi="Times New Roman" w:cs="Times New Roman"/>
                <w:sz w:val="24"/>
                <w:szCs w:val="24"/>
                <w:lang w:eastAsia="ru-RU"/>
              </w:rPr>
            </w:pPr>
            <w:r w:rsidRPr="002D5C2D">
              <w:rPr>
                <w:rFonts w:ascii="Times New Roman" w:eastAsia="Times New Roman" w:hAnsi="Times New Roman" w:cs="Times New Roman"/>
                <w:sz w:val="24"/>
                <w:szCs w:val="24"/>
                <w:lang w:eastAsia="ru-RU"/>
              </w:rPr>
              <w:t>9. Қоғамдық көлікпен сапарлар</w:t>
            </w:r>
          </w:p>
        </w:tc>
        <w:tc>
          <w:tcPr>
            <w:tcW w:w="316" w:type="pct"/>
            <w:tcBorders>
              <w:top w:val="single" w:sz="4" w:space="0" w:color="auto"/>
              <w:left w:val="single" w:sz="4" w:space="0" w:color="auto"/>
              <w:bottom w:val="single" w:sz="4" w:space="0" w:color="auto"/>
              <w:right w:val="single" w:sz="4" w:space="0" w:color="auto"/>
            </w:tcBorders>
          </w:tcPr>
          <w:p w14:paraId="65EEC2E8"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13B83CFD" w14:textId="3060B68C" w:rsidR="004E44B5" w:rsidRPr="007D4043" w:rsidRDefault="00661399" w:rsidP="0013539F">
            <w:pPr>
              <w:spacing w:after="0" w:line="240" w:lineRule="auto"/>
              <w:ind w:firstLine="44"/>
              <w:rPr>
                <w:rFonts w:ascii="Times New Roman" w:eastAsia="Times New Roman" w:hAnsi="Times New Roman" w:cs="Times New Roman"/>
                <w:sz w:val="24"/>
                <w:szCs w:val="24"/>
                <w:lang w:eastAsia="ru-RU"/>
              </w:rPr>
            </w:pPr>
            <w:r w:rsidRPr="00661399">
              <w:rPr>
                <w:rFonts w:ascii="Times New Roman" w:eastAsia="Times New Roman" w:hAnsi="Times New Roman" w:cs="Times New Roman"/>
                <w:sz w:val="24"/>
                <w:szCs w:val="24"/>
                <w:lang w:eastAsia="ru-RU"/>
              </w:rPr>
              <w:t>24. Жаяу серуендеу</w:t>
            </w:r>
          </w:p>
        </w:tc>
        <w:tc>
          <w:tcPr>
            <w:tcW w:w="370" w:type="pct"/>
            <w:tcBorders>
              <w:top w:val="single" w:sz="4" w:space="0" w:color="auto"/>
              <w:left w:val="single" w:sz="4" w:space="0" w:color="auto"/>
              <w:bottom w:val="single" w:sz="4" w:space="0" w:color="auto"/>
              <w:right w:val="single" w:sz="4" w:space="0" w:color="auto"/>
            </w:tcBorders>
          </w:tcPr>
          <w:p w14:paraId="1E086F4F"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r>
      <w:tr w:rsidR="004E44B5" w:rsidRPr="007D4043" w14:paraId="101C0F1E" w14:textId="77777777" w:rsidTr="0013539F">
        <w:tc>
          <w:tcPr>
            <w:tcW w:w="2278" w:type="pct"/>
            <w:tcBorders>
              <w:top w:val="single" w:sz="4" w:space="0" w:color="auto"/>
              <w:left w:val="single" w:sz="4" w:space="0" w:color="auto"/>
              <w:bottom w:val="single" w:sz="4" w:space="0" w:color="auto"/>
              <w:right w:val="single" w:sz="4" w:space="0" w:color="auto"/>
            </w:tcBorders>
            <w:vAlign w:val="center"/>
            <w:hideMark/>
          </w:tcPr>
          <w:p w14:paraId="37D50FF8" w14:textId="7788A9D6" w:rsidR="004E44B5" w:rsidRPr="007D4043" w:rsidRDefault="002D5C2D" w:rsidP="0013539F">
            <w:pPr>
              <w:spacing w:after="0" w:line="240" w:lineRule="auto"/>
              <w:ind w:firstLine="36"/>
              <w:rPr>
                <w:rFonts w:ascii="Times New Roman" w:eastAsia="Times New Roman" w:hAnsi="Times New Roman" w:cs="Times New Roman"/>
                <w:sz w:val="24"/>
                <w:szCs w:val="24"/>
                <w:lang w:eastAsia="ru-RU"/>
              </w:rPr>
            </w:pPr>
            <w:r w:rsidRPr="002D5C2D">
              <w:rPr>
                <w:rFonts w:ascii="Times New Roman" w:eastAsia="Times New Roman" w:hAnsi="Times New Roman" w:cs="Times New Roman"/>
                <w:sz w:val="24"/>
                <w:szCs w:val="24"/>
                <w:lang w:eastAsia="ru-RU"/>
              </w:rPr>
              <w:t>10. Компьютерде жұмыс істеу</w:t>
            </w:r>
          </w:p>
        </w:tc>
        <w:tc>
          <w:tcPr>
            <w:tcW w:w="316" w:type="pct"/>
            <w:tcBorders>
              <w:top w:val="single" w:sz="4" w:space="0" w:color="auto"/>
              <w:left w:val="single" w:sz="4" w:space="0" w:color="auto"/>
              <w:bottom w:val="single" w:sz="4" w:space="0" w:color="auto"/>
              <w:right w:val="single" w:sz="4" w:space="0" w:color="auto"/>
            </w:tcBorders>
          </w:tcPr>
          <w:p w14:paraId="03D2628E"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391BA3AC" w14:textId="48F7BEA8" w:rsidR="004E44B5" w:rsidRPr="007D4043" w:rsidRDefault="00661399" w:rsidP="0013539F">
            <w:pPr>
              <w:spacing w:after="0" w:line="240" w:lineRule="auto"/>
              <w:ind w:firstLine="44"/>
              <w:rPr>
                <w:rFonts w:ascii="Times New Roman" w:eastAsia="Times New Roman" w:hAnsi="Times New Roman" w:cs="Times New Roman"/>
                <w:sz w:val="24"/>
                <w:szCs w:val="24"/>
                <w:lang w:eastAsia="ru-RU"/>
              </w:rPr>
            </w:pPr>
            <w:r w:rsidRPr="00661399">
              <w:rPr>
                <w:rFonts w:ascii="Times New Roman" w:eastAsia="Times New Roman" w:hAnsi="Times New Roman" w:cs="Times New Roman"/>
                <w:sz w:val="24"/>
                <w:szCs w:val="24"/>
                <w:lang w:eastAsia="ru-RU"/>
              </w:rPr>
              <w:t>25. Итпен серуендеу</w:t>
            </w:r>
          </w:p>
        </w:tc>
        <w:tc>
          <w:tcPr>
            <w:tcW w:w="370" w:type="pct"/>
            <w:tcBorders>
              <w:top w:val="single" w:sz="4" w:space="0" w:color="auto"/>
              <w:left w:val="single" w:sz="4" w:space="0" w:color="auto"/>
              <w:bottom w:val="single" w:sz="4" w:space="0" w:color="auto"/>
              <w:right w:val="single" w:sz="4" w:space="0" w:color="auto"/>
            </w:tcBorders>
          </w:tcPr>
          <w:p w14:paraId="7462DF43"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r>
      <w:tr w:rsidR="004E44B5" w:rsidRPr="007D4043" w14:paraId="51240FB9" w14:textId="77777777" w:rsidTr="0013539F">
        <w:tc>
          <w:tcPr>
            <w:tcW w:w="2278" w:type="pct"/>
            <w:tcBorders>
              <w:top w:val="single" w:sz="4" w:space="0" w:color="auto"/>
              <w:left w:val="single" w:sz="4" w:space="0" w:color="auto"/>
              <w:bottom w:val="single" w:sz="4" w:space="0" w:color="auto"/>
              <w:right w:val="single" w:sz="4" w:space="0" w:color="auto"/>
            </w:tcBorders>
            <w:vAlign w:val="center"/>
            <w:hideMark/>
          </w:tcPr>
          <w:p w14:paraId="1F7CBC74" w14:textId="5B466013" w:rsidR="004E44B5" w:rsidRPr="007D4043" w:rsidRDefault="002D5C2D" w:rsidP="0013539F">
            <w:pPr>
              <w:spacing w:after="0" w:line="240" w:lineRule="auto"/>
              <w:ind w:firstLine="36"/>
              <w:rPr>
                <w:rFonts w:ascii="Times New Roman" w:eastAsia="Times New Roman" w:hAnsi="Times New Roman" w:cs="Times New Roman"/>
                <w:sz w:val="24"/>
                <w:szCs w:val="24"/>
                <w:lang w:eastAsia="ru-RU"/>
              </w:rPr>
            </w:pPr>
            <w:r w:rsidRPr="002D5C2D">
              <w:rPr>
                <w:rFonts w:ascii="Times New Roman" w:eastAsia="Times New Roman" w:hAnsi="Times New Roman" w:cs="Times New Roman"/>
                <w:sz w:val="24"/>
                <w:szCs w:val="24"/>
                <w:lang w:eastAsia="ru-RU"/>
              </w:rPr>
              <w:t>11. Театрға/киноға саяхат</w:t>
            </w:r>
          </w:p>
        </w:tc>
        <w:tc>
          <w:tcPr>
            <w:tcW w:w="316" w:type="pct"/>
            <w:tcBorders>
              <w:top w:val="single" w:sz="4" w:space="0" w:color="auto"/>
              <w:left w:val="single" w:sz="4" w:space="0" w:color="auto"/>
              <w:bottom w:val="single" w:sz="4" w:space="0" w:color="auto"/>
              <w:right w:val="single" w:sz="4" w:space="0" w:color="auto"/>
            </w:tcBorders>
          </w:tcPr>
          <w:p w14:paraId="0F567DB8"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0421AB94" w14:textId="1DC738B7" w:rsidR="004E44B5" w:rsidRPr="007D4043" w:rsidRDefault="00661399" w:rsidP="0013539F">
            <w:pPr>
              <w:spacing w:after="0" w:line="240" w:lineRule="auto"/>
              <w:ind w:firstLine="44"/>
              <w:rPr>
                <w:rFonts w:ascii="Times New Roman" w:eastAsia="Times New Roman" w:hAnsi="Times New Roman" w:cs="Times New Roman"/>
                <w:sz w:val="24"/>
                <w:szCs w:val="24"/>
                <w:lang w:eastAsia="ru-RU"/>
              </w:rPr>
            </w:pPr>
            <w:r w:rsidRPr="00661399">
              <w:rPr>
                <w:rFonts w:ascii="Times New Roman" w:eastAsia="Times New Roman" w:hAnsi="Times New Roman" w:cs="Times New Roman"/>
                <w:sz w:val="24"/>
                <w:szCs w:val="24"/>
                <w:lang w:eastAsia="ru-RU"/>
              </w:rPr>
              <w:t>26. Ашық ауада әрекет ету</w:t>
            </w:r>
          </w:p>
        </w:tc>
        <w:tc>
          <w:tcPr>
            <w:tcW w:w="370" w:type="pct"/>
            <w:tcBorders>
              <w:top w:val="single" w:sz="4" w:space="0" w:color="auto"/>
              <w:left w:val="single" w:sz="4" w:space="0" w:color="auto"/>
              <w:bottom w:val="single" w:sz="4" w:space="0" w:color="auto"/>
              <w:right w:val="single" w:sz="4" w:space="0" w:color="auto"/>
            </w:tcBorders>
          </w:tcPr>
          <w:p w14:paraId="1ABFF4EE"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r>
      <w:tr w:rsidR="004E44B5" w:rsidRPr="007D4043" w14:paraId="260480DF" w14:textId="77777777" w:rsidTr="0013539F">
        <w:tc>
          <w:tcPr>
            <w:tcW w:w="2278" w:type="pct"/>
            <w:tcBorders>
              <w:top w:val="single" w:sz="4" w:space="0" w:color="auto"/>
              <w:left w:val="single" w:sz="4" w:space="0" w:color="auto"/>
              <w:bottom w:val="single" w:sz="4" w:space="0" w:color="auto"/>
              <w:right w:val="single" w:sz="4" w:space="0" w:color="auto"/>
            </w:tcBorders>
            <w:vAlign w:val="center"/>
            <w:hideMark/>
          </w:tcPr>
          <w:p w14:paraId="6F7C0E10" w14:textId="48C89D4A" w:rsidR="004E44B5" w:rsidRPr="007D4043" w:rsidRDefault="002D5C2D" w:rsidP="0013539F">
            <w:pPr>
              <w:spacing w:after="0" w:line="240" w:lineRule="auto"/>
              <w:ind w:firstLine="36"/>
              <w:rPr>
                <w:rFonts w:ascii="Times New Roman" w:eastAsia="Times New Roman" w:hAnsi="Times New Roman" w:cs="Times New Roman"/>
                <w:sz w:val="24"/>
                <w:szCs w:val="24"/>
                <w:lang w:eastAsia="ru-RU"/>
              </w:rPr>
            </w:pPr>
            <w:r w:rsidRPr="002D5C2D">
              <w:rPr>
                <w:rFonts w:ascii="Times New Roman" w:eastAsia="Times New Roman" w:hAnsi="Times New Roman" w:cs="Times New Roman"/>
                <w:sz w:val="24"/>
                <w:szCs w:val="24"/>
                <w:lang w:eastAsia="ru-RU"/>
              </w:rPr>
              <w:t>12. Үй жануарларымен ойнау</w:t>
            </w:r>
          </w:p>
        </w:tc>
        <w:tc>
          <w:tcPr>
            <w:tcW w:w="316" w:type="pct"/>
            <w:tcBorders>
              <w:top w:val="single" w:sz="4" w:space="0" w:color="auto"/>
              <w:left w:val="single" w:sz="4" w:space="0" w:color="auto"/>
              <w:bottom w:val="single" w:sz="4" w:space="0" w:color="auto"/>
              <w:right w:val="single" w:sz="4" w:space="0" w:color="auto"/>
            </w:tcBorders>
          </w:tcPr>
          <w:p w14:paraId="05345E33"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450E6AAC" w14:textId="69C0E82A" w:rsidR="004E44B5" w:rsidRPr="007D4043" w:rsidRDefault="00661399" w:rsidP="0013539F">
            <w:pPr>
              <w:spacing w:after="0" w:line="240" w:lineRule="auto"/>
              <w:ind w:firstLine="44"/>
              <w:rPr>
                <w:rFonts w:ascii="Times New Roman" w:eastAsia="Times New Roman" w:hAnsi="Times New Roman" w:cs="Times New Roman"/>
                <w:sz w:val="24"/>
                <w:szCs w:val="24"/>
                <w:lang w:eastAsia="ru-RU"/>
              </w:rPr>
            </w:pPr>
            <w:r w:rsidRPr="00661399">
              <w:rPr>
                <w:rFonts w:ascii="Times New Roman" w:eastAsia="Times New Roman" w:hAnsi="Times New Roman" w:cs="Times New Roman"/>
                <w:sz w:val="24"/>
                <w:szCs w:val="24"/>
                <w:lang w:eastAsia="ru-RU"/>
              </w:rPr>
              <w:t>27. Жұмыс</w:t>
            </w:r>
          </w:p>
        </w:tc>
        <w:tc>
          <w:tcPr>
            <w:tcW w:w="370" w:type="pct"/>
            <w:tcBorders>
              <w:top w:val="single" w:sz="4" w:space="0" w:color="auto"/>
              <w:left w:val="single" w:sz="4" w:space="0" w:color="auto"/>
              <w:bottom w:val="single" w:sz="4" w:space="0" w:color="auto"/>
              <w:right w:val="single" w:sz="4" w:space="0" w:color="auto"/>
            </w:tcBorders>
          </w:tcPr>
          <w:p w14:paraId="551F1F66"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r>
      <w:tr w:rsidR="004E44B5" w:rsidRPr="007D4043" w14:paraId="00B69AB8" w14:textId="77777777" w:rsidTr="0013539F">
        <w:tc>
          <w:tcPr>
            <w:tcW w:w="2278" w:type="pct"/>
            <w:tcBorders>
              <w:top w:val="single" w:sz="4" w:space="0" w:color="auto"/>
              <w:left w:val="single" w:sz="4" w:space="0" w:color="auto"/>
              <w:bottom w:val="single" w:sz="4" w:space="0" w:color="auto"/>
              <w:right w:val="single" w:sz="4" w:space="0" w:color="auto"/>
            </w:tcBorders>
            <w:vAlign w:val="center"/>
            <w:hideMark/>
          </w:tcPr>
          <w:p w14:paraId="15D0A54F" w14:textId="2687A81D" w:rsidR="004E44B5" w:rsidRPr="007D4043" w:rsidRDefault="002D5C2D" w:rsidP="0013539F">
            <w:pPr>
              <w:spacing w:after="0" w:line="240" w:lineRule="auto"/>
              <w:ind w:firstLine="36"/>
              <w:rPr>
                <w:rFonts w:ascii="Times New Roman" w:eastAsia="Times New Roman" w:hAnsi="Times New Roman" w:cs="Times New Roman"/>
                <w:sz w:val="24"/>
                <w:szCs w:val="24"/>
                <w:lang w:eastAsia="ru-RU"/>
              </w:rPr>
            </w:pPr>
            <w:r w:rsidRPr="002D5C2D">
              <w:rPr>
                <w:rFonts w:ascii="Times New Roman" w:eastAsia="Times New Roman" w:hAnsi="Times New Roman" w:cs="Times New Roman"/>
                <w:sz w:val="24"/>
                <w:szCs w:val="24"/>
                <w:lang w:eastAsia="ru-RU"/>
              </w:rPr>
              <w:t>13. Балалармен немесе немерелермен ойнау</w:t>
            </w:r>
          </w:p>
        </w:tc>
        <w:tc>
          <w:tcPr>
            <w:tcW w:w="316" w:type="pct"/>
            <w:tcBorders>
              <w:top w:val="single" w:sz="4" w:space="0" w:color="auto"/>
              <w:left w:val="single" w:sz="4" w:space="0" w:color="auto"/>
              <w:bottom w:val="single" w:sz="4" w:space="0" w:color="auto"/>
              <w:right w:val="single" w:sz="4" w:space="0" w:color="auto"/>
            </w:tcBorders>
          </w:tcPr>
          <w:p w14:paraId="00628751"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5EEDEA11" w14:textId="73F95CF0" w:rsidR="004E44B5" w:rsidRPr="007D4043" w:rsidRDefault="00661399" w:rsidP="0013539F">
            <w:pPr>
              <w:spacing w:after="0" w:line="240" w:lineRule="auto"/>
              <w:ind w:firstLine="44"/>
              <w:rPr>
                <w:rFonts w:ascii="Times New Roman" w:eastAsia="Times New Roman" w:hAnsi="Times New Roman" w:cs="Times New Roman"/>
                <w:sz w:val="24"/>
                <w:szCs w:val="24"/>
                <w:lang w:eastAsia="ru-RU"/>
              </w:rPr>
            </w:pPr>
            <w:r w:rsidRPr="00661399">
              <w:rPr>
                <w:rFonts w:ascii="Times New Roman" w:eastAsia="Times New Roman" w:hAnsi="Times New Roman" w:cs="Times New Roman"/>
                <w:sz w:val="24"/>
                <w:szCs w:val="24"/>
                <w:lang w:eastAsia="ru-RU"/>
              </w:rPr>
              <w:t>28. Ашық ауада болу</w:t>
            </w:r>
          </w:p>
        </w:tc>
        <w:tc>
          <w:tcPr>
            <w:tcW w:w="370" w:type="pct"/>
            <w:tcBorders>
              <w:top w:val="single" w:sz="4" w:space="0" w:color="auto"/>
              <w:left w:val="single" w:sz="4" w:space="0" w:color="auto"/>
              <w:bottom w:val="single" w:sz="4" w:space="0" w:color="auto"/>
              <w:right w:val="single" w:sz="4" w:space="0" w:color="auto"/>
            </w:tcBorders>
          </w:tcPr>
          <w:p w14:paraId="68397E7E"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r>
      <w:tr w:rsidR="004E44B5" w:rsidRPr="007D4043" w14:paraId="1764802D" w14:textId="77777777" w:rsidTr="0013539F">
        <w:tc>
          <w:tcPr>
            <w:tcW w:w="2278" w:type="pct"/>
            <w:tcBorders>
              <w:top w:val="single" w:sz="4" w:space="0" w:color="auto"/>
              <w:left w:val="single" w:sz="4" w:space="0" w:color="auto"/>
              <w:bottom w:val="single" w:sz="4" w:space="0" w:color="auto"/>
              <w:right w:val="single" w:sz="4" w:space="0" w:color="auto"/>
            </w:tcBorders>
            <w:vAlign w:val="center"/>
            <w:hideMark/>
          </w:tcPr>
          <w:p w14:paraId="785A2A61" w14:textId="6747535C" w:rsidR="004E44B5" w:rsidRPr="007D4043" w:rsidRDefault="002D5C2D" w:rsidP="0013539F">
            <w:pPr>
              <w:spacing w:after="0" w:line="240" w:lineRule="auto"/>
              <w:ind w:firstLine="36"/>
              <w:rPr>
                <w:rFonts w:ascii="Times New Roman" w:eastAsia="Times New Roman" w:hAnsi="Times New Roman" w:cs="Times New Roman"/>
                <w:sz w:val="24"/>
                <w:szCs w:val="24"/>
                <w:lang w:eastAsia="ru-RU"/>
              </w:rPr>
            </w:pPr>
            <w:r w:rsidRPr="002D5C2D">
              <w:rPr>
                <w:rFonts w:ascii="Times New Roman" w:eastAsia="Times New Roman" w:hAnsi="Times New Roman" w:cs="Times New Roman"/>
                <w:sz w:val="24"/>
                <w:szCs w:val="24"/>
                <w:lang w:eastAsia="ru-RU"/>
              </w:rPr>
              <w:t>14. Спорттық ойындар</w:t>
            </w:r>
          </w:p>
        </w:tc>
        <w:tc>
          <w:tcPr>
            <w:tcW w:w="316" w:type="pct"/>
            <w:tcBorders>
              <w:top w:val="single" w:sz="4" w:space="0" w:color="auto"/>
              <w:left w:val="single" w:sz="4" w:space="0" w:color="auto"/>
              <w:bottom w:val="single" w:sz="4" w:space="0" w:color="auto"/>
              <w:right w:val="single" w:sz="4" w:space="0" w:color="auto"/>
            </w:tcBorders>
          </w:tcPr>
          <w:p w14:paraId="3618CB85"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c>
          <w:tcPr>
            <w:tcW w:w="2036" w:type="pct"/>
            <w:tcBorders>
              <w:top w:val="single" w:sz="4" w:space="0" w:color="auto"/>
              <w:left w:val="single" w:sz="4" w:space="0" w:color="auto"/>
              <w:bottom w:val="single" w:sz="4" w:space="0" w:color="auto"/>
              <w:right w:val="single" w:sz="4" w:space="0" w:color="auto"/>
            </w:tcBorders>
            <w:vAlign w:val="center"/>
            <w:hideMark/>
          </w:tcPr>
          <w:p w14:paraId="70446B21" w14:textId="198D1CA5" w:rsidR="004E44B5" w:rsidRPr="007D4043" w:rsidRDefault="00661399" w:rsidP="0013539F">
            <w:pPr>
              <w:spacing w:after="0" w:line="240" w:lineRule="auto"/>
              <w:ind w:firstLine="44"/>
              <w:rPr>
                <w:rFonts w:ascii="Times New Roman" w:eastAsia="Times New Roman" w:hAnsi="Times New Roman" w:cs="Times New Roman"/>
                <w:sz w:val="24"/>
                <w:szCs w:val="24"/>
                <w:lang w:eastAsia="ru-RU"/>
              </w:rPr>
            </w:pPr>
            <w:r w:rsidRPr="00661399">
              <w:rPr>
                <w:rFonts w:ascii="Times New Roman" w:eastAsia="Times New Roman" w:hAnsi="Times New Roman" w:cs="Times New Roman"/>
                <w:sz w:val="24"/>
                <w:szCs w:val="24"/>
                <w:lang w:eastAsia="ru-RU"/>
              </w:rPr>
              <w:t>29. Балалармен саябақта серуендеу</w:t>
            </w:r>
          </w:p>
        </w:tc>
        <w:tc>
          <w:tcPr>
            <w:tcW w:w="370" w:type="pct"/>
            <w:tcBorders>
              <w:top w:val="single" w:sz="4" w:space="0" w:color="auto"/>
              <w:left w:val="single" w:sz="4" w:space="0" w:color="auto"/>
              <w:bottom w:val="single" w:sz="4" w:space="0" w:color="auto"/>
              <w:right w:val="single" w:sz="4" w:space="0" w:color="auto"/>
            </w:tcBorders>
          </w:tcPr>
          <w:p w14:paraId="0BCECB93"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r>
      <w:tr w:rsidR="004E44B5" w:rsidRPr="007D4043" w14:paraId="085DFA73" w14:textId="77777777" w:rsidTr="0013539F">
        <w:tc>
          <w:tcPr>
            <w:tcW w:w="2278" w:type="pct"/>
            <w:tcBorders>
              <w:top w:val="single" w:sz="4" w:space="0" w:color="auto"/>
              <w:left w:val="single" w:sz="4" w:space="0" w:color="auto"/>
              <w:bottom w:val="single" w:sz="4" w:space="0" w:color="auto"/>
              <w:right w:val="single" w:sz="4" w:space="0" w:color="auto"/>
            </w:tcBorders>
            <w:vAlign w:val="center"/>
            <w:hideMark/>
          </w:tcPr>
          <w:p w14:paraId="0595F38D" w14:textId="1C49CF86" w:rsidR="004E44B5" w:rsidRPr="007D4043" w:rsidRDefault="002D5C2D" w:rsidP="0013539F">
            <w:pPr>
              <w:spacing w:after="0" w:line="240" w:lineRule="auto"/>
              <w:ind w:firstLine="36"/>
              <w:jc w:val="both"/>
              <w:rPr>
                <w:rFonts w:ascii="Times New Roman" w:eastAsia="Times New Roman" w:hAnsi="Times New Roman" w:cs="Times New Roman"/>
                <w:sz w:val="24"/>
                <w:szCs w:val="24"/>
                <w:lang w:eastAsia="ru-RU"/>
              </w:rPr>
            </w:pPr>
            <w:r w:rsidRPr="002D5C2D">
              <w:rPr>
                <w:rFonts w:ascii="Times New Roman" w:eastAsia="Times New Roman" w:hAnsi="Times New Roman" w:cs="Times New Roman"/>
                <w:sz w:val="24"/>
                <w:szCs w:val="24"/>
                <w:lang w:eastAsia="ru-RU"/>
              </w:rPr>
              <w:t>15. Көлік жүргізу</w:t>
            </w:r>
          </w:p>
        </w:tc>
        <w:tc>
          <w:tcPr>
            <w:tcW w:w="316" w:type="pct"/>
          </w:tcPr>
          <w:p w14:paraId="64AD1A59"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c>
          <w:tcPr>
            <w:tcW w:w="2036" w:type="pct"/>
            <w:vAlign w:val="center"/>
            <w:hideMark/>
          </w:tcPr>
          <w:p w14:paraId="5FD8B607"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c>
          <w:tcPr>
            <w:tcW w:w="370" w:type="pct"/>
          </w:tcPr>
          <w:p w14:paraId="17CC0163" w14:textId="77777777" w:rsidR="004E44B5" w:rsidRPr="007D4043" w:rsidRDefault="004E44B5" w:rsidP="0013539F">
            <w:pPr>
              <w:spacing w:after="0" w:line="240" w:lineRule="auto"/>
              <w:ind w:firstLine="44"/>
              <w:rPr>
                <w:rFonts w:ascii="Times New Roman" w:eastAsia="Times New Roman" w:hAnsi="Times New Roman" w:cs="Times New Roman"/>
                <w:sz w:val="24"/>
                <w:szCs w:val="24"/>
                <w:lang w:eastAsia="ru-RU"/>
              </w:rPr>
            </w:pPr>
          </w:p>
        </w:tc>
      </w:tr>
    </w:tbl>
    <w:p w14:paraId="185DCC32" w14:textId="77777777" w:rsidR="004E44B5" w:rsidRPr="007D4043" w:rsidRDefault="004E44B5" w:rsidP="004E44B5">
      <w:pPr>
        <w:spacing w:after="0" w:line="240" w:lineRule="auto"/>
        <w:ind w:firstLine="567"/>
        <w:jc w:val="both"/>
        <w:rPr>
          <w:rFonts w:ascii="Times New Roman" w:hAnsi="Times New Roman" w:cs="Times New Roman"/>
          <w:sz w:val="28"/>
          <w:szCs w:val="28"/>
        </w:rPr>
      </w:pPr>
    </w:p>
    <w:p w14:paraId="4F5D72F1" w14:textId="77777777" w:rsidR="005C7C11" w:rsidRPr="005C7C11" w:rsidRDefault="005C7C11" w:rsidP="005C7C11">
      <w:pPr>
        <w:spacing w:after="0" w:line="240" w:lineRule="auto"/>
        <w:ind w:firstLine="567"/>
        <w:jc w:val="both"/>
        <w:rPr>
          <w:rFonts w:ascii="Times New Roman" w:eastAsia="Calibri" w:hAnsi="Times New Roman" w:cs="Times New Roman"/>
          <w:sz w:val="28"/>
          <w:szCs w:val="28"/>
        </w:rPr>
      </w:pPr>
      <w:r w:rsidRPr="005C7C11">
        <w:rPr>
          <w:rFonts w:ascii="Times New Roman" w:eastAsia="Calibri" w:hAnsi="Times New Roman" w:cs="Times New Roman"/>
          <w:sz w:val="28"/>
          <w:szCs w:val="28"/>
        </w:rPr>
        <w:t>Максималды баға өмір сапасының жалпы ұпайымен көрсетілді және 18 баллды құрады. Симптомдардың ауырлығын түсіндіру келесі шкала бойынша жүргізілді:</w:t>
      </w:r>
    </w:p>
    <w:p w14:paraId="4F0F6AFB" w14:textId="77777777" w:rsidR="005C7C11" w:rsidRPr="005C7C11" w:rsidRDefault="005C7C11" w:rsidP="005C7C11">
      <w:pPr>
        <w:spacing w:after="0" w:line="240" w:lineRule="auto"/>
        <w:ind w:firstLine="567"/>
        <w:jc w:val="both"/>
        <w:rPr>
          <w:rFonts w:ascii="Times New Roman" w:eastAsia="Calibri" w:hAnsi="Times New Roman" w:cs="Times New Roman"/>
          <w:sz w:val="28"/>
          <w:szCs w:val="28"/>
        </w:rPr>
      </w:pPr>
      <w:r w:rsidRPr="005C7C11">
        <w:rPr>
          <w:rFonts w:ascii="Times New Roman" w:eastAsia="Calibri" w:hAnsi="Times New Roman" w:cs="Times New Roman"/>
          <w:sz w:val="28"/>
          <w:szCs w:val="28"/>
        </w:rPr>
        <w:t>0-7 ұпай-симптомдар жоқ немесе жеңіл</w:t>
      </w:r>
    </w:p>
    <w:p w14:paraId="1D87FA73" w14:textId="77777777" w:rsidR="005C7C11" w:rsidRPr="005C7C11" w:rsidRDefault="005C7C11" w:rsidP="005C7C11">
      <w:pPr>
        <w:spacing w:after="0" w:line="240" w:lineRule="auto"/>
        <w:ind w:firstLine="567"/>
        <w:jc w:val="both"/>
        <w:rPr>
          <w:rFonts w:ascii="Times New Roman" w:eastAsia="Calibri" w:hAnsi="Times New Roman" w:cs="Times New Roman"/>
          <w:sz w:val="28"/>
          <w:szCs w:val="28"/>
        </w:rPr>
      </w:pPr>
      <w:r w:rsidRPr="005C7C11">
        <w:rPr>
          <w:rFonts w:ascii="Times New Roman" w:eastAsia="Calibri" w:hAnsi="Times New Roman" w:cs="Times New Roman"/>
          <w:sz w:val="28"/>
          <w:szCs w:val="28"/>
        </w:rPr>
        <w:t>8-14 ұпай-орташа ауырлық белгілері</w:t>
      </w:r>
    </w:p>
    <w:p w14:paraId="6B93C285" w14:textId="5A6ABC18" w:rsidR="004E44B5" w:rsidRDefault="005C7C11" w:rsidP="005C7C11">
      <w:pPr>
        <w:spacing w:after="0" w:line="240" w:lineRule="auto"/>
        <w:ind w:firstLine="567"/>
        <w:jc w:val="both"/>
        <w:rPr>
          <w:rFonts w:ascii="Times New Roman" w:eastAsia="Calibri" w:hAnsi="Times New Roman" w:cs="Times New Roman"/>
          <w:sz w:val="28"/>
          <w:szCs w:val="28"/>
        </w:rPr>
      </w:pPr>
      <w:r w:rsidRPr="005C7C11">
        <w:rPr>
          <w:rFonts w:ascii="Times New Roman" w:eastAsia="Calibri" w:hAnsi="Times New Roman" w:cs="Times New Roman"/>
          <w:sz w:val="28"/>
          <w:szCs w:val="28"/>
        </w:rPr>
        <w:t>15-21 балл-ауыр симптомдар.</w:t>
      </w:r>
    </w:p>
    <w:p w14:paraId="4BBED4E3" w14:textId="77777777" w:rsidR="005C7C11" w:rsidRPr="007D4043" w:rsidRDefault="005C7C11" w:rsidP="005C7C11">
      <w:pPr>
        <w:spacing w:after="0" w:line="240" w:lineRule="auto"/>
        <w:ind w:firstLine="567"/>
        <w:jc w:val="both"/>
        <w:rPr>
          <w:rFonts w:ascii="Times New Roman" w:hAnsi="Times New Roman" w:cs="Times New Roman"/>
          <w:sz w:val="28"/>
          <w:szCs w:val="28"/>
        </w:rPr>
      </w:pPr>
    </w:p>
    <w:p w14:paraId="44791315" w14:textId="7619B917" w:rsidR="005C7C11" w:rsidRPr="005C7C11" w:rsidRDefault="00A96DB9" w:rsidP="005C7C1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Жеңіл рино конъюнктивиті: «</w:t>
      </w:r>
      <w:r w:rsidR="004E1F41">
        <w:rPr>
          <w:rFonts w:ascii="Times New Roman" w:hAnsi="Times New Roman" w:cs="Times New Roman"/>
          <w:sz w:val="28"/>
          <w:szCs w:val="28"/>
        </w:rPr>
        <w:t>С</w:t>
      </w:r>
      <w:r w:rsidR="005C7C11" w:rsidRPr="005C7C11">
        <w:rPr>
          <w:rFonts w:ascii="Times New Roman" w:hAnsi="Times New Roman" w:cs="Times New Roman"/>
          <w:sz w:val="28"/>
          <w:szCs w:val="28"/>
        </w:rPr>
        <w:t>ізде риноконъюнктивит бар (мұрын мен көзге аллергия / шөп безгегі), бірақ бұл сізді аз алаңдатады. Әлсіз немесе орташа мұрын және конъюнктивалық белгілер, бірақ олар күнделікті әрекеттерге сирек кедергі келтіреді. Кейде олар сізге жақсы ұйықтауға кедергі келтіреді және сіз күні бойы аздап шаршауыңыз мүмкін. Сіздің белгілеріңіз сізді әрең</w:t>
      </w:r>
      <w:r>
        <w:rPr>
          <w:rFonts w:ascii="Times New Roman" w:hAnsi="Times New Roman" w:cs="Times New Roman"/>
          <w:sz w:val="28"/>
          <w:szCs w:val="28"/>
        </w:rPr>
        <w:t xml:space="preserve"> ренжітеді немесе ашуландырады»</w:t>
      </w:r>
      <w:r w:rsidR="005C7C11" w:rsidRPr="005C7C11">
        <w:rPr>
          <w:rFonts w:ascii="Times New Roman" w:hAnsi="Times New Roman" w:cs="Times New Roman"/>
          <w:sz w:val="28"/>
          <w:szCs w:val="28"/>
        </w:rPr>
        <w:t>.</w:t>
      </w:r>
    </w:p>
    <w:p w14:paraId="73DDF633" w14:textId="3B58A030" w:rsidR="005C7C11" w:rsidRPr="005C7C11" w:rsidRDefault="00A96DB9" w:rsidP="005C7C1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Орташа Рено-конъюнктивит: «</w:t>
      </w:r>
      <w:r w:rsidR="004E1F41">
        <w:rPr>
          <w:rFonts w:ascii="Times New Roman" w:hAnsi="Times New Roman" w:cs="Times New Roman"/>
          <w:sz w:val="28"/>
          <w:szCs w:val="28"/>
        </w:rPr>
        <w:t>С</w:t>
      </w:r>
      <w:r w:rsidR="005C7C11" w:rsidRPr="005C7C11">
        <w:rPr>
          <w:rFonts w:ascii="Times New Roman" w:hAnsi="Times New Roman" w:cs="Times New Roman"/>
          <w:sz w:val="28"/>
          <w:szCs w:val="28"/>
        </w:rPr>
        <w:t>ізде риноконъюнктивит бар және ол сізді аздап мазалайды. Сізде мұрын мен көздің жағымсыз белгілері жиі кездеседі, кейде олар бас ауруын тудырады. Сіздің белгілеріңіз күнделікті әрекеттеріңізге жиі кедергі келтіреді. Көбінесе олар сізге жақсы ұйықтауға кедергі жасайды. Сіз кейде шаршап, зейін қою қиынға соғады. Сіз өзіңіздің белг</w:t>
      </w:r>
      <w:r>
        <w:rPr>
          <w:rFonts w:ascii="Times New Roman" w:hAnsi="Times New Roman" w:cs="Times New Roman"/>
          <w:sz w:val="28"/>
          <w:szCs w:val="28"/>
        </w:rPr>
        <w:t>ілеріңізге ренжіп, тітіркенесіз»</w:t>
      </w:r>
      <w:r w:rsidR="005C7C11" w:rsidRPr="005C7C11">
        <w:rPr>
          <w:rFonts w:ascii="Times New Roman" w:hAnsi="Times New Roman" w:cs="Times New Roman"/>
          <w:sz w:val="28"/>
          <w:szCs w:val="28"/>
        </w:rPr>
        <w:t>.</w:t>
      </w:r>
    </w:p>
    <w:p w14:paraId="0640549E" w14:textId="269639C9" w:rsidR="0044570C" w:rsidRPr="00EC38CC" w:rsidRDefault="005C7C11" w:rsidP="005C7C11">
      <w:pPr>
        <w:spacing w:after="0" w:line="240" w:lineRule="auto"/>
        <w:ind w:firstLine="567"/>
        <w:jc w:val="both"/>
        <w:rPr>
          <w:rFonts w:ascii="Times New Roman" w:hAnsi="Times New Roman" w:cs="Times New Roman"/>
          <w:sz w:val="28"/>
          <w:szCs w:val="28"/>
        </w:rPr>
      </w:pPr>
      <w:r w:rsidRPr="005C7C11">
        <w:rPr>
          <w:rFonts w:ascii="Times New Roman" w:hAnsi="Times New Roman" w:cs="Times New Roman"/>
          <w:sz w:val="28"/>
          <w:szCs w:val="28"/>
        </w:rPr>
        <w:t xml:space="preserve">Ауыр Рено-конъюнктивит: </w:t>
      </w:r>
      <w:r w:rsidR="00A96DB9">
        <w:rPr>
          <w:rFonts w:ascii="Times New Roman" w:hAnsi="Times New Roman" w:cs="Times New Roman"/>
          <w:sz w:val="28"/>
          <w:szCs w:val="28"/>
        </w:rPr>
        <w:t>«</w:t>
      </w:r>
      <w:r w:rsidR="004E1F41">
        <w:rPr>
          <w:rFonts w:ascii="Times New Roman" w:hAnsi="Times New Roman" w:cs="Times New Roman"/>
          <w:sz w:val="28"/>
          <w:szCs w:val="28"/>
        </w:rPr>
        <w:t>С</w:t>
      </w:r>
      <w:r w:rsidRPr="005C7C11">
        <w:rPr>
          <w:rFonts w:ascii="Times New Roman" w:hAnsi="Times New Roman" w:cs="Times New Roman"/>
          <w:sz w:val="28"/>
          <w:szCs w:val="28"/>
        </w:rPr>
        <w:t>ізде ауыр риноконъюнктивит бар және бұл өте жағымсыз. Мұрын мен көздің белгілері өте алаңдатады және сіздің басыңыз жиі ауырады. Сіздің күнделікті әрекеттеріңіз өте шектеулі және түнде ұйықтау әрқашан қиын. Сіз күні бойы қатты шаршағаныңызды сезінесіз және зейін қою өте қиын. Бұл сізді қатты ре</w:t>
      </w:r>
      <w:r w:rsidR="00A96DB9">
        <w:rPr>
          <w:rFonts w:ascii="Times New Roman" w:hAnsi="Times New Roman" w:cs="Times New Roman"/>
          <w:sz w:val="28"/>
          <w:szCs w:val="28"/>
        </w:rPr>
        <w:t>нжітеді және қатты ашуландырады»</w:t>
      </w:r>
      <w:r w:rsidRPr="005C7C11">
        <w:rPr>
          <w:rFonts w:ascii="Times New Roman" w:hAnsi="Times New Roman" w:cs="Times New Roman"/>
          <w:sz w:val="28"/>
          <w:szCs w:val="28"/>
        </w:rPr>
        <w:t>.</w:t>
      </w:r>
    </w:p>
    <w:p w14:paraId="6A572199" w14:textId="61ACE079" w:rsidR="0044570C" w:rsidRDefault="0044570C">
      <w:pPr>
        <w:rPr>
          <w:rFonts w:ascii="Times New Roman" w:eastAsiaTheme="majorEastAsia" w:hAnsi="Times New Roman" w:cs="Times New Roman"/>
          <w:b/>
          <w:sz w:val="28"/>
          <w:szCs w:val="28"/>
        </w:rPr>
      </w:pPr>
      <w:r>
        <w:rPr>
          <w:rFonts w:ascii="Times New Roman" w:eastAsiaTheme="majorEastAsia" w:hAnsi="Times New Roman" w:cs="Times New Roman"/>
          <w:b/>
          <w:sz w:val="28"/>
          <w:szCs w:val="28"/>
        </w:rPr>
        <w:br w:type="page"/>
      </w:r>
    </w:p>
    <w:p w14:paraId="393CAC12" w14:textId="62B277BA" w:rsidR="00EC38CC" w:rsidRPr="00D00AEA" w:rsidRDefault="00EC38CC" w:rsidP="00D00AEA">
      <w:pPr>
        <w:spacing w:after="0" w:line="240" w:lineRule="auto"/>
        <w:rPr>
          <w:rFonts w:ascii="Times New Roman" w:hAnsi="Times New Roman" w:cs="Times New Roman"/>
          <w:sz w:val="28"/>
          <w:szCs w:val="28"/>
        </w:rPr>
      </w:pPr>
    </w:p>
    <w:p w14:paraId="26CCE256" w14:textId="34526B78" w:rsidR="008339CF" w:rsidRPr="008339CF" w:rsidRDefault="008339CF" w:rsidP="008339CF">
      <w:pPr>
        <w:keepNext/>
        <w:keepLines/>
        <w:spacing w:after="0" w:line="240" w:lineRule="auto"/>
        <w:jc w:val="center"/>
        <w:outlineLvl w:val="0"/>
        <w:rPr>
          <w:rFonts w:ascii="Times New Roman" w:eastAsiaTheme="majorEastAsia" w:hAnsi="Times New Roman" w:cs="Times New Roman"/>
          <w:b/>
          <w:sz w:val="28"/>
          <w:szCs w:val="28"/>
        </w:rPr>
      </w:pPr>
      <w:bookmarkStart w:id="66" w:name="_Toc137904373"/>
      <w:r w:rsidRPr="008339CF">
        <w:rPr>
          <w:rFonts w:ascii="Times New Roman" w:eastAsiaTheme="majorEastAsia" w:hAnsi="Times New Roman" w:cs="Times New Roman"/>
          <w:b/>
          <w:sz w:val="28"/>
          <w:szCs w:val="28"/>
          <w:lang w:val="kk-KZ"/>
        </w:rPr>
        <w:t xml:space="preserve">ПРИЛОЖЕНИЕ </w:t>
      </w:r>
      <w:r w:rsidRPr="008339CF">
        <w:rPr>
          <w:rFonts w:ascii="Times New Roman" w:eastAsiaTheme="majorEastAsia" w:hAnsi="Times New Roman" w:cs="Times New Roman"/>
          <w:b/>
          <w:sz w:val="28"/>
          <w:szCs w:val="28"/>
        </w:rPr>
        <w:t>Д</w:t>
      </w:r>
      <w:bookmarkEnd w:id="66"/>
    </w:p>
    <w:p w14:paraId="46BB513A" w14:textId="77777777" w:rsidR="009F3BD1" w:rsidRDefault="009F3BD1" w:rsidP="009F3BD1">
      <w:pPr>
        <w:rPr>
          <w:rFonts w:ascii="Times New Roman" w:hAnsi="Times New Roman" w:cs="Times New Roman"/>
          <w:b/>
          <w:sz w:val="28"/>
          <w:szCs w:val="28"/>
        </w:rPr>
      </w:pPr>
    </w:p>
    <w:p w14:paraId="7D07D6E6" w14:textId="247C1195" w:rsidR="009F3BD1" w:rsidRPr="007D4043" w:rsidRDefault="009F3BD1" w:rsidP="009F3BD1">
      <w:pPr>
        <w:jc w:val="center"/>
        <w:rPr>
          <w:rFonts w:ascii="Times New Roman" w:eastAsiaTheme="majorEastAsia" w:hAnsi="Times New Roman" w:cs="Times New Roman"/>
          <w:sz w:val="28"/>
          <w:szCs w:val="28"/>
        </w:rPr>
      </w:pPr>
      <w:r w:rsidRPr="007D4043">
        <w:rPr>
          <w:rFonts w:ascii="Times New Roman" w:eastAsiaTheme="majorEastAsia" w:hAnsi="Times New Roman" w:cs="Times New Roman"/>
          <w:sz w:val="28"/>
          <w:szCs w:val="28"/>
        </w:rPr>
        <w:t>Базовые клинико-лабораторные характеристики и качество жизни пациентов с сезонным аллергическим ринитом</w:t>
      </w:r>
    </w:p>
    <w:p w14:paraId="30CC3E13" w14:textId="77777777" w:rsidR="009F3BD1" w:rsidRPr="007D4043" w:rsidRDefault="009F3BD1" w:rsidP="009F3BD1">
      <w:pPr>
        <w:tabs>
          <w:tab w:val="left" w:pos="1454"/>
        </w:tabs>
        <w:spacing w:after="0" w:line="240" w:lineRule="auto"/>
        <w:ind w:firstLine="567"/>
        <w:jc w:val="both"/>
        <w:rPr>
          <w:rFonts w:ascii="Times New Roman" w:hAnsi="Times New Roman" w:cs="Times New Roman"/>
          <w:sz w:val="28"/>
          <w:szCs w:val="28"/>
        </w:rPr>
      </w:pPr>
    </w:p>
    <w:p w14:paraId="267636F2" w14:textId="77777777" w:rsidR="009F3BD1" w:rsidRPr="007D4043" w:rsidRDefault="009F3BD1" w:rsidP="009F3BD1">
      <w:pPr>
        <w:tabs>
          <w:tab w:val="left" w:pos="1454"/>
        </w:tabs>
        <w:spacing w:after="0" w:line="240" w:lineRule="auto"/>
        <w:jc w:val="center"/>
        <w:rPr>
          <w:rFonts w:ascii="Times New Roman" w:hAnsi="Times New Roman" w:cs="Times New Roman"/>
          <w:sz w:val="28"/>
          <w:szCs w:val="28"/>
        </w:rPr>
      </w:pPr>
      <w:r w:rsidRPr="007D4043">
        <w:rPr>
          <w:rFonts w:ascii="Times New Roman" w:hAnsi="Times New Roman" w:cs="Times New Roman"/>
          <w:sz w:val="28"/>
          <w:szCs w:val="28"/>
        </w:rPr>
        <w:t>Выраженность симптомов по степени тяжести у больных сезонным аллергическим ринитом перед началом лечения (n=55)</w:t>
      </w:r>
    </w:p>
    <w:p w14:paraId="2026A5CD" w14:textId="77777777" w:rsidR="009F3BD1" w:rsidRPr="007D4043" w:rsidRDefault="009F3BD1" w:rsidP="009F3BD1">
      <w:pPr>
        <w:tabs>
          <w:tab w:val="left" w:pos="1454"/>
        </w:tabs>
        <w:spacing w:after="0" w:line="240" w:lineRule="auto"/>
        <w:ind w:firstLine="567"/>
        <w:jc w:val="both"/>
        <w:rPr>
          <w:rFonts w:ascii="Times New Roman" w:hAnsi="Times New Roman" w:cs="Times New Roman"/>
          <w:sz w:val="28"/>
          <w:szCs w:val="28"/>
        </w:rPr>
      </w:pPr>
    </w:p>
    <w:tbl>
      <w:tblPr>
        <w:tblStyle w:val="af3"/>
        <w:tblW w:w="5000" w:type="pct"/>
        <w:tblInd w:w="-5" w:type="dxa"/>
        <w:tblLook w:val="04A0" w:firstRow="1" w:lastRow="0" w:firstColumn="1" w:lastColumn="0" w:noHBand="0" w:noVBand="1"/>
      </w:tblPr>
      <w:tblGrid>
        <w:gridCol w:w="3229"/>
        <w:gridCol w:w="1323"/>
        <w:gridCol w:w="1612"/>
        <w:gridCol w:w="1725"/>
        <w:gridCol w:w="1739"/>
      </w:tblGrid>
      <w:tr w:rsidR="009F3BD1" w:rsidRPr="007D4043" w14:paraId="3F58E2F6" w14:textId="77777777" w:rsidTr="006C735A">
        <w:tc>
          <w:tcPr>
            <w:tcW w:w="1677" w:type="pct"/>
            <w:vMerge w:val="restart"/>
            <w:vAlign w:val="center"/>
          </w:tcPr>
          <w:p w14:paraId="05B372AE"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Показатель</w:t>
            </w:r>
          </w:p>
        </w:tc>
        <w:tc>
          <w:tcPr>
            <w:tcW w:w="3323" w:type="pct"/>
            <w:gridSpan w:val="4"/>
            <w:vAlign w:val="center"/>
          </w:tcPr>
          <w:p w14:paraId="50434272"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Степень тяжести, абс, (%)</w:t>
            </w:r>
          </w:p>
        </w:tc>
      </w:tr>
      <w:tr w:rsidR="009F3BD1" w:rsidRPr="007D4043" w14:paraId="30FC929F" w14:textId="77777777" w:rsidTr="006C735A">
        <w:tc>
          <w:tcPr>
            <w:tcW w:w="1677" w:type="pct"/>
            <w:vMerge/>
            <w:vAlign w:val="center"/>
          </w:tcPr>
          <w:p w14:paraId="5007BF26" w14:textId="77777777" w:rsidR="009F3BD1" w:rsidRPr="007D4043" w:rsidRDefault="009F3BD1" w:rsidP="006C735A">
            <w:pPr>
              <w:tabs>
                <w:tab w:val="left" w:pos="1454"/>
              </w:tabs>
              <w:jc w:val="both"/>
              <w:rPr>
                <w:rFonts w:ascii="Times New Roman" w:hAnsi="Times New Roman" w:cs="Times New Roman"/>
                <w:sz w:val="24"/>
                <w:szCs w:val="24"/>
              </w:rPr>
            </w:pPr>
          </w:p>
        </w:tc>
        <w:tc>
          <w:tcPr>
            <w:tcW w:w="687" w:type="pct"/>
            <w:vAlign w:val="center"/>
          </w:tcPr>
          <w:p w14:paraId="543CEF18"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Нет симптома</w:t>
            </w:r>
          </w:p>
        </w:tc>
        <w:tc>
          <w:tcPr>
            <w:tcW w:w="837" w:type="pct"/>
            <w:vAlign w:val="center"/>
          </w:tcPr>
          <w:p w14:paraId="40AD40D6"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 xml:space="preserve">Легкая </w:t>
            </w:r>
          </w:p>
        </w:tc>
        <w:tc>
          <w:tcPr>
            <w:tcW w:w="896" w:type="pct"/>
            <w:vAlign w:val="center"/>
          </w:tcPr>
          <w:p w14:paraId="519D38C5"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 xml:space="preserve">Средняя </w:t>
            </w:r>
          </w:p>
        </w:tc>
        <w:tc>
          <w:tcPr>
            <w:tcW w:w="903" w:type="pct"/>
            <w:vAlign w:val="center"/>
          </w:tcPr>
          <w:p w14:paraId="1797AE0B"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 xml:space="preserve">Тяжелая </w:t>
            </w:r>
          </w:p>
        </w:tc>
      </w:tr>
      <w:tr w:rsidR="009F3BD1" w:rsidRPr="007D4043" w14:paraId="5053E18C" w14:textId="77777777" w:rsidTr="006C735A">
        <w:tc>
          <w:tcPr>
            <w:tcW w:w="1677" w:type="pct"/>
            <w:vAlign w:val="center"/>
          </w:tcPr>
          <w:p w14:paraId="6491A132"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Заложенность носа</w:t>
            </w:r>
          </w:p>
        </w:tc>
        <w:tc>
          <w:tcPr>
            <w:tcW w:w="687" w:type="pct"/>
            <w:vAlign w:val="center"/>
          </w:tcPr>
          <w:p w14:paraId="41E1E749"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0</w:t>
            </w:r>
          </w:p>
        </w:tc>
        <w:tc>
          <w:tcPr>
            <w:tcW w:w="837" w:type="pct"/>
            <w:vAlign w:val="center"/>
          </w:tcPr>
          <w:p w14:paraId="1272B97C"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5 (9,1%)</w:t>
            </w:r>
          </w:p>
        </w:tc>
        <w:tc>
          <w:tcPr>
            <w:tcW w:w="896" w:type="pct"/>
            <w:vAlign w:val="center"/>
          </w:tcPr>
          <w:p w14:paraId="564274FB"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36 (65,4%)</w:t>
            </w:r>
          </w:p>
        </w:tc>
        <w:tc>
          <w:tcPr>
            <w:tcW w:w="903" w:type="pct"/>
            <w:vAlign w:val="center"/>
          </w:tcPr>
          <w:p w14:paraId="4E8E9E18"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14 (25,5%)</w:t>
            </w:r>
          </w:p>
        </w:tc>
      </w:tr>
      <w:tr w:rsidR="009F3BD1" w:rsidRPr="007D4043" w14:paraId="4BFC70BF" w14:textId="77777777" w:rsidTr="006C735A">
        <w:tc>
          <w:tcPr>
            <w:tcW w:w="1677" w:type="pct"/>
            <w:vAlign w:val="center"/>
          </w:tcPr>
          <w:p w14:paraId="3D00A81A"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Выделения из носа</w:t>
            </w:r>
          </w:p>
        </w:tc>
        <w:tc>
          <w:tcPr>
            <w:tcW w:w="687" w:type="pct"/>
            <w:vAlign w:val="center"/>
          </w:tcPr>
          <w:p w14:paraId="5D3DCB07"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0</w:t>
            </w:r>
          </w:p>
        </w:tc>
        <w:tc>
          <w:tcPr>
            <w:tcW w:w="837" w:type="pct"/>
            <w:vAlign w:val="center"/>
          </w:tcPr>
          <w:p w14:paraId="26A2C6BA"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6 (11%)</w:t>
            </w:r>
          </w:p>
        </w:tc>
        <w:tc>
          <w:tcPr>
            <w:tcW w:w="896" w:type="pct"/>
            <w:vAlign w:val="center"/>
          </w:tcPr>
          <w:p w14:paraId="4DAE98B9"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29 (52,7%)</w:t>
            </w:r>
          </w:p>
        </w:tc>
        <w:tc>
          <w:tcPr>
            <w:tcW w:w="903" w:type="pct"/>
            <w:vAlign w:val="center"/>
          </w:tcPr>
          <w:p w14:paraId="3E25D22A"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20 (36,3%)</w:t>
            </w:r>
          </w:p>
        </w:tc>
      </w:tr>
      <w:tr w:rsidR="009F3BD1" w:rsidRPr="007D4043" w14:paraId="6983B515" w14:textId="77777777" w:rsidTr="006C735A">
        <w:tc>
          <w:tcPr>
            <w:tcW w:w="1677" w:type="pct"/>
            <w:vAlign w:val="center"/>
          </w:tcPr>
          <w:p w14:paraId="2E7E20E9"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Зуд в носу</w:t>
            </w:r>
          </w:p>
        </w:tc>
        <w:tc>
          <w:tcPr>
            <w:tcW w:w="687" w:type="pct"/>
            <w:vAlign w:val="center"/>
          </w:tcPr>
          <w:p w14:paraId="37C15619"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0</w:t>
            </w:r>
          </w:p>
        </w:tc>
        <w:tc>
          <w:tcPr>
            <w:tcW w:w="837" w:type="pct"/>
            <w:vAlign w:val="center"/>
          </w:tcPr>
          <w:p w14:paraId="0F10D38D"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7 (12,7%)</w:t>
            </w:r>
          </w:p>
        </w:tc>
        <w:tc>
          <w:tcPr>
            <w:tcW w:w="896" w:type="pct"/>
            <w:vAlign w:val="center"/>
          </w:tcPr>
          <w:p w14:paraId="1390933B"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33 (60%)</w:t>
            </w:r>
          </w:p>
        </w:tc>
        <w:tc>
          <w:tcPr>
            <w:tcW w:w="903" w:type="pct"/>
            <w:vAlign w:val="center"/>
          </w:tcPr>
          <w:p w14:paraId="2C6CEB18"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15 (27,3%)</w:t>
            </w:r>
          </w:p>
        </w:tc>
      </w:tr>
      <w:tr w:rsidR="009F3BD1" w:rsidRPr="007D4043" w14:paraId="26072E9D" w14:textId="77777777" w:rsidTr="006C735A">
        <w:tc>
          <w:tcPr>
            <w:tcW w:w="1677" w:type="pct"/>
            <w:vAlign w:val="center"/>
          </w:tcPr>
          <w:p w14:paraId="7CC6DDC3"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Чихание</w:t>
            </w:r>
          </w:p>
        </w:tc>
        <w:tc>
          <w:tcPr>
            <w:tcW w:w="687" w:type="pct"/>
            <w:vAlign w:val="center"/>
          </w:tcPr>
          <w:p w14:paraId="74367AB2"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0</w:t>
            </w:r>
          </w:p>
        </w:tc>
        <w:tc>
          <w:tcPr>
            <w:tcW w:w="837" w:type="pct"/>
            <w:vAlign w:val="center"/>
          </w:tcPr>
          <w:p w14:paraId="690DFE6A"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12 (21,8%)</w:t>
            </w:r>
          </w:p>
        </w:tc>
        <w:tc>
          <w:tcPr>
            <w:tcW w:w="896" w:type="pct"/>
            <w:vAlign w:val="center"/>
          </w:tcPr>
          <w:p w14:paraId="58E61D2C"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32 (58,2%)</w:t>
            </w:r>
          </w:p>
        </w:tc>
        <w:tc>
          <w:tcPr>
            <w:tcW w:w="903" w:type="pct"/>
            <w:vAlign w:val="center"/>
          </w:tcPr>
          <w:p w14:paraId="0EF9F3B5"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11 (20%)</w:t>
            </w:r>
          </w:p>
        </w:tc>
      </w:tr>
      <w:tr w:rsidR="009F3BD1" w:rsidRPr="007D4043" w14:paraId="15D4024D" w14:textId="77777777" w:rsidTr="006C735A">
        <w:tc>
          <w:tcPr>
            <w:tcW w:w="1677" w:type="pct"/>
            <w:vAlign w:val="center"/>
          </w:tcPr>
          <w:p w14:paraId="7C93F7ED"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Зуд глаз/покраснение</w:t>
            </w:r>
          </w:p>
        </w:tc>
        <w:tc>
          <w:tcPr>
            <w:tcW w:w="687" w:type="pct"/>
            <w:vAlign w:val="center"/>
          </w:tcPr>
          <w:p w14:paraId="539B3675"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0</w:t>
            </w:r>
          </w:p>
        </w:tc>
        <w:tc>
          <w:tcPr>
            <w:tcW w:w="837" w:type="pct"/>
            <w:vAlign w:val="center"/>
          </w:tcPr>
          <w:p w14:paraId="04850DFC"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21 (38,2%)</w:t>
            </w:r>
          </w:p>
        </w:tc>
        <w:tc>
          <w:tcPr>
            <w:tcW w:w="896" w:type="pct"/>
            <w:vAlign w:val="center"/>
          </w:tcPr>
          <w:p w14:paraId="7F762A1A"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32 (58,2%)</w:t>
            </w:r>
          </w:p>
        </w:tc>
        <w:tc>
          <w:tcPr>
            <w:tcW w:w="903" w:type="pct"/>
            <w:vAlign w:val="center"/>
          </w:tcPr>
          <w:p w14:paraId="733A1211"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2 (3,6%)</w:t>
            </w:r>
          </w:p>
        </w:tc>
      </w:tr>
      <w:tr w:rsidR="009F3BD1" w:rsidRPr="007D4043" w14:paraId="1A040F76" w14:textId="77777777" w:rsidTr="006C735A">
        <w:tc>
          <w:tcPr>
            <w:tcW w:w="1677" w:type="pct"/>
            <w:vAlign w:val="center"/>
          </w:tcPr>
          <w:p w14:paraId="0168FBA6"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Слезоточивость</w:t>
            </w:r>
          </w:p>
        </w:tc>
        <w:tc>
          <w:tcPr>
            <w:tcW w:w="687" w:type="pct"/>
            <w:vAlign w:val="center"/>
          </w:tcPr>
          <w:p w14:paraId="338AC135"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1 (1,8%)</w:t>
            </w:r>
          </w:p>
        </w:tc>
        <w:tc>
          <w:tcPr>
            <w:tcW w:w="837" w:type="pct"/>
            <w:vAlign w:val="center"/>
          </w:tcPr>
          <w:p w14:paraId="6D22E70B"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33 (60%)</w:t>
            </w:r>
          </w:p>
        </w:tc>
        <w:tc>
          <w:tcPr>
            <w:tcW w:w="896" w:type="pct"/>
            <w:vAlign w:val="center"/>
          </w:tcPr>
          <w:p w14:paraId="6F067FB3"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19 (34,6%)</w:t>
            </w:r>
          </w:p>
        </w:tc>
        <w:tc>
          <w:tcPr>
            <w:tcW w:w="903" w:type="pct"/>
            <w:vAlign w:val="center"/>
          </w:tcPr>
          <w:p w14:paraId="675DF16F" w14:textId="77777777" w:rsidR="009F3BD1" w:rsidRPr="007D4043" w:rsidRDefault="009F3BD1" w:rsidP="006C735A">
            <w:pPr>
              <w:tabs>
                <w:tab w:val="left" w:pos="1454"/>
              </w:tabs>
              <w:jc w:val="both"/>
              <w:rPr>
                <w:rFonts w:ascii="Times New Roman" w:hAnsi="Times New Roman" w:cs="Times New Roman"/>
                <w:sz w:val="24"/>
                <w:szCs w:val="24"/>
              </w:rPr>
            </w:pPr>
            <w:r w:rsidRPr="007D4043">
              <w:rPr>
                <w:rFonts w:ascii="Times New Roman" w:hAnsi="Times New Roman" w:cs="Times New Roman"/>
                <w:sz w:val="24"/>
                <w:szCs w:val="24"/>
              </w:rPr>
              <w:t>2 (3,6%)</w:t>
            </w:r>
          </w:p>
        </w:tc>
      </w:tr>
    </w:tbl>
    <w:p w14:paraId="28D1D711" w14:textId="77777777" w:rsidR="009F3BD1" w:rsidRPr="007D4043" w:rsidRDefault="009F3BD1" w:rsidP="009F3BD1">
      <w:pPr>
        <w:spacing w:after="0" w:line="240" w:lineRule="auto"/>
        <w:ind w:firstLine="567"/>
        <w:jc w:val="both"/>
        <w:rPr>
          <w:rFonts w:ascii="Times New Roman" w:hAnsi="Times New Roman" w:cs="Times New Roman"/>
          <w:sz w:val="28"/>
          <w:szCs w:val="28"/>
        </w:rPr>
      </w:pPr>
    </w:p>
    <w:p w14:paraId="15347FAB" w14:textId="77777777" w:rsidR="009F3BD1" w:rsidRPr="00EC38CC" w:rsidRDefault="009F3BD1" w:rsidP="009F3BD1">
      <w:pPr>
        <w:tabs>
          <w:tab w:val="left" w:pos="1454"/>
        </w:tabs>
        <w:spacing w:after="0" w:line="240" w:lineRule="auto"/>
        <w:jc w:val="center"/>
        <w:rPr>
          <w:rFonts w:ascii="Times New Roman" w:hAnsi="Times New Roman" w:cs="Times New Roman"/>
          <w:sz w:val="28"/>
          <w:szCs w:val="28"/>
        </w:rPr>
      </w:pPr>
      <w:r w:rsidRPr="007D4043">
        <w:rPr>
          <w:rFonts w:ascii="Times New Roman" w:hAnsi="Times New Roman" w:cs="Times New Roman"/>
          <w:sz w:val="28"/>
          <w:szCs w:val="28"/>
        </w:rPr>
        <w:t>Характеристика выраженности клинических симптомов по</w:t>
      </w:r>
      <w:r w:rsidRPr="00EC38CC">
        <w:rPr>
          <w:rFonts w:ascii="Times New Roman" w:hAnsi="Times New Roman" w:cs="Times New Roman"/>
          <w:sz w:val="28"/>
          <w:szCs w:val="28"/>
        </w:rPr>
        <w:t xml:space="preserve"> степени тяжести и кратности применения медикаментов у больных сезонным аллергическим ринитом перед началом лечения (n=55)</w:t>
      </w:r>
    </w:p>
    <w:p w14:paraId="1A128A75" w14:textId="77777777" w:rsidR="009F3BD1" w:rsidRPr="00CD52FD" w:rsidRDefault="009F3BD1" w:rsidP="009F3BD1">
      <w:pPr>
        <w:tabs>
          <w:tab w:val="left" w:pos="1454"/>
        </w:tabs>
        <w:spacing w:after="0" w:line="240" w:lineRule="auto"/>
        <w:ind w:firstLine="567"/>
        <w:jc w:val="both"/>
        <w:rPr>
          <w:rFonts w:ascii="Times New Roman" w:hAnsi="Times New Roman" w:cs="Times New Roman"/>
          <w:b/>
          <w:sz w:val="24"/>
          <w:szCs w:val="24"/>
        </w:rPr>
      </w:pPr>
    </w:p>
    <w:tbl>
      <w:tblPr>
        <w:tblStyle w:val="af3"/>
        <w:tblW w:w="5000" w:type="pct"/>
        <w:tblLook w:val="04A0" w:firstRow="1" w:lastRow="0" w:firstColumn="1" w:lastColumn="0" w:noHBand="0" w:noVBand="1"/>
      </w:tblPr>
      <w:tblGrid>
        <w:gridCol w:w="6175"/>
        <w:gridCol w:w="3453"/>
      </w:tblGrid>
      <w:tr w:rsidR="009F3BD1" w:rsidRPr="00156652" w14:paraId="1B4B1A53" w14:textId="77777777" w:rsidTr="006C735A">
        <w:tc>
          <w:tcPr>
            <w:tcW w:w="3207" w:type="pct"/>
          </w:tcPr>
          <w:p w14:paraId="54565AFB" w14:textId="77777777" w:rsidR="009F3BD1" w:rsidRPr="00156652" w:rsidRDefault="009F3BD1" w:rsidP="006C735A">
            <w:pPr>
              <w:jc w:val="both"/>
              <w:rPr>
                <w:rFonts w:ascii="Times New Roman" w:hAnsi="Times New Roman" w:cs="Times New Roman"/>
                <w:sz w:val="24"/>
                <w:szCs w:val="24"/>
              </w:rPr>
            </w:pPr>
            <w:r w:rsidRPr="00156652">
              <w:rPr>
                <w:rFonts w:ascii="Times New Roman" w:hAnsi="Times New Roman" w:cs="Times New Roman"/>
                <w:sz w:val="24"/>
                <w:szCs w:val="24"/>
              </w:rPr>
              <w:t>Показатель</w:t>
            </w:r>
          </w:p>
        </w:tc>
        <w:tc>
          <w:tcPr>
            <w:tcW w:w="1793" w:type="pct"/>
          </w:tcPr>
          <w:p w14:paraId="0FED3D08" w14:textId="77777777" w:rsidR="009F3BD1" w:rsidRPr="00156652" w:rsidRDefault="009F3BD1" w:rsidP="006C735A">
            <w:pPr>
              <w:jc w:val="both"/>
              <w:rPr>
                <w:rFonts w:ascii="Times New Roman" w:hAnsi="Times New Roman" w:cs="Times New Roman"/>
                <w:sz w:val="24"/>
                <w:szCs w:val="24"/>
              </w:rPr>
            </w:pPr>
            <w:r w:rsidRPr="00156652">
              <w:rPr>
                <w:rFonts w:ascii="Times New Roman" w:hAnsi="Times New Roman" w:cs="Times New Roman"/>
                <w:sz w:val="24"/>
                <w:szCs w:val="24"/>
              </w:rPr>
              <w:t xml:space="preserve">Выраженность симптомов по шкале оценки тяжести </w:t>
            </w:r>
          </w:p>
        </w:tc>
      </w:tr>
      <w:tr w:rsidR="009F3BD1" w:rsidRPr="00156652" w14:paraId="29F4D61F" w14:textId="77777777" w:rsidTr="006C735A">
        <w:tc>
          <w:tcPr>
            <w:tcW w:w="3207" w:type="pct"/>
          </w:tcPr>
          <w:p w14:paraId="2B3DA165" w14:textId="77777777" w:rsidR="009F3BD1" w:rsidRPr="00156652" w:rsidRDefault="009F3BD1" w:rsidP="006C735A">
            <w:pPr>
              <w:jc w:val="both"/>
              <w:rPr>
                <w:rFonts w:ascii="Times New Roman" w:hAnsi="Times New Roman" w:cs="Times New Roman"/>
                <w:sz w:val="24"/>
                <w:szCs w:val="24"/>
              </w:rPr>
            </w:pPr>
            <w:r w:rsidRPr="00156652">
              <w:rPr>
                <w:rFonts w:ascii="Times New Roman" w:hAnsi="Times New Roman" w:cs="Times New Roman"/>
                <w:sz w:val="24"/>
                <w:szCs w:val="24"/>
              </w:rPr>
              <w:t>Заложенность носа (±</w:t>
            </w:r>
            <w:r w:rsidRPr="00156652">
              <w:rPr>
                <w:rFonts w:ascii="Times New Roman" w:hAnsi="Times New Roman" w:cs="Times New Roman"/>
                <w:sz w:val="24"/>
                <w:szCs w:val="24"/>
                <w:lang w:val="en-US"/>
              </w:rPr>
              <w:t>SD</w:t>
            </w:r>
            <w:r w:rsidRPr="00156652">
              <w:rPr>
                <w:rFonts w:ascii="Times New Roman" w:hAnsi="Times New Roman" w:cs="Times New Roman"/>
                <w:sz w:val="24"/>
                <w:szCs w:val="24"/>
              </w:rPr>
              <w:t>)</w:t>
            </w:r>
          </w:p>
        </w:tc>
        <w:tc>
          <w:tcPr>
            <w:tcW w:w="1793" w:type="pct"/>
          </w:tcPr>
          <w:p w14:paraId="76655EDA" w14:textId="77777777" w:rsidR="009F3BD1" w:rsidRPr="00156652" w:rsidRDefault="009F3BD1" w:rsidP="006C735A">
            <w:pPr>
              <w:jc w:val="both"/>
              <w:rPr>
                <w:rFonts w:ascii="Times New Roman" w:hAnsi="Times New Roman" w:cs="Times New Roman"/>
                <w:sz w:val="24"/>
                <w:szCs w:val="24"/>
              </w:rPr>
            </w:pPr>
            <w:r w:rsidRPr="00156652">
              <w:rPr>
                <w:rFonts w:ascii="Times New Roman" w:hAnsi="Times New Roman" w:cs="Times New Roman"/>
                <w:sz w:val="24"/>
                <w:szCs w:val="24"/>
              </w:rPr>
              <w:t>2,1 (±0,5)</w:t>
            </w:r>
          </w:p>
        </w:tc>
      </w:tr>
      <w:tr w:rsidR="009F3BD1" w:rsidRPr="00156652" w14:paraId="76F39325" w14:textId="77777777" w:rsidTr="006C735A">
        <w:tc>
          <w:tcPr>
            <w:tcW w:w="3207" w:type="pct"/>
          </w:tcPr>
          <w:p w14:paraId="30C71FBB" w14:textId="77777777" w:rsidR="009F3BD1" w:rsidRPr="00156652" w:rsidRDefault="009F3BD1" w:rsidP="006C735A">
            <w:pPr>
              <w:jc w:val="both"/>
              <w:rPr>
                <w:rFonts w:ascii="Times New Roman" w:hAnsi="Times New Roman" w:cs="Times New Roman"/>
                <w:sz w:val="24"/>
                <w:szCs w:val="24"/>
              </w:rPr>
            </w:pPr>
            <w:r w:rsidRPr="00156652">
              <w:rPr>
                <w:rFonts w:ascii="Times New Roman" w:hAnsi="Times New Roman" w:cs="Times New Roman"/>
                <w:sz w:val="24"/>
                <w:szCs w:val="24"/>
              </w:rPr>
              <w:t>Выделения из носа (±</w:t>
            </w:r>
            <w:r w:rsidRPr="00156652">
              <w:rPr>
                <w:rFonts w:ascii="Times New Roman" w:hAnsi="Times New Roman" w:cs="Times New Roman"/>
                <w:sz w:val="24"/>
                <w:szCs w:val="24"/>
                <w:lang w:val="en-US"/>
              </w:rPr>
              <w:t>SD</w:t>
            </w:r>
            <w:r w:rsidRPr="00156652">
              <w:rPr>
                <w:rFonts w:ascii="Times New Roman" w:hAnsi="Times New Roman" w:cs="Times New Roman"/>
                <w:sz w:val="24"/>
                <w:szCs w:val="24"/>
              </w:rPr>
              <w:t>)</w:t>
            </w:r>
          </w:p>
        </w:tc>
        <w:tc>
          <w:tcPr>
            <w:tcW w:w="1793" w:type="pct"/>
          </w:tcPr>
          <w:p w14:paraId="621912D0" w14:textId="77777777" w:rsidR="009F3BD1" w:rsidRPr="00156652" w:rsidRDefault="009F3BD1" w:rsidP="006C735A">
            <w:pPr>
              <w:jc w:val="both"/>
              <w:rPr>
                <w:rFonts w:ascii="Times New Roman" w:hAnsi="Times New Roman" w:cs="Times New Roman"/>
                <w:sz w:val="24"/>
                <w:szCs w:val="24"/>
              </w:rPr>
            </w:pPr>
            <w:r w:rsidRPr="00156652">
              <w:rPr>
                <w:rFonts w:ascii="Times New Roman" w:hAnsi="Times New Roman" w:cs="Times New Roman"/>
                <w:sz w:val="24"/>
                <w:szCs w:val="24"/>
              </w:rPr>
              <w:t>2,2 (±0,6)</w:t>
            </w:r>
          </w:p>
        </w:tc>
      </w:tr>
      <w:tr w:rsidR="009F3BD1" w:rsidRPr="00156652" w14:paraId="1BC42AD4" w14:textId="77777777" w:rsidTr="006C735A">
        <w:tc>
          <w:tcPr>
            <w:tcW w:w="3207" w:type="pct"/>
          </w:tcPr>
          <w:p w14:paraId="7960ED9F" w14:textId="77777777" w:rsidR="009F3BD1" w:rsidRPr="00156652" w:rsidRDefault="009F3BD1" w:rsidP="006C735A">
            <w:pPr>
              <w:jc w:val="both"/>
              <w:rPr>
                <w:rFonts w:ascii="Times New Roman" w:hAnsi="Times New Roman" w:cs="Times New Roman"/>
                <w:sz w:val="24"/>
                <w:szCs w:val="24"/>
              </w:rPr>
            </w:pPr>
            <w:r w:rsidRPr="00156652">
              <w:rPr>
                <w:rFonts w:ascii="Times New Roman" w:hAnsi="Times New Roman" w:cs="Times New Roman"/>
                <w:sz w:val="24"/>
                <w:szCs w:val="24"/>
              </w:rPr>
              <w:t>Зуд в носу (±</w:t>
            </w:r>
            <w:r w:rsidRPr="00156652">
              <w:rPr>
                <w:rFonts w:ascii="Times New Roman" w:hAnsi="Times New Roman" w:cs="Times New Roman"/>
                <w:sz w:val="24"/>
                <w:szCs w:val="24"/>
                <w:lang w:val="en-US"/>
              </w:rPr>
              <w:t>SD</w:t>
            </w:r>
            <w:r w:rsidRPr="00156652">
              <w:rPr>
                <w:rFonts w:ascii="Times New Roman" w:hAnsi="Times New Roman" w:cs="Times New Roman"/>
                <w:sz w:val="24"/>
                <w:szCs w:val="24"/>
              </w:rPr>
              <w:t>)</w:t>
            </w:r>
          </w:p>
        </w:tc>
        <w:tc>
          <w:tcPr>
            <w:tcW w:w="1793" w:type="pct"/>
          </w:tcPr>
          <w:p w14:paraId="1688DE48" w14:textId="77777777" w:rsidR="009F3BD1" w:rsidRPr="00156652" w:rsidRDefault="009F3BD1" w:rsidP="006C735A">
            <w:pPr>
              <w:jc w:val="both"/>
              <w:rPr>
                <w:rFonts w:ascii="Times New Roman" w:hAnsi="Times New Roman" w:cs="Times New Roman"/>
                <w:sz w:val="24"/>
                <w:szCs w:val="24"/>
              </w:rPr>
            </w:pPr>
            <w:r w:rsidRPr="00156652">
              <w:rPr>
                <w:rFonts w:ascii="Times New Roman" w:hAnsi="Times New Roman" w:cs="Times New Roman"/>
                <w:sz w:val="24"/>
                <w:szCs w:val="24"/>
              </w:rPr>
              <w:t>2,1 (±0,6)</w:t>
            </w:r>
          </w:p>
        </w:tc>
      </w:tr>
      <w:tr w:rsidR="009F3BD1" w:rsidRPr="00156652" w14:paraId="4FFC913B" w14:textId="77777777" w:rsidTr="006C735A">
        <w:tc>
          <w:tcPr>
            <w:tcW w:w="3207" w:type="pct"/>
          </w:tcPr>
          <w:p w14:paraId="4FABC31C" w14:textId="77777777" w:rsidR="009F3BD1" w:rsidRPr="00156652" w:rsidRDefault="009F3BD1" w:rsidP="006C735A">
            <w:pPr>
              <w:jc w:val="both"/>
              <w:rPr>
                <w:rFonts w:ascii="Times New Roman" w:hAnsi="Times New Roman" w:cs="Times New Roman"/>
                <w:sz w:val="24"/>
                <w:szCs w:val="24"/>
              </w:rPr>
            </w:pPr>
            <w:r w:rsidRPr="00156652">
              <w:rPr>
                <w:rFonts w:ascii="Times New Roman" w:hAnsi="Times New Roman" w:cs="Times New Roman"/>
                <w:sz w:val="24"/>
                <w:szCs w:val="24"/>
              </w:rPr>
              <w:t>Чихание (±</w:t>
            </w:r>
            <w:r w:rsidRPr="00156652">
              <w:rPr>
                <w:rFonts w:ascii="Times New Roman" w:hAnsi="Times New Roman" w:cs="Times New Roman"/>
                <w:sz w:val="24"/>
                <w:szCs w:val="24"/>
                <w:lang w:val="en-US"/>
              </w:rPr>
              <w:t>SD</w:t>
            </w:r>
            <w:r w:rsidRPr="00156652">
              <w:rPr>
                <w:rFonts w:ascii="Times New Roman" w:hAnsi="Times New Roman" w:cs="Times New Roman"/>
                <w:sz w:val="24"/>
                <w:szCs w:val="24"/>
              </w:rPr>
              <w:t>)</w:t>
            </w:r>
          </w:p>
        </w:tc>
        <w:tc>
          <w:tcPr>
            <w:tcW w:w="1793" w:type="pct"/>
          </w:tcPr>
          <w:p w14:paraId="0B68D694" w14:textId="77777777" w:rsidR="009F3BD1" w:rsidRPr="00156652" w:rsidRDefault="009F3BD1" w:rsidP="006C735A">
            <w:pPr>
              <w:jc w:val="both"/>
              <w:rPr>
                <w:rFonts w:ascii="Times New Roman" w:hAnsi="Times New Roman" w:cs="Times New Roman"/>
                <w:sz w:val="24"/>
                <w:szCs w:val="24"/>
              </w:rPr>
            </w:pPr>
            <w:r w:rsidRPr="00156652">
              <w:rPr>
                <w:rFonts w:ascii="Times New Roman" w:hAnsi="Times New Roman" w:cs="Times New Roman"/>
                <w:sz w:val="24"/>
                <w:szCs w:val="24"/>
              </w:rPr>
              <w:t>1,9 (±0,6)</w:t>
            </w:r>
          </w:p>
        </w:tc>
      </w:tr>
      <w:tr w:rsidR="009F3BD1" w:rsidRPr="00156652" w14:paraId="01E031E6" w14:textId="77777777" w:rsidTr="006C735A">
        <w:tc>
          <w:tcPr>
            <w:tcW w:w="3207" w:type="pct"/>
          </w:tcPr>
          <w:p w14:paraId="275C5762" w14:textId="77777777" w:rsidR="009F3BD1" w:rsidRPr="00156652" w:rsidRDefault="009F3BD1" w:rsidP="006C735A">
            <w:pPr>
              <w:jc w:val="both"/>
              <w:rPr>
                <w:rFonts w:ascii="Times New Roman" w:hAnsi="Times New Roman" w:cs="Times New Roman"/>
                <w:sz w:val="24"/>
                <w:szCs w:val="24"/>
              </w:rPr>
            </w:pPr>
            <w:r w:rsidRPr="00156652">
              <w:rPr>
                <w:rFonts w:ascii="Times New Roman" w:hAnsi="Times New Roman" w:cs="Times New Roman"/>
                <w:sz w:val="24"/>
                <w:szCs w:val="24"/>
              </w:rPr>
              <w:t>Зуд глаз/покраснение (±</w:t>
            </w:r>
            <w:r w:rsidRPr="00156652">
              <w:rPr>
                <w:rFonts w:ascii="Times New Roman" w:hAnsi="Times New Roman" w:cs="Times New Roman"/>
                <w:sz w:val="24"/>
                <w:szCs w:val="24"/>
                <w:lang w:val="en-US"/>
              </w:rPr>
              <w:t>SD</w:t>
            </w:r>
            <w:r w:rsidRPr="00156652">
              <w:rPr>
                <w:rFonts w:ascii="Times New Roman" w:hAnsi="Times New Roman" w:cs="Times New Roman"/>
                <w:sz w:val="24"/>
                <w:szCs w:val="24"/>
              </w:rPr>
              <w:t>)</w:t>
            </w:r>
          </w:p>
        </w:tc>
        <w:tc>
          <w:tcPr>
            <w:tcW w:w="1793" w:type="pct"/>
          </w:tcPr>
          <w:p w14:paraId="1C910101" w14:textId="77777777" w:rsidR="009F3BD1" w:rsidRPr="00156652" w:rsidRDefault="009F3BD1" w:rsidP="006C735A">
            <w:pPr>
              <w:jc w:val="both"/>
              <w:rPr>
                <w:rFonts w:ascii="Times New Roman" w:hAnsi="Times New Roman" w:cs="Times New Roman"/>
                <w:b/>
                <w:sz w:val="24"/>
                <w:szCs w:val="24"/>
              </w:rPr>
            </w:pPr>
            <w:r w:rsidRPr="00156652">
              <w:rPr>
                <w:rFonts w:ascii="Times New Roman" w:hAnsi="Times New Roman" w:cs="Times New Roman"/>
                <w:sz w:val="24"/>
                <w:szCs w:val="24"/>
              </w:rPr>
              <w:t>1,6 (±0,5)</w:t>
            </w:r>
          </w:p>
        </w:tc>
      </w:tr>
      <w:tr w:rsidR="009F3BD1" w:rsidRPr="00156652" w14:paraId="77EEAF6B" w14:textId="77777777" w:rsidTr="006C735A">
        <w:tc>
          <w:tcPr>
            <w:tcW w:w="3207" w:type="pct"/>
          </w:tcPr>
          <w:p w14:paraId="10E6F051" w14:textId="77777777" w:rsidR="009F3BD1" w:rsidRPr="00156652" w:rsidRDefault="009F3BD1" w:rsidP="006C735A">
            <w:pPr>
              <w:jc w:val="both"/>
              <w:rPr>
                <w:rFonts w:ascii="Times New Roman" w:hAnsi="Times New Roman" w:cs="Times New Roman"/>
                <w:sz w:val="24"/>
                <w:szCs w:val="24"/>
              </w:rPr>
            </w:pPr>
            <w:r w:rsidRPr="00156652">
              <w:rPr>
                <w:rFonts w:ascii="Times New Roman" w:hAnsi="Times New Roman" w:cs="Times New Roman"/>
                <w:sz w:val="24"/>
                <w:szCs w:val="24"/>
              </w:rPr>
              <w:t>Слезоточивость (±</w:t>
            </w:r>
            <w:r w:rsidRPr="00156652">
              <w:rPr>
                <w:rFonts w:ascii="Times New Roman" w:hAnsi="Times New Roman" w:cs="Times New Roman"/>
                <w:sz w:val="24"/>
                <w:szCs w:val="24"/>
                <w:lang w:val="en-US"/>
              </w:rPr>
              <w:t>SD</w:t>
            </w:r>
            <w:r w:rsidRPr="00156652">
              <w:rPr>
                <w:rFonts w:ascii="Times New Roman" w:hAnsi="Times New Roman" w:cs="Times New Roman"/>
                <w:sz w:val="24"/>
                <w:szCs w:val="24"/>
              </w:rPr>
              <w:t>)</w:t>
            </w:r>
          </w:p>
        </w:tc>
        <w:tc>
          <w:tcPr>
            <w:tcW w:w="1793" w:type="pct"/>
          </w:tcPr>
          <w:p w14:paraId="069E09E8" w14:textId="77777777" w:rsidR="009F3BD1" w:rsidRPr="00156652" w:rsidRDefault="009F3BD1" w:rsidP="006C735A">
            <w:pPr>
              <w:jc w:val="both"/>
              <w:rPr>
                <w:rFonts w:ascii="Times New Roman" w:hAnsi="Times New Roman" w:cs="Times New Roman"/>
                <w:sz w:val="24"/>
                <w:szCs w:val="24"/>
              </w:rPr>
            </w:pPr>
            <w:r w:rsidRPr="00156652">
              <w:rPr>
                <w:rFonts w:ascii="Times New Roman" w:hAnsi="Times New Roman" w:cs="Times New Roman"/>
                <w:sz w:val="24"/>
                <w:szCs w:val="24"/>
              </w:rPr>
              <w:t>1,3 (±0,5)</w:t>
            </w:r>
          </w:p>
        </w:tc>
      </w:tr>
      <w:tr w:rsidR="009F3BD1" w:rsidRPr="00156652" w14:paraId="1224B74D" w14:textId="77777777" w:rsidTr="006C735A">
        <w:tc>
          <w:tcPr>
            <w:tcW w:w="3207" w:type="pct"/>
          </w:tcPr>
          <w:p w14:paraId="1ACC872C" w14:textId="77777777" w:rsidR="009F3BD1" w:rsidRPr="00156652" w:rsidRDefault="009F3BD1" w:rsidP="006C735A">
            <w:pPr>
              <w:jc w:val="both"/>
              <w:rPr>
                <w:rFonts w:ascii="Times New Roman" w:hAnsi="Times New Roman" w:cs="Times New Roman"/>
                <w:sz w:val="24"/>
                <w:szCs w:val="24"/>
              </w:rPr>
            </w:pPr>
            <w:r w:rsidRPr="00156652">
              <w:rPr>
                <w:rFonts w:ascii="Times New Roman" w:hAnsi="Times New Roman" w:cs="Times New Roman"/>
                <w:sz w:val="24"/>
                <w:szCs w:val="24"/>
              </w:rPr>
              <w:t>Общий балл тяжести (</w:t>
            </w:r>
            <w:r w:rsidRPr="00156652">
              <w:rPr>
                <w:rFonts w:ascii="Times New Roman" w:hAnsi="Times New Roman" w:cs="Times New Roman"/>
                <w:sz w:val="24"/>
                <w:szCs w:val="24"/>
                <w:lang w:val="en-US"/>
              </w:rPr>
              <w:t>Me</w:t>
            </w:r>
            <w:r w:rsidRPr="00156652">
              <w:rPr>
                <w:rFonts w:ascii="Times New Roman" w:hAnsi="Times New Roman" w:cs="Times New Roman"/>
                <w:sz w:val="24"/>
                <w:szCs w:val="24"/>
              </w:rPr>
              <w:t>+</w:t>
            </w:r>
            <w:r w:rsidRPr="00156652">
              <w:rPr>
                <w:rFonts w:ascii="Times New Roman" w:hAnsi="Times New Roman" w:cs="Times New Roman"/>
                <w:sz w:val="24"/>
                <w:szCs w:val="24"/>
                <w:lang w:val="en-US"/>
              </w:rPr>
              <w:t>Q</w:t>
            </w:r>
            <w:r w:rsidRPr="00156652">
              <w:rPr>
                <w:rFonts w:ascii="Times New Roman" w:hAnsi="Times New Roman" w:cs="Times New Roman"/>
                <w:sz w:val="24"/>
                <w:szCs w:val="24"/>
                <w:vertAlign w:val="subscript"/>
              </w:rPr>
              <w:t>25-75</w:t>
            </w:r>
            <w:r w:rsidRPr="00156652">
              <w:rPr>
                <w:rFonts w:ascii="Times New Roman" w:hAnsi="Times New Roman" w:cs="Times New Roman"/>
                <w:sz w:val="24"/>
                <w:szCs w:val="24"/>
              </w:rPr>
              <w:t>)</w:t>
            </w:r>
          </w:p>
        </w:tc>
        <w:tc>
          <w:tcPr>
            <w:tcW w:w="1793" w:type="pct"/>
          </w:tcPr>
          <w:p w14:paraId="336A5AA8" w14:textId="77777777" w:rsidR="009F3BD1" w:rsidRPr="00156652" w:rsidRDefault="009F3BD1" w:rsidP="006C735A">
            <w:pPr>
              <w:jc w:val="both"/>
              <w:rPr>
                <w:rFonts w:ascii="Times New Roman" w:hAnsi="Times New Roman" w:cs="Times New Roman"/>
                <w:sz w:val="24"/>
                <w:szCs w:val="24"/>
              </w:rPr>
            </w:pPr>
            <w:r w:rsidRPr="00156652">
              <w:rPr>
                <w:rFonts w:ascii="Times New Roman" w:eastAsia="Times New Roman" w:hAnsi="Times New Roman" w:cs="Times New Roman"/>
                <w:sz w:val="24"/>
                <w:szCs w:val="24"/>
                <w:lang w:eastAsia="ru-RU"/>
              </w:rPr>
              <w:t>11 (10-13)</w:t>
            </w:r>
          </w:p>
        </w:tc>
      </w:tr>
      <w:tr w:rsidR="009F3BD1" w:rsidRPr="00156652" w14:paraId="6FDD7BB2" w14:textId="77777777" w:rsidTr="006C735A">
        <w:tc>
          <w:tcPr>
            <w:tcW w:w="3207" w:type="pct"/>
          </w:tcPr>
          <w:p w14:paraId="2598B767" w14:textId="77777777" w:rsidR="009F3BD1" w:rsidRPr="00156652" w:rsidRDefault="009F3BD1" w:rsidP="006C735A">
            <w:pPr>
              <w:jc w:val="both"/>
              <w:rPr>
                <w:rFonts w:ascii="Times New Roman" w:hAnsi="Times New Roman" w:cs="Times New Roman"/>
                <w:sz w:val="24"/>
                <w:szCs w:val="24"/>
              </w:rPr>
            </w:pPr>
            <w:r w:rsidRPr="00156652">
              <w:rPr>
                <w:rFonts w:ascii="Times New Roman" w:eastAsia="Times New Roman" w:hAnsi="Times New Roman" w:cs="Times New Roman"/>
                <w:sz w:val="24"/>
                <w:szCs w:val="24"/>
                <w:lang w:eastAsia="ru-RU"/>
              </w:rPr>
              <w:t xml:space="preserve">Прием назальных ГКС </w:t>
            </w:r>
            <w:r w:rsidRPr="00156652">
              <w:rPr>
                <w:rFonts w:ascii="Times New Roman" w:hAnsi="Times New Roman" w:cs="Times New Roman"/>
                <w:sz w:val="24"/>
                <w:szCs w:val="24"/>
              </w:rPr>
              <w:t>(</w:t>
            </w:r>
            <w:r w:rsidRPr="00156652">
              <w:rPr>
                <w:rFonts w:ascii="Times New Roman" w:hAnsi="Times New Roman" w:cs="Times New Roman"/>
                <w:sz w:val="24"/>
                <w:szCs w:val="24"/>
                <w:lang w:val="en-US"/>
              </w:rPr>
              <w:t>Me</w:t>
            </w:r>
            <w:r w:rsidRPr="00156652">
              <w:rPr>
                <w:rFonts w:ascii="Times New Roman" w:hAnsi="Times New Roman" w:cs="Times New Roman"/>
                <w:sz w:val="24"/>
                <w:szCs w:val="24"/>
              </w:rPr>
              <w:t>+</w:t>
            </w:r>
            <w:r w:rsidRPr="00156652">
              <w:rPr>
                <w:rFonts w:ascii="Times New Roman" w:hAnsi="Times New Roman" w:cs="Times New Roman"/>
                <w:sz w:val="24"/>
                <w:szCs w:val="24"/>
                <w:lang w:val="en-US"/>
              </w:rPr>
              <w:t>Q</w:t>
            </w:r>
            <w:r w:rsidRPr="00156652">
              <w:rPr>
                <w:rFonts w:ascii="Times New Roman" w:hAnsi="Times New Roman" w:cs="Times New Roman"/>
                <w:sz w:val="24"/>
                <w:szCs w:val="24"/>
                <w:vertAlign w:val="subscript"/>
              </w:rPr>
              <w:t>25-75</w:t>
            </w:r>
            <w:r w:rsidRPr="00156652">
              <w:rPr>
                <w:rFonts w:ascii="Times New Roman" w:hAnsi="Times New Roman" w:cs="Times New Roman"/>
                <w:sz w:val="24"/>
                <w:szCs w:val="24"/>
              </w:rPr>
              <w:t>)</w:t>
            </w:r>
          </w:p>
        </w:tc>
        <w:tc>
          <w:tcPr>
            <w:tcW w:w="1793" w:type="pct"/>
          </w:tcPr>
          <w:p w14:paraId="6EC0A742" w14:textId="77777777" w:rsidR="009F3BD1" w:rsidRPr="00156652" w:rsidRDefault="009F3BD1" w:rsidP="006C735A">
            <w:pPr>
              <w:jc w:val="both"/>
              <w:rPr>
                <w:rFonts w:ascii="Times New Roman" w:eastAsia="Times New Roman" w:hAnsi="Times New Roman" w:cs="Times New Roman"/>
                <w:sz w:val="24"/>
                <w:szCs w:val="24"/>
                <w:lang w:eastAsia="ru-RU"/>
              </w:rPr>
            </w:pPr>
            <w:r w:rsidRPr="00156652">
              <w:rPr>
                <w:rFonts w:ascii="Times New Roman" w:eastAsia="Times New Roman" w:hAnsi="Times New Roman" w:cs="Times New Roman"/>
                <w:sz w:val="24"/>
                <w:szCs w:val="24"/>
                <w:lang w:eastAsia="ru-RU"/>
              </w:rPr>
              <w:t>12 (7-14)</w:t>
            </w:r>
          </w:p>
        </w:tc>
      </w:tr>
      <w:tr w:rsidR="009F3BD1" w:rsidRPr="00156652" w14:paraId="5D0ECC8A" w14:textId="77777777" w:rsidTr="006C735A">
        <w:tc>
          <w:tcPr>
            <w:tcW w:w="3207" w:type="pct"/>
          </w:tcPr>
          <w:p w14:paraId="1EDF4B16" w14:textId="77777777" w:rsidR="009F3BD1" w:rsidRPr="00156652" w:rsidRDefault="009F3BD1" w:rsidP="006C735A">
            <w:pPr>
              <w:jc w:val="both"/>
              <w:rPr>
                <w:rFonts w:ascii="Times New Roman" w:hAnsi="Times New Roman" w:cs="Times New Roman"/>
                <w:sz w:val="24"/>
                <w:szCs w:val="24"/>
              </w:rPr>
            </w:pPr>
            <w:r w:rsidRPr="00156652">
              <w:rPr>
                <w:rFonts w:ascii="Times New Roman" w:eastAsia="Times New Roman" w:hAnsi="Times New Roman" w:cs="Times New Roman"/>
                <w:sz w:val="24"/>
                <w:szCs w:val="24"/>
                <w:lang w:eastAsia="ru-RU"/>
              </w:rPr>
              <w:t xml:space="preserve">Прием системных ГКС </w:t>
            </w:r>
            <w:r w:rsidRPr="00156652">
              <w:rPr>
                <w:rFonts w:ascii="Times New Roman" w:hAnsi="Times New Roman" w:cs="Times New Roman"/>
                <w:sz w:val="24"/>
                <w:szCs w:val="24"/>
              </w:rPr>
              <w:t>(</w:t>
            </w:r>
            <w:r w:rsidRPr="00156652">
              <w:rPr>
                <w:rFonts w:ascii="Times New Roman" w:hAnsi="Times New Roman" w:cs="Times New Roman"/>
                <w:sz w:val="24"/>
                <w:szCs w:val="24"/>
                <w:lang w:val="en-US"/>
              </w:rPr>
              <w:t>Me</w:t>
            </w:r>
            <w:r w:rsidRPr="00156652">
              <w:rPr>
                <w:rFonts w:ascii="Times New Roman" w:hAnsi="Times New Roman" w:cs="Times New Roman"/>
                <w:sz w:val="24"/>
                <w:szCs w:val="24"/>
              </w:rPr>
              <w:t>+</w:t>
            </w:r>
            <w:r w:rsidRPr="00156652">
              <w:rPr>
                <w:rFonts w:ascii="Times New Roman" w:hAnsi="Times New Roman" w:cs="Times New Roman"/>
                <w:sz w:val="24"/>
                <w:szCs w:val="24"/>
                <w:lang w:val="en-US"/>
              </w:rPr>
              <w:t>Q</w:t>
            </w:r>
            <w:r w:rsidRPr="00156652">
              <w:rPr>
                <w:rFonts w:ascii="Times New Roman" w:hAnsi="Times New Roman" w:cs="Times New Roman"/>
                <w:sz w:val="24"/>
                <w:szCs w:val="24"/>
                <w:vertAlign w:val="subscript"/>
              </w:rPr>
              <w:t>25-75</w:t>
            </w:r>
            <w:r w:rsidRPr="00156652">
              <w:rPr>
                <w:rFonts w:ascii="Times New Roman" w:hAnsi="Times New Roman" w:cs="Times New Roman"/>
                <w:sz w:val="24"/>
                <w:szCs w:val="24"/>
              </w:rPr>
              <w:t>)</w:t>
            </w:r>
          </w:p>
        </w:tc>
        <w:tc>
          <w:tcPr>
            <w:tcW w:w="1793" w:type="pct"/>
          </w:tcPr>
          <w:p w14:paraId="7750425C" w14:textId="77777777" w:rsidR="009F3BD1" w:rsidRPr="00156652" w:rsidRDefault="009F3BD1" w:rsidP="006C735A">
            <w:pPr>
              <w:jc w:val="both"/>
              <w:rPr>
                <w:rFonts w:ascii="Times New Roman" w:eastAsia="Times New Roman" w:hAnsi="Times New Roman" w:cs="Times New Roman"/>
                <w:sz w:val="24"/>
                <w:szCs w:val="24"/>
                <w:lang w:eastAsia="ru-RU"/>
              </w:rPr>
            </w:pPr>
            <w:r w:rsidRPr="00156652">
              <w:rPr>
                <w:rFonts w:ascii="Times New Roman" w:eastAsia="Times New Roman" w:hAnsi="Times New Roman" w:cs="Times New Roman"/>
                <w:sz w:val="24"/>
                <w:szCs w:val="24"/>
                <w:lang w:eastAsia="ru-RU"/>
              </w:rPr>
              <w:t>0 (0-1)</w:t>
            </w:r>
          </w:p>
        </w:tc>
      </w:tr>
      <w:tr w:rsidR="009F3BD1" w:rsidRPr="00156652" w14:paraId="523229A3" w14:textId="77777777" w:rsidTr="006C735A">
        <w:tc>
          <w:tcPr>
            <w:tcW w:w="3207" w:type="pct"/>
          </w:tcPr>
          <w:p w14:paraId="1BC9B38F" w14:textId="77777777" w:rsidR="009F3BD1" w:rsidRPr="00156652" w:rsidRDefault="009F3BD1" w:rsidP="006C735A">
            <w:pPr>
              <w:jc w:val="both"/>
              <w:rPr>
                <w:rFonts w:ascii="Times New Roman" w:hAnsi="Times New Roman" w:cs="Times New Roman"/>
                <w:sz w:val="24"/>
                <w:szCs w:val="24"/>
              </w:rPr>
            </w:pPr>
            <w:r w:rsidRPr="00156652">
              <w:rPr>
                <w:rFonts w:ascii="Times New Roman" w:eastAsia="Times New Roman" w:hAnsi="Times New Roman" w:cs="Times New Roman"/>
                <w:sz w:val="24"/>
                <w:szCs w:val="24"/>
                <w:lang w:eastAsia="ru-RU"/>
              </w:rPr>
              <w:t xml:space="preserve">Прием антигистаминных препаратов </w:t>
            </w:r>
            <w:r w:rsidRPr="00156652">
              <w:rPr>
                <w:rFonts w:ascii="Times New Roman" w:hAnsi="Times New Roman" w:cs="Times New Roman"/>
                <w:sz w:val="24"/>
                <w:szCs w:val="24"/>
              </w:rPr>
              <w:t>(</w:t>
            </w:r>
            <w:r w:rsidRPr="00156652">
              <w:rPr>
                <w:rFonts w:ascii="Times New Roman" w:hAnsi="Times New Roman" w:cs="Times New Roman"/>
                <w:sz w:val="24"/>
                <w:szCs w:val="24"/>
                <w:lang w:val="en-US"/>
              </w:rPr>
              <w:t>Me</w:t>
            </w:r>
            <w:r w:rsidRPr="00156652">
              <w:rPr>
                <w:rFonts w:ascii="Times New Roman" w:hAnsi="Times New Roman" w:cs="Times New Roman"/>
                <w:sz w:val="24"/>
                <w:szCs w:val="24"/>
              </w:rPr>
              <w:t>+</w:t>
            </w:r>
            <w:r w:rsidRPr="00156652">
              <w:rPr>
                <w:rFonts w:ascii="Times New Roman" w:hAnsi="Times New Roman" w:cs="Times New Roman"/>
                <w:sz w:val="24"/>
                <w:szCs w:val="24"/>
                <w:lang w:val="en-US"/>
              </w:rPr>
              <w:t>Q</w:t>
            </w:r>
            <w:r w:rsidRPr="00156652">
              <w:rPr>
                <w:rFonts w:ascii="Times New Roman" w:hAnsi="Times New Roman" w:cs="Times New Roman"/>
                <w:sz w:val="24"/>
                <w:szCs w:val="24"/>
                <w:vertAlign w:val="subscript"/>
              </w:rPr>
              <w:t>25-75</w:t>
            </w:r>
            <w:r w:rsidRPr="00156652">
              <w:rPr>
                <w:rFonts w:ascii="Times New Roman" w:hAnsi="Times New Roman" w:cs="Times New Roman"/>
                <w:sz w:val="24"/>
                <w:szCs w:val="24"/>
              </w:rPr>
              <w:t>)</w:t>
            </w:r>
          </w:p>
        </w:tc>
        <w:tc>
          <w:tcPr>
            <w:tcW w:w="1793" w:type="pct"/>
          </w:tcPr>
          <w:p w14:paraId="23FA3E3B" w14:textId="77777777" w:rsidR="009F3BD1" w:rsidRPr="00156652" w:rsidRDefault="009F3BD1" w:rsidP="006C735A">
            <w:pPr>
              <w:jc w:val="both"/>
              <w:rPr>
                <w:rFonts w:ascii="Times New Roman" w:eastAsia="Times New Roman" w:hAnsi="Times New Roman" w:cs="Times New Roman"/>
                <w:sz w:val="24"/>
                <w:szCs w:val="24"/>
                <w:lang w:eastAsia="ru-RU"/>
              </w:rPr>
            </w:pPr>
            <w:r w:rsidRPr="00156652">
              <w:rPr>
                <w:rFonts w:ascii="Times New Roman" w:eastAsia="Times New Roman" w:hAnsi="Times New Roman" w:cs="Times New Roman"/>
                <w:sz w:val="24"/>
                <w:szCs w:val="24"/>
                <w:lang w:eastAsia="ru-RU"/>
              </w:rPr>
              <w:t>5 (4-7)</w:t>
            </w:r>
          </w:p>
        </w:tc>
      </w:tr>
    </w:tbl>
    <w:p w14:paraId="697421A3" w14:textId="77777777" w:rsidR="009F3BD1" w:rsidRPr="00EC38CC" w:rsidRDefault="009F3BD1" w:rsidP="009F3BD1">
      <w:pPr>
        <w:spacing w:after="0" w:line="240" w:lineRule="auto"/>
        <w:ind w:firstLine="567"/>
        <w:jc w:val="both"/>
        <w:rPr>
          <w:rFonts w:ascii="Times New Roman" w:hAnsi="Times New Roman" w:cs="Times New Roman"/>
          <w:sz w:val="28"/>
          <w:szCs w:val="28"/>
        </w:rPr>
      </w:pPr>
    </w:p>
    <w:p w14:paraId="273B58BC" w14:textId="77777777" w:rsidR="009F3BD1" w:rsidRPr="00EC38CC" w:rsidRDefault="009F3BD1" w:rsidP="009F3BD1">
      <w:pPr>
        <w:spacing w:after="0" w:line="240" w:lineRule="auto"/>
        <w:jc w:val="center"/>
        <w:rPr>
          <w:rFonts w:ascii="Times New Roman" w:hAnsi="Times New Roman" w:cs="Times New Roman"/>
          <w:sz w:val="28"/>
          <w:szCs w:val="28"/>
        </w:rPr>
      </w:pPr>
      <w:r w:rsidRPr="00EC38CC">
        <w:rPr>
          <w:rFonts w:ascii="Times New Roman" w:hAnsi="Times New Roman" w:cs="Times New Roman"/>
          <w:sz w:val="28"/>
          <w:szCs w:val="28"/>
        </w:rPr>
        <w:t>Характеристика качества жизни (физической активности, эмоциональной сферы и общих симптомов) больных сезонным аллергическим ринитом перед началом лечения (n=55)</w:t>
      </w:r>
    </w:p>
    <w:p w14:paraId="2AC7FB11" w14:textId="77777777" w:rsidR="009F3BD1" w:rsidRPr="00EC38CC" w:rsidRDefault="009F3BD1" w:rsidP="009F3BD1">
      <w:pPr>
        <w:spacing w:after="0" w:line="240" w:lineRule="auto"/>
        <w:jc w:val="both"/>
        <w:rPr>
          <w:rFonts w:ascii="Times New Roman" w:hAnsi="Times New Roman" w:cs="Times New Roman"/>
          <w:sz w:val="28"/>
          <w:szCs w:val="28"/>
        </w:rPr>
      </w:pPr>
    </w:p>
    <w:tbl>
      <w:tblPr>
        <w:tblStyle w:val="af3"/>
        <w:tblW w:w="5000" w:type="pct"/>
        <w:tblInd w:w="-5" w:type="dxa"/>
        <w:tblLook w:val="04A0" w:firstRow="1" w:lastRow="0" w:firstColumn="1" w:lastColumn="0" w:noHBand="0" w:noVBand="1"/>
      </w:tblPr>
      <w:tblGrid>
        <w:gridCol w:w="4235"/>
        <w:gridCol w:w="1797"/>
        <w:gridCol w:w="1797"/>
        <w:gridCol w:w="1799"/>
      </w:tblGrid>
      <w:tr w:rsidR="009F3BD1" w:rsidRPr="00CD52FD" w14:paraId="7E40B1F8" w14:textId="77777777" w:rsidTr="006C735A">
        <w:tc>
          <w:tcPr>
            <w:tcW w:w="2200" w:type="pct"/>
            <w:vMerge w:val="restart"/>
          </w:tcPr>
          <w:p w14:paraId="54F77BB0"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Показатель</w:t>
            </w:r>
          </w:p>
        </w:tc>
        <w:tc>
          <w:tcPr>
            <w:tcW w:w="2800" w:type="pct"/>
            <w:gridSpan w:val="3"/>
          </w:tcPr>
          <w:p w14:paraId="3550F7D7"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Степень тяжести, абс, (%)</w:t>
            </w:r>
          </w:p>
        </w:tc>
      </w:tr>
      <w:tr w:rsidR="009F3BD1" w:rsidRPr="00CD52FD" w14:paraId="4B21F321" w14:textId="77777777" w:rsidTr="006C735A">
        <w:tc>
          <w:tcPr>
            <w:tcW w:w="2200" w:type="pct"/>
            <w:vMerge/>
          </w:tcPr>
          <w:p w14:paraId="12F86025" w14:textId="77777777" w:rsidR="009F3BD1" w:rsidRPr="00CD52FD" w:rsidRDefault="009F3BD1" w:rsidP="006C735A">
            <w:pPr>
              <w:jc w:val="both"/>
              <w:rPr>
                <w:rFonts w:ascii="Times New Roman" w:hAnsi="Times New Roman" w:cs="Times New Roman"/>
                <w:sz w:val="24"/>
                <w:szCs w:val="24"/>
              </w:rPr>
            </w:pPr>
          </w:p>
        </w:tc>
        <w:tc>
          <w:tcPr>
            <w:tcW w:w="933" w:type="pct"/>
            <w:vAlign w:val="center"/>
          </w:tcPr>
          <w:p w14:paraId="5D8D3864"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 xml:space="preserve">Легкая </w:t>
            </w:r>
          </w:p>
        </w:tc>
        <w:tc>
          <w:tcPr>
            <w:tcW w:w="933" w:type="pct"/>
            <w:vAlign w:val="center"/>
          </w:tcPr>
          <w:p w14:paraId="0DB94313"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 xml:space="preserve">Средняя </w:t>
            </w:r>
          </w:p>
        </w:tc>
        <w:tc>
          <w:tcPr>
            <w:tcW w:w="933" w:type="pct"/>
            <w:vAlign w:val="center"/>
          </w:tcPr>
          <w:p w14:paraId="174EF537"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 xml:space="preserve">Тяжелая </w:t>
            </w:r>
          </w:p>
        </w:tc>
      </w:tr>
      <w:tr w:rsidR="009F3BD1" w:rsidRPr="00CD52FD" w14:paraId="42856522" w14:textId="77777777" w:rsidTr="006C735A">
        <w:tc>
          <w:tcPr>
            <w:tcW w:w="2200" w:type="pct"/>
          </w:tcPr>
          <w:p w14:paraId="70792302"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Повседневная деятельность</w:t>
            </w:r>
          </w:p>
        </w:tc>
        <w:tc>
          <w:tcPr>
            <w:tcW w:w="933" w:type="pct"/>
          </w:tcPr>
          <w:p w14:paraId="724104C0"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3 (5,5%)</w:t>
            </w:r>
          </w:p>
        </w:tc>
        <w:tc>
          <w:tcPr>
            <w:tcW w:w="933" w:type="pct"/>
          </w:tcPr>
          <w:p w14:paraId="436031DC"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43 (78,2%)</w:t>
            </w:r>
          </w:p>
        </w:tc>
        <w:tc>
          <w:tcPr>
            <w:tcW w:w="933" w:type="pct"/>
          </w:tcPr>
          <w:p w14:paraId="5C65A55A"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9 (16,3%)</w:t>
            </w:r>
          </w:p>
        </w:tc>
      </w:tr>
      <w:tr w:rsidR="009F3BD1" w:rsidRPr="00CD52FD" w14:paraId="712F06E1" w14:textId="77777777" w:rsidTr="006C735A">
        <w:tc>
          <w:tcPr>
            <w:tcW w:w="2200" w:type="pct"/>
          </w:tcPr>
          <w:p w14:paraId="1285915C"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Сон</w:t>
            </w:r>
          </w:p>
        </w:tc>
        <w:tc>
          <w:tcPr>
            <w:tcW w:w="933" w:type="pct"/>
          </w:tcPr>
          <w:p w14:paraId="29263F41"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4 (7,4%)</w:t>
            </w:r>
          </w:p>
        </w:tc>
        <w:tc>
          <w:tcPr>
            <w:tcW w:w="933" w:type="pct"/>
          </w:tcPr>
          <w:p w14:paraId="3B55695F"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42 (76,3%)</w:t>
            </w:r>
          </w:p>
        </w:tc>
        <w:tc>
          <w:tcPr>
            <w:tcW w:w="933" w:type="pct"/>
          </w:tcPr>
          <w:p w14:paraId="56B8234C"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9 (16,3%)</w:t>
            </w:r>
          </w:p>
        </w:tc>
      </w:tr>
      <w:tr w:rsidR="009F3BD1" w:rsidRPr="00CD52FD" w14:paraId="0CCCC233" w14:textId="77777777" w:rsidTr="006C735A">
        <w:tc>
          <w:tcPr>
            <w:tcW w:w="2200" w:type="pct"/>
          </w:tcPr>
          <w:p w14:paraId="3427D1A3"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Раздражительность</w:t>
            </w:r>
          </w:p>
        </w:tc>
        <w:tc>
          <w:tcPr>
            <w:tcW w:w="933" w:type="pct"/>
          </w:tcPr>
          <w:p w14:paraId="76A22344"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3 (5,5%)</w:t>
            </w:r>
          </w:p>
        </w:tc>
        <w:tc>
          <w:tcPr>
            <w:tcW w:w="933" w:type="pct"/>
          </w:tcPr>
          <w:p w14:paraId="452FEBBA"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42 (76,3%)</w:t>
            </w:r>
          </w:p>
        </w:tc>
        <w:tc>
          <w:tcPr>
            <w:tcW w:w="933" w:type="pct"/>
          </w:tcPr>
          <w:p w14:paraId="5A731A82"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10 (18,2%)</w:t>
            </w:r>
          </w:p>
        </w:tc>
      </w:tr>
      <w:tr w:rsidR="009F3BD1" w:rsidRPr="00CD52FD" w14:paraId="55BA9EB2" w14:textId="77777777" w:rsidTr="006C735A">
        <w:tc>
          <w:tcPr>
            <w:tcW w:w="2200" w:type="pct"/>
          </w:tcPr>
          <w:p w14:paraId="2642D141"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Тревожность</w:t>
            </w:r>
          </w:p>
        </w:tc>
        <w:tc>
          <w:tcPr>
            <w:tcW w:w="933" w:type="pct"/>
          </w:tcPr>
          <w:p w14:paraId="6C628353"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10 (18,2%)</w:t>
            </w:r>
          </w:p>
        </w:tc>
        <w:tc>
          <w:tcPr>
            <w:tcW w:w="933" w:type="pct"/>
          </w:tcPr>
          <w:p w14:paraId="1A5509C1"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36 (65,5%)</w:t>
            </w:r>
          </w:p>
        </w:tc>
        <w:tc>
          <w:tcPr>
            <w:tcW w:w="933" w:type="pct"/>
          </w:tcPr>
          <w:p w14:paraId="4B63FBAB" w14:textId="77777777" w:rsidR="009F3BD1" w:rsidRPr="00CD52FD" w:rsidRDefault="009F3BD1" w:rsidP="006C735A">
            <w:pPr>
              <w:jc w:val="both"/>
              <w:rPr>
                <w:rFonts w:ascii="Times New Roman" w:hAnsi="Times New Roman" w:cs="Times New Roman"/>
                <w:sz w:val="24"/>
                <w:szCs w:val="24"/>
                <w:highlight w:val="yellow"/>
              </w:rPr>
            </w:pPr>
            <w:r w:rsidRPr="00CD52FD">
              <w:rPr>
                <w:rFonts w:ascii="Times New Roman" w:hAnsi="Times New Roman" w:cs="Times New Roman"/>
                <w:sz w:val="24"/>
                <w:szCs w:val="24"/>
              </w:rPr>
              <w:t>9 (16,3%)</w:t>
            </w:r>
          </w:p>
        </w:tc>
      </w:tr>
      <w:tr w:rsidR="009F3BD1" w:rsidRPr="00CD52FD" w14:paraId="5DB93A90" w14:textId="77777777" w:rsidTr="006C735A">
        <w:tc>
          <w:tcPr>
            <w:tcW w:w="2200" w:type="pct"/>
          </w:tcPr>
          <w:p w14:paraId="7366E8C1"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Головная боль</w:t>
            </w:r>
          </w:p>
        </w:tc>
        <w:tc>
          <w:tcPr>
            <w:tcW w:w="933" w:type="pct"/>
          </w:tcPr>
          <w:p w14:paraId="4DFC2900"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8 (14,5%)</w:t>
            </w:r>
          </w:p>
        </w:tc>
        <w:tc>
          <w:tcPr>
            <w:tcW w:w="933" w:type="pct"/>
          </w:tcPr>
          <w:p w14:paraId="5DBDCCA0"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38 (69,2%)</w:t>
            </w:r>
          </w:p>
        </w:tc>
        <w:tc>
          <w:tcPr>
            <w:tcW w:w="933" w:type="pct"/>
          </w:tcPr>
          <w:p w14:paraId="555FF7FB" w14:textId="77777777" w:rsidR="009F3BD1" w:rsidRPr="00CD52FD" w:rsidRDefault="009F3BD1" w:rsidP="006C735A">
            <w:pPr>
              <w:jc w:val="both"/>
              <w:rPr>
                <w:rFonts w:ascii="Times New Roman" w:hAnsi="Times New Roman" w:cs="Times New Roman"/>
                <w:sz w:val="24"/>
                <w:szCs w:val="24"/>
                <w:highlight w:val="yellow"/>
              </w:rPr>
            </w:pPr>
            <w:r w:rsidRPr="00CD52FD">
              <w:rPr>
                <w:rFonts w:ascii="Times New Roman" w:hAnsi="Times New Roman" w:cs="Times New Roman"/>
                <w:sz w:val="24"/>
                <w:szCs w:val="24"/>
              </w:rPr>
              <w:t>9 (16,3%)</w:t>
            </w:r>
          </w:p>
        </w:tc>
      </w:tr>
      <w:tr w:rsidR="009F3BD1" w:rsidRPr="00CD52FD" w14:paraId="662977E4" w14:textId="77777777" w:rsidTr="006C735A">
        <w:tc>
          <w:tcPr>
            <w:tcW w:w="2200" w:type="pct"/>
          </w:tcPr>
          <w:p w14:paraId="2608931C"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Усталость</w:t>
            </w:r>
          </w:p>
        </w:tc>
        <w:tc>
          <w:tcPr>
            <w:tcW w:w="933" w:type="pct"/>
          </w:tcPr>
          <w:p w14:paraId="3200691F"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8 (14,5%)</w:t>
            </w:r>
          </w:p>
        </w:tc>
        <w:tc>
          <w:tcPr>
            <w:tcW w:w="933" w:type="pct"/>
          </w:tcPr>
          <w:p w14:paraId="54CD9CD5"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37 (67,3%)</w:t>
            </w:r>
          </w:p>
        </w:tc>
        <w:tc>
          <w:tcPr>
            <w:tcW w:w="933" w:type="pct"/>
          </w:tcPr>
          <w:p w14:paraId="6F0677A9"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10 (18,2%)</w:t>
            </w:r>
          </w:p>
        </w:tc>
      </w:tr>
      <w:tr w:rsidR="009F3BD1" w:rsidRPr="00CD52FD" w14:paraId="0A822400" w14:textId="77777777" w:rsidTr="006C735A">
        <w:tc>
          <w:tcPr>
            <w:tcW w:w="2200" w:type="pct"/>
          </w:tcPr>
          <w:p w14:paraId="5FE95C70"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Рассеянность</w:t>
            </w:r>
          </w:p>
        </w:tc>
        <w:tc>
          <w:tcPr>
            <w:tcW w:w="933" w:type="pct"/>
          </w:tcPr>
          <w:p w14:paraId="168C2322"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7 (12,7%)</w:t>
            </w:r>
          </w:p>
        </w:tc>
        <w:tc>
          <w:tcPr>
            <w:tcW w:w="933" w:type="pct"/>
          </w:tcPr>
          <w:p w14:paraId="192C9F27"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39 (71%)</w:t>
            </w:r>
          </w:p>
        </w:tc>
        <w:tc>
          <w:tcPr>
            <w:tcW w:w="933" w:type="pct"/>
          </w:tcPr>
          <w:p w14:paraId="5FE25FCD"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9 (16,3%)</w:t>
            </w:r>
          </w:p>
        </w:tc>
      </w:tr>
    </w:tbl>
    <w:p w14:paraId="3DABD663" w14:textId="77777777" w:rsidR="009F3BD1" w:rsidRPr="00EC38CC" w:rsidRDefault="009F3BD1" w:rsidP="009F3BD1">
      <w:pPr>
        <w:tabs>
          <w:tab w:val="left" w:pos="1454"/>
        </w:tabs>
        <w:spacing w:after="0" w:line="240" w:lineRule="auto"/>
        <w:ind w:firstLine="567"/>
        <w:jc w:val="both"/>
        <w:rPr>
          <w:rFonts w:ascii="Times New Roman" w:hAnsi="Times New Roman" w:cs="Times New Roman"/>
          <w:sz w:val="28"/>
          <w:szCs w:val="28"/>
        </w:rPr>
      </w:pPr>
    </w:p>
    <w:p w14:paraId="044C6B43" w14:textId="77777777" w:rsidR="009F3BD1" w:rsidRPr="00EC38CC" w:rsidRDefault="009F3BD1" w:rsidP="009F3BD1">
      <w:pPr>
        <w:tabs>
          <w:tab w:val="left" w:pos="1454"/>
        </w:tabs>
        <w:spacing w:after="0" w:line="240" w:lineRule="auto"/>
        <w:jc w:val="center"/>
        <w:rPr>
          <w:rFonts w:ascii="Times New Roman" w:hAnsi="Times New Roman" w:cs="Times New Roman"/>
          <w:sz w:val="28"/>
          <w:szCs w:val="28"/>
        </w:rPr>
      </w:pPr>
      <w:r w:rsidRPr="00EC38CC">
        <w:rPr>
          <w:rFonts w:ascii="Times New Roman" w:hAnsi="Times New Roman" w:cs="Times New Roman"/>
          <w:sz w:val="28"/>
          <w:szCs w:val="28"/>
        </w:rPr>
        <w:t>Оценка качества жизни по степени тяжести у пациентов с сезонным аллергическим ринитом перед началом лечения (n=55)</w:t>
      </w:r>
    </w:p>
    <w:p w14:paraId="02BB8DE9" w14:textId="77777777" w:rsidR="009F3BD1" w:rsidRPr="00EC38CC" w:rsidRDefault="009F3BD1" w:rsidP="009F3BD1">
      <w:pPr>
        <w:tabs>
          <w:tab w:val="left" w:pos="1454"/>
        </w:tabs>
        <w:spacing w:after="0" w:line="240" w:lineRule="auto"/>
        <w:jc w:val="both"/>
        <w:rPr>
          <w:rFonts w:ascii="Times New Roman" w:hAnsi="Times New Roman" w:cs="Times New Roman"/>
          <w:sz w:val="28"/>
          <w:szCs w:val="28"/>
        </w:rPr>
      </w:pPr>
    </w:p>
    <w:tbl>
      <w:tblPr>
        <w:tblStyle w:val="af3"/>
        <w:tblW w:w="5000" w:type="pct"/>
        <w:tblInd w:w="-5" w:type="dxa"/>
        <w:tblLook w:val="04A0" w:firstRow="1" w:lastRow="0" w:firstColumn="1" w:lastColumn="0" w:noHBand="0" w:noVBand="1"/>
      </w:tblPr>
      <w:tblGrid>
        <w:gridCol w:w="4673"/>
        <w:gridCol w:w="4955"/>
      </w:tblGrid>
      <w:tr w:rsidR="009F3BD1" w:rsidRPr="00CD52FD" w14:paraId="724B5268" w14:textId="77777777" w:rsidTr="006C735A">
        <w:tc>
          <w:tcPr>
            <w:tcW w:w="2427" w:type="pct"/>
          </w:tcPr>
          <w:p w14:paraId="703FC955"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Показатель</w:t>
            </w:r>
          </w:p>
        </w:tc>
        <w:tc>
          <w:tcPr>
            <w:tcW w:w="2573" w:type="pct"/>
          </w:tcPr>
          <w:p w14:paraId="5A1BA9BB"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Выраженность симптомов шкале оценки качества жизни</w:t>
            </w:r>
          </w:p>
        </w:tc>
      </w:tr>
      <w:tr w:rsidR="009F3BD1" w:rsidRPr="00CD52FD" w14:paraId="2ED3485F" w14:textId="77777777" w:rsidTr="006C735A">
        <w:tc>
          <w:tcPr>
            <w:tcW w:w="2427" w:type="pct"/>
          </w:tcPr>
          <w:p w14:paraId="4EA55A10"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Повседневная деятельность (±</w:t>
            </w:r>
            <w:r w:rsidRPr="00CD52FD">
              <w:rPr>
                <w:rFonts w:ascii="Times New Roman" w:hAnsi="Times New Roman" w:cs="Times New Roman"/>
                <w:sz w:val="24"/>
                <w:szCs w:val="24"/>
                <w:lang w:val="en-US"/>
              </w:rPr>
              <w:t>SD</w:t>
            </w:r>
            <w:r w:rsidRPr="00CD52FD">
              <w:rPr>
                <w:rFonts w:ascii="Times New Roman" w:hAnsi="Times New Roman" w:cs="Times New Roman"/>
                <w:sz w:val="24"/>
                <w:szCs w:val="24"/>
              </w:rPr>
              <w:t>)</w:t>
            </w:r>
          </w:p>
        </w:tc>
        <w:tc>
          <w:tcPr>
            <w:tcW w:w="2573" w:type="pct"/>
          </w:tcPr>
          <w:p w14:paraId="387D0270"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2,0 (±0,4)</w:t>
            </w:r>
          </w:p>
        </w:tc>
      </w:tr>
      <w:tr w:rsidR="009F3BD1" w:rsidRPr="00CD52FD" w14:paraId="00AC3BB2" w14:textId="77777777" w:rsidTr="006C735A">
        <w:tc>
          <w:tcPr>
            <w:tcW w:w="2427" w:type="pct"/>
          </w:tcPr>
          <w:p w14:paraId="7A8C3B80"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Сон (±</w:t>
            </w:r>
            <w:r w:rsidRPr="00CD52FD">
              <w:rPr>
                <w:rFonts w:ascii="Times New Roman" w:hAnsi="Times New Roman" w:cs="Times New Roman"/>
                <w:sz w:val="24"/>
                <w:szCs w:val="24"/>
                <w:lang w:val="en-US"/>
              </w:rPr>
              <w:t>SD</w:t>
            </w:r>
            <w:r w:rsidRPr="00CD52FD">
              <w:rPr>
                <w:rFonts w:ascii="Times New Roman" w:hAnsi="Times New Roman" w:cs="Times New Roman"/>
                <w:sz w:val="24"/>
                <w:szCs w:val="24"/>
              </w:rPr>
              <w:t>)</w:t>
            </w:r>
          </w:p>
        </w:tc>
        <w:tc>
          <w:tcPr>
            <w:tcW w:w="2573" w:type="pct"/>
          </w:tcPr>
          <w:p w14:paraId="70D39947"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2,0 (±0,4)</w:t>
            </w:r>
          </w:p>
        </w:tc>
      </w:tr>
      <w:tr w:rsidR="009F3BD1" w:rsidRPr="00CD52FD" w14:paraId="39404D3C" w14:textId="77777777" w:rsidTr="006C735A">
        <w:tc>
          <w:tcPr>
            <w:tcW w:w="2427" w:type="pct"/>
          </w:tcPr>
          <w:p w14:paraId="6A7ADBBA"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Раздражительность (±</w:t>
            </w:r>
            <w:r w:rsidRPr="00CD52FD">
              <w:rPr>
                <w:rFonts w:ascii="Times New Roman" w:hAnsi="Times New Roman" w:cs="Times New Roman"/>
                <w:sz w:val="24"/>
                <w:szCs w:val="24"/>
                <w:lang w:val="en-US"/>
              </w:rPr>
              <w:t>SD</w:t>
            </w:r>
            <w:r w:rsidRPr="00CD52FD">
              <w:rPr>
                <w:rFonts w:ascii="Times New Roman" w:hAnsi="Times New Roman" w:cs="Times New Roman"/>
                <w:sz w:val="24"/>
                <w:szCs w:val="24"/>
              </w:rPr>
              <w:t>)</w:t>
            </w:r>
          </w:p>
        </w:tc>
        <w:tc>
          <w:tcPr>
            <w:tcW w:w="2573" w:type="pct"/>
          </w:tcPr>
          <w:p w14:paraId="064C5407"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2,0 (±0,4)</w:t>
            </w:r>
          </w:p>
        </w:tc>
      </w:tr>
      <w:tr w:rsidR="009F3BD1" w:rsidRPr="00CD52FD" w14:paraId="0B5C00A4" w14:textId="77777777" w:rsidTr="006C735A">
        <w:tc>
          <w:tcPr>
            <w:tcW w:w="2427" w:type="pct"/>
          </w:tcPr>
          <w:p w14:paraId="72DFD594"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Тревожность (±</w:t>
            </w:r>
            <w:r w:rsidRPr="00CD52FD">
              <w:rPr>
                <w:rFonts w:ascii="Times New Roman" w:hAnsi="Times New Roman" w:cs="Times New Roman"/>
                <w:sz w:val="24"/>
                <w:szCs w:val="24"/>
                <w:lang w:val="en-US"/>
              </w:rPr>
              <w:t>SD</w:t>
            </w:r>
            <w:r w:rsidRPr="00CD52FD">
              <w:rPr>
                <w:rFonts w:ascii="Times New Roman" w:hAnsi="Times New Roman" w:cs="Times New Roman"/>
                <w:sz w:val="24"/>
                <w:szCs w:val="24"/>
              </w:rPr>
              <w:t>)</w:t>
            </w:r>
          </w:p>
        </w:tc>
        <w:tc>
          <w:tcPr>
            <w:tcW w:w="2573" w:type="pct"/>
          </w:tcPr>
          <w:p w14:paraId="1011865B"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1,9 (±0,5)</w:t>
            </w:r>
          </w:p>
        </w:tc>
      </w:tr>
      <w:tr w:rsidR="009F3BD1" w:rsidRPr="00CD52FD" w14:paraId="6FEF0FBB" w14:textId="77777777" w:rsidTr="006C735A">
        <w:tc>
          <w:tcPr>
            <w:tcW w:w="2427" w:type="pct"/>
          </w:tcPr>
          <w:p w14:paraId="6391542A"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Головная боль (±</w:t>
            </w:r>
            <w:r w:rsidRPr="00CD52FD">
              <w:rPr>
                <w:rFonts w:ascii="Times New Roman" w:hAnsi="Times New Roman" w:cs="Times New Roman"/>
                <w:sz w:val="24"/>
                <w:szCs w:val="24"/>
                <w:lang w:val="en-US"/>
              </w:rPr>
              <w:t>SD</w:t>
            </w:r>
            <w:r w:rsidRPr="00CD52FD">
              <w:rPr>
                <w:rFonts w:ascii="Times New Roman" w:hAnsi="Times New Roman" w:cs="Times New Roman"/>
                <w:sz w:val="24"/>
                <w:szCs w:val="24"/>
              </w:rPr>
              <w:t>)</w:t>
            </w:r>
          </w:p>
        </w:tc>
        <w:tc>
          <w:tcPr>
            <w:tcW w:w="2573" w:type="pct"/>
          </w:tcPr>
          <w:p w14:paraId="5956BF20"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1,9 (±0,5)</w:t>
            </w:r>
          </w:p>
        </w:tc>
      </w:tr>
      <w:tr w:rsidR="009F3BD1" w:rsidRPr="00CD52FD" w14:paraId="1277A177" w14:textId="77777777" w:rsidTr="006C735A">
        <w:tc>
          <w:tcPr>
            <w:tcW w:w="2427" w:type="pct"/>
          </w:tcPr>
          <w:p w14:paraId="413B625C"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Усталость (±</w:t>
            </w:r>
            <w:r w:rsidRPr="00CD52FD">
              <w:rPr>
                <w:rFonts w:ascii="Times New Roman" w:hAnsi="Times New Roman" w:cs="Times New Roman"/>
                <w:sz w:val="24"/>
                <w:szCs w:val="24"/>
                <w:lang w:val="en-US"/>
              </w:rPr>
              <w:t>SD</w:t>
            </w:r>
            <w:r w:rsidRPr="00CD52FD">
              <w:rPr>
                <w:rFonts w:ascii="Times New Roman" w:hAnsi="Times New Roman" w:cs="Times New Roman"/>
                <w:sz w:val="24"/>
                <w:szCs w:val="24"/>
              </w:rPr>
              <w:t>)</w:t>
            </w:r>
          </w:p>
        </w:tc>
        <w:tc>
          <w:tcPr>
            <w:tcW w:w="2573" w:type="pct"/>
          </w:tcPr>
          <w:p w14:paraId="1E392CC7"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1,9 (±0,5)</w:t>
            </w:r>
          </w:p>
        </w:tc>
      </w:tr>
      <w:tr w:rsidR="009F3BD1" w:rsidRPr="00CD52FD" w14:paraId="345C3238" w14:textId="77777777" w:rsidTr="006C735A">
        <w:tc>
          <w:tcPr>
            <w:tcW w:w="2427" w:type="pct"/>
          </w:tcPr>
          <w:p w14:paraId="127A1D89"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Рассеянность (±</w:t>
            </w:r>
            <w:r w:rsidRPr="00CD52FD">
              <w:rPr>
                <w:rFonts w:ascii="Times New Roman" w:hAnsi="Times New Roman" w:cs="Times New Roman"/>
                <w:sz w:val="24"/>
                <w:szCs w:val="24"/>
                <w:lang w:val="en-US"/>
              </w:rPr>
              <w:t>SD</w:t>
            </w:r>
            <w:r w:rsidRPr="00CD52FD">
              <w:rPr>
                <w:rFonts w:ascii="Times New Roman" w:hAnsi="Times New Roman" w:cs="Times New Roman"/>
                <w:sz w:val="24"/>
                <w:szCs w:val="24"/>
              </w:rPr>
              <w:t>)</w:t>
            </w:r>
          </w:p>
        </w:tc>
        <w:tc>
          <w:tcPr>
            <w:tcW w:w="2573" w:type="pct"/>
          </w:tcPr>
          <w:p w14:paraId="71CBD94C"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2,0 (±0,5)</w:t>
            </w:r>
          </w:p>
        </w:tc>
      </w:tr>
      <w:tr w:rsidR="009F3BD1" w:rsidRPr="00CD52FD" w14:paraId="47D7AFB6" w14:textId="77777777" w:rsidTr="006C735A">
        <w:tc>
          <w:tcPr>
            <w:tcW w:w="2427" w:type="pct"/>
          </w:tcPr>
          <w:p w14:paraId="4FFF60B0" w14:textId="77777777" w:rsidR="009F3BD1" w:rsidRPr="00CD52FD" w:rsidRDefault="009F3BD1" w:rsidP="006C735A">
            <w:pPr>
              <w:jc w:val="both"/>
              <w:rPr>
                <w:rFonts w:ascii="Times New Roman" w:hAnsi="Times New Roman" w:cs="Times New Roman"/>
                <w:sz w:val="24"/>
                <w:szCs w:val="24"/>
              </w:rPr>
            </w:pPr>
            <w:r w:rsidRPr="00CD52FD">
              <w:rPr>
                <w:rFonts w:ascii="Times New Roman" w:eastAsia="Times New Roman" w:hAnsi="Times New Roman" w:cs="Times New Roman"/>
                <w:sz w:val="24"/>
                <w:szCs w:val="24"/>
                <w:lang w:eastAsia="ru-RU"/>
              </w:rPr>
              <w:t xml:space="preserve">Общий балл качества жизни </w:t>
            </w:r>
            <w:r w:rsidRPr="00CD52FD">
              <w:rPr>
                <w:rFonts w:ascii="Times New Roman" w:hAnsi="Times New Roman" w:cs="Times New Roman"/>
                <w:sz w:val="24"/>
                <w:szCs w:val="24"/>
              </w:rPr>
              <w:t>(</w:t>
            </w:r>
            <w:r w:rsidRPr="00CD52FD">
              <w:rPr>
                <w:rFonts w:ascii="Times New Roman" w:hAnsi="Times New Roman" w:cs="Times New Roman"/>
                <w:sz w:val="24"/>
                <w:szCs w:val="24"/>
                <w:lang w:val="en-US"/>
              </w:rPr>
              <w:t>Me</w:t>
            </w:r>
            <w:r w:rsidRPr="00CD52FD">
              <w:rPr>
                <w:rFonts w:ascii="Times New Roman" w:hAnsi="Times New Roman" w:cs="Times New Roman"/>
                <w:sz w:val="24"/>
                <w:szCs w:val="24"/>
              </w:rPr>
              <w:t>+</w:t>
            </w:r>
            <w:r w:rsidRPr="00CD52FD">
              <w:rPr>
                <w:rFonts w:ascii="Times New Roman" w:hAnsi="Times New Roman" w:cs="Times New Roman"/>
                <w:sz w:val="24"/>
                <w:szCs w:val="24"/>
                <w:lang w:val="en-US"/>
              </w:rPr>
              <w:t>Q</w:t>
            </w:r>
            <w:r w:rsidRPr="00CD52FD">
              <w:rPr>
                <w:rFonts w:ascii="Times New Roman" w:hAnsi="Times New Roman" w:cs="Times New Roman"/>
                <w:sz w:val="24"/>
                <w:szCs w:val="24"/>
                <w:vertAlign w:val="subscript"/>
              </w:rPr>
              <w:t>25-75</w:t>
            </w:r>
            <w:r w:rsidRPr="00CD52FD">
              <w:rPr>
                <w:rFonts w:ascii="Times New Roman" w:hAnsi="Times New Roman" w:cs="Times New Roman"/>
                <w:sz w:val="24"/>
                <w:szCs w:val="24"/>
              </w:rPr>
              <w:t>)</w:t>
            </w:r>
          </w:p>
        </w:tc>
        <w:tc>
          <w:tcPr>
            <w:tcW w:w="2573" w:type="pct"/>
          </w:tcPr>
          <w:p w14:paraId="132D31AF" w14:textId="77777777" w:rsidR="009F3BD1" w:rsidRPr="00CD52FD" w:rsidRDefault="009F3BD1" w:rsidP="006C735A">
            <w:pPr>
              <w:jc w:val="both"/>
              <w:rPr>
                <w:rFonts w:ascii="Times New Roman" w:hAnsi="Times New Roman" w:cs="Times New Roman"/>
                <w:sz w:val="24"/>
                <w:szCs w:val="24"/>
              </w:rPr>
            </w:pPr>
            <w:r w:rsidRPr="00CD52FD">
              <w:rPr>
                <w:rFonts w:ascii="Times New Roman" w:eastAsia="Times New Roman" w:hAnsi="Times New Roman" w:cs="Times New Roman"/>
                <w:sz w:val="24"/>
                <w:szCs w:val="24"/>
                <w:lang w:eastAsia="ru-RU"/>
              </w:rPr>
              <w:t>19 (17-20)</w:t>
            </w:r>
          </w:p>
        </w:tc>
      </w:tr>
    </w:tbl>
    <w:p w14:paraId="387CA83E" w14:textId="77777777" w:rsidR="009F3BD1" w:rsidRPr="00EC38CC" w:rsidRDefault="009F3BD1" w:rsidP="009F3BD1">
      <w:pPr>
        <w:tabs>
          <w:tab w:val="left" w:pos="1454"/>
        </w:tabs>
        <w:spacing w:after="0" w:line="240" w:lineRule="auto"/>
        <w:ind w:firstLine="567"/>
        <w:jc w:val="both"/>
        <w:rPr>
          <w:rFonts w:ascii="Times New Roman" w:hAnsi="Times New Roman" w:cs="Times New Roman"/>
          <w:strike/>
          <w:sz w:val="28"/>
          <w:szCs w:val="28"/>
        </w:rPr>
      </w:pPr>
    </w:p>
    <w:p w14:paraId="214F252C" w14:textId="77777777" w:rsidR="009F3BD1" w:rsidRPr="00EC38CC" w:rsidRDefault="009F3BD1" w:rsidP="009F3BD1">
      <w:pPr>
        <w:tabs>
          <w:tab w:val="left" w:pos="1454"/>
        </w:tabs>
        <w:spacing w:after="0" w:line="240" w:lineRule="auto"/>
        <w:jc w:val="center"/>
        <w:rPr>
          <w:rFonts w:ascii="Times New Roman" w:hAnsi="Times New Roman" w:cs="Times New Roman"/>
          <w:sz w:val="28"/>
          <w:szCs w:val="28"/>
        </w:rPr>
      </w:pPr>
      <w:r w:rsidRPr="00EC38CC">
        <w:rPr>
          <w:rFonts w:ascii="Times New Roman" w:hAnsi="Times New Roman" w:cs="Times New Roman"/>
          <w:sz w:val="28"/>
          <w:szCs w:val="28"/>
        </w:rPr>
        <w:t>Характеристика качества жизни (физической активности, эмоциональной сферы и общих симптомов) пациентов с сезонным аллергически ринитом в соответствии с полом (n=55)</w:t>
      </w:r>
    </w:p>
    <w:p w14:paraId="7451C9DF" w14:textId="77777777" w:rsidR="009F3BD1" w:rsidRPr="00EC38CC" w:rsidRDefault="009F3BD1" w:rsidP="009F3BD1">
      <w:pPr>
        <w:tabs>
          <w:tab w:val="left" w:pos="1454"/>
        </w:tabs>
        <w:spacing w:after="0" w:line="240" w:lineRule="auto"/>
        <w:jc w:val="both"/>
        <w:rPr>
          <w:rFonts w:ascii="Times New Roman" w:hAnsi="Times New Roman" w:cs="Times New Roman"/>
          <w:sz w:val="28"/>
          <w:szCs w:val="28"/>
        </w:rPr>
      </w:pPr>
    </w:p>
    <w:tbl>
      <w:tblPr>
        <w:tblStyle w:val="af3"/>
        <w:tblW w:w="5355" w:type="pct"/>
        <w:tblInd w:w="-5" w:type="dxa"/>
        <w:tblLook w:val="04A0" w:firstRow="1" w:lastRow="0" w:firstColumn="1" w:lastColumn="0" w:noHBand="0" w:noVBand="1"/>
      </w:tblPr>
      <w:tblGrid>
        <w:gridCol w:w="2338"/>
        <w:gridCol w:w="1303"/>
        <w:gridCol w:w="1305"/>
        <w:gridCol w:w="1448"/>
        <w:gridCol w:w="1448"/>
        <w:gridCol w:w="12"/>
        <w:gridCol w:w="1291"/>
        <w:gridCol w:w="1167"/>
      </w:tblGrid>
      <w:tr w:rsidR="009F3BD1" w:rsidRPr="00CD52FD" w14:paraId="22A30E13" w14:textId="77777777" w:rsidTr="006C735A">
        <w:tc>
          <w:tcPr>
            <w:tcW w:w="1133" w:type="pct"/>
            <w:vMerge w:val="restart"/>
          </w:tcPr>
          <w:p w14:paraId="00BA5565"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Показатель</w:t>
            </w:r>
          </w:p>
        </w:tc>
        <w:tc>
          <w:tcPr>
            <w:tcW w:w="3867" w:type="pct"/>
            <w:gridSpan w:val="7"/>
          </w:tcPr>
          <w:p w14:paraId="076AAE08"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Степень тяжести, абс, (%)</w:t>
            </w:r>
          </w:p>
        </w:tc>
      </w:tr>
      <w:tr w:rsidR="009F3BD1" w:rsidRPr="00CD52FD" w14:paraId="21D336CC" w14:textId="77777777" w:rsidTr="006C735A">
        <w:tc>
          <w:tcPr>
            <w:tcW w:w="1133" w:type="pct"/>
            <w:vMerge/>
          </w:tcPr>
          <w:p w14:paraId="645FB179" w14:textId="77777777" w:rsidR="009F3BD1" w:rsidRPr="00CD52FD" w:rsidRDefault="009F3BD1" w:rsidP="006C735A">
            <w:pPr>
              <w:jc w:val="both"/>
              <w:rPr>
                <w:rFonts w:ascii="Times New Roman" w:hAnsi="Times New Roman" w:cs="Times New Roman"/>
                <w:sz w:val="24"/>
                <w:szCs w:val="24"/>
              </w:rPr>
            </w:pPr>
          </w:p>
        </w:tc>
        <w:tc>
          <w:tcPr>
            <w:tcW w:w="1265" w:type="pct"/>
            <w:gridSpan w:val="2"/>
            <w:vAlign w:val="center"/>
          </w:tcPr>
          <w:p w14:paraId="46286ADA"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 xml:space="preserve">Легкая </w:t>
            </w:r>
          </w:p>
        </w:tc>
        <w:tc>
          <w:tcPr>
            <w:tcW w:w="1410" w:type="pct"/>
            <w:gridSpan w:val="3"/>
            <w:vAlign w:val="center"/>
          </w:tcPr>
          <w:p w14:paraId="179800F8"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 xml:space="preserve">Средняя </w:t>
            </w:r>
          </w:p>
        </w:tc>
        <w:tc>
          <w:tcPr>
            <w:tcW w:w="1192" w:type="pct"/>
            <w:gridSpan w:val="2"/>
            <w:vAlign w:val="center"/>
          </w:tcPr>
          <w:p w14:paraId="3D69E06B"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 xml:space="preserve">Тяжелая </w:t>
            </w:r>
          </w:p>
        </w:tc>
      </w:tr>
      <w:tr w:rsidR="009F3BD1" w:rsidRPr="00CD52FD" w14:paraId="4C358B77" w14:textId="77777777" w:rsidTr="006C735A">
        <w:tc>
          <w:tcPr>
            <w:tcW w:w="1133" w:type="pct"/>
          </w:tcPr>
          <w:p w14:paraId="3EEA065A"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 xml:space="preserve">Пол </w:t>
            </w:r>
          </w:p>
        </w:tc>
        <w:tc>
          <w:tcPr>
            <w:tcW w:w="632" w:type="pct"/>
          </w:tcPr>
          <w:p w14:paraId="33028728"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м</w:t>
            </w:r>
          </w:p>
        </w:tc>
        <w:tc>
          <w:tcPr>
            <w:tcW w:w="632" w:type="pct"/>
          </w:tcPr>
          <w:p w14:paraId="0307E8EB"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ж</w:t>
            </w:r>
          </w:p>
        </w:tc>
        <w:tc>
          <w:tcPr>
            <w:tcW w:w="702" w:type="pct"/>
          </w:tcPr>
          <w:p w14:paraId="617F3B9D"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м</w:t>
            </w:r>
          </w:p>
        </w:tc>
        <w:tc>
          <w:tcPr>
            <w:tcW w:w="702" w:type="pct"/>
          </w:tcPr>
          <w:p w14:paraId="691ED15F"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ж</w:t>
            </w:r>
          </w:p>
        </w:tc>
        <w:tc>
          <w:tcPr>
            <w:tcW w:w="632" w:type="pct"/>
            <w:gridSpan w:val="2"/>
          </w:tcPr>
          <w:p w14:paraId="5E532A76"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м</w:t>
            </w:r>
          </w:p>
        </w:tc>
        <w:tc>
          <w:tcPr>
            <w:tcW w:w="562" w:type="pct"/>
          </w:tcPr>
          <w:p w14:paraId="3790E1DC"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ж</w:t>
            </w:r>
          </w:p>
        </w:tc>
      </w:tr>
      <w:tr w:rsidR="009F3BD1" w:rsidRPr="00CD52FD" w14:paraId="1B0195F6" w14:textId="77777777" w:rsidTr="006C735A">
        <w:tc>
          <w:tcPr>
            <w:tcW w:w="1133" w:type="pct"/>
          </w:tcPr>
          <w:p w14:paraId="3D342634"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Повседневная деятельность</w:t>
            </w:r>
          </w:p>
        </w:tc>
        <w:tc>
          <w:tcPr>
            <w:tcW w:w="632" w:type="pct"/>
          </w:tcPr>
          <w:p w14:paraId="14AA67CB"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1(3,8%)</w:t>
            </w:r>
          </w:p>
        </w:tc>
        <w:tc>
          <w:tcPr>
            <w:tcW w:w="632" w:type="pct"/>
          </w:tcPr>
          <w:p w14:paraId="685C947C"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2(6,9%)</w:t>
            </w:r>
          </w:p>
        </w:tc>
        <w:tc>
          <w:tcPr>
            <w:tcW w:w="702" w:type="pct"/>
          </w:tcPr>
          <w:p w14:paraId="42B94CA9"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19(73%)</w:t>
            </w:r>
          </w:p>
        </w:tc>
        <w:tc>
          <w:tcPr>
            <w:tcW w:w="702" w:type="pct"/>
          </w:tcPr>
          <w:p w14:paraId="59BED3A6"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24(82,7%)</w:t>
            </w:r>
          </w:p>
        </w:tc>
        <w:tc>
          <w:tcPr>
            <w:tcW w:w="632" w:type="pct"/>
            <w:gridSpan w:val="2"/>
          </w:tcPr>
          <w:p w14:paraId="08CA627F"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7(26,9%)</w:t>
            </w:r>
          </w:p>
        </w:tc>
        <w:tc>
          <w:tcPr>
            <w:tcW w:w="562" w:type="pct"/>
          </w:tcPr>
          <w:p w14:paraId="573157C9"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2(6,9%)</w:t>
            </w:r>
          </w:p>
        </w:tc>
      </w:tr>
      <w:tr w:rsidR="009F3BD1" w:rsidRPr="00CD52FD" w14:paraId="746F841F" w14:textId="77777777" w:rsidTr="006C735A">
        <w:tc>
          <w:tcPr>
            <w:tcW w:w="1133" w:type="pct"/>
          </w:tcPr>
          <w:p w14:paraId="26E2ACF9"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Сон</w:t>
            </w:r>
          </w:p>
        </w:tc>
        <w:tc>
          <w:tcPr>
            <w:tcW w:w="632" w:type="pct"/>
          </w:tcPr>
          <w:p w14:paraId="6112A58C"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1(3,8%)</w:t>
            </w:r>
          </w:p>
        </w:tc>
        <w:tc>
          <w:tcPr>
            <w:tcW w:w="632" w:type="pct"/>
          </w:tcPr>
          <w:p w14:paraId="2365C494"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3(10,3%)</w:t>
            </w:r>
          </w:p>
        </w:tc>
        <w:tc>
          <w:tcPr>
            <w:tcW w:w="702" w:type="pct"/>
          </w:tcPr>
          <w:p w14:paraId="123317A4"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19(73%)</w:t>
            </w:r>
          </w:p>
        </w:tc>
        <w:tc>
          <w:tcPr>
            <w:tcW w:w="702" w:type="pct"/>
          </w:tcPr>
          <w:p w14:paraId="4D1EB90E"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23(79,3%)</w:t>
            </w:r>
          </w:p>
        </w:tc>
        <w:tc>
          <w:tcPr>
            <w:tcW w:w="632" w:type="pct"/>
            <w:gridSpan w:val="2"/>
          </w:tcPr>
          <w:p w14:paraId="2EAE3D0E"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7(26,9%)</w:t>
            </w:r>
          </w:p>
        </w:tc>
        <w:tc>
          <w:tcPr>
            <w:tcW w:w="562" w:type="pct"/>
          </w:tcPr>
          <w:p w14:paraId="6D691C4C"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2(6,9%)</w:t>
            </w:r>
          </w:p>
        </w:tc>
      </w:tr>
      <w:tr w:rsidR="009F3BD1" w:rsidRPr="00CD52FD" w14:paraId="3568BDFB" w14:textId="77777777" w:rsidTr="006C735A">
        <w:tc>
          <w:tcPr>
            <w:tcW w:w="1133" w:type="pct"/>
          </w:tcPr>
          <w:p w14:paraId="752C847B"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Раздражительность</w:t>
            </w:r>
          </w:p>
        </w:tc>
        <w:tc>
          <w:tcPr>
            <w:tcW w:w="632" w:type="pct"/>
          </w:tcPr>
          <w:p w14:paraId="47E36030"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0(0%)</w:t>
            </w:r>
          </w:p>
        </w:tc>
        <w:tc>
          <w:tcPr>
            <w:tcW w:w="632" w:type="pct"/>
          </w:tcPr>
          <w:p w14:paraId="78EDF4DD"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3(10,3%)</w:t>
            </w:r>
          </w:p>
        </w:tc>
        <w:tc>
          <w:tcPr>
            <w:tcW w:w="702" w:type="pct"/>
          </w:tcPr>
          <w:p w14:paraId="5BD7C3E9"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19(73%)</w:t>
            </w:r>
          </w:p>
        </w:tc>
        <w:tc>
          <w:tcPr>
            <w:tcW w:w="702" w:type="pct"/>
          </w:tcPr>
          <w:p w14:paraId="7F83A4C5"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23(79,3%)</w:t>
            </w:r>
          </w:p>
        </w:tc>
        <w:tc>
          <w:tcPr>
            <w:tcW w:w="632" w:type="pct"/>
            <w:gridSpan w:val="2"/>
          </w:tcPr>
          <w:p w14:paraId="785525AE"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8(30,7%)</w:t>
            </w:r>
          </w:p>
        </w:tc>
        <w:tc>
          <w:tcPr>
            <w:tcW w:w="562" w:type="pct"/>
          </w:tcPr>
          <w:p w14:paraId="759377D3"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2(6,9%)</w:t>
            </w:r>
          </w:p>
        </w:tc>
      </w:tr>
      <w:tr w:rsidR="009F3BD1" w:rsidRPr="00CD52FD" w14:paraId="1147B92E" w14:textId="77777777" w:rsidTr="006C735A">
        <w:tc>
          <w:tcPr>
            <w:tcW w:w="1133" w:type="pct"/>
          </w:tcPr>
          <w:p w14:paraId="0E4D286B"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Тревожность</w:t>
            </w:r>
          </w:p>
        </w:tc>
        <w:tc>
          <w:tcPr>
            <w:tcW w:w="632" w:type="pct"/>
          </w:tcPr>
          <w:p w14:paraId="4114495E"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1(3,8%)</w:t>
            </w:r>
          </w:p>
        </w:tc>
        <w:tc>
          <w:tcPr>
            <w:tcW w:w="632" w:type="pct"/>
          </w:tcPr>
          <w:p w14:paraId="424F7357"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9(31%)</w:t>
            </w:r>
          </w:p>
        </w:tc>
        <w:tc>
          <w:tcPr>
            <w:tcW w:w="702" w:type="pct"/>
          </w:tcPr>
          <w:p w14:paraId="7D08A26C"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19(73%)</w:t>
            </w:r>
          </w:p>
        </w:tc>
        <w:tc>
          <w:tcPr>
            <w:tcW w:w="702" w:type="pct"/>
          </w:tcPr>
          <w:p w14:paraId="4F4C16EC"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17(58,6%)</w:t>
            </w:r>
          </w:p>
        </w:tc>
        <w:tc>
          <w:tcPr>
            <w:tcW w:w="632" w:type="pct"/>
            <w:gridSpan w:val="2"/>
          </w:tcPr>
          <w:p w14:paraId="35184828"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7(26,9%)</w:t>
            </w:r>
          </w:p>
        </w:tc>
        <w:tc>
          <w:tcPr>
            <w:tcW w:w="562" w:type="pct"/>
          </w:tcPr>
          <w:p w14:paraId="7F94F9FF"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2(6,9%)</w:t>
            </w:r>
          </w:p>
        </w:tc>
      </w:tr>
      <w:tr w:rsidR="009F3BD1" w:rsidRPr="00CD52FD" w14:paraId="4781B393" w14:textId="77777777" w:rsidTr="006C735A">
        <w:tc>
          <w:tcPr>
            <w:tcW w:w="1133" w:type="pct"/>
          </w:tcPr>
          <w:p w14:paraId="0797D1D6"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Головная боль</w:t>
            </w:r>
          </w:p>
        </w:tc>
        <w:tc>
          <w:tcPr>
            <w:tcW w:w="632" w:type="pct"/>
          </w:tcPr>
          <w:p w14:paraId="6659B417"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2(7,7%)</w:t>
            </w:r>
          </w:p>
        </w:tc>
        <w:tc>
          <w:tcPr>
            <w:tcW w:w="632" w:type="pct"/>
          </w:tcPr>
          <w:p w14:paraId="1A5EBCC9"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6(20,7%)</w:t>
            </w:r>
          </w:p>
        </w:tc>
        <w:tc>
          <w:tcPr>
            <w:tcW w:w="702" w:type="pct"/>
          </w:tcPr>
          <w:p w14:paraId="3F7D2A1C"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18(69,2%)</w:t>
            </w:r>
          </w:p>
        </w:tc>
        <w:tc>
          <w:tcPr>
            <w:tcW w:w="702" w:type="pct"/>
          </w:tcPr>
          <w:p w14:paraId="3FC54BC3"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20(68,9%)</w:t>
            </w:r>
          </w:p>
        </w:tc>
        <w:tc>
          <w:tcPr>
            <w:tcW w:w="632" w:type="pct"/>
            <w:gridSpan w:val="2"/>
          </w:tcPr>
          <w:p w14:paraId="0EF85EA5"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7(26,9%)</w:t>
            </w:r>
          </w:p>
        </w:tc>
        <w:tc>
          <w:tcPr>
            <w:tcW w:w="562" w:type="pct"/>
          </w:tcPr>
          <w:p w14:paraId="69539B82"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2(6,9%)</w:t>
            </w:r>
          </w:p>
        </w:tc>
      </w:tr>
      <w:tr w:rsidR="009F3BD1" w:rsidRPr="00CD52FD" w14:paraId="15081B45" w14:textId="77777777" w:rsidTr="006C735A">
        <w:tc>
          <w:tcPr>
            <w:tcW w:w="1133" w:type="pct"/>
          </w:tcPr>
          <w:p w14:paraId="55D2F713"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Усталость</w:t>
            </w:r>
          </w:p>
        </w:tc>
        <w:tc>
          <w:tcPr>
            <w:tcW w:w="632" w:type="pct"/>
          </w:tcPr>
          <w:p w14:paraId="195D8A97"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4(15,3%)</w:t>
            </w:r>
          </w:p>
        </w:tc>
        <w:tc>
          <w:tcPr>
            <w:tcW w:w="632" w:type="pct"/>
          </w:tcPr>
          <w:p w14:paraId="349A91E8"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4(13,8%)</w:t>
            </w:r>
          </w:p>
        </w:tc>
        <w:tc>
          <w:tcPr>
            <w:tcW w:w="702" w:type="pct"/>
          </w:tcPr>
          <w:p w14:paraId="28DC3CF6"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15(57,7%)</w:t>
            </w:r>
          </w:p>
        </w:tc>
        <w:tc>
          <w:tcPr>
            <w:tcW w:w="702" w:type="pct"/>
          </w:tcPr>
          <w:p w14:paraId="241B6E61"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22(75,8%)</w:t>
            </w:r>
          </w:p>
        </w:tc>
        <w:tc>
          <w:tcPr>
            <w:tcW w:w="632" w:type="pct"/>
            <w:gridSpan w:val="2"/>
          </w:tcPr>
          <w:p w14:paraId="4B663DE1"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8(30,7%)</w:t>
            </w:r>
          </w:p>
        </w:tc>
        <w:tc>
          <w:tcPr>
            <w:tcW w:w="562" w:type="pct"/>
          </w:tcPr>
          <w:p w14:paraId="2C60B4E2"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2(6,9%)</w:t>
            </w:r>
          </w:p>
        </w:tc>
      </w:tr>
      <w:tr w:rsidR="009F3BD1" w:rsidRPr="00CD52FD" w14:paraId="7EC3A8ED" w14:textId="77777777" w:rsidTr="006C735A">
        <w:tc>
          <w:tcPr>
            <w:tcW w:w="1133" w:type="pct"/>
          </w:tcPr>
          <w:p w14:paraId="730ADF62"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Рассеянность</w:t>
            </w:r>
          </w:p>
        </w:tc>
        <w:tc>
          <w:tcPr>
            <w:tcW w:w="632" w:type="pct"/>
          </w:tcPr>
          <w:p w14:paraId="0328B116"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2(7,7%)</w:t>
            </w:r>
          </w:p>
        </w:tc>
        <w:tc>
          <w:tcPr>
            <w:tcW w:w="632" w:type="pct"/>
          </w:tcPr>
          <w:p w14:paraId="4B1E3D7B"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5(17,2%)</w:t>
            </w:r>
          </w:p>
        </w:tc>
        <w:tc>
          <w:tcPr>
            <w:tcW w:w="702" w:type="pct"/>
          </w:tcPr>
          <w:p w14:paraId="62298322"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18(69,2%)</w:t>
            </w:r>
          </w:p>
        </w:tc>
        <w:tc>
          <w:tcPr>
            <w:tcW w:w="702" w:type="pct"/>
          </w:tcPr>
          <w:p w14:paraId="6D988BF6"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21(72,4%)</w:t>
            </w:r>
          </w:p>
        </w:tc>
        <w:tc>
          <w:tcPr>
            <w:tcW w:w="632" w:type="pct"/>
            <w:gridSpan w:val="2"/>
          </w:tcPr>
          <w:p w14:paraId="103E49B1"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7(26,9%)</w:t>
            </w:r>
          </w:p>
        </w:tc>
        <w:tc>
          <w:tcPr>
            <w:tcW w:w="562" w:type="pct"/>
          </w:tcPr>
          <w:p w14:paraId="409DBF60"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2(6,9%)</w:t>
            </w:r>
          </w:p>
        </w:tc>
      </w:tr>
    </w:tbl>
    <w:p w14:paraId="3334913F" w14:textId="77777777" w:rsidR="009F3BD1" w:rsidRPr="00EC38CC" w:rsidRDefault="009F3BD1" w:rsidP="009F3BD1">
      <w:pPr>
        <w:spacing w:after="0" w:line="240" w:lineRule="auto"/>
        <w:ind w:firstLine="567"/>
        <w:jc w:val="both"/>
        <w:rPr>
          <w:rFonts w:ascii="Times New Roman" w:hAnsi="Times New Roman" w:cs="Times New Roman"/>
          <w:sz w:val="28"/>
          <w:szCs w:val="28"/>
        </w:rPr>
      </w:pPr>
    </w:p>
    <w:p w14:paraId="02B4EF30" w14:textId="77777777" w:rsidR="009F3BD1" w:rsidRPr="00EC38CC" w:rsidRDefault="009F3BD1" w:rsidP="009F3BD1">
      <w:pPr>
        <w:spacing w:after="0" w:line="240" w:lineRule="auto"/>
        <w:jc w:val="center"/>
        <w:rPr>
          <w:rFonts w:ascii="Times New Roman" w:hAnsi="Times New Roman" w:cs="Times New Roman"/>
          <w:sz w:val="28"/>
          <w:szCs w:val="28"/>
        </w:rPr>
      </w:pPr>
      <w:r w:rsidRPr="00EC38CC">
        <w:rPr>
          <w:rFonts w:ascii="Times New Roman" w:hAnsi="Times New Roman" w:cs="Times New Roman"/>
          <w:sz w:val="28"/>
          <w:szCs w:val="28"/>
        </w:rPr>
        <w:t>Характеристика качества жизни (физической активности, эмоциональной сферы и общих симптомов) пациентов с сезонным аллергически ринитом в соответствии с возрастом (n=55)</w:t>
      </w:r>
    </w:p>
    <w:p w14:paraId="7248BAFC" w14:textId="77777777" w:rsidR="009F3BD1" w:rsidRPr="00EC38CC" w:rsidRDefault="009F3BD1" w:rsidP="009F3BD1">
      <w:pPr>
        <w:spacing w:after="0" w:line="240" w:lineRule="auto"/>
        <w:jc w:val="both"/>
        <w:rPr>
          <w:rFonts w:ascii="Times New Roman" w:hAnsi="Times New Roman" w:cs="Times New Roman"/>
          <w:sz w:val="28"/>
          <w:szCs w:val="28"/>
        </w:rPr>
      </w:pPr>
    </w:p>
    <w:tbl>
      <w:tblPr>
        <w:tblStyle w:val="af3"/>
        <w:tblW w:w="5071" w:type="pct"/>
        <w:tblInd w:w="-5" w:type="dxa"/>
        <w:tblLook w:val="04A0" w:firstRow="1" w:lastRow="0" w:firstColumn="1" w:lastColumn="0" w:noHBand="0" w:noVBand="1"/>
      </w:tblPr>
      <w:tblGrid>
        <w:gridCol w:w="2628"/>
        <w:gridCol w:w="1252"/>
        <w:gridCol w:w="1252"/>
        <w:gridCol w:w="1389"/>
        <w:gridCol w:w="1389"/>
        <w:gridCol w:w="1252"/>
        <w:gridCol w:w="603"/>
      </w:tblGrid>
      <w:tr w:rsidR="009F3BD1" w:rsidRPr="00CD52FD" w14:paraId="79D0F3DA" w14:textId="77777777" w:rsidTr="006C735A">
        <w:tc>
          <w:tcPr>
            <w:tcW w:w="1346" w:type="pct"/>
            <w:vMerge w:val="restart"/>
          </w:tcPr>
          <w:p w14:paraId="6B3A3861"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Показатель</w:t>
            </w:r>
          </w:p>
        </w:tc>
        <w:tc>
          <w:tcPr>
            <w:tcW w:w="3654" w:type="pct"/>
            <w:gridSpan w:val="6"/>
          </w:tcPr>
          <w:p w14:paraId="3391C21F"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Степень тяжести, абс, (%)</w:t>
            </w:r>
          </w:p>
        </w:tc>
      </w:tr>
      <w:tr w:rsidR="009F3BD1" w:rsidRPr="00CD52FD" w14:paraId="387D1E5E" w14:textId="77777777" w:rsidTr="006C735A">
        <w:tc>
          <w:tcPr>
            <w:tcW w:w="1346" w:type="pct"/>
            <w:vMerge/>
          </w:tcPr>
          <w:p w14:paraId="6027F52B" w14:textId="77777777" w:rsidR="009F3BD1" w:rsidRPr="00CD52FD" w:rsidRDefault="009F3BD1" w:rsidP="006C735A">
            <w:pPr>
              <w:jc w:val="both"/>
              <w:rPr>
                <w:rFonts w:ascii="Times New Roman" w:hAnsi="Times New Roman" w:cs="Times New Roman"/>
                <w:sz w:val="24"/>
                <w:szCs w:val="24"/>
              </w:rPr>
            </w:pPr>
          </w:p>
        </w:tc>
        <w:tc>
          <w:tcPr>
            <w:tcW w:w="1282" w:type="pct"/>
            <w:gridSpan w:val="2"/>
            <w:vAlign w:val="center"/>
          </w:tcPr>
          <w:p w14:paraId="77F55FF0"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 xml:space="preserve">Легкая </w:t>
            </w:r>
          </w:p>
        </w:tc>
        <w:tc>
          <w:tcPr>
            <w:tcW w:w="1422" w:type="pct"/>
            <w:gridSpan w:val="2"/>
            <w:vAlign w:val="center"/>
          </w:tcPr>
          <w:p w14:paraId="1B6E7AEB"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 xml:space="preserve">Средняя </w:t>
            </w:r>
          </w:p>
        </w:tc>
        <w:tc>
          <w:tcPr>
            <w:tcW w:w="949" w:type="pct"/>
            <w:gridSpan w:val="2"/>
            <w:vAlign w:val="center"/>
          </w:tcPr>
          <w:p w14:paraId="786E3F3E"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 xml:space="preserve">Тяжелая </w:t>
            </w:r>
          </w:p>
        </w:tc>
      </w:tr>
      <w:tr w:rsidR="009F3BD1" w:rsidRPr="00CD52FD" w14:paraId="12C48B70" w14:textId="77777777" w:rsidTr="006C735A">
        <w:tc>
          <w:tcPr>
            <w:tcW w:w="1346" w:type="pct"/>
          </w:tcPr>
          <w:p w14:paraId="3302C4E8"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 xml:space="preserve">Возраст </w:t>
            </w:r>
          </w:p>
        </w:tc>
        <w:tc>
          <w:tcPr>
            <w:tcW w:w="641" w:type="pct"/>
          </w:tcPr>
          <w:p w14:paraId="0C48BA12"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18-39 лет</w:t>
            </w:r>
          </w:p>
        </w:tc>
        <w:tc>
          <w:tcPr>
            <w:tcW w:w="641" w:type="pct"/>
          </w:tcPr>
          <w:p w14:paraId="5D170A72"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40-60 лет</w:t>
            </w:r>
          </w:p>
        </w:tc>
        <w:tc>
          <w:tcPr>
            <w:tcW w:w="711" w:type="pct"/>
          </w:tcPr>
          <w:p w14:paraId="57F8A34F"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18-39 лет</w:t>
            </w:r>
          </w:p>
        </w:tc>
        <w:tc>
          <w:tcPr>
            <w:tcW w:w="711" w:type="pct"/>
          </w:tcPr>
          <w:p w14:paraId="789DFD1D"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40-60 лет</w:t>
            </w:r>
          </w:p>
        </w:tc>
        <w:tc>
          <w:tcPr>
            <w:tcW w:w="641" w:type="pct"/>
          </w:tcPr>
          <w:p w14:paraId="6004458F"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18-39 лет</w:t>
            </w:r>
          </w:p>
        </w:tc>
        <w:tc>
          <w:tcPr>
            <w:tcW w:w="308" w:type="pct"/>
          </w:tcPr>
          <w:p w14:paraId="1EED5AE3"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40-60 лет</w:t>
            </w:r>
          </w:p>
        </w:tc>
      </w:tr>
      <w:tr w:rsidR="009F3BD1" w:rsidRPr="00CD52FD" w14:paraId="02F2FCA0" w14:textId="77777777" w:rsidTr="006C735A">
        <w:tc>
          <w:tcPr>
            <w:tcW w:w="1346" w:type="pct"/>
          </w:tcPr>
          <w:p w14:paraId="1925FA6B"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Повседневная деятельность</w:t>
            </w:r>
          </w:p>
        </w:tc>
        <w:tc>
          <w:tcPr>
            <w:tcW w:w="641" w:type="pct"/>
          </w:tcPr>
          <w:p w14:paraId="61048D39"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1(2,7%)</w:t>
            </w:r>
          </w:p>
        </w:tc>
        <w:tc>
          <w:tcPr>
            <w:tcW w:w="641" w:type="pct"/>
          </w:tcPr>
          <w:p w14:paraId="06AA9FF3"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2(11,1%)</w:t>
            </w:r>
          </w:p>
        </w:tc>
        <w:tc>
          <w:tcPr>
            <w:tcW w:w="711" w:type="pct"/>
          </w:tcPr>
          <w:p w14:paraId="5AC6D164"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27(73%)</w:t>
            </w:r>
          </w:p>
        </w:tc>
        <w:tc>
          <w:tcPr>
            <w:tcW w:w="711" w:type="pct"/>
          </w:tcPr>
          <w:p w14:paraId="185BD84D"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16(88,8%)</w:t>
            </w:r>
          </w:p>
        </w:tc>
        <w:tc>
          <w:tcPr>
            <w:tcW w:w="641" w:type="pct"/>
          </w:tcPr>
          <w:p w14:paraId="1685B5D3"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9(24,3%)</w:t>
            </w:r>
          </w:p>
        </w:tc>
        <w:tc>
          <w:tcPr>
            <w:tcW w:w="308" w:type="pct"/>
          </w:tcPr>
          <w:p w14:paraId="229D2DCE"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0</w:t>
            </w:r>
          </w:p>
        </w:tc>
      </w:tr>
      <w:tr w:rsidR="009F3BD1" w:rsidRPr="00CD52FD" w14:paraId="0CA1D951" w14:textId="77777777" w:rsidTr="006C735A">
        <w:tc>
          <w:tcPr>
            <w:tcW w:w="1346" w:type="pct"/>
          </w:tcPr>
          <w:p w14:paraId="3ED22FDC"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Сон</w:t>
            </w:r>
          </w:p>
        </w:tc>
        <w:tc>
          <w:tcPr>
            <w:tcW w:w="641" w:type="pct"/>
          </w:tcPr>
          <w:p w14:paraId="2082EB6F"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1(2,7%)</w:t>
            </w:r>
          </w:p>
        </w:tc>
        <w:tc>
          <w:tcPr>
            <w:tcW w:w="641" w:type="pct"/>
          </w:tcPr>
          <w:p w14:paraId="598ECA01"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3(16,6%)</w:t>
            </w:r>
          </w:p>
        </w:tc>
        <w:tc>
          <w:tcPr>
            <w:tcW w:w="711" w:type="pct"/>
          </w:tcPr>
          <w:p w14:paraId="55E8698B"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27(73%)</w:t>
            </w:r>
          </w:p>
        </w:tc>
        <w:tc>
          <w:tcPr>
            <w:tcW w:w="711" w:type="pct"/>
          </w:tcPr>
          <w:p w14:paraId="5025E9E3"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15(83,3%)</w:t>
            </w:r>
          </w:p>
        </w:tc>
        <w:tc>
          <w:tcPr>
            <w:tcW w:w="641" w:type="pct"/>
          </w:tcPr>
          <w:p w14:paraId="598A94FC"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9(24,3%)</w:t>
            </w:r>
          </w:p>
        </w:tc>
        <w:tc>
          <w:tcPr>
            <w:tcW w:w="308" w:type="pct"/>
          </w:tcPr>
          <w:p w14:paraId="34827A7D"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0</w:t>
            </w:r>
          </w:p>
        </w:tc>
      </w:tr>
      <w:tr w:rsidR="009F3BD1" w:rsidRPr="00CD52FD" w14:paraId="79FDEC03" w14:textId="77777777" w:rsidTr="006C735A">
        <w:tc>
          <w:tcPr>
            <w:tcW w:w="1346" w:type="pct"/>
          </w:tcPr>
          <w:p w14:paraId="381AABFA"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Раздражительность</w:t>
            </w:r>
          </w:p>
        </w:tc>
        <w:tc>
          <w:tcPr>
            <w:tcW w:w="641" w:type="pct"/>
          </w:tcPr>
          <w:p w14:paraId="72446E75"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2(5,4%)</w:t>
            </w:r>
          </w:p>
        </w:tc>
        <w:tc>
          <w:tcPr>
            <w:tcW w:w="641" w:type="pct"/>
          </w:tcPr>
          <w:p w14:paraId="464E7A23"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1(55,5%)</w:t>
            </w:r>
          </w:p>
        </w:tc>
        <w:tc>
          <w:tcPr>
            <w:tcW w:w="711" w:type="pct"/>
          </w:tcPr>
          <w:p w14:paraId="4BB05F77"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25(67,5%)</w:t>
            </w:r>
          </w:p>
        </w:tc>
        <w:tc>
          <w:tcPr>
            <w:tcW w:w="711" w:type="pct"/>
          </w:tcPr>
          <w:p w14:paraId="484B2E66"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17(94,4%)</w:t>
            </w:r>
          </w:p>
        </w:tc>
        <w:tc>
          <w:tcPr>
            <w:tcW w:w="641" w:type="pct"/>
          </w:tcPr>
          <w:p w14:paraId="073FD48D"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10(27%)</w:t>
            </w:r>
          </w:p>
        </w:tc>
        <w:tc>
          <w:tcPr>
            <w:tcW w:w="308" w:type="pct"/>
          </w:tcPr>
          <w:p w14:paraId="36C9E25D"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0</w:t>
            </w:r>
          </w:p>
        </w:tc>
      </w:tr>
      <w:tr w:rsidR="009F3BD1" w:rsidRPr="00CD52FD" w14:paraId="0033F5B8" w14:textId="77777777" w:rsidTr="006C735A">
        <w:tc>
          <w:tcPr>
            <w:tcW w:w="1346" w:type="pct"/>
          </w:tcPr>
          <w:p w14:paraId="1D543451"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Тревожность</w:t>
            </w:r>
          </w:p>
        </w:tc>
        <w:tc>
          <w:tcPr>
            <w:tcW w:w="641" w:type="pct"/>
          </w:tcPr>
          <w:p w14:paraId="4267B967"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5(13,5%)</w:t>
            </w:r>
          </w:p>
        </w:tc>
        <w:tc>
          <w:tcPr>
            <w:tcW w:w="641" w:type="pct"/>
          </w:tcPr>
          <w:p w14:paraId="2040842E"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5(27,7%)</w:t>
            </w:r>
          </w:p>
        </w:tc>
        <w:tc>
          <w:tcPr>
            <w:tcW w:w="711" w:type="pct"/>
          </w:tcPr>
          <w:p w14:paraId="661B916E"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23(62,1%)</w:t>
            </w:r>
          </w:p>
        </w:tc>
        <w:tc>
          <w:tcPr>
            <w:tcW w:w="711" w:type="pct"/>
          </w:tcPr>
          <w:p w14:paraId="4AA7160E"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13(72,2%)</w:t>
            </w:r>
          </w:p>
        </w:tc>
        <w:tc>
          <w:tcPr>
            <w:tcW w:w="641" w:type="pct"/>
          </w:tcPr>
          <w:p w14:paraId="070602E9"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9(24,3%)</w:t>
            </w:r>
          </w:p>
        </w:tc>
        <w:tc>
          <w:tcPr>
            <w:tcW w:w="308" w:type="pct"/>
          </w:tcPr>
          <w:p w14:paraId="0CAA66BC"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0</w:t>
            </w:r>
          </w:p>
        </w:tc>
      </w:tr>
      <w:tr w:rsidR="009F3BD1" w:rsidRPr="00CD52FD" w14:paraId="6651B28D" w14:textId="77777777" w:rsidTr="006C735A">
        <w:tc>
          <w:tcPr>
            <w:tcW w:w="1346" w:type="pct"/>
          </w:tcPr>
          <w:p w14:paraId="646648E4"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Головная боль</w:t>
            </w:r>
          </w:p>
        </w:tc>
        <w:tc>
          <w:tcPr>
            <w:tcW w:w="641" w:type="pct"/>
          </w:tcPr>
          <w:p w14:paraId="430743BF"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2(5,4%)</w:t>
            </w:r>
          </w:p>
        </w:tc>
        <w:tc>
          <w:tcPr>
            <w:tcW w:w="641" w:type="pct"/>
          </w:tcPr>
          <w:p w14:paraId="08BED45A"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6(33,3%)</w:t>
            </w:r>
          </w:p>
        </w:tc>
        <w:tc>
          <w:tcPr>
            <w:tcW w:w="711" w:type="pct"/>
          </w:tcPr>
          <w:p w14:paraId="1BE52BA2"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26(70,3%)</w:t>
            </w:r>
          </w:p>
        </w:tc>
        <w:tc>
          <w:tcPr>
            <w:tcW w:w="711" w:type="pct"/>
          </w:tcPr>
          <w:p w14:paraId="41C79C66"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12(66,6%)</w:t>
            </w:r>
          </w:p>
        </w:tc>
        <w:tc>
          <w:tcPr>
            <w:tcW w:w="641" w:type="pct"/>
          </w:tcPr>
          <w:p w14:paraId="21C7D7E3"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9(24,3%)</w:t>
            </w:r>
          </w:p>
        </w:tc>
        <w:tc>
          <w:tcPr>
            <w:tcW w:w="308" w:type="pct"/>
          </w:tcPr>
          <w:p w14:paraId="0AB1E959"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0</w:t>
            </w:r>
          </w:p>
        </w:tc>
      </w:tr>
      <w:tr w:rsidR="009F3BD1" w:rsidRPr="00CD52FD" w14:paraId="35D2C105" w14:textId="77777777" w:rsidTr="006C735A">
        <w:tc>
          <w:tcPr>
            <w:tcW w:w="1346" w:type="pct"/>
          </w:tcPr>
          <w:p w14:paraId="673BC667"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Усталость</w:t>
            </w:r>
          </w:p>
        </w:tc>
        <w:tc>
          <w:tcPr>
            <w:tcW w:w="641" w:type="pct"/>
          </w:tcPr>
          <w:p w14:paraId="7B374EEE"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3(8,1%)</w:t>
            </w:r>
          </w:p>
        </w:tc>
        <w:tc>
          <w:tcPr>
            <w:tcW w:w="641" w:type="pct"/>
          </w:tcPr>
          <w:p w14:paraId="13DC07C9"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5(27,7%)</w:t>
            </w:r>
          </w:p>
        </w:tc>
        <w:tc>
          <w:tcPr>
            <w:tcW w:w="711" w:type="pct"/>
          </w:tcPr>
          <w:p w14:paraId="7B235F4A"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24(64,8%)</w:t>
            </w:r>
          </w:p>
        </w:tc>
        <w:tc>
          <w:tcPr>
            <w:tcW w:w="711" w:type="pct"/>
          </w:tcPr>
          <w:p w14:paraId="170B9FB5"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13(72,2%)</w:t>
            </w:r>
          </w:p>
        </w:tc>
        <w:tc>
          <w:tcPr>
            <w:tcW w:w="641" w:type="pct"/>
          </w:tcPr>
          <w:p w14:paraId="33FAA61E"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10(27%)</w:t>
            </w:r>
          </w:p>
        </w:tc>
        <w:tc>
          <w:tcPr>
            <w:tcW w:w="308" w:type="pct"/>
          </w:tcPr>
          <w:p w14:paraId="31C38BB1"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0</w:t>
            </w:r>
          </w:p>
        </w:tc>
      </w:tr>
      <w:tr w:rsidR="009F3BD1" w:rsidRPr="00CD52FD" w14:paraId="29F8E23F" w14:textId="77777777" w:rsidTr="006C735A">
        <w:tc>
          <w:tcPr>
            <w:tcW w:w="1346" w:type="pct"/>
          </w:tcPr>
          <w:p w14:paraId="7143ADBC"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Рассеянность</w:t>
            </w:r>
          </w:p>
        </w:tc>
        <w:tc>
          <w:tcPr>
            <w:tcW w:w="641" w:type="pct"/>
          </w:tcPr>
          <w:p w14:paraId="4C6D0C18"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2(5,4%)</w:t>
            </w:r>
          </w:p>
        </w:tc>
        <w:tc>
          <w:tcPr>
            <w:tcW w:w="641" w:type="pct"/>
          </w:tcPr>
          <w:p w14:paraId="0E75C5DF"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5(27,7%)</w:t>
            </w:r>
          </w:p>
        </w:tc>
        <w:tc>
          <w:tcPr>
            <w:tcW w:w="711" w:type="pct"/>
          </w:tcPr>
          <w:p w14:paraId="5734A49F"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26(70,3%)</w:t>
            </w:r>
          </w:p>
        </w:tc>
        <w:tc>
          <w:tcPr>
            <w:tcW w:w="711" w:type="pct"/>
          </w:tcPr>
          <w:p w14:paraId="199C52D6"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13(72,2%)</w:t>
            </w:r>
          </w:p>
        </w:tc>
        <w:tc>
          <w:tcPr>
            <w:tcW w:w="641" w:type="pct"/>
          </w:tcPr>
          <w:p w14:paraId="1D22A4E0"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9(24,3%)</w:t>
            </w:r>
          </w:p>
        </w:tc>
        <w:tc>
          <w:tcPr>
            <w:tcW w:w="308" w:type="pct"/>
          </w:tcPr>
          <w:p w14:paraId="551BE3A4" w14:textId="77777777" w:rsidR="009F3BD1" w:rsidRPr="00CD52FD" w:rsidRDefault="009F3BD1" w:rsidP="006C735A">
            <w:pPr>
              <w:jc w:val="both"/>
              <w:rPr>
                <w:rFonts w:ascii="Times New Roman" w:hAnsi="Times New Roman" w:cs="Times New Roman"/>
                <w:sz w:val="24"/>
                <w:szCs w:val="24"/>
              </w:rPr>
            </w:pPr>
            <w:r w:rsidRPr="00CD52FD">
              <w:rPr>
                <w:rFonts w:ascii="Times New Roman" w:hAnsi="Times New Roman" w:cs="Times New Roman"/>
                <w:sz w:val="24"/>
                <w:szCs w:val="24"/>
              </w:rPr>
              <w:t>0</w:t>
            </w:r>
          </w:p>
        </w:tc>
      </w:tr>
    </w:tbl>
    <w:p w14:paraId="4C0C524B" w14:textId="77777777" w:rsidR="009F3BD1" w:rsidRPr="00EC38CC" w:rsidRDefault="009F3BD1" w:rsidP="009F3BD1">
      <w:pPr>
        <w:spacing w:after="0" w:line="240" w:lineRule="auto"/>
        <w:ind w:firstLine="567"/>
        <w:jc w:val="both"/>
        <w:rPr>
          <w:rFonts w:ascii="Times New Roman" w:hAnsi="Times New Roman" w:cs="Times New Roman"/>
          <w:sz w:val="28"/>
          <w:szCs w:val="28"/>
        </w:rPr>
      </w:pPr>
    </w:p>
    <w:p w14:paraId="0FBDE50F" w14:textId="77777777" w:rsidR="009F3BD1" w:rsidRPr="00EC38CC" w:rsidRDefault="009F3BD1" w:rsidP="009F3BD1">
      <w:pPr>
        <w:spacing w:after="0" w:line="240" w:lineRule="auto"/>
        <w:jc w:val="center"/>
        <w:rPr>
          <w:rFonts w:ascii="Times New Roman" w:hAnsi="Times New Roman" w:cs="Times New Roman"/>
          <w:sz w:val="28"/>
          <w:szCs w:val="28"/>
        </w:rPr>
      </w:pPr>
      <w:r w:rsidRPr="00EC38CC">
        <w:rPr>
          <w:rFonts w:ascii="Times New Roman" w:hAnsi="Times New Roman" w:cs="Times New Roman"/>
          <w:sz w:val="28"/>
          <w:szCs w:val="28"/>
        </w:rPr>
        <w:t>Виды деятельности, которые приходится ограничивать пациентам с сезонным аллергическим ринитом в зависимости от полового признака (n=55)</w:t>
      </w:r>
    </w:p>
    <w:p w14:paraId="030933D0" w14:textId="77777777" w:rsidR="009F3BD1" w:rsidRPr="00EC38CC" w:rsidRDefault="009F3BD1" w:rsidP="009F3BD1">
      <w:pPr>
        <w:spacing w:after="0" w:line="240" w:lineRule="auto"/>
        <w:jc w:val="both"/>
        <w:rPr>
          <w:rFonts w:ascii="Times New Roman" w:hAnsi="Times New Roman" w:cs="Times New Roman"/>
          <w:sz w:val="28"/>
          <w:szCs w:val="28"/>
        </w:rPr>
      </w:pPr>
    </w:p>
    <w:tbl>
      <w:tblPr>
        <w:tblStyle w:val="af3"/>
        <w:tblW w:w="5000" w:type="pct"/>
        <w:tblInd w:w="-5" w:type="dxa"/>
        <w:tblLook w:val="04A0" w:firstRow="1" w:lastRow="0" w:firstColumn="1" w:lastColumn="0" w:noHBand="0" w:noVBand="1"/>
      </w:tblPr>
      <w:tblGrid>
        <w:gridCol w:w="4334"/>
        <w:gridCol w:w="2671"/>
        <w:gridCol w:w="2623"/>
      </w:tblGrid>
      <w:tr w:rsidR="009F3BD1" w:rsidRPr="00EB7966" w14:paraId="7CF59937" w14:textId="77777777" w:rsidTr="006C735A">
        <w:tc>
          <w:tcPr>
            <w:tcW w:w="2251" w:type="pct"/>
            <w:vMerge w:val="restart"/>
          </w:tcPr>
          <w:p w14:paraId="1315715B"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Показатель</w:t>
            </w:r>
          </w:p>
        </w:tc>
        <w:tc>
          <w:tcPr>
            <w:tcW w:w="2749" w:type="pct"/>
            <w:gridSpan w:val="2"/>
          </w:tcPr>
          <w:p w14:paraId="38AA6BC8"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Абс, (%)</w:t>
            </w:r>
          </w:p>
        </w:tc>
      </w:tr>
      <w:tr w:rsidR="009F3BD1" w:rsidRPr="00EB7966" w14:paraId="4FB3707A" w14:textId="77777777" w:rsidTr="006C735A">
        <w:tc>
          <w:tcPr>
            <w:tcW w:w="2251" w:type="pct"/>
            <w:vMerge/>
          </w:tcPr>
          <w:p w14:paraId="7503D0B5" w14:textId="77777777" w:rsidR="009F3BD1" w:rsidRPr="00EB7966" w:rsidRDefault="009F3BD1" w:rsidP="006C735A">
            <w:pPr>
              <w:jc w:val="both"/>
              <w:rPr>
                <w:rFonts w:ascii="Times New Roman" w:hAnsi="Times New Roman" w:cs="Times New Roman"/>
                <w:sz w:val="24"/>
                <w:szCs w:val="24"/>
              </w:rPr>
            </w:pPr>
          </w:p>
        </w:tc>
        <w:tc>
          <w:tcPr>
            <w:tcW w:w="1387" w:type="pct"/>
          </w:tcPr>
          <w:p w14:paraId="2E6AA82A"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мужчины</w:t>
            </w:r>
          </w:p>
        </w:tc>
        <w:tc>
          <w:tcPr>
            <w:tcW w:w="1362" w:type="pct"/>
          </w:tcPr>
          <w:p w14:paraId="4CC22933"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женщины</w:t>
            </w:r>
          </w:p>
        </w:tc>
      </w:tr>
      <w:tr w:rsidR="009F3BD1" w:rsidRPr="00EB7966" w14:paraId="51767A03" w14:textId="77777777" w:rsidTr="006C735A">
        <w:tc>
          <w:tcPr>
            <w:tcW w:w="2251" w:type="pct"/>
          </w:tcPr>
          <w:p w14:paraId="31EEE830"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Поездки за город</w:t>
            </w:r>
          </w:p>
        </w:tc>
        <w:tc>
          <w:tcPr>
            <w:tcW w:w="1387" w:type="pct"/>
          </w:tcPr>
          <w:p w14:paraId="354E5A8C"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15 (%)</w:t>
            </w:r>
          </w:p>
        </w:tc>
        <w:tc>
          <w:tcPr>
            <w:tcW w:w="1362" w:type="pct"/>
          </w:tcPr>
          <w:p w14:paraId="19F46FEC"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18 (%)</w:t>
            </w:r>
          </w:p>
        </w:tc>
      </w:tr>
      <w:tr w:rsidR="009F3BD1" w:rsidRPr="00EB7966" w14:paraId="7EE2A928" w14:textId="77777777" w:rsidTr="006C735A">
        <w:tc>
          <w:tcPr>
            <w:tcW w:w="2251" w:type="pct"/>
          </w:tcPr>
          <w:p w14:paraId="4933B7A8"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Физические упражнения</w:t>
            </w:r>
          </w:p>
        </w:tc>
        <w:tc>
          <w:tcPr>
            <w:tcW w:w="1387" w:type="pct"/>
          </w:tcPr>
          <w:p w14:paraId="60197774"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16 (%)</w:t>
            </w:r>
          </w:p>
        </w:tc>
        <w:tc>
          <w:tcPr>
            <w:tcW w:w="1362" w:type="pct"/>
          </w:tcPr>
          <w:p w14:paraId="4C088BA9"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15 (%)</w:t>
            </w:r>
          </w:p>
        </w:tc>
      </w:tr>
      <w:tr w:rsidR="009F3BD1" w:rsidRPr="00EB7966" w14:paraId="0EB2FB73" w14:textId="77777777" w:rsidTr="006C735A">
        <w:tc>
          <w:tcPr>
            <w:tcW w:w="2251" w:type="pct"/>
          </w:tcPr>
          <w:p w14:paraId="588070C5"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Прогулки пешком</w:t>
            </w:r>
          </w:p>
        </w:tc>
        <w:tc>
          <w:tcPr>
            <w:tcW w:w="1387" w:type="pct"/>
          </w:tcPr>
          <w:p w14:paraId="52731E8A"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17 (%)</w:t>
            </w:r>
          </w:p>
        </w:tc>
        <w:tc>
          <w:tcPr>
            <w:tcW w:w="1362" w:type="pct"/>
          </w:tcPr>
          <w:p w14:paraId="25678055"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27 (%)</w:t>
            </w:r>
          </w:p>
        </w:tc>
      </w:tr>
      <w:tr w:rsidR="009F3BD1" w:rsidRPr="00EB7966" w14:paraId="34FBA89A" w14:textId="77777777" w:rsidTr="006C735A">
        <w:tc>
          <w:tcPr>
            <w:tcW w:w="2251" w:type="pct"/>
          </w:tcPr>
          <w:p w14:paraId="03651198"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Работа</w:t>
            </w:r>
          </w:p>
        </w:tc>
        <w:tc>
          <w:tcPr>
            <w:tcW w:w="1387" w:type="pct"/>
          </w:tcPr>
          <w:p w14:paraId="5760AB24"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20 (%)</w:t>
            </w:r>
          </w:p>
        </w:tc>
        <w:tc>
          <w:tcPr>
            <w:tcW w:w="1362" w:type="pct"/>
          </w:tcPr>
          <w:p w14:paraId="32926363"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19 (%)</w:t>
            </w:r>
          </w:p>
        </w:tc>
      </w:tr>
      <w:tr w:rsidR="009F3BD1" w:rsidRPr="00EB7966" w14:paraId="51B88FBC" w14:textId="77777777" w:rsidTr="006C735A">
        <w:tc>
          <w:tcPr>
            <w:tcW w:w="2251" w:type="pct"/>
          </w:tcPr>
          <w:p w14:paraId="357FFB68"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Пребывание на открытом воздухе</w:t>
            </w:r>
          </w:p>
        </w:tc>
        <w:tc>
          <w:tcPr>
            <w:tcW w:w="1387" w:type="pct"/>
          </w:tcPr>
          <w:p w14:paraId="09DC87FF"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14 (53,8%)</w:t>
            </w:r>
          </w:p>
        </w:tc>
        <w:tc>
          <w:tcPr>
            <w:tcW w:w="1362" w:type="pct"/>
          </w:tcPr>
          <w:p w14:paraId="6C59F27D"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12 (%)</w:t>
            </w:r>
          </w:p>
        </w:tc>
      </w:tr>
      <w:tr w:rsidR="009F3BD1" w:rsidRPr="00EB7966" w14:paraId="50AC5754" w14:textId="77777777" w:rsidTr="006C735A">
        <w:tc>
          <w:tcPr>
            <w:tcW w:w="2251" w:type="pct"/>
          </w:tcPr>
          <w:p w14:paraId="306EEF8C"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 xml:space="preserve">Всего </w:t>
            </w:r>
          </w:p>
        </w:tc>
        <w:tc>
          <w:tcPr>
            <w:tcW w:w="1387" w:type="pct"/>
          </w:tcPr>
          <w:p w14:paraId="2AE895F1"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 xml:space="preserve">26 (100%) </w:t>
            </w:r>
          </w:p>
        </w:tc>
        <w:tc>
          <w:tcPr>
            <w:tcW w:w="1362" w:type="pct"/>
          </w:tcPr>
          <w:p w14:paraId="37CD0E5A"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 xml:space="preserve">29 (100%) </w:t>
            </w:r>
          </w:p>
        </w:tc>
      </w:tr>
    </w:tbl>
    <w:p w14:paraId="7E9F1A09" w14:textId="77777777" w:rsidR="009F3BD1" w:rsidRPr="00EC38CC" w:rsidRDefault="009F3BD1" w:rsidP="009F3BD1">
      <w:pPr>
        <w:spacing w:after="0" w:line="240" w:lineRule="auto"/>
        <w:ind w:firstLine="567"/>
        <w:jc w:val="both"/>
        <w:rPr>
          <w:rFonts w:ascii="Times New Roman" w:hAnsi="Times New Roman" w:cs="Times New Roman"/>
          <w:sz w:val="28"/>
          <w:szCs w:val="28"/>
          <w:highlight w:val="yellow"/>
        </w:rPr>
      </w:pPr>
    </w:p>
    <w:p w14:paraId="38B6DA62" w14:textId="77777777" w:rsidR="009F3BD1" w:rsidRPr="00EC38CC" w:rsidRDefault="009F3BD1" w:rsidP="009F3BD1">
      <w:pPr>
        <w:spacing w:after="0" w:line="240" w:lineRule="auto"/>
        <w:jc w:val="center"/>
        <w:rPr>
          <w:rFonts w:ascii="Times New Roman" w:hAnsi="Times New Roman" w:cs="Times New Roman"/>
          <w:sz w:val="28"/>
          <w:szCs w:val="28"/>
        </w:rPr>
      </w:pPr>
      <w:r w:rsidRPr="00EC38CC">
        <w:rPr>
          <w:rFonts w:ascii="Times New Roman" w:hAnsi="Times New Roman" w:cs="Times New Roman"/>
          <w:sz w:val="28"/>
          <w:szCs w:val="28"/>
        </w:rPr>
        <w:t>Виды деятельности, которые приходится ограничивать пациентам с сезонным аллергическим ринитом в разных возрастных группах (n=55)</w:t>
      </w:r>
    </w:p>
    <w:p w14:paraId="59E4B90B" w14:textId="77777777" w:rsidR="009F3BD1" w:rsidRPr="00EC38CC" w:rsidRDefault="009F3BD1" w:rsidP="009F3BD1">
      <w:pPr>
        <w:spacing w:after="0" w:line="240" w:lineRule="auto"/>
        <w:jc w:val="both"/>
        <w:rPr>
          <w:rFonts w:ascii="Times New Roman" w:hAnsi="Times New Roman" w:cs="Times New Roman"/>
          <w:sz w:val="28"/>
          <w:szCs w:val="28"/>
        </w:rPr>
      </w:pPr>
    </w:p>
    <w:tbl>
      <w:tblPr>
        <w:tblStyle w:val="af3"/>
        <w:tblW w:w="5000" w:type="pct"/>
        <w:tblInd w:w="-5" w:type="dxa"/>
        <w:tblLook w:val="04A0" w:firstRow="1" w:lastRow="0" w:firstColumn="1" w:lastColumn="0" w:noHBand="0" w:noVBand="1"/>
      </w:tblPr>
      <w:tblGrid>
        <w:gridCol w:w="4334"/>
        <w:gridCol w:w="2671"/>
        <w:gridCol w:w="2623"/>
      </w:tblGrid>
      <w:tr w:rsidR="009F3BD1" w:rsidRPr="00EB7966" w14:paraId="2AAE2652" w14:textId="77777777" w:rsidTr="006C735A">
        <w:tc>
          <w:tcPr>
            <w:tcW w:w="2251" w:type="pct"/>
            <w:vMerge w:val="restart"/>
          </w:tcPr>
          <w:p w14:paraId="369BB3DD"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Показатель</w:t>
            </w:r>
          </w:p>
        </w:tc>
        <w:tc>
          <w:tcPr>
            <w:tcW w:w="2749" w:type="pct"/>
            <w:gridSpan w:val="2"/>
          </w:tcPr>
          <w:p w14:paraId="0E4FE919"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Абс, (%)</w:t>
            </w:r>
          </w:p>
        </w:tc>
      </w:tr>
      <w:tr w:rsidR="009F3BD1" w:rsidRPr="00EB7966" w14:paraId="3F1B8EE1" w14:textId="77777777" w:rsidTr="006C735A">
        <w:tc>
          <w:tcPr>
            <w:tcW w:w="2251" w:type="pct"/>
            <w:vMerge/>
          </w:tcPr>
          <w:p w14:paraId="7600E124" w14:textId="77777777" w:rsidR="009F3BD1" w:rsidRPr="00EB7966" w:rsidRDefault="009F3BD1" w:rsidP="006C735A">
            <w:pPr>
              <w:jc w:val="both"/>
              <w:rPr>
                <w:rFonts w:ascii="Times New Roman" w:hAnsi="Times New Roman" w:cs="Times New Roman"/>
                <w:sz w:val="24"/>
                <w:szCs w:val="24"/>
              </w:rPr>
            </w:pPr>
          </w:p>
        </w:tc>
        <w:tc>
          <w:tcPr>
            <w:tcW w:w="1387" w:type="pct"/>
          </w:tcPr>
          <w:p w14:paraId="1ACA1B9D"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18-39 лет</w:t>
            </w:r>
          </w:p>
        </w:tc>
        <w:tc>
          <w:tcPr>
            <w:tcW w:w="1362" w:type="pct"/>
          </w:tcPr>
          <w:p w14:paraId="5692217D"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40-60 лет</w:t>
            </w:r>
          </w:p>
        </w:tc>
      </w:tr>
      <w:tr w:rsidR="009F3BD1" w:rsidRPr="00EB7966" w14:paraId="7B689957" w14:textId="77777777" w:rsidTr="006C735A">
        <w:tc>
          <w:tcPr>
            <w:tcW w:w="2251" w:type="pct"/>
          </w:tcPr>
          <w:p w14:paraId="1F4518BE"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Поездки за город</w:t>
            </w:r>
          </w:p>
        </w:tc>
        <w:tc>
          <w:tcPr>
            <w:tcW w:w="1387" w:type="pct"/>
          </w:tcPr>
          <w:p w14:paraId="38D3040B"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18 (53%)</w:t>
            </w:r>
          </w:p>
        </w:tc>
        <w:tc>
          <w:tcPr>
            <w:tcW w:w="1362" w:type="pct"/>
          </w:tcPr>
          <w:p w14:paraId="124EFDBB"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10 (47,6%)</w:t>
            </w:r>
          </w:p>
        </w:tc>
      </w:tr>
      <w:tr w:rsidR="009F3BD1" w:rsidRPr="00EB7966" w14:paraId="1FFCA389" w14:textId="77777777" w:rsidTr="006C735A">
        <w:tc>
          <w:tcPr>
            <w:tcW w:w="2251" w:type="pct"/>
          </w:tcPr>
          <w:p w14:paraId="76CF9776"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Физические упражнения</w:t>
            </w:r>
          </w:p>
        </w:tc>
        <w:tc>
          <w:tcPr>
            <w:tcW w:w="1387" w:type="pct"/>
          </w:tcPr>
          <w:p w14:paraId="14F2899F"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21 (61,7%)</w:t>
            </w:r>
          </w:p>
        </w:tc>
        <w:tc>
          <w:tcPr>
            <w:tcW w:w="1362" w:type="pct"/>
          </w:tcPr>
          <w:p w14:paraId="37966710"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 xml:space="preserve">8 (38%) </w:t>
            </w:r>
          </w:p>
        </w:tc>
      </w:tr>
      <w:tr w:rsidR="009F3BD1" w:rsidRPr="00EB7966" w14:paraId="40F4E5FC" w14:textId="77777777" w:rsidTr="006C735A">
        <w:tc>
          <w:tcPr>
            <w:tcW w:w="2251" w:type="pct"/>
          </w:tcPr>
          <w:p w14:paraId="3A1A86A0"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Прогулки пешком</w:t>
            </w:r>
          </w:p>
        </w:tc>
        <w:tc>
          <w:tcPr>
            <w:tcW w:w="1387" w:type="pct"/>
          </w:tcPr>
          <w:p w14:paraId="26AB8962"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26 (76,5%)</w:t>
            </w:r>
          </w:p>
        </w:tc>
        <w:tc>
          <w:tcPr>
            <w:tcW w:w="1362" w:type="pct"/>
          </w:tcPr>
          <w:p w14:paraId="1DC2459A"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 xml:space="preserve">16 (76,1%) </w:t>
            </w:r>
          </w:p>
        </w:tc>
      </w:tr>
      <w:tr w:rsidR="009F3BD1" w:rsidRPr="00EB7966" w14:paraId="3E84B8A9" w14:textId="77777777" w:rsidTr="006C735A">
        <w:tc>
          <w:tcPr>
            <w:tcW w:w="2251" w:type="pct"/>
          </w:tcPr>
          <w:p w14:paraId="0E27C180"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Работа</w:t>
            </w:r>
          </w:p>
        </w:tc>
        <w:tc>
          <w:tcPr>
            <w:tcW w:w="1387" w:type="pct"/>
          </w:tcPr>
          <w:p w14:paraId="263713E2"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24 (70,5%)</w:t>
            </w:r>
          </w:p>
        </w:tc>
        <w:tc>
          <w:tcPr>
            <w:tcW w:w="1362" w:type="pct"/>
          </w:tcPr>
          <w:p w14:paraId="2A028A69"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14 (66,6%)</w:t>
            </w:r>
          </w:p>
        </w:tc>
      </w:tr>
      <w:tr w:rsidR="009F3BD1" w:rsidRPr="00EB7966" w14:paraId="69DC79D3" w14:textId="77777777" w:rsidTr="006C735A">
        <w:tc>
          <w:tcPr>
            <w:tcW w:w="2251" w:type="pct"/>
          </w:tcPr>
          <w:p w14:paraId="04ACEF0F"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Пребывание на открытом воздухе</w:t>
            </w:r>
          </w:p>
        </w:tc>
        <w:tc>
          <w:tcPr>
            <w:tcW w:w="1387" w:type="pct"/>
          </w:tcPr>
          <w:p w14:paraId="795BC6BF"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19 (55,9%)</w:t>
            </w:r>
          </w:p>
        </w:tc>
        <w:tc>
          <w:tcPr>
            <w:tcW w:w="1362" w:type="pct"/>
          </w:tcPr>
          <w:p w14:paraId="50E48559"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7 (33,3%)</w:t>
            </w:r>
          </w:p>
        </w:tc>
      </w:tr>
      <w:tr w:rsidR="009F3BD1" w:rsidRPr="00EB7966" w14:paraId="17400576" w14:textId="77777777" w:rsidTr="006C735A">
        <w:tc>
          <w:tcPr>
            <w:tcW w:w="2251" w:type="pct"/>
          </w:tcPr>
          <w:p w14:paraId="4A3A9354"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 xml:space="preserve">Всего </w:t>
            </w:r>
          </w:p>
        </w:tc>
        <w:tc>
          <w:tcPr>
            <w:tcW w:w="1387" w:type="pct"/>
          </w:tcPr>
          <w:p w14:paraId="4432EB23"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34 (100%)</w:t>
            </w:r>
          </w:p>
        </w:tc>
        <w:tc>
          <w:tcPr>
            <w:tcW w:w="1362" w:type="pct"/>
          </w:tcPr>
          <w:p w14:paraId="70736D96"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21 (100%)</w:t>
            </w:r>
          </w:p>
        </w:tc>
      </w:tr>
    </w:tbl>
    <w:p w14:paraId="0E1E3DFC" w14:textId="77777777" w:rsidR="009F3BD1" w:rsidRPr="00EC38CC" w:rsidRDefault="009F3BD1" w:rsidP="009F3BD1">
      <w:pPr>
        <w:spacing w:after="0" w:line="240" w:lineRule="auto"/>
        <w:ind w:firstLine="567"/>
        <w:jc w:val="both"/>
        <w:rPr>
          <w:rFonts w:ascii="Times New Roman" w:hAnsi="Times New Roman" w:cs="Times New Roman"/>
          <w:sz w:val="28"/>
          <w:szCs w:val="28"/>
          <w:highlight w:val="yellow"/>
        </w:rPr>
      </w:pPr>
    </w:p>
    <w:p w14:paraId="393CB647" w14:textId="77777777" w:rsidR="009F3BD1" w:rsidRPr="00EC38CC" w:rsidRDefault="009F3BD1" w:rsidP="009F3BD1">
      <w:pPr>
        <w:spacing w:after="0" w:line="240" w:lineRule="auto"/>
        <w:jc w:val="center"/>
        <w:rPr>
          <w:rFonts w:ascii="Times New Roman" w:hAnsi="Times New Roman" w:cs="Times New Roman"/>
          <w:sz w:val="28"/>
          <w:szCs w:val="28"/>
        </w:rPr>
      </w:pPr>
      <w:r w:rsidRPr="00EC38CC">
        <w:rPr>
          <w:rFonts w:ascii="Times New Roman" w:hAnsi="Times New Roman" w:cs="Times New Roman"/>
          <w:sz w:val="28"/>
          <w:szCs w:val="28"/>
        </w:rPr>
        <w:t>Характеристика основных видов деятельности, которые приходится ограничивать пациентам с сезонным аллергическим ринитом по степени тяжести (n=55)</w:t>
      </w:r>
    </w:p>
    <w:p w14:paraId="69299171" w14:textId="77777777" w:rsidR="009F3BD1" w:rsidRPr="00EC38CC" w:rsidRDefault="009F3BD1" w:rsidP="009F3BD1">
      <w:pPr>
        <w:spacing w:after="0" w:line="240" w:lineRule="auto"/>
        <w:jc w:val="both"/>
        <w:rPr>
          <w:rFonts w:ascii="Times New Roman" w:hAnsi="Times New Roman" w:cs="Times New Roman"/>
          <w:sz w:val="28"/>
          <w:szCs w:val="28"/>
        </w:rPr>
      </w:pPr>
    </w:p>
    <w:tbl>
      <w:tblPr>
        <w:tblStyle w:val="af3"/>
        <w:tblW w:w="5000" w:type="pct"/>
        <w:tblInd w:w="-5" w:type="dxa"/>
        <w:tblLook w:val="04A0" w:firstRow="1" w:lastRow="0" w:firstColumn="1" w:lastColumn="0" w:noHBand="0" w:noVBand="1"/>
      </w:tblPr>
      <w:tblGrid>
        <w:gridCol w:w="3573"/>
        <w:gridCol w:w="1515"/>
        <w:gridCol w:w="1514"/>
        <w:gridCol w:w="1514"/>
        <w:gridCol w:w="1512"/>
      </w:tblGrid>
      <w:tr w:rsidR="009F3BD1" w:rsidRPr="00EB7966" w14:paraId="038F3A44" w14:textId="77777777" w:rsidTr="006C735A">
        <w:tc>
          <w:tcPr>
            <w:tcW w:w="1856" w:type="pct"/>
            <w:vMerge w:val="restart"/>
          </w:tcPr>
          <w:p w14:paraId="7ABD791C"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Показатель</w:t>
            </w:r>
          </w:p>
        </w:tc>
        <w:tc>
          <w:tcPr>
            <w:tcW w:w="3144" w:type="pct"/>
            <w:gridSpan w:val="4"/>
            <w:vAlign w:val="center"/>
          </w:tcPr>
          <w:p w14:paraId="51DC17F0"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Степень тяжести, абс, (%)</w:t>
            </w:r>
          </w:p>
        </w:tc>
      </w:tr>
      <w:tr w:rsidR="009F3BD1" w:rsidRPr="00EB7966" w14:paraId="259DA247" w14:textId="77777777" w:rsidTr="006C735A">
        <w:tc>
          <w:tcPr>
            <w:tcW w:w="1856" w:type="pct"/>
            <w:vMerge/>
          </w:tcPr>
          <w:p w14:paraId="28BB01A5" w14:textId="77777777" w:rsidR="009F3BD1" w:rsidRPr="00EB7966" w:rsidRDefault="009F3BD1" w:rsidP="006C735A">
            <w:pPr>
              <w:jc w:val="both"/>
              <w:rPr>
                <w:rFonts w:ascii="Times New Roman" w:hAnsi="Times New Roman" w:cs="Times New Roman"/>
                <w:sz w:val="24"/>
                <w:szCs w:val="24"/>
              </w:rPr>
            </w:pPr>
          </w:p>
        </w:tc>
        <w:tc>
          <w:tcPr>
            <w:tcW w:w="787" w:type="pct"/>
            <w:vAlign w:val="center"/>
          </w:tcPr>
          <w:p w14:paraId="293AE099"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Нет симптома</w:t>
            </w:r>
          </w:p>
        </w:tc>
        <w:tc>
          <w:tcPr>
            <w:tcW w:w="786" w:type="pct"/>
            <w:vAlign w:val="center"/>
          </w:tcPr>
          <w:p w14:paraId="52C71643"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 xml:space="preserve">Легкая </w:t>
            </w:r>
          </w:p>
        </w:tc>
        <w:tc>
          <w:tcPr>
            <w:tcW w:w="786" w:type="pct"/>
            <w:vAlign w:val="center"/>
          </w:tcPr>
          <w:p w14:paraId="3AADE986"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 xml:space="preserve">Средняя </w:t>
            </w:r>
          </w:p>
        </w:tc>
        <w:tc>
          <w:tcPr>
            <w:tcW w:w="785" w:type="pct"/>
            <w:vAlign w:val="center"/>
          </w:tcPr>
          <w:p w14:paraId="3CE483B6"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 xml:space="preserve">Тяжелая </w:t>
            </w:r>
          </w:p>
        </w:tc>
      </w:tr>
      <w:tr w:rsidR="009F3BD1" w:rsidRPr="00EB7966" w14:paraId="13CAE29F" w14:textId="77777777" w:rsidTr="006C735A">
        <w:tc>
          <w:tcPr>
            <w:tcW w:w="1856" w:type="pct"/>
          </w:tcPr>
          <w:p w14:paraId="2B674A5F"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Поездки за город</w:t>
            </w:r>
          </w:p>
        </w:tc>
        <w:tc>
          <w:tcPr>
            <w:tcW w:w="787" w:type="pct"/>
          </w:tcPr>
          <w:p w14:paraId="349CEA6A"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22 (40%)</w:t>
            </w:r>
          </w:p>
        </w:tc>
        <w:tc>
          <w:tcPr>
            <w:tcW w:w="786" w:type="pct"/>
          </w:tcPr>
          <w:p w14:paraId="02D9BE6D"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9 (16,3%)</w:t>
            </w:r>
          </w:p>
        </w:tc>
        <w:tc>
          <w:tcPr>
            <w:tcW w:w="786" w:type="pct"/>
          </w:tcPr>
          <w:p w14:paraId="766B0DDF"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16 (29%)</w:t>
            </w:r>
          </w:p>
        </w:tc>
        <w:tc>
          <w:tcPr>
            <w:tcW w:w="785" w:type="pct"/>
          </w:tcPr>
          <w:p w14:paraId="04001FA6"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8 (14,5%)</w:t>
            </w:r>
          </w:p>
        </w:tc>
      </w:tr>
      <w:tr w:rsidR="009F3BD1" w:rsidRPr="00EB7966" w14:paraId="55DB1A2E" w14:textId="77777777" w:rsidTr="006C735A">
        <w:tc>
          <w:tcPr>
            <w:tcW w:w="1856" w:type="pct"/>
          </w:tcPr>
          <w:p w14:paraId="6964B3E4"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Физические упражнения</w:t>
            </w:r>
          </w:p>
        </w:tc>
        <w:tc>
          <w:tcPr>
            <w:tcW w:w="787" w:type="pct"/>
          </w:tcPr>
          <w:p w14:paraId="575632A1"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24 (43,6%)</w:t>
            </w:r>
          </w:p>
        </w:tc>
        <w:tc>
          <w:tcPr>
            <w:tcW w:w="786" w:type="pct"/>
          </w:tcPr>
          <w:p w14:paraId="20E12D8C"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8 (14,5%)</w:t>
            </w:r>
          </w:p>
        </w:tc>
        <w:tc>
          <w:tcPr>
            <w:tcW w:w="786" w:type="pct"/>
          </w:tcPr>
          <w:p w14:paraId="799D0C47"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15 (27,2%)</w:t>
            </w:r>
          </w:p>
        </w:tc>
        <w:tc>
          <w:tcPr>
            <w:tcW w:w="785" w:type="pct"/>
          </w:tcPr>
          <w:p w14:paraId="18ECF762"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8 (14,5%)</w:t>
            </w:r>
          </w:p>
        </w:tc>
      </w:tr>
      <w:tr w:rsidR="009F3BD1" w:rsidRPr="00EB7966" w14:paraId="26D6302B" w14:textId="77777777" w:rsidTr="006C735A">
        <w:tc>
          <w:tcPr>
            <w:tcW w:w="1856" w:type="pct"/>
          </w:tcPr>
          <w:p w14:paraId="51883DA9"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Прогулки пешком</w:t>
            </w:r>
          </w:p>
        </w:tc>
        <w:tc>
          <w:tcPr>
            <w:tcW w:w="787" w:type="pct"/>
          </w:tcPr>
          <w:p w14:paraId="72B26C42"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11 (20%)</w:t>
            </w:r>
          </w:p>
        </w:tc>
        <w:tc>
          <w:tcPr>
            <w:tcW w:w="786" w:type="pct"/>
          </w:tcPr>
          <w:p w14:paraId="41F02772"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15 (27,2%)</w:t>
            </w:r>
          </w:p>
        </w:tc>
        <w:tc>
          <w:tcPr>
            <w:tcW w:w="786" w:type="pct"/>
          </w:tcPr>
          <w:p w14:paraId="352629D7"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21 (38,1%)</w:t>
            </w:r>
          </w:p>
        </w:tc>
        <w:tc>
          <w:tcPr>
            <w:tcW w:w="785" w:type="pct"/>
          </w:tcPr>
          <w:p w14:paraId="141FE663"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8 (14,5%)</w:t>
            </w:r>
          </w:p>
        </w:tc>
      </w:tr>
      <w:tr w:rsidR="009F3BD1" w:rsidRPr="00EB7966" w14:paraId="0AACD1B0" w14:textId="77777777" w:rsidTr="006C735A">
        <w:tc>
          <w:tcPr>
            <w:tcW w:w="1856" w:type="pct"/>
          </w:tcPr>
          <w:p w14:paraId="0202B10D"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Работа</w:t>
            </w:r>
          </w:p>
        </w:tc>
        <w:tc>
          <w:tcPr>
            <w:tcW w:w="787" w:type="pct"/>
          </w:tcPr>
          <w:p w14:paraId="3C4EE184"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16 (29%)</w:t>
            </w:r>
          </w:p>
        </w:tc>
        <w:tc>
          <w:tcPr>
            <w:tcW w:w="786" w:type="pct"/>
          </w:tcPr>
          <w:p w14:paraId="392E5BB9"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14 (25,4%)</w:t>
            </w:r>
          </w:p>
        </w:tc>
        <w:tc>
          <w:tcPr>
            <w:tcW w:w="786" w:type="pct"/>
          </w:tcPr>
          <w:p w14:paraId="42819FB9"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13 (23,6%)</w:t>
            </w:r>
          </w:p>
        </w:tc>
        <w:tc>
          <w:tcPr>
            <w:tcW w:w="785" w:type="pct"/>
          </w:tcPr>
          <w:p w14:paraId="01D95C0B"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12 (21,8%)</w:t>
            </w:r>
          </w:p>
        </w:tc>
      </w:tr>
      <w:tr w:rsidR="009F3BD1" w:rsidRPr="00EB7966" w14:paraId="5BAFAF9F" w14:textId="77777777" w:rsidTr="006C735A">
        <w:tc>
          <w:tcPr>
            <w:tcW w:w="1856" w:type="pct"/>
          </w:tcPr>
          <w:p w14:paraId="22F50F8E"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Пребывание на открытом воздухе</w:t>
            </w:r>
          </w:p>
        </w:tc>
        <w:tc>
          <w:tcPr>
            <w:tcW w:w="787" w:type="pct"/>
          </w:tcPr>
          <w:p w14:paraId="2E62710D"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29 (52,7%)</w:t>
            </w:r>
          </w:p>
        </w:tc>
        <w:tc>
          <w:tcPr>
            <w:tcW w:w="786" w:type="pct"/>
          </w:tcPr>
          <w:p w14:paraId="1197CC57"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13 (23,6%)</w:t>
            </w:r>
          </w:p>
        </w:tc>
        <w:tc>
          <w:tcPr>
            <w:tcW w:w="786" w:type="pct"/>
          </w:tcPr>
          <w:p w14:paraId="0786E1D0"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8 (14,5%)</w:t>
            </w:r>
          </w:p>
        </w:tc>
        <w:tc>
          <w:tcPr>
            <w:tcW w:w="785" w:type="pct"/>
          </w:tcPr>
          <w:p w14:paraId="5C91AD3C"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5 (9%)</w:t>
            </w:r>
          </w:p>
        </w:tc>
      </w:tr>
    </w:tbl>
    <w:p w14:paraId="7DF16097" w14:textId="77777777" w:rsidR="009F3BD1" w:rsidRPr="00EC38CC" w:rsidRDefault="009F3BD1" w:rsidP="009F3BD1">
      <w:pPr>
        <w:spacing w:after="0" w:line="240" w:lineRule="auto"/>
        <w:jc w:val="both"/>
        <w:rPr>
          <w:rFonts w:ascii="Times New Roman" w:hAnsi="Times New Roman" w:cs="Times New Roman"/>
          <w:sz w:val="28"/>
          <w:szCs w:val="28"/>
        </w:rPr>
      </w:pPr>
    </w:p>
    <w:p w14:paraId="30138E65" w14:textId="77777777" w:rsidR="009F3BD1" w:rsidRDefault="009F3BD1" w:rsidP="009F3BD1">
      <w:pPr>
        <w:spacing w:after="0" w:line="240" w:lineRule="auto"/>
        <w:jc w:val="center"/>
        <w:rPr>
          <w:rFonts w:ascii="Times New Roman" w:hAnsi="Times New Roman" w:cs="Times New Roman"/>
          <w:sz w:val="28"/>
          <w:szCs w:val="28"/>
        </w:rPr>
      </w:pPr>
      <w:r w:rsidRPr="00EC38CC">
        <w:rPr>
          <w:rFonts w:ascii="Times New Roman" w:hAnsi="Times New Roman" w:cs="Times New Roman"/>
          <w:sz w:val="28"/>
          <w:szCs w:val="28"/>
        </w:rPr>
        <w:t>Характеристика основных видов деятельности, которые приходится ограничивать пациентам с сезонным аллергическим ринитом в соответствии с возрастом (n=55, 18-39 лет=34, 40-60 лет=21)</w:t>
      </w:r>
    </w:p>
    <w:p w14:paraId="794A972C" w14:textId="77777777" w:rsidR="009F3BD1" w:rsidRPr="00EC38CC" w:rsidRDefault="009F3BD1" w:rsidP="009F3BD1">
      <w:pPr>
        <w:spacing w:after="0" w:line="240" w:lineRule="auto"/>
        <w:jc w:val="center"/>
        <w:rPr>
          <w:rFonts w:ascii="Times New Roman" w:hAnsi="Times New Roman" w:cs="Times New Roman"/>
          <w:sz w:val="28"/>
          <w:szCs w:val="28"/>
        </w:rPr>
      </w:pPr>
    </w:p>
    <w:tbl>
      <w:tblPr>
        <w:tblStyle w:val="af3"/>
        <w:tblW w:w="5000" w:type="pct"/>
        <w:tblInd w:w="-5" w:type="dxa"/>
        <w:tblLayout w:type="fixed"/>
        <w:tblLook w:val="04A0" w:firstRow="1" w:lastRow="0" w:firstColumn="1" w:lastColumn="0" w:noHBand="0" w:noVBand="1"/>
      </w:tblPr>
      <w:tblGrid>
        <w:gridCol w:w="1605"/>
        <w:gridCol w:w="914"/>
        <w:gridCol w:w="1015"/>
        <w:gridCol w:w="1015"/>
        <w:gridCol w:w="1015"/>
        <w:gridCol w:w="1015"/>
        <w:gridCol w:w="1015"/>
        <w:gridCol w:w="1015"/>
        <w:gridCol w:w="1019"/>
      </w:tblGrid>
      <w:tr w:rsidR="009F3BD1" w:rsidRPr="00EB7966" w14:paraId="69AFC4D3" w14:textId="77777777" w:rsidTr="006C735A">
        <w:tc>
          <w:tcPr>
            <w:tcW w:w="834" w:type="pct"/>
            <w:vMerge w:val="restart"/>
          </w:tcPr>
          <w:p w14:paraId="3D96750F"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Показатель</w:t>
            </w:r>
          </w:p>
        </w:tc>
        <w:tc>
          <w:tcPr>
            <w:tcW w:w="4166" w:type="pct"/>
            <w:gridSpan w:val="8"/>
            <w:vAlign w:val="center"/>
          </w:tcPr>
          <w:p w14:paraId="5015A6E0"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Степень тяжести, абс, (%)</w:t>
            </w:r>
          </w:p>
        </w:tc>
      </w:tr>
      <w:tr w:rsidR="009F3BD1" w:rsidRPr="00EB7966" w14:paraId="57A1E64C" w14:textId="77777777" w:rsidTr="006C735A">
        <w:tc>
          <w:tcPr>
            <w:tcW w:w="834" w:type="pct"/>
            <w:vMerge/>
          </w:tcPr>
          <w:p w14:paraId="171ED09C" w14:textId="77777777" w:rsidR="009F3BD1" w:rsidRPr="00EB7966" w:rsidRDefault="009F3BD1" w:rsidP="006C735A">
            <w:pPr>
              <w:jc w:val="both"/>
              <w:rPr>
                <w:rFonts w:ascii="Times New Roman" w:hAnsi="Times New Roman" w:cs="Times New Roman"/>
                <w:sz w:val="24"/>
                <w:szCs w:val="24"/>
              </w:rPr>
            </w:pPr>
          </w:p>
        </w:tc>
        <w:tc>
          <w:tcPr>
            <w:tcW w:w="1002" w:type="pct"/>
            <w:gridSpan w:val="2"/>
            <w:vAlign w:val="center"/>
          </w:tcPr>
          <w:p w14:paraId="1435B11D"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Нет симптома</w:t>
            </w:r>
          </w:p>
        </w:tc>
        <w:tc>
          <w:tcPr>
            <w:tcW w:w="1054" w:type="pct"/>
            <w:gridSpan w:val="2"/>
            <w:vAlign w:val="center"/>
          </w:tcPr>
          <w:p w14:paraId="6AD8611A"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 xml:space="preserve">Легкая </w:t>
            </w:r>
          </w:p>
        </w:tc>
        <w:tc>
          <w:tcPr>
            <w:tcW w:w="1054" w:type="pct"/>
            <w:gridSpan w:val="2"/>
            <w:vAlign w:val="center"/>
          </w:tcPr>
          <w:p w14:paraId="0A120BCC"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 xml:space="preserve">Средняя </w:t>
            </w:r>
          </w:p>
        </w:tc>
        <w:tc>
          <w:tcPr>
            <w:tcW w:w="1056" w:type="pct"/>
            <w:gridSpan w:val="2"/>
            <w:vAlign w:val="center"/>
          </w:tcPr>
          <w:p w14:paraId="715B5391"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 xml:space="preserve">Тяжелая </w:t>
            </w:r>
          </w:p>
        </w:tc>
      </w:tr>
      <w:tr w:rsidR="009F3BD1" w:rsidRPr="00EB7966" w14:paraId="4DCAB96F" w14:textId="77777777" w:rsidTr="006C735A">
        <w:tc>
          <w:tcPr>
            <w:tcW w:w="834" w:type="pct"/>
            <w:vMerge/>
          </w:tcPr>
          <w:p w14:paraId="790CDEED" w14:textId="77777777" w:rsidR="009F3BD1" w:rsidRPr="00EB7966" w:rsidRDefault="009F3BD1" w:rsidP="006C735A">
            <w:pPr>
              <w:jc w:val="both"/>
              <w:rPr>
                <w:rFonts w:ascii="Times New Roman" w:hAnsi="Times New Roman" w:cs="Times New Roman"/>
                <w:sz w:val="24"/>
                <w:szCs w:val="24"/>
              </w:rPr>
            </w:pPr>
          </w:p>
        </w:tc>
        <w:tc>
          <w:tcPr>
            <w:tcW w:w="475" w:type="pct"/>
          </w:tcPr>
          <w:p w14:paraId="7DD12AD2"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18-39 лет</w:t>
            </w:r>
          </w:p>
        </w:tc>
        <w:tc>
          <w:tcPr>
            <w:tcW w:w="527" w:type="pct"/>
          </w:tcPr>
          <w:p w14:paraId="5C64BCE3"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40-60 лет</w:t>
            </w:r>
          </w:p>
        </w:tc>
        <w:tc>
          <w:tcPr>
            <w:tcW w:w="527" w:type="pct"/>
          </w:tcPr>
          <w:p w14:paraId="1FAF4162"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18-39 лет</w:t>
            </w:r>
          </w:p>
        </w:tc>
        <w:tc>
          <w:tcPr>
            <w:tcW w:w="527" w:type="pct"/>
          </w:tcPr>
          <w:p w14:paraId="216C1C2D"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40-60 лет</w:t>
            </w:r>
          </w:p>
        </w:tc>
        <w:tc>
          <w:tcPr>
            <w:tcW w:w="527" w:type="pct"/>
          </w:tcPr>
          <w:p w14:paraId="4B81C071"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18-39 лет</w:t>
            </w:r>
          </w:p>
        </w:tc>
        <w:tc>
          <w:tcPr>
            <w:tcW w:w="527" w:type="pct"/>
          </w:tcPr>
          <w:p w14:paraId="4BC07D93"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40-60 лет</w:t>
            </w:r>
          </w:p>
        </w:tc>
        <w:tc>
          <w:tcPr>
            <w:tcW w:w="527" w:type="pct"/>
          </w:tcPr>
          <w:p w14:paraId="329E5808"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18-39 лет</w:t>
            </w:r>
          </w:p>
        </w:tc>
        <w:tc>
          <w:tcPr>
            <w:tcW w:w="529" w:type="pct"/>
          </w:tcPr>
          <w:p w14:paraId="7FA3E665"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40-60 лет</w:t>
            </w:r>
          </w:p>
        </w:tc>
      </w:tr>
      <w:tr w:rsidR="009F3BD1" w:rsidRPr="00EB7966" w14:paraId="6CA710D3" w14:textId="77777777" w:rsidTr="006C735A">
        <w:tc>
          <w:tcPr>
            <w:tcW w:w="834" w:type="pct"/>
          </w:tcPr>
          <w:p w14:paraId="7538C431"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Поездки за город</w:t>
            </w:r>
          </w:p>
        </w:tc>
        <w:tc>
          <w:tcPr>
            <w:tcW w:w="475" w:type="pct"/>
          </w:tcPr>
          <w:p w14:paraId="1DCB8915"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14 (41,1%)</w:t>
            </w:r>
          </w:p>
        </w:tc>
        <w:tc>
          <w:tcPr>
            <w:tcW w:w="527" w:type="pct"/>
          </w:tcPr>
          <w:p w14:paraId="2456B915"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8 (38%)</w:t>
            </w:r>
          </w:p>
        </w:tc>
        <w:tc>
          <w:tcPr>
            <w:tcW w:w="527" w:type="pct"/>
          </w:tcPr>
          <w:p w14:paraId="2E0714ED"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7 (20,5%)</w:t>
            </w:r>
          </w:p>
        </w:tc>
        <w:tc>
          <w:tcPr>
            <w:tcW w:w="527" w:type="pct"/>
          </w:tcPr>
          <w:p w14:paraId="60BA87B6"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2 (9,5%)</w:t>
            </w:r>
          </w:p>
        </w:tc>
        <w:tc>
          <w:tcPr>
            <w:tcW w:w="527" w:type="pct"/>
          </w:tcPr>
          <w:p w14:paraId="6EF5331F"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8 (23,5%)</w:t>
            </w:r>
          </w:p>
        </w:tc>
        <w:tc>
          <w:tcPr>
            <w:tcW w:w="527" w:type="pct"/>
          </w:tcPr>
          <w:p w14:paraId="4FB71C94"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8 (27,7%)</w:t>
            </w:r>
          </w:p>
        </w:tc>
        <w:tc>
          <w:tcPr>
            <w:tcW w:w="527" w:type="pct"/>
          </w:tcPr>
          <w:p w14:paraId="3ED03E65"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8 (23,5%)</w:t>
            </w:r>
          </w:p>
        </w:tc>
        <w:tc>
          <w:tcPr>
            <w:tcW w:w="529" w:type="pct"/>
          </w:tcPr>
          <w:p w14:paraId="55F6805B"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3 (14,2%)</w:t>
            </w:r>
          </w:p>
        </w:tc>
      </w:tr>
      <w:tr w:rsidR="009F3BD1" w:rsidRPr="00EB7966" w14:paraId="3D19D2CF" w14:textId="77777777" w:rsidTr="006C735A">
        <w:tc>
          <w:tcPr>
            <w:tcW w:w="834" w:type="pct"/>
          </w:tcPr>
          <w:p w14:paraId="603D72D3"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Физические упражнения</w:t>
            </w:r>
          </w:p>
        </w:tc>
        <w:tc>
          <w:tcPr>
            <w:tcW w:w="475" w:type="pct"/>
          </w:tcPr>
          <w:p w14:paraId="306AF261"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15 (44,1%)</w:t>
            </w:r>
          </w:p>
        </w:tc>
        <w:tc>
          <w:tcPr>
            <w:tcW w:w="527" w:type="pct"/>
          </w:tcPr>
          <w:p w14:paraId="11E13208"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9 (42,8%)</w:t>
            </w:r>
          </w:p>
        </w:tc>
        <w:tc>
          <w:tcPr>
            <w:tcW w:w="527" w:type="pct"/>
          </w:tcPr>
          <w:p w14:paraId="074918A1"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5 (14,7%)</w:t>
            </w:r>
          </w:p>
        </w:tc>
        <w:tc>
          <w:tcPr>
            <w:tcW w:w="527" w:type="pct"/>
          </w:tcPr>
          <w:p w14:paraId="1A42830D"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3 (14,2%)</w:t>
            </w:r>
          </w:p>
        </w:tc>
        <w:tc>
          <w:tcPr>
            <w:tcW w:w="527" w:type="pct"/>
          </w:tcPr>
          <w:p w14:paraId="04AA43CC"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6 (17,6%)</w:t>
            </w:r>
          </w:p>
        </w:tc>
        <w:tc>
          <w:tcPr>
            <w:tcW w:w="527" w:type="pct"/>
          </w:tcPr>
          <w:p w14:paraId="12F793D2"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9 (42,8%)</w:t>
            </w:r>
          </w:p>
        </w:tc>
        <w:tc>
          <w:tcPr>
            <w:tcW w:w="527" w:type="pct"/>
          </w:tcPr>
          <w:p w14:paraId="3EEEA74C"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8 (23,5%)</w:t>
            </w:r>
          </w:p>
        </w:tc>
        <w:tc>
          <w:tcPr>
            <w:tcW w:w="529" w:type="pct"/>
          </w:tcPr>
          <w:p w14:paraId="6494D770"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0</w:t>
            </w:r>
          </w:p>
        </w:tc>
      </w:tr>
      <w:tr w:rsidR="009F3BD1" w:rsidRPr="00EB7966" w14:paraId="613AC9D2" w14:textId="77777777" w:rsidTr="006C735A">
        <w:tc>
          <w:tcPr>
            <w:tcW w:w="834" w:type="pct"/>
          </w:tcPr>
          <w:p w14:paraId="22B910FD"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Прогулки пешком</w:t>
            </w:r>
          </w:p>
        </w:tc>
        <w:tc>
          <w:tcPr>
            <w:tcW w:w="475" w:type="pct"/>
          </w:tcPr>
          <w:p w14:paraId="30CD7FD2"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9 (26,4%)</w:t>
            </w:r>
          </w:p>
        </w:tc>
        <w:tc>
          <w:tcPr>
            <w:tcW w:w="527" w:type="pct"/>
          </w:tcPr>
          <w:p w14:paraId="56AD60D2"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2 (9,5%)</w:t>
            </w:r>
          </w:p>
        </w:tc>
        <w:tc>
          <w:tcPr>
            <w:tcW w:w="527" w:type="pct"/>
          </w:tcPr>
          <w:p w14:paraId="546847B5"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10 (29,4%)</w:t>
            </w:r>
          </w:p>
        </w:tc>
        <w:tc>
          <w:tcPr>
            <w:tcW w:w="527" w:type="pct"/>
          </w:tcPr>
          <w:p w14:paraId="3F93C86A"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5 (23,8%)</w:t>
            </w:r>
          </w:p>
        </w:tc>
        <w:tc>
          <w:tcPr>
            <w:tcW w:w="527" w:type="pct"/>
          </w:tcPr>
          <w:p w14:paraId="237C664C"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9 (26,4%)</w:t>
            </w:r>
          </w:p>
        </w:tc>
        <w:tc>
          <w:tcPr>
            <w:tcW w:w="527" w:type="pct"/>
          </w:tcPr>
          <w:p w14:paraId="766D38A3"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12 (57,1%)</w:t>
            </w:r>
          </w:p>
        </w:tc>
        <w:tc>
          <w:tcPr>
            <w:tcW w:w="527" w:type="pct"/>
          </w:tcPr>
          <w:p w14:paraId="5722CCE9"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6(17,6%)</w:t>
            </w:r>
          </w:p>
        </w:tc>
        <w:tc>
          <w:tcPr>
            <w:tcW w:w="529" w:type="pct"/>
          </w:tcPr>
          <w:p w14:paraId="6D1BDEAF"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2 (9,5%)</w:t>
            </w:r>
          </w:p>
        </w:tc>
      </w:tr>
      <w:tr w:rsidR="009F3BD1" w:rsidRPr="00EB7966" w14:paraId="2FE65304" w14:textId="77777777" w:rsidTr="006C735A">
        <w:tc>
          <w:tcPr>
            <w:tcW w:w="834" w:type="pct"/>
          </w:tcPr>
          <w:p w14:paraId="275D6D02"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Работа</w:t>
            </w:r>
          </w:p>
        </w:tc>
        <w:tc>
          <w:tcPr>
            <w:tcW w:w="475" w:type="pct"/>
          </w:tcPr>
          <w:p w14:paraId="462BB8E6"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12 (35,3%)</w:t>
            </w:r>
          </w:p>
        </w:tc>
        <w:tc>
          <w:tcPr>
            <w:tcW w:w="527" w:type="pct"/>
          </w:tcPr>
          <w:p w14:paraId="16611ADC"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4 (19%)</w:t>
            </w:r>
          </w:p>
        </w:tc>
        <w:tc>
          <w:tcPr>
            <w:tcW w:w="527" w:type="pct"/>
          </w:tcPr>
          <w:p w14:paraId="26503274"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10 (29,4%)</w:t>
            </w:r>
          </w:p>
        </w:tc>
        <w:tc>
          <w:tcPr>
            <w:tcW w:w="527" w:type="pct"/>
          </w:tcPr>
          <w:p w14:paraId="6DAC5F62"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4 (19%)</w:t>
            </w:r>
          </w:p>
        </w:tc>
        <w:tc>
          <w:tcPr>
            <w:tcW w:w="527" w:type="pct"/>
          </w:tcPr>
          <w:p w14:paraId="08D42B3D"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3(8,8%)</w:t>
            </w:r>
          </w:p>
        </w:tc>
        <w:tc>
          <w:tcPr>
            <w:tcW w:w="527" w:type="pct"/>
          </w:tcPr>
          <w:p w14:paraId="4E8B87B8"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10 (47,6%)</w:t>
            </w:r>
          </w:p>
        </w:tc>
        <w:tc>
          <w:tcPr>
            <w:tcW w:w="527" w:type="pct"/>
          </w:tcPr>
          <w:p w14:paraId="59E27F66"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9(26,4%)</w:t>
            </w:r>
          </w:p>
        </w:tc>
        <w:tc>
          <w:tcPr>
            <w:tcW w:w="529" w:type="pct"/>
          </w:tcPr>
          <w:p w14:paraId="613E58EC"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3 (14,2%)</w:t>
            </w:r>
          </w:p>
        </w:tc>
      </w:tr>
      <w:tr w:rsidR="009F3BD1" w:rsidRPr="00EB7966" w14:paraId="087AC7B9" w14:textId="77777777" w:rsidTr="006C735A">
        <w:tc>
          <w:tcPr>
            <w:tcW w:w="834" w:type="pct"/>
          </w:tcPr>
          <w:p w14:paraId="320B8EE7"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Пребывание на открытом воздухе</w:t>
            </w:r>
          </w:p>
        </w:tc>
        <w:tc>
          <w:tcPr>
            <w:tcW w:w="475" w:type="pct"/>
          </w:tcPr>
          <w:p w14:paraId="00761494"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16 (47%)</w:t>
            </w:r>
          </w:p>
        </w:tc>
        <w:tc>
          <w:tcPr>
            <w:tcW w:w="527" w:type="pct"/>
          </w:tcPr>
          <w:p w14:paraId="4D003161"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13 (61,9%)</w:t>
            </w:r>
          </w:p>
        </w:tc>
        <w:tc>
          <w:tcPr>
            <w:tcW w:w="527" w:type="pct"/>
          </w:tcPr>
          <w:p w14:paraId="1B733840"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9 (26,4%)</w:t>
            </w:r>
          </w:p>
        </w:tc>
        <w:tc>
          <w:tcPr>
            <w:tcW w:w="527" w:type="pct"/>
          </w:tcPr>
          <w:p w14:paraId="2E419E4E"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4 (19%)</w:t>
            </w:r>
          </w:p>
        </w:tc>
        <w:tc>
          <w:tcPr>
            <w:tcW w:w="527" w:type="pct"/>
          </w:tcPr>
          <w:p w14:paraId="2662F2E0"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4 (11,7%)</w:t>
            </w:r>
          </w:p>
        </w:tc>
        <w:tc>
          <w:tcPr>
            <w:tcW w:w="527" w:type="pct"/>
          </w:tcPr>
          <w:p w14:paraId="3D0C3B5D"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4 (19%)</w:t>
            </w:r>
          </w:p>
        </w:tc>
        <w:tc>
          <w:tcPr>
            <w:tcW w:w="527" w:type="pct"/>
          </w:tcPr>
          <w:p w14:paraId="194E3D46"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5 (14,7%)</w:t>
            </w:r>
          </w:p>
        </w:tc>
        <w:tc>
          <w:tcPr>
            <w:tcW w:w="529" w:type="pct"/>
          </w:tcPr>
          <w:p w14:paraId="69915BC7" w14:textId="77777777" w:rsidR="009F3BD1" w:rsidRPr="00EB7966" w:rsidRDefault="009F3BD1" w:rsidP="006C735A">
            <w:pPr>
              <w:ind w:left="-101" w:right="-75"/>
              <w:jc w:val="both"/>
              <w:rPr>
                <w:rFonts w:ascii="Times New Roman" w:hAnsi="Times New Roman" w:cs="Times New Roman"/>
                <w:sz w:val="24"/>
                <w:szCs w:val="24"/>
              </w:rPr>
            </w:pPr>
            <w:r w:rsidRPr="00EB7966">
              <w:rPr>
                <w:rFonts w:ascii="Times New Roman" w:hAnsi="Times New Roman" w:cs="Times New Roman"/>
                <w:sz w:val="24"/>
                <w:szCs w:val="24"/>
              </w:rPr>
              <w:t>0</w:t>
            </w:r>
          </w:p>
        </w:tc>
      </w:tr>
    </w:tbl>
    <w:p w14:paraId="694CC34B" w14:textId="77777777" w:rsidR="009F3BD1" w:rsidRPr="00EC38CC" w:rsidRDefault="009F3BD1" w:rsidP="009F3BD1">
      <w:pPr>
        <w:spacing w:after="0" w:line="240" w:lineRule="auto"/>
        <w:jc w:val="both"/>
        <w:rPr>
          <w:rFonts w:ascii="Times New Roman" w:hAnsi="Times New Roman" w:cs="Times New Roman"/>
          <w:sz w:val="28"/>
          <w:szCs w:val="28"/>
          <w:highlight w:val="yellow"/>
        </w:rPr>
      </w:pPr>
    </w:p>
    <w:p w14:paraId="40ED1233" w14:textId="77777777" w:rsidR="009F3BD1" w:rsidRPr="00EC38CC" w:rsidRDefault="009F3BD1" w:rsidP="009F3BD1">
      <w:pPr>
        <w:spacing w:after="0" w:line="240" w:lineRule="auto"/>
        <w:jc w:val="center"/>
        <w:rPr>
          <w:rFonts w:ascii="Times New Roman" w:hAnsi="Times New Roman" w:cs="Times New Roman"/>
          <w:sz w:val="28"/>
          <w:szCs w:val="28"/>
        </w:rPr>
      </w:pPr>
      <w:r w:rsidRPr="00EC38CC">
        <w:rPr>
          <w:rFonts w:ascii="Times New Roman" w:hAnsi="Times New Roman" w:cs="Times New Roman"/>
          <w:sz w:val="28"/>
          <w:szCs w:val="28"/>
        </w:rPr>
        <w:t>Характеристика основных видов деятельности, которые приходится ограничивать пациентам с сезонным аллергическим ринитом по степени тяжести и полу (n=55, муж=26, жен=29)</w:t>
      </w:r>
    </w:p>
    <w:p w14:paraId="61E01554" w14:textId="77777777" w:rsidR="009F3BD1" w:rsidRPr="00EC38CC" w:rsidRDefault="009F3BD1" w:rsidP="009F3BD1">
      <w:pPr>
        <w:spacing w:after="0" w:line="240" w:lineRule="auto"/>
        <w:jc w:val="both"/>
        <w:rPr>
          <w:rFonts w:ascii="Times New Roman" w:hAnsi="Times New Roman" w:cs="Times New Roman"/>
          <w:sz w:val="28"/>
          <w:szCs w:val="28"/>
        </w:rPr>
      </w:pPr>
    </w:p>
    <w:tbl>
      <w:tblPr>
        <w:tblStyle w:val="af3"/>
        <w:tblW w:w="5000" w:type="pct"/>
        <w:tblLook w:val="04A0" w:firstRow="1" w:lastRow="0" w:firstColumn="1" w:lastColumn="0" w:noHBand="0" w:noVBand="1"/>
      </w:tblPr>
      <w:tblGrid>
        <w:gridCol w:w="1868"/>
        <w:gridCol w:w="980"/>
        <w:gridCol w:w="980"/>
        <w:gridCol w:w="961"/>
        <w:gridCol w:w="980"/>
        <w:gridCol w:w="961"/>
        <w:gridCol w:w="980"/>
        <w:gridCol w:w="961"/>
        <w:gridCol w:w="957"/>
      </w:tblGrid>
      <w:tr w:rsidR="009F3BD1" w:rsidRPr="00EB7966" w14:paraId="4E2308AA" w14:textId="77777777" w:rsidTr="006C735A">
        <w:tc>
          <w:tcPr>
            <w:tcW w:w="970" w:type="pct"/>
            <w:vMerge w:val="restart"/>
          </w:tcPr>
          <w:p w14:paraId="6C9F1972"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Показатель</w:t>
            </w:r>
          </w:p>
        </w:tc>
        <w:tc>
          <w:tcPr>
            <w:tcW w:w="4030" w:type="pct"/>
            <w:gridSpan w:val="8"/>
            <w:vAlign w:val="center"/>
          </w:tcPr>
          <w:p w14:paraId="2EA013C4"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Степень тяжести, абс, (%)</w:t>
            </w:r>
          </w:p>
        </w:tc>
      </w:tr>
      <w:tr w:rsidR="009F3BD1" w:rsidRPr="00EB7966" w14:paraId="3FB6E921" w14:textId="77777777" w:rsidTr="006C735A">
        <w:tc>
          <w:tcPr>
            <w:tcW w:w="970" w:type="pct"/>
            <w:vMerge/>
          </w:tcPr>
          <w:p w14:paraId="31104005" w14:textId="77777777" w:rsidR="009F3BD1" w:rsidRPr="00EB7966" w:rsidRDefault="009F3BD1" w:rsidP="006C735A">
            <w:pPr>
              <w:jc w:val="both"/>
              <w:rPr>
                <w:rFonts w:ascii="Times New Roman" w:hAnsi="Times New Roman" w:cs="Times New Roman"/>
                <w:sz w:val="24"/>
                <w:szCs w:val="24"/>
              </w:rPr>
            </w:pPr>
          </w:p>
        </w:tc>
        <w:tc>
          <w:tcPr>
            <w:tcW w:w="1017" w:type="pct"/>
            <w:gridSpan w:val="2"/>
            <w:vAlign w:val="center"/>
          </w:tcPr>
          <w:p w14:paraId="5774C69F"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Нет симптома</w:t>
            </w:r>
          </w:p>
        </w:tc>
        <w:tc>
          <w:tcPr>
            <w:tcW w:w="1007" w:type="pct"/>
            <w:gridSpan w:val="2"/>
            <w:vAlign w:val="center"/>
          </w:tcPr>
          <w:p w14:paraId="35F4B48E"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 xml:space="preserve">Легкая </w:t>
            </w:r>
          </w:p>
        </w:tc>
        <w:tc>
          <w:tcPr>
            <w:tcW w:w="1007" w:type="pct"/>
            <w:gridSpan w:val="2"/>
            <w:vAlign w:val="center"/>
          </w:tcPr>
          <w:p w14:paraId="07BF698E"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 xml:space="preserve">Средняя </w:t>
            </w:r>
          </w:p>
        </w:tc>
        <w:tc>
          <w:tcPr>
            <w:tcW w:w="998" w:type="pct"/>
            <w:gridSpan w:val="2"/>
            <w:vAlign w:val="center"/>
          </w:tcPr>
          <w:p w14:paraId="55412861"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 xml:space="preserve">Тяжелая </w:t>
            </w:r>
          </w:p>
        </w:tc>
      </w:tr>
      <w:tr w:rsidR="009F3BD1" w:rsidRPr="00EB7966" w14:paraId="7AA02830" w14:textId="77777777" w:rsidTr="006C735A">
        <w:trPr>
          <w:trHeight w:val="400"/>
        </w:trPr>
        <w:tc>
          <w:tcPr>
            <w:tcW w:w="970" w:type="pct"/>
            <w:vMerge/>
          </w:tcPr>
          <w:p w14:paraId="671A734C" w14:textId="77777777" w:rsidR="009F3BD1" w:rsidRPr="00EB7966" w:rsidRDefault="009F3BD1" w:rsidP="006C735A">
            <w:pPr>
              <w:jc w:val="both"/>
              <w:rPr>
                <w:rFonts w:ascii="Times New Roman" w:hAnsi="Times New Roman" w:cs="Times New Roman"/>
                <w:sz w:val="24"/>
                <w:szCs w:val="24"/>
              </w:rPr>
            </w:pPr>
          </w:p>
        </w:tc>
        <w:tc>
          <w:tcPr>
            <w:tcW w:w="509" w:type="pct"/>
          </w:tcPr>
          <w:p w14:paraId="7CC6226B"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муж</w:t>
            </w:r>
          </w:p>
        </w:tc>
        <w:tc>
          <w:tcPr>
            <w:tcW w:w="509" w:type="pct"/>
          </w:tcPr>
          <w:p w14:paraId="58234DB8"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жен</w:t>
            </w:r>
          </w:p>
        </w:tc>
        <w:tc>
          <w:tcPr>
            <w:tcW w:w="499" w:type="pct"/>
          </w:tcPr>
          <w:p w14:paraId="5D696695"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муж</w:t>
            </w:r>
          </w:p>
        </w:tc>
        <w:tc>
          <w:tcPr>
            <w:tcW w:w="509" w:type="pct"/>
          </w:tcPr>
          <w:p w14:paraId="2F913AB2"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жен</w:t>
            </w:r>
          </w:p>
        </w:tc>
        <w:tc>
          <w:tcPr>
            <w:tcW w:w="499" w:type="pct"/>
          </w:tcPr>
          <w:p w14:paraId="71858CF6"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муж</w:t>
            </w:r>
          </w:p>
        </w:tc>
        <w:tc>
          <w:tcPr>
            <w:tcW w:w="509" w:type="pct"/>
          </w:tcPr>
          <w:p w14:paraId="2B7DB274"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жен</w:t>
            </w:r>
          </w:p>
        </w:tc>
        <w:tc>
          <w:tcPr>
            <w:tcW w:w="499" w:type="pct"/>
          </w:tcPr>
          <w:p w14:paraId="1033D400"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муж</w:t>
            </w:r>
          </w:p>
        </w:tc>
        <w:tc>
          <w:tcPr>
            <w:tcW w:w="499" w:type="pct"/>
          </w:tcPr>
          <w:p w14:paraId="2F58BEE5"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жен</w:t>
            </w:r>
          </w:p>
        </w:tc>
      </w:tr>
      <w:tr w:rsidR="009F3BD1" w:rsidRPr="00EB7966" w14:paraId="334D0F35" w14:textId="77777777" w:rsidTr="006C735A">
        <w:tc>
          <w:tcPr>
            <w:tcW w:w="970" w:type="pct"/>
          </w:tcPr>
          <w:p w14:paraId="6D32A0D6"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Поездки за город</w:t>
            </w:r>
          </w:p>
        </w:tc>
        <w:tc>
          <w:tcPr>
            <w:tcW w:w="509" w:type="pct"/>
          </w:tcPr>
          <w:p w14:paraId="4A51250E"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11 (42,3%)</w:t>
            </w:r>
          </w:p>
        </w:tc>
        <w:tc>
          <w:tcPr>
            <w:tcW w:w="509" w:type="pct"/>
          </w:tcPr>
          <w:p w14:paraId="260778E8"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11 (37,9%)</w:t>
            </w:r>
          </w:p>
        </w:tc>
        <w:tc>
          <w:tcPr>
            <w:tcW w:w="499" w:type="pct"/>
          </w:tcPr>
          <w:p w14:paraId="07B62890"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4 (15,4%)</w:t>
            </w:r>
          </w:p>
        </w:tc>
        <w:tc>
          <w:tcPr>
            <w:tcW w:w="509" w:type="pct"/>
          </w:tcPr>
          <w:p w14:paraId="723ECC57"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5 (17,2%)</w:t>
            </w:r>
          </w:p>
        </w:tc>
        <w:tc>
          <w:tcPr>
            <w:tcW w:w="499" w:type="pct"/>
          </w:tcPr>
          <w:p w14:paraId="6E321000"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6 (23%)</w:t>
            </w:r>
          </w:p>
        </w:tc>
        <w:tc>
          <w:tcPr>
            <w:tcW w:w="509" w:type="pct"/>
          </w:tcPr>
          <w:p w14:paraId="119CCD82"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10 (34,5%)</w:t>
            </w:r>
          </w:p>
        </w:tc>
        <w:tc>
          <w:tcPr>
            <w:tcW w:w="499" w:type="pct"/>
          </w:tcPr>
          <w:p w14:paraId="4784B14B"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5 (19,2%)</w:t>
            </w:r>
          </w:p>
        </w:tc>
        <w:tc>
          <w:tcPr>
            <w:tcW w:w="499" w:type="pct"/>
          </w:tcPr>
          <w:p w14:paraId="48926582"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3 (10,3%)</w:t>
            </w:r>
          </w:p>
        </w:tc>
      </w:tr>
      <w:tr w:rsidR="009F3BD1" w:rsidRPr="00EB7966" w14:paraId="738D558E" w14:textId="77777777" w:rsidTr="006C735A">
        <w:tc>
          <w:tcPr>
            <w:tcW w:w="970" w:type="pct"/>
          </w:tcPr>
          <w:p w14:paraId="2E4D3C12"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Физические упражнения</w:t>
            </w:r>
          </w:p>
        </w:tc>
        <w:tc>
          <w:tcPr>
            <w:tcW w:w="509" w:type="pct"/>
          </w:tcPr>
          <w:p w14:paraId="640653E1"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10 (38,4%)</w:t>
            </w:r>
          </w:p>
        </w:tc>
        <w:tc>
          <w:tcPr>
            <w:tcW w:w="509" w:type="pct"/>
          </w:tcPr>
          <w:p w14:paraId="61CCDAAB"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14 (48,2%)</w:t>
            </w:r>
          </w:p>
        </w:tc>
        <w:tc>
          <w:tcPr>
            <w:tcW w:w="499" w:type="pct"/>
          </w:tcPr>
          <w:p w14:paraId="0AEDBC99"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3 (11,5%)</w:t>
            </w:r>
          </w:p>
        </w:tc>
        <w:tc>
          <w:tcPr>
            <w:tcW w:w="509" w:type="pct"/>
          </w:tcPr>
          <w:p w14:paraId="5D68F154"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5 (17,2%)</w:t>
            </w:r>
          </w:p>
        </w:tc>
        <w:tc>
          <w:tcPr>
            <w:tcW w:w="499" w:type="pct"/>
          </w:tcPr>
          <w:p w14:paraId="1DFF02C0"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8 (30,7%)</w:t>
            </w:r>
          </w:p>
        </w:tc>
        <w:tc>
          <w:tcPr>
            <w:tcW w:w="509" w:type="pct"/>
          </w:tcPr>
          <w:p w14:paraId="5B19546B"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7 (24,1%)</w:t>
            </w:r>
          </w:p>
        </w:tc>
        <w:tc>
          <w:tcPr>
            <w:tcW w:w="499" w:type="pct"/>
          </w:tcPr>
          <w:p w14:paraId="75C87073"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5 (19,2%)</w:t>
            </w:r>
          </w:p>
        </w:tc>
        <w:tc>
          <w:tcPr>
            <w:tcW w:w="499" w:type="pct"/>
          </w:tcPr>
          <w:p w14:paraId="258ED4FB"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3 (10,3%)</w:t>
            </w:r>
          </w:p>
        </w:tc>
      </w:tr>
      <w:tr w:rsidR="009F3BD1" w:rsidRPr="00EB7966" w14:paraId="6B8C6FD5" w14:textId="77777777" w:rsidTr="006C735A">
        <w:tc>
          <w:tcPr>
            <w:tcW w:w="970" w:type="pct"/>
          </w:tcPr>
          <w:p w14:paraId="10182785"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Прогулки пешком</w:t>
            </w:r>
          </w:p>
        </w:tc>
        <w:tc>
          <w:tcPr>
            <w:tcW w:w="509" w:type="pct"/>
          </w:tcPr>
          <w:p w14:paraId="09B0C168"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9 (34,6%)</w:t>
            </w:r>
          </w:p>
        </w:tc>
        <w:tc>
          <w:tcPr>
            <w:tcW w:w="509" w:type="pct"/>
          </w:tcPr>
          <w:p w14:paraId="5CF86D13"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2 (6,9%)</w:t>
            </w:r>
          </w:p>
        </w:tc>
        <w:tc>
          <w:tcPr>
            <w:tcW w:w="499" w:type="pct"/>
          </w:tcPr>
          <w:p w14:paraId="417D57E1"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5 (19,2%)</w:t>
            </w:r>
          </w:p>
        </w:tc>
        <w:tc>
          <w:tcPr>
            <w:tcW w:w="509" w:type="pct"/>
          </w:tcPr>
          <w:p w14:paraId="00A134C0"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10 (34,5%)</w:t>
            </w:r>
          </w:p>
        </w:tc>
        <w:tc>
          <w:tcPr>
            <w:tcW w:w="499" w:type="pct"/>
          </w:tcPr>
          <w:p w14:paraId="43714D57"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8 (30,7%)</w:t>
            </w:r>
          </w:p>
        </w:tc>
        <w:tc>
          <w:tcPr>
            <w:tcW w:w="509" w:type="pct"/>
          </w:tcPr>
          <w:p w14:paraId="6CB0E728"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13 (44,8%)</w:t>
            </w:r>
          </w:p>
        </w:tc>
        <w:tc>
          <w:tcPr>
            <w:tcW w:w="499" w:type="pct"/>
          </w:tcPr>
          <w:p w14:paraId="59A0EC0E"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4 (15,4%)</w:t>
            </w:r>
          </w:p>
        </w:tc>
        <w:tc>
          <w:tcPr>
            <w:tcW w:w="499" w:type="pct"/>
          </w:tcPr>
          <w:p w14:paraId="0D8CBF1D"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4 (13,8%)</w:t>
            </w:r>
          </w:p>
        </w:tc>
      </w:tr>
      <w:tr w:rsidR="009F3BD1" w:rsidRPr="00EB7966" w14:paraId="655CA7D6" w14:textId="77777777" w:rsidTr="006C735A">
        <w:tc>
          <w:tcPr>
            <w:tcW w:w="970" w:type="pct"/>
          </w:tcPr>
          <w:p w14:paraId="05AB3658"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Работа</w:t>
            </w:r>
          </w:p>
        </w:tc>
        <w:tc>
          <w:tcPr>
            <w:tcW w:w="509" w:type="pct"/>
          </w:tcPr>
          <w:p w14:paraId="14507A1B"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6 (23%)</w:t>
            </w:r>
          </w:p>
        </w:tc>
        <w:tc>
          <w:tcPr>
            <w:tcW w:w="509" w:type="pct"/>
          </w:tcPr>
          <w:p w14:paraId="6E6910C2"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10 (34,5%)</w:t>
            </w:r>
          </w:p>
        </w:tc>
        <w:tc>
          <w:tcPr>
            <w:tcW w:w="499" w:type="pct"/>
          </w:tcPr>
          <w:p w14:paraId="4FB4D019"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7 (26,9%)</w:t>
            </w:r>
          </w:p>
        </w:tc>
        <w:tc>
          <w:tcPr>
            <w:tcW w:w="509" w:type="pct"/>
          </w:tcPr>
          <w:p w14:paraId="66A01F07"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7 (24,1%)</w:t>
            </w:r>
          </w:p>
        </w:tc>
        <w:tc>
          <w:tcPr>
            <w:tcW w:w="499" w:type="pct"/>
          </w:tcPr>
          <w:p w14:paraId="27D3487B"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6 (23%)</w:t>
            </w:r>
          </w:p>
        </w:tc>
        <w:tc>
          <w:tcPr>
            <w:tcW w:w="509" w:type="pct"/>
          </w:tcPr>
          <w:p w14:paraId="6F90509A"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7 (24,1%)</w:t>
            </w:r>
          </w:p>
        </w:tc>
        <w:tc>
          <w:tcPr>
            <w:tcW w:w="499" w:type="pct"/>
          </w:tcPr>
          <w:p w14:paraId="0E710D73"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7 (26,9%)</w:t>
            </w:r>
          </w:p>
        </w:tc>
        <w:tc>
          <w:tcPr>
            <w:tcW w:w="499" w:type="pct"/>
          </w:tcPr>
          <w:p w14:paraId="221D9EAA"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5 (17,2%)</w:t>
            </w:r>
          </w:p>
        </w:tc>
      </w:tr>
      <w:tr w:rsidR="009F3BD1" w:rsidRPr="00EB7966" w14:paraId="3B263F23" w14:textId="77777777" w:rsidTr="006C735A">
        <w:tc>
          <w:tcPr>
            <w:tcW w:w="970" w:type="pct"/>
          </w:tcPr>
          <w:p w14:paraId="2E9FB2E8" w14:textId="77777777" w:rsidR="009F3BD1" w:rsidRPr="00EB7966" w:rsidRDefault="009F3BD1" w:rsidP="006C735A">
            <w:pPr>
              <w:jc w:val="both"/>
              <w:rPr>
                <w:rFonts w:ascii="Times New Roman" w:hAnsi="Times New Roman" w:cs="Times New Roman"/>
                <w:sz w:val="24"/>
                <w:szCs w:val="24"/>
              </w:rPr>
            </w:pPr>
            <w:r w:rsidRPr="00EB7966">
              <w:rPr>
                <w:rFonts w:ascii="Times New Roman" w:hAnsi="Times New Roman" w:cs="Times New Roman"/>
                <w:sz w:val="24"/>
                <w:szCs w:val="24"/>
              </w:rPr>
              <w:t>Пребывание на открытом воздухе</w:t>
            </w:r>
          </w:p>
        </w:tc>
        <w:tc>
          <w:tcPr>
            <w:tcW w:w="509" w:type="pct"/>
          </w:tcPr>
          <w:p w14:paraId="3F9F32EA"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12 (46,1%)</w:t>
            </w:r>
          </w:p>
        </w:tc>
        <w:tc>
          <w:tcPr>
            <w:tcW w:w="509" w:type="pct"/>
          </w:tcPr>
          <w:p w14:paraId="59712388"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17 (58,6%)</w:t>
            </w:r>
          </w:p>
        </w:tc>
        <w:tc>
          <w:tcPr>
            <w:tcW w:w="499" w:type="pct"/>
          </w:tcPr>
          <w:p w14:paraId="646D0127"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7 (26,9%)</w:t>
            </w:r>
          </w:p>
        </w:tc>
        <w:tc>
          <w:tcPr>
            <w:tcW w:w="509" w:type="pct"/>
          </w:tcPr>
          <w:p w14:paraId="44D232D3"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6 (20,6%)</w:t>
            </w:r>
          </w:p>
        </w:tc>
        <w:tc>
          <w:tcPr>
            <w:tcW w:w="499" w:type="pct"/>
          </w:tcPr>
          <w:p w14:paraId="4EF49394"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4 (15,4%)</w:t>
            </w:r>
          </w:p>
        </w:tc>
        <w:tc>
          <w:tcPr>
            <w:tcW w:w="509" w:type="pct"/>
          </w:tcPr>
          <w:p w14:paraId="17CE872F"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4 (13,8%)</w:t>
            </w:r>
          </w:p>
        </w:tc>
        <w:tc>
          <w:tcPr>
            <w:tcW w:w="499" w:type="pct"/>
          </w:tcPr>
          <w:p w14:paraId="6924D78F"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3 (11,5%)</w:t>
            </w:r>
          </w:p>
        </w:tc>
        <w:tc>
          <w:tcPr>
            <w:tcW w:w="499" w:type="pct"/>
          </w:tcPr>
          <w:p w14:paraId="456E7FB6" w14:textId="77777777" w:rsidR="009F3BD1" w:rsidRPr="00EB7966" w:rsidRDefault="009F3BD1" w:rsidP="006C735A">
            <w:pPr>
              <w:ind w:left="-108" w:right="-116"/>
              <w:jc w:val="both"/>
              <w:rPr>
                <w:rFonts w:ascii="Times New Roman" w:hAnsi="Times New Roman" w:cs="Times New Roman"/>
                <w:sz w:val="24"/>
                <w:szCs w:val="24"/>
              </w:rPr>
            </w:pPr>
            <w:r w:rsidRPr="00EB7966">
              <w:rPr>
                <w:rFonts w:ascii="Times New Roman" w:hAnsi="Times New Roman" w:cs="Times New Roman"/>
                <w:sz w:val="24"/>
                <w:szCs w:val="24"/>
              </w:rPr>
              <w:t>2 (6,9%)</w:t>
            </w:r>
          </w:p>
        </w:tc>
      </w:tr>
    </w:tbl>
    <w:p w14:paraId="4550E945" w14:textId="77777777" w:rsidR="009F3BD1" w:rsidRDefault="009F3BD1" w:rsidP="009F3BD1">
      <w:pPr>
        <w:spacing w:after="0" w:line="240" w:lineRule="auto"/>
        <w:rPr>
          <w:rFonts w:ascii="Times New Roman" w:hAnsi="Times New Roman" w:cs="Times New Roman"/>
          <w:b/>
          <w:sz w:val="28"/>
          <w:szCs w:val="28"/>
        </w:rPr>
      </w:pPr>
    </w:p>
    <w:p w14:paraId="4C11E7D0" w14:textId="77777777" w:rsidR="009F3BD1" w:rsidRPr="00EC38CC" w:rsidRDefault="009F3BD1" w:rsidP="009F3BD1">
      <w:pPr>
        <w:spacing w:after="0" w:line="240" w:lineRule="auto"/>
        <w:jc w:val="center"/>
        <w:rPr>
          <w:rFonts w:ascii="Times New Roman" w:hAnsi="Times New Roman" w:cs="Times New Roman"/>
          <w:sz w:val="28"/>
          <w:szCs w:val="28"/>
        </w:rPr>
      </w:pPr>
      <w:r w:rsidRPr="00EC38CC">
        <w:rPr>
          <w:rFonts w:ascii="Times New Roman" w:hAnsi="Times New Roman" w:cs="Times New Roman"/>
          <w:sz w:val="28"/>
          <w:szCs w:val="28"/>
        </w:rPr>
        <w:t>Лабораторные данные больных сезонным аллергическим ринитом перед началом лечения (n=55)</w:t>
      </w:r>
    </w:p>
    <w:p w14:paraId="65F6F80B" w14:textId="77777777" w:rsidR="009F3BD1" w:rsidRPr="00EC38CC" w:rsidRDefault="009F3BD1" w:rsidP="009F3BD1">
      <w:pPr>
        <w:spacing w:after="0" w:line="240" w:lineRule="auto"/>
        <w:jc w:val="both"/>
        <w:rPr>
          <w:rFonts w:ascii="Times New Roman" w:hAnsi="Times New Roman" w:cs="Times New Roman"/>
          <w:sz w:val="28"/>
          <w:szCs w:val="28"/>
        </w:rPr>
      </w:pPr>
    </w:p>
    <w:tbl>
      <w:tblPr>
        <w:tblStyle w:val="af3"/>
        <w:tblW w:w="5000" w:type="pct"/>
        <w:tblInd w:w="-5" w:type="dxa"/>
        <w:tblLook w:val="04A0" w:firstRow="1" w:lastRow="0" w:firstColumn="1" w:lastColumn="0" w:noHBand="0" w:noVBand="1"/>
      </w:tblPr>
      <w:tblGrid>
        <w:gridCol w:w="6276"/>
        <w:gridCol w:w="3352"/>
      </w:tblGrid>
      <w:tr w:rsidR="009F3BD1" w:rsidRPr="000768C7" w14:paraId="091D5A4C" w14:textId="77777777" w:rsidTr="006C735A">
        <w:trPr>
          <w:trHeight w:val="291"/>
        </w:trPr>
        <w:tc>
          <w:tcPr>
            <w:tcW w:w="3259" w:type="pct"/>
            <w:hideMark/>
          </w:tcPr>
          <w:p w14:paraId="4E96A3E6"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Параметр</w:t>
            </w:r>
          </w:p>
        </w:tc>
        <w:tc>
          <w:tcPr>
            <w:tcW w:w="1741" w:type="pct"/>
          </w:tcPr>
          <w:p w14:paraId="041A8999"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 xml:space="preserve">Характеристика </w:t>
            </w:r>
          </w:p>
        </w:tc>
      </w:tr>
      <w:tr w:rsidR="009F3BD1" w:rsidRPr="000768C7" w14:paraId="480BC20F" w14:textId="77777777" w:rsidTr="006C735A">
        <w:tc>
          <w:tcPr>
            <w:tcW w:w="3259" w:type="pct"/>
          </w:tcPr>
          <w:p w14:paraId="461DD36D" w14:textId="77777777" w:rsidR="009F3BD1" w:rsidRPr="000768C7" w:rsidRDefault="009F3BD1" w:rsidP="006C735A">
            <w:pPr>
              <w:jc w:val="both"/>
              <w:rPr>
                <w:rFonts w:ascii="Times New Roman" w:eastAsia="Times New Roman" w:hAnsi="Times New Roman" w:cs="Times New Roman"/>
                <w:sz w:val="24"/>
                <w:szCs w:val="24"/>
                <w:lang w:eastAsia="ru-RU"/>
              </w:rPr>
            </w:pPr>
            <w:r w:rsidRPr="000768C7">
              <w:rPr>
                <w:rFonts w:ascii="Times New Roman" w:eastAsia="Times New Roman" w:hAnsi="Times New Roman" w:cs="Times New Roman"/>
                <w:sz w:val="24"/>
                <w:szCs w:val="24"/>
                <w:lang w:eastAsia="ru-RU"/>
              </w:rPr>
              <w:t xml:space="preserve">Эозинофильный катионный белок (нг/мл) </w:t>
            </w:r>
            <w:r w:rsidRPr="000768C7">
              <w:rPr>
                <w:rFonts w:ascii="Times New Roman" w:hAnsi="Times New Roman" w:cs="Times New Roman"/>
                <w:sz w:val="24"/>
                <w:szCs w:val="24"/>
              </w:rPr>
              <w:t>(</w:t>
            </w:r>
            <w:r w:rsidRPr="000768C7">
              <w:rPr>
                <w:rFonts w:ascii="Times New Roman" w:hAnsi="Times New Roman" w:cs="Times New Roman"/>
                <w:sz w:val="24"/>
                <w:szCs w:val="24"/>
                <w:lang w:val="en-US"/>
              </w:rPr>
              <w:t>Me</w:t>
            </w:r>
            <w:r w:rsidRPr="000768C7">
              <w:rPr>
                <w:rFonts w:ascii="Times New Roman" w:hAnsi="Times New Roman" w:cs="Times New Roman"/>
                <w:sz w:val="24"/>
                <w:szCs w:val="24"/>
              </w:rPr>
              <w:t>+</w:t>
            </w:r>
            <w:r w:rsidRPr="000768C7">
              <w:rPr>
                <w:rFonts w:ascii="Times New Roman" w:hAnsi="Times New Roman" w:cs="Times New Roman"/>
                <w:sz w:val="24"/>
                <w:szCs w:val="24"/>
                <w:lang w:val="en-US"/>
              </w:rPr>
              <w:t>Q</w:t>
            </w:r>
            <w:r w:rsidRPr="000768C7">
              <w:rPr>
                <w:rFonts w:ascii="Times New Roman" w:hAnsi="Times New Roman" w:cs="Times New Roman"/>
                <w:sz w:val="24"/>
                <w:szCs w:val="24"/>
                <w:vertAlign w:val="subscript"/>
              </w:rPr>
              <w:t>25-75</w:t>
            </w:r>
            <w:r w:rsidRPr="000768C7">
              <w:rPr>
                <w:rFonts w:ascii="Times New Roman" w:hAnsi="Times New Roman" w:cs="Times New Roman"/>
                <w:sz w:val="24"/>
                <w:szCs w:val="24"/>
              </w:rPr>
              <w:t>)</w:t>
            </w:r>
          </w:p>
        </w:tc>
        <w:tc>
          <w:tcPr>
            <w:tcW w:w="1741" w:type="pct"/>
          </w:tcPr>
          <w:p w14:paraId="0144D0D2" w14:textId="77777777" w:rsidR="009F3BD1" w:rsidRPr="000768C7" w:rsidRDefault="009F3BD1" w:rsidP="006C735A">
            <w:pPr>
              <w:jc w:val="both"/>
              <w:rPr>
                <w:rFonts w:ascii="Times New Roman" w:hAnsi="Times New Roman" w:cs="Times New Roman"/>
                <w:sz w:val="24"/>
                <w:szCs w:val="24"/>
              </w:rPr>
            </w:pPr>
            <w:r w:rsidRPr="000768C7">
              <w:rPr>
                <w:rFonts w:ascii="Times New Roman" w:eastAsia="Times New Roman" w:hAnsi="Times New Roman" w:cs="Times New Roman"/>
                <w:sz w:val="24"/>
                <w:szCs w:val="24"/>
                <w:lang w:eastAsia="ru-RU"/>
              </w:rPr>
              <w:t>46,2 (41,6-52,03)</w:t>
            </w:r>
          </w:p>
        </w:tc>
      </w:tr>
      <w:tr w:rsidR="009F3BD1" w:rsidRPr="000768C7" w14:paraId="726723AC" w14:textId="77777777" w:rsidTr="006C735A">
        <w:tc>
          <w:tcPr>
            <w:tcW w:w="3259" w:type="pct"/>
          </w:tcPr>
          <w:p w14:paraId="06209504" w14:textId="77777777" w:rsidR="009F3BD1" w:rsidRPr="000768C7" w:rsidRDefault="009F3BD1" w:rsidP="006C735A">
            <w:pPr>
              <w:jc w:val="both"/>
              <w:rPr>
                <w:rFonts w:ascii="Times New Roman" w:eastAsia="Times New Roman" w:hAnsi="Times New Roman" w:cs="Times New Roman"/>
                <w:sz w:val="24"/>
                <w:szCs w:val="24"/>
                <w:lang w:eastAsia="ru-RU"/>
              </w:rPr>
            </w:pPr>
            <w:r w:rsidRPr="000768C7">
              <w:rPr>
                <w:rFonts w:ascii="Times New Roman" w:eastAsia="Times New Roman" w:hAnsi="Times New Roman" w:cs="Times New Roman"/>
                <w:sz w:val="24"/>
                <w:szCs w:val="24"/>
                <w:lang w:eastAsia="ru-RU"/>
              </w:rPr>
              <w:t xml:space="preserve">Общий ИгЕ (Ед/мл) </w:t>
            </w:r>
            <w:r w:rsidRPr="000768C7">
              <w:rPr>
                <w:rFonts w:ascii="Times New Roman" w:hAnsi="Times New Roman" w:cs="Times New Roman"/>
                <w:sz w:val="24"/>
                <w:szCs w:val="24"/>
              </w:rPr>
              <w:t>(</w:t>
            </w:r>
            <w:r w:rsidRPr="000768C7">
              <w:rPr>
                <w:rFonts w:ascii="Times New Roman" w:hAnsi="Times New Roman" w:cs="Times New Roman"/>
                <w:sz w:val="24"/>
                <w:szCs w:val="24"/>
                <w:lang w:val="en-US"/>
              </w:rPr>
              <w:t>Me</w:t>
            </w:r>
            <w:r w:rsidRPr="000768C7">
              <w:rPr>
                <w:rFonts w:ascii="Times New Roman" w:hAnsi="Times New Roman" w:cs="Times New Roman"/>
                <w:sz w:val="24"/>
                <w:szCs w:val="24"/>
              </w:rPr>
              <w:t>+</w:t>
            </w:r>
            <w:r w:rsidRPr="000768C7">
              <w:rPr>
                <w:rFonts w:ascii="Times New Roman" w:hAnsi="Times New Roman" w:cs="Times New Roman"/>
                <w:sz w:val="24"/>
                <w:szCs w:val="24"/>
                <w:lang w:val="en-US"/>
              </w:rPr>
              <w:t>Q</w:t>
            </w:r>
            <w:r w:rsidRPr="000768C7">
              <w:rPr>
                <w:rFonts w:ascii="Times New Roman" w:hAnsi="Times New Roman" w:cs="Times New Roman"/>
                <w:sz w:val="24"/>
                <w:szCs w:val="24"/>
                <w:vertAlign w:val="subscript"/>
              </w:rPr>
              <w:t>25-75</w:t>
            </w:r>
            <w:r w:rsidRPr="000768C7">
              <w:rPr>
                <w:rFonts w:ascii="Times New Roman" w:hAnsi="Times New Roman" w:cs="Times New Roman"/>
                <w:sz w:val="24"/>
                <w:szCs w:val="24"/>
              </w:rPr>
              <w:t>)</w:t>
            </w:r>
          </w:p>
        </w:tc>
        <w:tc>
          <w:tcPr>
            <w:tcW w:w="1741" w:type="pct"/>
          </w:tcPr>
          <w:p w14:paraId="2B01780C" w14:textId="77777777" w:rsidR="009F3BD1" w:rsidRPr="000768C7" w:rsidRDefault="009F3BD1" w:rsidP="006C735A">
            <w:pPr>
              <w:jc w:val="both"/>
              <w:rPr>
                <w:rFonts w:ascii="Times New Roman" w:hAnsi="Times New Roman" w:cs="Times New Roman"/>
                <w:sz w:val="24"/>
                <w:szCs w:val="24"/>
              </w:rPr>
            </w:pPr>
            <w:r w:rsidRPr="000768C7">
              <w:rPr>
                <w:rFonts w:ascii="Times New Roman" w:eastAsia="Times New Roman" w:hAnsi="Times New Roman" w:cs="Times New Roman"/>
                <w:sz w:val="24"/>
                <w:szCs w:val="24"/>
                <w:lang w:eastAsia="ru-RU"/>
              </w:rPr>
              <w:t>376,8 (251,86-501,3)</w:t>
            </w:r>
          </w:p>
        </w:tc>
      </w:tr>
      <w:tr w:rsidR="009F3BD1" w:rsidRPr="000768C7" w14:paraId="534B62E4" w14:textId="77777777" w:rsidTr="006C735A">
        <w:tc>
          <w:tcPr>
            <w:tcW w:w="3259" w:type="pct"/>
          </w:tcPr>
          <w:p w14:paraId="79D069FA" w14:textId="77777777" w:rsidR="009F3BD1" w:rsidRPr="000768C7" w:rsidRDefault="009F3BD1" w:rsidP="006C735A">
            <w:pPr>
              <w:jc w:val="both"/>
              <w:rPr>
                <w:rFonts w:ascii="Times New Roman" w:eastAsia="Times New Roman" w:hAnsi="Times New Roman" w:cs="Times New Roman"/>
                <w:sz w:val="24"/>
                <w:szCs w:val="24"/>
                <w:lang w:val="en-US" w:eastAsia="ru-RU"/>
              </w:rPr>
            </w:pPr>
            <w:r w:rsidRPr="000768C7">
              <w:rPr>
                <w:rFonts w:ascii="Times New Roman" w:hAnsi="Times New Roman" w:cs="Times New Roman"/>
                <w:sz w:val="24"/>
                <w:szCs w:val="24"/>
                <w:lang w:val="en-US"/>
              </w:rPr>
              <w:t xml:space="preserve">rPhlp1 </w:t>
            </w:r>
            <w:r w:rsidRPr="000768C7">
              <w:rPr>
                <w:rFonts w:ascii="Times New Roman" w:hAnsi="Times New Roman" w:cs="Times New Roman"/>
                <w:sz w:val="24"/>
                <w:szCs w:val="24"/>
              </w:rPr>
              <w:t>тимофеевка</w:t>
            </w:r>
            <w:r w:rsidRPr="000768C7">
              <w:rPr>
                <w:rFonts w:ascii="Times New Roman" w:hAnsi="Times New Roman" w:cs="Times New Roman"/>
                <w:sz w:val="24"/>
                <w:szCs w:val="24"/>
                <w:lang w:val="en-US"/>
              </w:rPr>
              <w:t xml:space="preserve"> (ISU) (Me+Q</w:t>
            </w:r>
            <w:r w:rsidRPr="000768C7">
              <w:rPr>
                <w:rFonts w:ascii="Times New Roman" w:hAnsi="Times New Roman" w:cs="Times New Roman"/>
                <w:sz w:val="24"/>
                <w:szCs w:val="24"/>
                <w:vertAlign w:val="subscript"/>
                <w:lang w:val="en-US"/>
              </w:rPr>
              <w:t>25-75</w:t>
            </w:r>
            <w:r w:rsidRPr="000768C7">
              <w:rPr>
                <w:rFonts w:ascii="Times New Roman" w:hAnsi="Times New Roman" w:cs="Times New Roman"/>
                <w:sz w:val="24"/>
                <w:szCs w:val="24"/>
                <w:lang w:val="en-US"/>
              </w:rPr>
              <w:t>)</w:t>
            </w:r>
          </w:p>
        </w:tc>
        <w:tc>
          <w:tcPr>
            <w:tcW w:w="1741" w:type="pct"/>
          </w:tcPr>
          <w:p w14:paraId="4B7E9C9F" w14:textId="77777777" w:rsidR="009F3BD1" w:rsidRPr="000768C7" w:rsidRDefault="009F3BD1" w:rsidP="006C735A">
            <w:pPr>
              <w:jc w:val="both"/>
              <w:rPr>
                <w:rFonts w:ascii="Times New Roman" w:hAnsi="Times New Roman" w:cs="Times New Roman"/>
                <w:sz w:val="24"/>
                <w:szCs w:val="24"/>
              </w:rPr>
            </w:pPr>
            <w:r w:rsidRPr="000768C7">
              <w:rPr>
                <w:rFonts w:ascii="Times New Roman" w:eastAsia="Times New Roman" w:hAnsi="Times New Roman" w:cs="Times New Roman"/>
                <w:sz w:val="24"/>
                <w:szCs w:val="24"/>
                <w:lang w:eastAsia="ru-RU"/>
              </w:rPr>
              <w:t>7,3 (1,98-16,26)</w:t>
            </w:r>
          </w:p>
        </w:tc>
      </w:tr>
      <w:tr w:rsidR="009F3BD1" w:rsidRPr="000768C7" w14:paraId="7F8B24BF" w14:textId="77777777" w:rsidTr="006C735A">
        <w:tc>
          <w:tcPr>
            <w:tcW w:w="3259" w:type="pct"/>
          </w:tcPr>
          <w:p w14:paraId="0E1DAA96" w14:textId="068301A4" w:rsidR="009F3BD1" w:rsidRPr="000768C7" w:rsidRDefault="009F3BD1" w:rsidP="006C735A">
            <w:pPr>
              <w:jc w:val="both"/>
              <w:rPr>
                <w:rFonts w:ascii="Times New Roman" w:eastAsia="Times New Roman" w:hAnsi="Times New Roman" w:cs="Times New Roman"/>
                <w:sz w:val="24"/>
                <w:szCs w:val="24"/>
                <w:lang w:eastAsia="ru-RU"/>
              </w:rPr>
            </w:pPr>
            <w:r w:rsidRPr="000768C7">
              <w:rPr>
                <w:rFonts w:ascii="Times New Roman" w:hAnsi="Times New Roman" w:cs="Times New Roman"/>
                <w:sz w:val="24"/>
                <w:szCs w:val="24"/>
              </w:rPr>
              <w:t>rPhlp5</w:t>
            </w:r>
            <w:r w:rsidRPr="000768C7">
              <w:rPr>
                <w:rFonts w:ascii="Times New Roman" w:hAnsi="Times New Roman" w:cs="Times New Roman"/>
                <w:sz w:val="24"/>
                <w:szCs w:val="24"/>
                <w:lang w:val="en-US"/>
              </w:rPr>
              <w:t>(ISU)</w:t>
            </w:r>
            <w:r w:rsidR="0007459B">
              <w:rPr>
                <w:rFonts w:ascii="Times New Roman" w:hAnsi="Times New Roman" w:cs="Times New Roman"/>
                <w:sz w:val="24"/>
                <w:szCs w:val="24"/>
                <w:lang w:val="en-US"/>
              </w:rPr>
              <w:t xml:space="preserve"> </w:t>
            </w:r>
            <w:r w:rsidRPr="000768C7">
              <w:rPr>
                <w:rFonts w:ascii="Times New Roman" w:hAnsi="Times New Roman" w:cs="Times New Roman"/>
                <w:sz w:val="24"/>
                <w:szCs w:val="24"/>
              </w:rPr>
              <w:t>(</w:t>
            </w:r>
            <w:r w:rsidRPr="000768C7">
              <w:rPr>
                <w:rFonts w:ascii="Times New Roman" w:hAnsi="Times New Roman" w:cs="Times New Roman"/>
                <w:sz w:val="24"/>
                <w:szCs w:val="24"/>
                <w:lang w:val="en-US"/>
              </w:rPr>
              <w:t>Me</w:t>
            </w:r>
            <w:r w:rsidRPr="000768C7">
              <w:rPr>
                <w:rFonts w:ascii="Times New Roman" w:hAnsi="Times New Roman" w:cs="Times New Roman"/>
                <w:sz w:val="24"/>
                <w:szCs w:val="24"/>
              </w:rPr>
              <w:t>+</w:t>
            </w:r>
            <w:r w:rsidRPr="000768C7">
              <w:rPr>
                <w:rFonts w:ascii="Times New Roman" w:hAnsi="Times New Roman" w:cs="Times New Roman"/>
                <w:sz w:val="24"/>
                <w:szCs w:val="24"/>
                <w:lang w:val="en-US"/>
              </w:rPr>
              <w:t>Q</w:t>
            </w:r>
            <w:r w:rsidRPr="000768C7">
              <w:rPr>
                <w:rFonts w:ascii="Times New Roman" w:hAnsi="Times New Roman" w:cs="Times New Roman"/>
                <w:sz w:val="24"/>
                <w:szCs w:val="24"/>
                <w:vertAlign w:val="subscript"/>
              </w:rPr>
              <w:t>25-75</w:t>
            </w:r>
            <w:r w:rsidRPr="000768C7">
              <w:rPr>
                <w:rFonts w:ascii="Times New Roman" w:hAnsi="Times New Roman" w:cs="Times New Roman"/>
                <w:sz w:val="24"/>
                <w:szCs w:val="24"/>
              </w:rPr>
              <w:t>)</w:t>
            </w:r>
          </w:p>
        </w:tc>
        <w:tc>
          <w:tcPr>
            <w:tcW w:w="1741" w:type="pct"/>
          </w:tcPr>
          <w:p w14:paraId="2325E33B" w14:textId="77777777" w:rsidR="009F3BD1" w:rsidRPr="000768C7" w:rsidRDefault="009F3BD1" w:rsidP="006C735A">
            <w:pPr>
              <w:jc w:val="both"/>
              <w:rPr>
                <w:rFonts w:ascii="Times New Roman" w:hAnsi="Times New Roman" w:cs="Times New Roman"/>
                <w:sz w:val="24"/>
                <w:szCs w:val="24"/>
              </w:rPr>
            </w:pPr>
            <w:r w:rsidRPr="000768C7">
              <w:rPr>
                <w:rFonts w:ascii="Times New Roman" w:eastAsia="Times New Roman" w:hAnsi="Times New Roman" w:cs="Times New Roman"/>
                <w:sz w:val="24"/>
                <w:szCs w:val="24"/>
                <w:lang w:eastAsia="ru-RU"/>
              </w:rPr>
              <w:t>10,29 (3,09-14,76)</w:t>
            </w:r>
          </w:p>
        </w:tc>
      </w:tr>
      <w:tr w:rsidR="009F3BD1" w:rsidRPr="000768C7" w14:paraId="6A0DDB4E" w14:textId="77777777" w:rsidTr="006C735A">
        <w:tc>
          <w:tcPr>
            <w:tcW w:w="3259" w:type="pct"/>
          </w:tcPr>
          <w:p w14:paraId="180DBD2F" w14:textId="1596C96C" w:rsidR="009F3BD1" w:rsidRPr="000768C7" w:rsidRDefault="009F3BD1" w:rsidP="006C735A">
            <w:pPr>
              <w:jc w:val="both"/>
              <w:rPr>
                <w:rFonts w:ascii="Times New Roman" w:eastAsia="Times New Roman" w:hAnsi="Times New Roman" w:cs="Times New Roman"/>
                <w:sz w:val="24"/>
                <w:szCs w:val="24"/>
                <w:lang w:val="en-US" w:eastAsia="ru-RU"/>
              </w:rPr>
            </w:pPr>
            <w:r w:rsidRPr="000768C7">
              <w:rPr>
                <w:rFonts w:ascii="Times New Roman" w:hAnsi="Times New Roman" w:cs="Times New Roman"/>
                <w:sz w:val="24"/>
                <w:szCs w:val="24"/>
                <w:lang w:val="en-US"/>
              </w:rPr>
              <w:t xml:space="preserve">rBet v1 </w:t>
            </w:r>
            <w:r w:rsidRPr="000768C7">
              <w:rPr>
                <w:rFonts w:ascii="Times New Roman" w:hAnsi="Times New Roman" w:cs="Times New Roman"/>
                <w:sz w:val="24"/>
                <w:szCs w:val="24"/>
              </w:rPr>
              <w:t>береза</w:t>
            </w:r>
            <w:r w:rsidRPr="000768C7">
              <w:rPr>
                <w:rFonts w:ascii="Times New Roman" w:hAnsi="Times New Roman" w:cs="Times New Roman"/>
                <w:sz w:val="24"/>
                <w:szCs w:val="24"/>
                <w:lang w:val="en-US"/>
              </w:rPr>
              <w:t xml:space="preserve"> (ISU)</w:t>
            </w:r>
            <w:r w:rsidR="0007459B">
              <w:rPr>
                <w:rFonts w:ascii="Times New Roman" w:hAnsi="Times New Roman" w:cs="Times New Roman"/>
                <w:sz w:val="24"/>
                <w:szCs w:val="24"/>
                <w:lang w:val="en-US"/>
              </w:rPr>
              <w:t xml:space="preserve"> </w:t>
            </w:r>
            <w:r w:rsidRPr="000768C7">
              <w:rPr>
                <w:rFonts w:ascii="Times New Roman" w:hAnsi="Times New Roman" w:cs="Times New Roman"/>
                <w:sz w:val="24"/>
                <w:szCs w:val="24"/>
                <w:lang w:val="en-US"/>
              </w:rPr>
              <w:t>(Me+Q</w:t>
            </w:r>
            <w:r w:rsidRPr="000768C7">
              <w:rPr>
                <w:rFonts w:ascii="Times New Roman" w:hAnsi="Times New Roman" w:cs="Times New Roman"/>
                <w:sz w:val="24"/>
                <w:szCs w:val="24"/>
                <w:vertAlign w:val="subscript"/>
                <w:lang w:val="en-US"/>
              </w:rPr>
              <w:t>25-75</w:t>
            </w:r>
            <w:r w:rsidRPr="000768C7">
              <w:rPr>
                <w:rFonts w:ascii="Times New Roman" w:hAnsi="Times New Roman" w:cs="Times New Roman"/>
                <w:sz w:val="24"/>
                <w:szCs w:val="24"/>
                <w:lang w:val="en-US"/>
              </w:rPr>
              <w:t>)</w:t>
            </w:r>
          </w:p>
        </w:tc>
        <w:tc>
          <w:tcPr>
            <w:tcW w:w="1741" w:type="pct"/>
          </w:tcPr>
          <w:p w14:paraId="621F690C" w14:textId="77777777" w:rsidR="009F3BD1" w:rsidRPr="000768C7" w:rsidRDefault="009F3BD1" w:rsidP="006C735A">
            <w:pPr>
              <w:jc w:val="both"/>
              <w:rPr>
                <w:rFonts w:ascii="Times New Roman" w:hAnsi="Times New Roman" w:cs="Times New Roman"/>
                <w:sz w:val="24"/>
                <w:szCs w:val="24"/>
              </w:rPr>
            </w:pPr>
            <w:r w:rsidRPr="000768C7">
              <w:rPr>
                <w:rFonts w:ascii="Times New Roman" w:eastAsia="Times New Roman" w:hAnsi="Times New Roman" w:cs="Times New Roman"/>
                <w:sz w:val="24"/>
                <w:szCs w:val="24"/>
                <w:lang w:eastAsia="ru-RU"/>
              </w:rPr>
              <w:t>4,7 (2,53-8,83)</w:t>
            </w:r>
          </w:p>
        </w:tc>
      </w:tr>
      <w:tr w:rsidR="009F3BD1" w:rsidRPr="000768C7" w14:paraId="53526731" w14:textId="77777777" w:rsidTr="006C735A">
        <w:tc>
          <w:tcPr>
            <w:tcW w:w="3259" w:type="pct"/>
          </w:tcPr>
          <w:p w14:paraId="30A33965" w14:textId="77777777" w:rsidR="009F3BD1" w:rsidRPr="000768C7" w:rsidRDefault="009F3BD1" w:rsidP="006C735A">
            <w:pPr>
              <w:jc w:val="both"/>
              <w:rPr>
                <w:rFonts w:ascii="Times New Roman" w:eastAsia="Times New Roman" w:hAnsi="Times New Roman" w:cs="Times New Roman"/>
                <w:sz w:val="24"/>
                <w:szCs w:val="24"/>
                <w:lang w:val="en-US" w:eastAsia="ru-RU"/>
              </w:rPr>
            </w:pPr>
            <w:r w:rsidRPr="000768C7">
              <w:rPr>
                <w:rFonts w:ascii="Times New Roman" w:hAnsi="Times New Roman" w:cs="Times New Roman"/>
                <w:sz w:val="24"/>
                <w:szCs w:val="24"/>
                <w:lang w:val="en-US"/>
              </w:rPr>
              <w:t xml:space="preserve">nArt v1 </w:t>
            </w:r>
            <w:r w:rsidRPr="000768C7">
              <w:rPr>
                <w:rFonts w:ascii="Times New Roman" w:hAnsi="Times New Roman" w:cs="Times New Roman"/>
                <w:sz w:val="24"/>
                <w:szCs w:val="24"/>
              </w:rPr>
              <w:t>полынь</w:t>
            </w:r>
            <w:r w:rsidRPr="000768C7">
              <w:rPr>
                <w:rFonts w:ascii="Times New Roman" w:hAnsi="Times New Roman" w:cs="Times New Roman"/>
                <w:sz w:val="24"/>
                <w:szCs w:val="24"/>
                <w:lang w:val="en-US"/>
              </w:rPr>
              <w:t xml:space="preserve"> (ISU) (Me+Q</w:t>
            </w:r>
            <w:r w:rsidRPr="000768C7">
              <w:rPr>
                <w:rFonts w:ascii="Times New Roman" w:hAnsi="Times New Roman" w:cs="Times New Roman"/>
                <w:sz w:val="24"/>
                <w:szCs w:val="24"/>
                <w:vertAlign w:val="subscript"/>
                <w:lang w:val="en-US"/>
              </w:rPr>
              <w:t>25-75</w:t>
            </w:r>
            <w:r w:rsidRPr="000768C7">
              <w:rPr>
                <w:rFonts w:ascii="Times New Roman" w:hAnsi="Times New Roman" w:cs="Times New Roman"/>
                <w:sz w:val="24"/>
                <w:szCs w:val="24"/>
                <w:lang w:val="en-US"/>
              </w:rPr>
              <w:t>)</w:t>
            </w:r>
          </w:p>
        </w:tc>
        <w:tc>
          <w:tcPr>
            <w:tcW w:w="1741" w:type="pct"/>
          </w:tcPr>
          <w:p w14:paraId="00DDAD6A" w14:textId="77777777" w:rsidR="009F3BD1" w:rsidRPr="000768C7" w:rsidRDefault="009F3BD1" w:rsidP="006C735A">
            <w:pPr>
              <w:jc w:val="both"/>
              <w:rPr>
                <w:rFonts w:ascii="Times New Roman" w:hAnsi="Times New Roman" w:cs="Times New Roman"/>
                <w:sz w:val="24"/>
                <w:szCs w:val="24"/>
              </w:rPr>
            </w:pPr>
            <w:r w:rsidRPr="000768C7">
              <w:rPr>
                <w:rFonts w:ascii="Times New Roman" w:eastAsia="Times New Roman" w:hAnsi="Times New Roman" w:cs="Times New Roman"/>
                <w:sz w:val="24"/>
                <w:szCs w:val="24"/>
                <w:lang w:eastAsia="ru-RU"/>
              </w:rPr>
              <w:t>4,6 (2,04-13,02)</w:t>
            </w:r>
          </w:p>
        </w:tc>
      </w:tr>
      <w:tr w:rsidR="009F3BD1" w:rsidRPr="000768C7" w14:paraId="51E97DA6" w14:textId="77777777" w:rsidTr="006C735A">
        <w:tc>
          <w:tcPr>
            <w:tcW w:w="3259" w:type="pct"/>
          </w:tcPr>
          <w:p w14:paraId="1B4D98AC" w14:textId="77777777" w:rsidR="009F3BD1" w:rsidRPr="000768C7" w:rsidRDefault="009F3BD1" w:rsidP="006C735A">
            <w:pPr>
              <w:jc w:val="both"/>
              <w:rPr>
                <w:rFonts w:ascii="Times New Roman" w:eastAsia="Times New Roman" w:hAnsi="Times New Roman" w:cs="Times New Roman"/>
                <w:sz w:val="24"/>
                <w:szCs w:val="24"/>
                <w:lang w:val="en-US" w:eastAsia="ru-RU"/>
              </w:rPr>
            </w:pPr>
            <w:r w:rsidRPr="000768C7">
              <w:rPr>
                <w:rFonts w:ascii="Times New Roman" w:hAnsi="Times New Roman" w:cs="Times New Roman"/>
                <w:sz w:val="24"/>
                <w:szCs w:val="24"/>
                <w:lang w:val="en-US"/>
              </w:rPr>
              <w:t xml:space="preserve">nAmb a1 </w:t>
            </w:r>
            <w:r w:rsidRPr="000768C7">
              <w:rPr>
                <w:rFonts w:ascii="Times New Roman" w:hAnsi="Times New Roman" w:cs="Times New Roman"/>
                <w:sz w:val="24"/>
                <w:szCs w:val="24"/>
              </w:rPr>
              <w:t>амброзия</w:t>
            </w:r>
            <w:r w:rsidRPr="000768C7">
              <w:rPr>
                <w:rFonts w:ascii="Times New Roman" w:eastAsia="Times New Roman" w:hAnsi="Times New Roman" w:cs="Times New Roman"/>
                <w:sz w:val="24"/>
                <w:szCs w:val="24"/>
                <w:lang w:val="en-US" w:eastAsia="ru-RU"/>
              </w:rPr>
              <w:t xml:space="preserve"> </w:t>
            </w:r>
            <w:r w:rsidRPr="000768C7">
              <w:rPr>
                <w:rFonts w:ascii="Times New Roman" w:hAnsi="Times New Roman" w:cs="Times New Roman"/>
                <w:sz w:val="24"/>
                <w:szCs w:val="24"/>
                <w:lang w:val="en-US"/>
              </w:rPr>
              <w:t>(ISU) (Me+Q</w:t>
            </w:r>
            <w:r w:rsidRPr="000768C7">
              <w:rPr>
                <w:rFonts w:ascii="Times New Roman" w:hAnsi="Times New Roman" w:cs="Times New Roman"/>
                <w:sz w:val="24"/>
                <w:szCs w:val="24"/>
                <w:vertAlign w:val="subscript"/>
                <w:lang w:val="en-US"/>
              </w:rPr>
              <w:t>25-75</w:t>
            </w:r>
            <w:r w:rsidRPr="000768C7">
              <w:rPr>
                <w:rFonts w:ascii="Times New Roman" w:hAnsi="Times New Roman" w:cs="Times New Roman"/>
                <w:sz w:val="24"/>
                <w:szCs w:val="24"/>
                <w:lang w:val="en-US"/>
              </w:rPr>
              <w:t>)</w:t>
            </w:r>
          </w:p>
        </w:tc>
        <w:tc>
          <w:tcPr>
            <w:tcW w:w="1741" w:type="pct"/>
          </w:tcPr>
          <w:p w14:paraId="0AE6C392" w14:textId="77777777" w:rsidR="009F3BD1" w:rsidRPr="000768C7" w:rsidRDefault="009F3BD1" w:rsidP="006C735A">
            <w:pPr>
              <w:jc w:val="both"/>
              <w:rPr>
                <w:rFonts w:ascii="Times New Roman" w:hAnsi="Times New Roman" w:cs="Times New Roman"/>
                <w:sz w:val="24"/>
                <w:szCs w:val="24"/>
              </w:rPr>
            </w:pPr>
            <w:r w:rsidRPr="000768C7">
              <w:rPr>
                <w:rFonts w:ascii="Times New Roman" w:eastAsia="Times New Roman" w:hAnsi="Times New Roman" w:cs="Times New Roman"/>
                <w:sz w:val="24"/>
                <w:szCs w:val="24"/>
                <w:lang w:eastAsia="ru-RU"/>
              </w:rPr>
              <w:t>5,59 (0,81-10,19)</w:t>
            </w:r>
          </w:p>
        </w:tc>
      </w:tr>
      <w:tr w:rsidR="009F3BD1" w:rsidRPr="000768C7" w14:paraId="37AB4640" w14:textId="77777777" w:rsidTr="006C735A">
        <w:tc>
          <w:tcPr>
            <w:tcW w:w="3259" w:type="pct"/>
          </w:tcPr>
          <w:p w14:paraId="05861955" w14:textId="77777777" w:rsidR="009F3BD1" w:rsidRPr="000768C7" w:rsidRDefault="009F3BD1" w:rsidP="006C735A">
            <w:pPr>
              <w:jc w:val="both"/>
              <w:rPr>
                <w:rFonts w:ascii="Times New Roman" w:eastAsia="Times New Roman" w:hAnsi="Times New Roman" w:cs="Times New Roman"/>
                <w:sz w:val="24"/>
                <w:szCs w:val="24"/>
                <w:lang w:eastAsia="ru-RU"/>
              </w:rPr>
            </w:pPr>
            <w:r w:rsidRPr="000768C7">
              <w:rPr>
                <w:rFonts w:ascii="Times New Roman" w:eastAsia="Times New Roman" w:hAnsi="Times New Roman" w:cs="Times New Roman"/>
                <w:sz w:val="24"/>
                <w:szCs w:val="24"/>
                <w:lang w:eastAsia="ru-RU"/>
              </w:rPr>
              <w:t xml:space="preserve">Витамин Д </w:t>
            </w:r>
            <w:r w:rsidRPr="000768C7">
              <w:rPr>
                <w:rFonts w:ascii="Times New Roman" w:hAnsi="Times New Roman" w:cs="Times New Roman"/>
                <w:sz w:val="24"/>
                <w:szCs w:val="24"/>
              </w:rPr>
              <w:t>(</w:t>
            </w:r>
            <w:r w:rsidRPr="000768C7">
              <w:rPr>
                <w:rFonts w:ascii="Times New Roman" w:hAnsi="Times New Roman" w:cs="Times New Roman"/>
                <w:sz w:val="24"/>
                <w:szCs w:val="24"/>
                <w:lang w:val="en-US"/>
              </w:rPr>
              <w:t>Me</w:t>
            </w:r>
            <w:r w:rsidRPr="000768C7">
              <w:rPr>
                <w:rFonts w:ascii="Times New Roman" w:hAnsi="Times New Roman" w:cs="Times New Roman"/>
                <w:sz w:val="24"/>
                <w:szCs w:val="24"/>
              </w:rPr>
              <w:t>+</w:t>
            </w:r>
            <w:r w:rsidRPr="000768C7">
              <w:rPr>
                <w:rFonts w:ascii="Times New Roman" w:hAnsi="Times New Roman" w:cs="Times New Roman"/>
                <w:sz w:val="24"/>
                <w:szCs w:val="24"/>
                <w:lang w:val="en-US"/>
              </w:rPr>
              <w:t>Q</w:t>
            </w:r>
            <w:r w:rsidRPr="000768C7">
              <w:rPr>
                <w:rFonts w:ascii="Times New Roman" w:hAnsi="Times New Roman" w:cs="Times New Roman"/>
                <w:sz w:val="24"/>
                <w:szCs w:val="24"/>
                <w:vertAlign w:val="subscript"/>
              </w:rPr>
              <w:t>25-75</w:t>
            </w:r>
            <w:r w:rsidRPr="000768C7">
              <w:rPr>
                <w:rFonts w:ascii="Times New Roman" w:hAnsi="Times New Roman" w:cs="Times New Roman"/>
                <w:sz w:val="24"/>
                <w:szCs w:val="24"/>
              </w:rPr>
              <w:t>)</w:t>
            </w:r>
          </w:p>
        </w:tc>
        <w:tc>
          <w:tcPr>
            <w:tcW w:w="1741" w:type="pct"/>
          </w:tcPr>
          <w:p w14:paraId="0486850F" w14:textId="77777777" w:rsidR="009F3BD1" w:rsidRPr="000768C7" w:rsidRDefault="009F3BD1" w:rsidP="006C735A">
            <w:pPr>
              <w:jc w:val="both"/>
              <w:rPr>
                <w:rFonts w:ascii="Times New Roman" w:hAnsi="Times New Roman" w:cs="Times New Roman"/>
                <w:sz w:val="24"/>
                <w:szCs w:val="24"/>
              </w:rPr>
            </w:pPr>
            <w:r w:rsidRPr="000768C7">
              <w:rPr>
                <w:rFonts w:ascii="Times New Roman" w:eastAsia="Times New Roman" w:hAnsi="Times New Roman" w:cs="Times New Roman"/>
                <w:sz w:val="24"/>
                <w:szCs w:val="24"/>
                <w:lang w:eastAsia="ru-RU"/>
              </w:rPr>
              <w:t>16 (13,21-24,3)</w:t>
            </w:r>
          </w:p>
        </w:tc>
      </w:tr>
      <w:tr w:rsidR="009F3BD1" w:rsidRPr="000768C7" w14:paraId="382B6D84" w14:textId="77777777" w:rsidTr="006C735A">
        <w:tc>
          <w:tcPr>
            <w:tcW w:w="3259" w:type="pct"/>
          </w:tcPr>
          <w:p w14:paraId="40B2C8C3" w14:textId="77777777" w:rsidR="009F3BD1" w:rsidRPr="000768C7" w:rsidRDefault="009F3BD1" w:rsidP="006C735A">
            <w:pPr>
              <w:jc w:val="both"/>
              <w:rPr>
                <w:rFonts w:ascii="Times New Roman" w:eastAsia="Times New Roman" w:hAnsi="Times New Roman" w:cs="Times New Roman"/>
                <w:sz w:val="24"/>
                <w:szCs w:val="24"/>
                <w:lang w:eastAsia="ru-RU"/>
              </w:rPr>
            </w:pPr>
            <w:r w:rsidRPr="000768C7">
              <w:rPr>
                <w:rFonts w:ascii="Times New Roman" w:hAnsi="Times New Roman" w:cs="Times New Roman"/>
                <w:sz w:val="24"/>
                <w:szCs w:val="24"/>
              </w:rPr>
              <w:t>Дефицит (≤ 20 нг/мл) (</w:t>
            </w:r>
            <w:r w:rsidRPr="000768C7">
              <w:rPr>
                <w:rFonts w:ascii="Times New Roman" w:hAnsi="Times New Roman" w:cs="Times New Roman"/>
                <w:sz w:val="24"/>
                <w:szCs w:val="24"/>
                <w:lang w:val="en-US"/>
              </w:rPr>
              <w:t>Me</w:t>
            </w:r>
            <w:r w:rsidRPr="000768C7">
              <w:rPr>
                <w:rFonts w:ascii="Times New Roman" w:hAnsi="Times New Roman" w:cs="Times New Roman"/>
                <w:sz w:val="24"/>
                <w:szCs w:val="24"/>
              </w:rPr>
              <w:t>+</w:t>
            </w:r>
            <w:r w:rsidRPr="000768C7">
              <w:rPr>
                <w:rFonts w:ascii="Times New Roman" w:hAnsi="Times New Roman" w:cs="Times New Roman"/>
                <w:sz w:val="24"/>
                <w:szCs w:val="24"/>
                <w:lang w:val="en-US"/>
              </w:rPr>
              <w:t>Q</w:t>
            </w:r>
            <w:r w:rsidRPr="000768C7">
              <w:rPr>
                <w:rFonts w:ascii="Times New Roman" w:hAnsi="Times New Roman" w:cs="Times New Roman"/>
                <w:sz w:val="24"/>
                <w:szCs w:val="24"/>
                <w:vertAlign w:val="subscript"/>
              </w:rPr>
              <w:t>25-75</w:t>
            </w:r>
            <w:r w:rsidRPr="000768C7">
              <w:rPr>
                <w:rFonts w:ascii="Times New Roman" w:hAnsi="Times New Roman" w:cs="Times New Roman"/>
                <w:sz w:val="24"/>
                <w:szCs w:val="24"/>
              </w:rPr>
              <w:t>)</w:t>
            </w:r>
          </w:p>
        </w:tc>
        <w:tc>
          <w:tcPr>
            <w:tcW w:w="1741" w:type="pct"/>
          </w:tcPr>
          <w:p w14:paraId="25CCAD91" w14:textId="77777777" w:rsidR="009F3BD1" w:rsidRPr="000768C7" w:rsidRDefault="009F3BD1" w:rsidP="006C735A">
            <w:pPr>
              <w:jc w:val="both"/>
              <w:rPr>
                <w:rFonts w:ascii="Times New Roman" w:hAnsi="Times New Roman" w:cs="Times New Roman"/>
                <w:sz w:val="24"/>
                <w:szCs w:val="24"/>
              </w:rPr>
            </w:pPr>
            <w:r w:rsidRPr="000768C7">
              <w:rPr>
                <w:rFonts w:ascii="Times New Roman" w:eastAsia="Times New Roman" w:hAnsi="Times New Roman" w:cs="Times New Roman"/>
                <w:sz w:val="24"/>
                <w:szCs w:val="24"/>
                <w:lang w:eastAsia="ru-RU"/>
              </w:rPr>
              <w:t>14 (10,21-15,3)</w:t>
            </w:r>
          </w:p>
        </w:tc>
      </w:tr>
      <w:tr w:rsidR="009F3BD1" w:rsidRPr="000768C7" w14:paraId="50617F41" w14:textId="77777777" w:rsidTr="006C735A">
        <w:tc>
          <w:tcPr>
            <w:tcW w:w="3259" w:type="pct"/>
          </w:tcPr>
          <w:p w14:paraId="7515329F" w14:textId="77777777" w:rsidR="009F3BD1" w:rsidRPr="000768C7" w:rsidRDefault="009F3BD1" w:rsidP="006C735A">
            <w:pPr>
              <w:jc w:val="both"/>
              <w:rPr>
                <w:rFonts w:ascii="Times New Roman" w:eastAsia="Times New Roman" w:hAnsi="Times New Roman" w:cs="Times New Roman"/>
                <w:sz w:val="24"/>
                <w:szCs w:val="24"/>
                <w:lang w:eastAsia="ru-RU"/>
              </w:rPr>
            </w:pPr>
            <w:r w:rsidRPr="000768C7">
              <w:rPr>
                <w:rFonts w:ascii="Times New Roman" w:hAnsi="Times New Roman" w:cs="Times New Roman"/>
                <w:sz w:val="24"/>
                <w:szCs w:val="24"/>
              </w:rPr>
              <w:t>Недостаточность (21-29 нг/мл) (</w:t>
            </w:r>
            <w:r w:rsidRPr="000768C7">
              <w:rPr>
                <w:rFonts w:ascii="Times New Roman" w:hAnsi="Times New Roman" w:cs="Times New Roman"/>
                <w:sz w:val="24"/>
                <w:szCs w:val="24"/>
                <w:lang w:val="en-US"/>
              </w:rPr>
              <w:t>Me</w:t>
            </w:r>
            <w:r w:rsidRPr="000768C7">
              <w:rPr>
                <w:rFonts w:ascii="Times New Roman" w:hAnsi="Times New Roman" w:cs="Times New Roman"/>
                <w:sz w:val="24"/>
                <w:szCs w:val="24"/>
              </w:rPr>
              <w:t>+</w:t>
            </w:r>
            <w:r w:rsidRPr="000768C7">
              <w:rPr>
                <w:rFonts w:ascii="Times New Roman" w:hAnsi="Times New Roman" w:cs="Times New Roman"/>
                <w:sz w:val="24"/>
                <w:szCs w:val="24"/>
                <w:lang w:val="en-US"/>
              </w:rPr>
              <w:t>Q</w:t>
            </w:r>
            <w:r w:rsidRPr="000768C7">
              <w:rPr>
                <w:rFonts w:ascii="Times New Roman" w:hAnsi="Times New Roman" w:cs="Times New Roman"/>
                <w:sz w:val="24"/>
                <w:szCs w:val="24"/>
                <w:vertAlign w:val="subscript"/>
              </w:rPr>
              <w:t>25-75</w:t>
            </w:r>
            <w:r w:rsidRPr="000768C7">
              <w:rPr>
                <w:rFonts w:ascii="Times New Roman" w:hAnsi="Times New Roman" w:cs="Times New Roman"/>
                <w:sz w:val="24"/>
                <w:szCs w:val="24"/>
              </w:rPr>
              <w:t>)</w:t>
            </w:r>
          </w:p>
        </w:tc>
        <w:tc>
          <w:tcPr>
            <w:tcW w:w="1741" w:type="pct"/>
          </w:tcPr>
          <w:p w14:paraId="4943FD84" w14:textId="77777777" w:rsidR="009F3BD1" w:rsidRPr="000768C7" w:rsidRDefault="009F3BD1" w:rsidP="006C735A">
            <w:pPr>
              <w:jc w:val="both"/>
              <w:rPr>
                <w:rFonts w:ascii="Times New Roman" w:hAnsi="Times New Roman" w:cs="Times New Roman"/>
                <w:sz w:val="24"/>
                <w:szCs w:val="24"/>
              </w:rPr>
            </w:pPr>
            <w:r w:rsidRPr="000768C7">
              <w:rPr>
                <w:rFonts w:ascii="Times New Roman" w:eastAsia="Times New Roman" w:hAnsi="Times New Roman" w:cs="Times New Roman"/>
                <w:sz w:val="24"/>
                <w:szCs w:val="24"/>
                <w:lang w:eastAsia="ru-RU"/>
              </w:rPr>
              <w:t>23,25 (21,9-24,3)</w:t>
            </w:r>
          </w:p>
        </w:tc>
      </w:tr>
      <w:tr w:rsidR="009F3BD1" w:rsidRPr="000768C7" w14:paraId="09EC4A58" w14:textId="77777777" w:rsidTr="006C735A">
        <w:tc>
          <w:tcPr>
            <w:tcW w:w="3259" w:type="pct"/>
          </w:tcPr>
          <w:p w14:paraId="475BB356" w14:textId="77777777" w:rsidR="009F3BD1" w:rsidRPr="000768C7" w:rsidRDefault="009F3BD1" w:rsidP="006C735A">
            <w:pPr>
              <w:jc w:val="both"/>
              <w:rPr>
                <w:rFonts w:ascii="Times New Roman" w:eastAsia="Times New Roman" w:hAnsi="Times New Roman" w:cs="Times New Roman"/>
                <w:sz w:val="24"/>
                <w:szCs w:val="24"/>
                <w:lang w:eastAsia="ru-RU"/>
              </w:rPr>
            </w:pPr>
            <w:r w:rsidRPr="000768C7">
              <w:rPr>
                <w:rFonts w:ascii="Times New Roman" w:hAnsi="Times New Roman" w:cs="Times New Roman"/>
                <w:sz w:val="24"/>
                <w:szCs w:val="24"/>
              </w:rPr>
              <w:t>Адекватный уровень (≥30 нг/мл) (</w:t>
            </w:r>
            <w:r w:rsidRPr="000768C7">
              <w:rPr>
                <w:rFonts w:ascii="Times New Roman" w:hAnsi="Times New Roman" w:cs="Times New Roman"/>
                <w:sz w:val="24"/>
                <w:szCs w:val="24"/>
                <w:lang w:val="en-US"/>
              </w:rPr>
              <w:t>Me</w:t>
            </w:r>
            <w:r w:rsidRPr="000768C7">
              <w:rPr>
                <w:rFonts w:ascii="Times New Roman" w:hAnsi="Times New Roman" w:cs="Times New Roman"/>
                <w:sz w:val="24"/>
                <w:szCs w:val="24"/>
              </w:rPr>
              <w:t>+</w:t>
            </w:r>
            <w:r w:rsidRPr="000768C7">
              <w:rPr>
                <w:rFonts w:ascii="Times New Roman" w:hAnsi="Times New Roman" w:cs="Times New Roman"/>
                <w:sz w:val="24"/>
                <w:szCs w:val="24"/>
                <w:lang w:val="en-US"/>
              </w:rPr>
              <w:t>Q</w:t>
            </w:r>
            <w:r w:rsidRPr="000768C7">
              <w:rPr>
                <w:rFonts w:ascii="Times New Roman" w:hAnsi="Times New Roman" w:cs="Times New Roman"/>
                <w:sz w:val="24"/>
                <w:szCs w:val="24"/>
                <w:vertAlign w:val="subscript"/>
              </w:rPr>
              <w:t>25-75</w:t>
            </w:r>
            <w:r w:rsidRPr="000768C7">
              <w:rPr>
                <w:rFonts w:ascii="Times New Roman" w:hAnsi="Times New Roman" w:cs="Times New Roman"/>
                <w:sz w:val="24"/>
                <w:szCs w:val="24"/>
              </w:rPr>
              <w:t>)</w:t>
            </w:r>
          </w:p>
        </w:tc>
        <w:tc>
          <w:tcPr>
            <w:tcW w:w="1741" w:type="pct"/>
          </w:tcPr>
          <w:p w14:paraId="23FBB21A" w14:textId="77777777" w:rsidR="009F3BD1" w:rsidRPr="000768C7" w:rsidRDefault="009F3BD1" w:rsidP="006C735A">
            <w:pPr>
              <w:jc w:val="both"/>
              <w:rPr>
                <w:rFonts w:ascii="Times New Roman" w:hAnsi="Times New Roman" w:cs="Times New Roman"/>
                <w:sz w:val="24"/>
                <w:szCs w:val="24"/>
              </w:rPr>
            </w:pPr>
            <w:r w:rsidRPr="000768C7">
              <w:rPr>
                <w:rFonts w:ascii="Times New Roman" w:eastAsia="Times New Roman" w:hAnsi="Times New Roman" w:cs="Times New Roman"/>
                <w:sz w:val="24"/>
                <w:szCs w:val="24"/>
                <w:lang w:eastAsia="ru-RU"/>
              </w:rPr>
              <w:t>36 (34,2-38,75)</w:t>
            </w:r>
          </w:p>
        </w:tc>
      </w:tr>
    </w:tbl>
    <w:p w14:paraId="48ECBC9A" w14:textId="77777777" w:rsidR="009F3BD1" w:rsidRPr="000768C7" w:rsidRDefault="009F3BD1" w:rsidP="009F3BD1">
      <w:pPr>
        <w:tabs>
          <w:tab w:val="left" w:pos="1454"/>
        </w:tabs>
        <w:spacing w:after="0" w:line="240" w:lineRule="auto"/>
        <w:ind w:firstLine="567"/>
        <w:jc w:val="both"/>
        <w:rPr>
          <w:rFonts w:ascii="Times New Roman" w:hAnsi="Times New Roman" w:cs="Times New Roman"/>
        </w:rPr>
      </w:pPr>
      <w:r w:rsidRPr="000768C7">
        <w:rPr>
          <w:rFonts w:ascii="Times New Roman" w:hAnsi="Times New Roman" w:cs="Times New Roman"/>
          <w:lang w:val="en-US"/>
        </w:rPr>
        <w:t>Me</w:t>
      </w:r>
      <w:r w:rsidRPr="000768C7">
        <w:rPr>
          <w:rFonts w:ascii="Times New Roman" w:hAnsi="Times New Roman" w:cs="Times New Roman"/>
        </w:rPr>
        <w:t>+</w:t>
      </w:r>
      <w:r w:rsidRPr="000768C7">
        <w:rPr>
          <w:rFonts w:ascii="Times New Roman" w:hAnsi="Times New Roman" w:cs="Times New Roman"/>
          <w:lang w:val="en-US"/>
        </w:rPr>
        <w:t>Q</w:t>
      </w:r>
      <w:r w:rsidRPr="000768C7">
        <w:rPr>
          <w:rFonts w:ascii="Times New Roman" w:hAnsi="Times New Roman" w:cs="Times New Roman"/>
          <w:vertAlign w:val="subscript"/>
        </w:rPr>
        <w:t>25-75</w:t>
      </w:r>
      <w:r w:rsidRPr="000768C7">
        <w:rPr>
          <w:rFonts w:ascii="Times New Roman" w:hAnsi="Times New Roman" w:cs="Times New Roman"/>
        </w:rPr>
        <w:t xml:space="preserve"> – медиана (нижний и верхний квартиль)</w:t>
      </w:r>
    </w:p>
    <w:p w14:paraId="3D0C4759" w14:textId="77777777" w:rsidR="009F3BD1" w:rsidRPr="00EC38CC" w:rsidRDefault="009F3BD1" w:rsidP="009F3BD1">
      <w:pPr>
        <w:spacing w:after="0" w:line="240" w:lineRule="auto"/>
        <w:ind w:firstLine="567"/>
        <w:jc w:val="both"/>
        <w:rPr>
          <w:rFonts w:ascii="Times New Roman" w:hAnsi="Times New Roman" w:cs="Times New Roman"/>
          <w:b/>
          <w:bCs/>
          <w:sz w:val="28"/>
          <w:szCs w:val="28"/>
        </w:rPr>
      </w:pPr>
    </w:p>
    <w:p w14:paraId="1B19EE49" w14:textId="77777777" w:rsidR="009F3BD1" w:rsidRPr="00EC38CC" w:rsidRDefault="009F3BD1" w:rsidP="009F3BD1">
      <w:pPr>
        <w:spacing w:after="0" w:line="240" w:lineRule="auto"/>
        <w:jc w:val="center"/>
        <w:rPr>
          <w:rFonts w:ascii="Times New Roman" w:hAnsi="Times New Roman" w:cs="Times New Roman"/>
          <w:sz w:val="28"/>
          <w:szCs w:val="28"/>
        </w:rPr>
      </w:pPr>
      <w:r w:rsidRPr="00EC38CC">
        <w:rPr>
          <w:rFonts w:ascii="Times New Roman" w:hAnsi="Times New Roman" w:cs="Times New Roman"/>
          <w:sz w:val="28"/>
          <w:szCs w:val="28"/>
        </w:rPr>
        <w:t>Характеристика пациентов по аллергенному статусу перед началом исследования (</w:t>
      </w:r>
      <w:r w:rsidRPr="00EC38CC">
        <w:rPr>
          <w:rFonts w:ascii="Times New Roman" w:hAnsi="Times New Roman" w:cs="Times New Roman"/>
          <w:sz w:val="28"/>
          <w:szCs w:val="28"/>
          <w:lang w:val="en-US"/>
        </w:rPr>
        <w:t>n</w:t>
      </w:r>
      <w:r w:rsidRPr="00EC38CC">
        <w:rPr>
          <w:rFonts w:ascii="Times New Roman" w:hAnsi="Times New Roman" w:cs="Times New Roman"/>
          <w:sz w:val="28"/>
          <w:szCs w:val="28"/>
        </w:rPr>
        <w:t>=55)</w:t>
      </w:r>
    </w:p>
    <w:p w14:paraId="4CD72EE6" w14:textId="77777777" w:rsidR="009F3BD1" w:rsidRPr="00EC38CC" w:rsidRDefault="009F3BD1" w:rsidP="009F3BD1">
      <w:pPr>
        <w:spacing w:after="0" w:line="240" w:lineRule="auto"/>
        <w:jc w:val="both"/>
        <w:rPr>
          <w:rFonts w:ascii="Times New Roman" w:hAnsi="Times New Roman" w:cs="Times New Roman"/>
          <w:sz w:val="28"/>
          <w:szCs w:val="28"/>
        </w:rPr>
      </w:pPr>
    </w:p>
    <w:tbl>
      <w:tblPr>
        <w:tblStyle w:val="af3"/>
        <w:tblW w:w="4930" w:type="pct"/>
        <w:tblInd w:w="-5" w:type="dxa"/>
        <w:tblLook w:val="04A0" w:firstRow="1" w:lastRow="0" w:firstColumn="1" w:lastColumn="0" w:noHBand="0" w:noVBand="1"/>
      </w:tblPr>
      <w:tblGrid>
        <w:gridCol w:w="2991"/>
        <w:gridCol w:w="1978"/>
        <w:gridCol w:w="2918"/>
        <w:gridCol w:w="1606"/>
      </w:tblGrid>
      <w:tr w:rsidR="009F3BD1" w:rsidRPr="000768C7" w14:paraId="4810D8D5" w14:textId="77777777" w:rsidTr="006C735A">
        <w:trPr>
          <w:trHeight w:val="20"/>
        </w:trPr>
        <w:tc>
          <w:tcPr>
            <w:tcW w:w="2617" w:type="pct"/>
            <w:gridSpan w:val="2"/>
          </w:tcPr>
          <w:p w14:paraId="762F1939"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Специфический ИгЕ</w:t>
            </w:r>
          </w:p>
        </w:tc>
        <w:tc>
          <w:tcPr>
            <w:tcW w:w="1537" w:type="pct"/>
          </w:tcPr>
          <w:p w14:paraId="07E7A096"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Маркер</w:t>
            </w:r>
          </w:p>
        </w:tc>
        <w:tc>
          <w:tcPr>
            <w:tcW w:w="846" w:type="pct"/>
          </w:tcPr>
          <w:p w14:paraId="5C085E27"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Абс, (%)</w:t>
            </w:r>
          </w:p>
        </w:tc>
      </w:tr>
      <w:tr w:rsidR="009F3BD1" w:rsidRPr="000768C7" w14:paraId="635646D3" w14:textId="77777777" w:rsidTr="006C735A">
        <w:tc>
          <w:tcPr>
            <w:tcW w:w="1575" w:type="pct"/>
            <w:vMerge w:val="restart"/>
          </w:tcPr>
          <w:p w14:paraId="495B34FA"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тимофеевка</w:t>
            </w:r>
          </w:p>
        </w:tc>
        <w:tc>
          <w:tcPr>
            <w:tcW w:w="1042" w:type="pct"/>
          </w:tcPr>
          <w:p w14:paraId="4B0C2D3E"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rPhl p 1</w:t>
            </w:r>
          </w:p>
        </w:tc>
        <w:tc>
          <w:tcPr>
            <w:tcW w:w="1537" w:type="pct"/>
          </w:tcPr>
          <w:p w14:paraId="2D3075DF"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мажорный</w:t>
            </w:r>
          </w:p>
        </w:tc>
        <w:tc>
          <w:tcPr>
            <w:tcW w:w="846" w:type="pct"/>
          </w:tcPr>
          <w:p w14:paraId="3726B764"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35 (64%)</w:t>
            </w:r>
          </w:p>
        </w:tc>
      </w:tr>
      <w:tr w:rsidR="009F3BD1" w:rsidRPr="000768C7" w14:paraId="35411D9E" w14:textId="77777777" w:rsidTr="006C735A">
        <w:tc>
          <w:tcPr>
            <w:tcW w:w="1575" w:type="pct"/>
            <w:vMerge/>
          </w:tcPr>
          <w:p w14:paraId="7FE80223" w14:textId="77777777" w:rsidR="009F3BD1" w:rsidRPr="000768C7" w:rsidRDefault="009F3BD1" w:rsidP="006C735A">
            <w:pPr>
              <w:jc w:val="both"/>
              <w:rPr>
                <w:rFonts w:ascii="Times New Roman" w:hAnsi="Times New Roman" w:cs="Times New Roman"/>
                <w:sz w:val="24"/>
                <w:szCs w:val="24"/>
              </w:rPr>
            </w:pPr>
          </w:p>
        </w:tc>
        <w:tc>
          <w:tcPr>
            <w:tcW w:w="1042" w:type="pct"/>
          </w:tcPr>
          <w:p w14:paraId="02A6F1BA"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rPhl p 2</w:t>
            </w:r>
          </w:p>
        </w:tc>
        <w:tc>
          <w:tcPr>
            <w:tcW w:w="1537" w:type="pct"/>
          </w:tcPr>
          <w:p w14:paraId="59942D88"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минорный</w:t>
            </w:r>
          </w:p>
        </w:tc>
        <w:tc>
          <w:tcPr>
            <w:tcW w:w="846" w:type="pct"/>
          </w:tcPr>
          <w:p w14:paraId="24A3A6C2"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6 (11%)</w:t>
            </w:r>
          </w:p>
        </w:tc>
      </w:tr>
      <w:tr w:rsidR="009F3BD1" w:rsidRPr="000768C7" w14:paraId="74A254D3" w14:textId="77777777" w:rsidTr="006C735A">
        <w:tc>
          <w:tcPr>
            <w:tcW w:w="1575" w:type="pct"/>
            <w:vMerge/>
          </w:tcPr>
          <w:p w14:paraId="1E1A18A2" w14:textId="77777777" w:rsidR="009F3BD1" w:rsidRPr="000768C7" w:rsidRDefault="009F3BD1" w:rsidP="006C735A">
            <w:pPr>
              <w:jc w:val="both"/>
              <w:rPr>
                <w:rFonts w:ascii="Times New Roman" w:hAnsi="Times New Roman" w:cs="Times New Roman"/>
                <w:sz w:val="24"/>
                <w:szCs w:val="24"/>
              </w:rPr>
            </w:pPr>
          </w:p>
        </w:tc>
        <w:tc>
          <w:tcPr>
            <w:tcW w:w="1042" w:type="pct"/>
          </w:tcPr>
          <w:p w14:paraId="6A2FB758"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rPhl p 4</w:t>
            </w:r>
          </w:p>
        </w:tc>
        <w:tc>
          <w:tcPr>
            <w:tcW w:w="1537" w:type="pct"/>
          </w:tcPr>
          <w:p w14:paraId="4399A986"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минорный</w:t>
            </w:r>
          </w:p>
        </w:tc>
        <w:tc>
          <w:tcPr>
            <w:tcW w:w="846" w:type="pct"/>
          </w:tcPr>
          <w:p w14:paraId="79094B80"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7 (13%)</w:t>
            </w:r>
          </w:p>
        </w:tc>
      </w:tr>
      <w:tr w:rsidR="009F3BD1" w:rsidRPr="000768C7" w14:paraId="09F21748" w14:textId="77777777" w:rsidTr="006C735A">
        <w:tc>
          <w:tcPr>
            <w:tcW w:w="1575" w:type="pct"/>
            <w:vMerge/>
          </w:tcPr>
          <w:p w14:paraId="129D0F14" w14:textId="77777777" w:rsidR="009F3BD1" w:rsidRPr="000768C7" w:rsidRDefault="009F3BD1" w:rsidP="006C735A">
            <w:pPr>
              <w:jc w:val="both"/>
              <w:rPr>
                <w:rFonts w:ascii="Times New Roman" w:hAnsi="Times New Roman" w:cs="Times New Roman"/>
                <w:sz w:val="24"/>
                <w:szCs w:val="24"/>
              </w:rPr>
            </w:pPr>
          </w:p>
        </w:tc>
        <w:tc>
          <w:tcPr>
            <w:tcW w:w="1042" w:type="pct"/>
          </w:tcPr>
          <w:p w14:paraId="2E581F73"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rPhl p 5</w:t>
            </w:r>
          </w:p>
        </w:tc>
        <w:tc>
          <w:tcPr>
            <w:tcW w:w="1537" w:type="pct"/>
          </w:tcPr>
          <w:p w14:paraId="05BB4690"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мажорный</w:t>
            </w:r>
          </w:p>
        </w:tc>
        <w:tc>
          <w:tcPr>
            <w:tcW w:w="846" w:type="pct"/>
          </w:tcPr>
          <w:p w14:paraId="7C8EB63C"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9 (16%)</w:t>
            </w:r>
          </w:p>
        </w:tc>
      </w:tr>
      <w:tr w:rsidR="009F3BD1" w:rsidRPr="000768C7" w14:paraId="15E569E7" w14:textId="77777777" w:rsidTr="006C735A">
        <w:tc>
          <w:tcPr>
            <w:tcW w:w="1575" w:type="pct"/>
            <w:vMerge/>
          </w:tcPr>
          <w:p w14:paraId="2773E5D2" w14:textId="77777777" w:rsidR="009F3BD1" w:rsidRPr="000768C7" w:rsidRDefault="009F3BD1" w:rsidP="006C735A">
            <w:pPr>
              <w:jc w:val="both"/>
              <w:rPr>
                <w:rFonts w:ascii="Times New Roman" w:hAnsi="Times New Roman" w:cs="Times New Roman"/>
                <w:sz w:val="24"/>
                <w:szCs w:val="24"/>
              </w:rPr>
            </w:pPr>
          </w:p>
        </w:tc>
        <w:tc>
          <w:tcPr>
            <w:tcW w:w="1042" w:type="pct"/>
          </w:tcPr>
          <w:p w14:paraId="244479C4"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rPhl p 6</w:t>
            </w:r>
          </w:p>
        </w:tc>
        <w:tc>
          <w:tcPr>
            <w:tcW w:w="1537" w:type="pct"/>
          </w:tcPr>
          <w:p w14:paraId="72000AD3"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минорный</w:t>
            </w:r>
          </w:p>
        </w:tc>
        <w:tc>
          <w:tcPr>
            <w:tcW w:w="846" w:type="pct"/>
          </w:tcPr>
          <w:p w14:paraId="06AC2A74"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5 (9%)</w:t>
            </w:r>
          </w:p>
        </w:tc>
      </w:tr>
      <w:tr w:rsidR="009F3BD1" w:rsidRPr="000768C7" w14:paraId="3BE1DF73" w14:textId="77777777" w:rsidTr="006C735A">
        <w:tc>
          <w:tcPr>
            <w:tcW w:w="1575" w:type="pct"/>
            <w:vMerge/>
          </w:tcPr>
          <w:p w14:paraId="1D1C7A84" w14:textId="77777777" w:rsidR="009F3BD1" w:rsidRPr="000768C7" w:rsidRDefault="009F3BD1" w:rsidP="006C735A">
            <w:pPr>
              <w:jc w:val="both"/>
              <w:rPr>
                <w:rFonts w:ascii="Times New Roman" w:hAnsi="Times New Roman" w:cs="Times New Roman"/>
                <w:sz w:val="24"/>
                <w:szCs w:val="24"/>
              </w:rPr>
            </w:pPr>
          </w:p>
        </w:tc>
        <w:tc>
          <w:tcPr>
            <w:tcW w:w="1042" w:type="pct"/>
          </w:tcPr>
          <w:p w14:paraId="6894EB40"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rPhl p 11</w:t>
            </w:r>
          </w:p>
        </w:tc>
        <w:tc>
          <w:tcPr>
            <w:tcW w:w="1537" w:type="pct"/>
          </w:tcPr>
          <w:p w14:paraId="3411D32A"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минорный</w:t>
            </w:r>
          </w:p>
        </w:tc>
        <w:tc>
          <w:tcPr>
            <w:tcW w:w="846" w:type="pct"/>
          </w:tcPr>
          <w:p w14:paraId="2ADEAEBA"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2 (4%)</w:t>
            </w:r>
          </w:p>
        </w:tc>
      </w:tr>
      <w:tr w:rsidR="009F3BD1" w:rsidRPr="000768C7" w14:paraId="5EA00A23" w14:textId="77777777" w:rsidTr="006C735A">
        <w:tc>
          <w:tcPr>
            <w:tcW w:w="1575" w:type="pct"/>
            <w:vMerge/>
          </w:tcPr>
          <w:p w14:paraId="63461C5C" w14:textId="77777777" w:rsidR="009F3BD1" w:rsidRPr="000768C7" w:rsidRDefault="009F3BD1" w:rsidP="006C735A">
            <w:pPr>
              <w:jc w:val="both"/>
              <w:rPr>
                <w:rFonts w:ascii="Times New Roman" w:hAnsi="Times New Roman" w:cs="Times New Roman"/>
                <w:sz w:val="24"/>
                <w:szCs w:val="24"/>
              </w:rPr>
            </w:pPr>
          </w:p>
        </w:tc>
        <w:tc>
          <w:tcPr>
            <w:tcW w:w="1042" w:type="pct"/>
          </w:tcPr>
          <w:p w14:paraId="13BAF09B"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rPhl p 12</w:t>
            </w:r>
          </w:p>
        </w:tc>
        <w:tc>
          <w:tcPr>
            <w:tcW w:w="1537" w:type="pct"/>
          </w:tcPr>
          <w:p w14:paraId="05AD3577"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минорный перекрёстный</w:t>
            </w:r>
          </w:p>
        </w:tc>
        <w:tc>
          <w:tcPr>
            <w:tcW w:w="846" w:type="pct"/>
          </w:tcPr>
          <w:p w14:paraId="60E8D0D3"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8 (15%)</w:t>
            </w:r>
          </w:p>
        </w:tc>
      </w:tr>
      <w:tr w:rsidR="009F3BD1" w:rsidRPr="000768C7" w14:paraId="5598BFF3" w14:textId="77777777" w:rsidTr="006C735A">
        <w:tc>
          <w:tcPr>
            <w:tcW w:w="1575" w:type="pct"/>
            <w:vMerge w:val="restart"/>
          </w:tcPr>
          <w:p w14:paraId="3CB1D89A"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береза</w:t>
            </w:r>
          </w:p>
        </w:tc>
        <w:tc>
          <w:tcPr>
            <w:tcW w:w="1042" w:type="pct"/>
          </w:tcPr>
          <w:p w14:paraId="0DCF5767"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rBet v 1</w:t>
            </w:r>
          </w:p>
        </w:tc>
        <w:tc>
          <w:tcPr>
            <w:tcW w:w="1537" w:type="pct"/>
          </w:tcPr>
          <w:p w14:paraId="6658BA85"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мажорный</w:t>
            </w:r>
          </w:p>
          <w:p w14:paraId="74F871AE"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перекрёстный</w:t>
            </w:r>
          </w:p>
        </w:tc>
        <w:tc>
          <w:tcPr>
            <w:tcW w:w="846" w:type="pct"/>
          </w:tcPr>
          <w:p w14:paraId="7A2E1997"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12 (22%)</w:t>
            </w:r>
          </w:p>
        </w:tc>
      </w:tr>
      <w:tr w:rsidR="009F3BD1" w:rsidRPr="000768C7" w14:paraId="29FCDBEA" w14:textId="77777777" w:rsidTr="006C735A">
        <w:tc>
          <w:tcPr>
            <w:tcW w:w="1575" w:type="pct"/>
            <w:vMerge/>
          </w:tcPr>
          <w:p w14:paraId="60089E20" w14:textId="77777777" w:rsidR="009F3BD1" w:rsidRPr="000768C7" w:rsidRDefault="009F3BD1" w:rsidP="006C735A">
            <w:pPr>
              <w:jc w:val="both"/>
              <w:rPr>
                <w:rFonts w:ascii="Times New Roman" w:hAnsi="Times New Roman" w:cs="Times New Roman"/>
                <w:sz w:val="24"/>
                <w:szCs w:val="24"/>
              </w:rPr>
            </w:pPr>
          </w:p>
        </w:tc>
        <w:tc>
          <w:tcPr>
            <w:tcW w:w="1042" w:type="pct"/>
          </w:tcPr>
          <w:p w14:paraId="45A70B17"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rBet v 2</w:t>
            </w:r>
          </w:p>
        </w:tc>
        <w:tc>
          <w:tcPr>
            <w:tcW w:w="1537" w:type="pct"/>
          </w:tcPr>
          <w:p w14:paraId="3461468D"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минорный перекрёстный</w:t>
            </w:r>
          </w:p>
        </w:tc>
        <w:tc>
          <w:tcPr>
            <w:tcW w:w="846" w:type="pct"/>
          </w:tcPr>
          <w:p w14:paraId="12DC56DB"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16 (29%)</w:t>
            </w:r>
          </w:p>
        </w:tc>
      </w:tr>
      <w:tr w:rsidR="009F3BD1" w:rsidRPr="000768C7" w14:paraId="1953E547" w14:textId="77777777" w:rsidTr="006C735A">
        <w:tc>
          <w:tcPr>
            <w:tcW w:w="1575" w:type="pct"/>
            <w:vMerge/>
          </w:tcPr>
          <w:p w14:paraId="648D5701" w14:textId="77777777" w:rsidR="009F3BD1" w:rsidRPr="000768C7" w:rsidRDefault="009F3BD1" w:rsidP="006C735A">
            <w:pPr>
              <w:jc w:val="both"/>
              <w:rPr>
                <w:rFonts w:ascii="Times New Roman" w:hAnsi="Times New Roman" w:cs="Times New Roman"/>
                <w:sz w:val="24"/>
                <w:szCs w:val="24"/>
              </w:rPr>
            </w:pPr>
          </w:p>
        </w:tc>
        <w:tc>
          <w:tcPr>
            <w:tcW w:w="1042" w:type="pct"/>
          </w:tcPr>
          <w:p w14:paraId="1D4FA7A5"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rBet v 4</w:t>
            </w:r>
          </w:p>
        </w:tc>
        <w:tc>
          <w:tcPr>
            <w:tcW w:w="1537" w:type="pct"/>
          </w:tcPr>
          <w:p w14:paraId="13DF1619"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минорный перекрёстный</w:t>
            </w:r>
          </w:p>
        </w:tc>
        <w:tc>
          <w:tcPr>
            <w:tcW w:w="846" w:type="pct"/>
          </w:tcPr>
          <w:p w14:paraId="705F768D"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 (2%)</w:t>
            </w:r>
          </w:p>
        </w:tc>
      </w:tr>
      <w:tr w:rsidR="009F3BD1" w:rsidRPr="000768C7" w14:paraId="22A1F14F" w14:textId="77777777" w:rsidTr="006C735A">
        <w:tc>
          <w:tcPr>
            <w:tcW w:w="1575" w:type="pct"/>
            <w:vMerge w:val="restart"/>
          </w:tcPr>
          <w:p w14:paraId="428F978E"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полынь</w:t>
            </w:r>
          </w:p>
        </w:tc>
        <w:tc>
          <w:tcPr>
            <w:tcW w:w="1042" w:type="pct"/>
          </w:tcPr>
          <w:p w14:paraId="19B5F65C"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nArt v 1</w:t>
            </w:r>
          </w:p>
        </w:tc>
        <w:tc>
          <w:tcPr>
            <w:tcW w:w="1537" w:type="pct"/>
          </w:tcPr>
          <w:p w14:paraId="74B8DDBE"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мажорный</w:t>
            </w:r>
          </w:p>
        </w:tc>
        <w:tc>
          <w:tcPr>
            <w:tcW w:w="846" w:type="pct"/>
          </w:tcPr>
          <w:p w14:paraId="731FB64F"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40 (73%)</w:t>
            </w:r>
          </w:p>
        </w:tc>
      </w:tr>
      <w:tr w:rsidR="009F3BD1" w:rsidRPr="000768C7" w14:paraId="6C9B9EB8" w14:textId="77777777" w:rsidTr="006C735A">
        <w:tc>
          <w:tcPr>
            <w:tcW w:w="1575" w:type="pct"/>
            <w:vMerge/>
          </w:tcPr>
          <w:p w14:paraId="39B319E0" w14:textId="77777777" w:rsidR="009F3BD1" w:rsidRPr="000768C7" w:rsidRDefault="009F3BD1" w:rsidP="006C735A">
            <w:pPr>
              <w:jc w:val="both"/>
              <w:rPr>
                <w:rFonts w:ascii="Times New Roman" w:hAnsi="Times New Roman" w:cs="Times New Roman"/>
                <w:sz w:val="24"/>
                <w:szCs w:val="24"/>
              </w:rPr>
            </w:pPr>
          </w:p>
        </w:tc>
        <w:tc>
          <w:tcPr>
            <w:tcW w:w="1042" w:type="pct"/>
          </w:tcPr>
          <w:p w14:paraId="26F4665E"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n Art v 3</w:t>
            </w:r>
          </w:p>
        </w:tc>
        <w:tc>
          <w:tcPr>
            <w:tcW w:w="1537" w:type="pct"/>
          </w:tcPr>
          <w:p w14:paraId="0907DC46"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минорный перекрёстный</w:t>
            </w:r>
          </w:p>
        </w:tc>
        <w:tc>
          <w:tcPr>
            <w:tcW w:w="846" w:type="pct"/>
          </w:tcPr>
          <w:p w14:paraId="0D9A1EC8"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15 (27%)</w:t>
            </w:r>
          </w:p>
        </w:tc>
      </w:tr>
      <w:tr w:rsidR="009F3BD1" w:rsidRPr="000768C7" w14:paraId="2783BF2C" w14:textId="77777777" w:rsidTr="006C735A">
        <w:tc>
          <w:tcPr>
            <w:tcW w:w="1575" w:type="pct"/>
          </w:tcPr>
          <w:p w14:paraId="2924DE4C"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амброзия</w:t>
            </w:r>
          </w:p>
        </w:tc>
        <w:tc>
          <w:tcPr>
            <w:tcW w:w="1042" w:type="pct"/>
          </w:tcPr>
          <w:p w14:paraId="0670E15B"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nAmb a 1</w:t>
            </w:r>
          </w:p>
        </w:tc>
        <w:tc>
          <w:tcPr>
            <w:tcW w:w="1537" w:type="pct"/>
          </w:tcPr>
          <w:p w14:paraId="33820812"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мажорный</w:t>
            </w:r>
          </w:p>
        </w:tc>
        <w:tc>
          <w:tcPr>
            <w:tcW w:w="846" w:type="pct"/>
          </w:tcPr>
          <w:p w14:paraId="1E7C743B"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27 (49%)</w:t>
            </w:r>
          </w:p>
        </w:tc>
      </w:tr>
      <w:tr w:rsidR="009F3BD1" w:rsidRPr="000768C7" w14:paraId="10C4B56A" w14:textId="77777777" w:rsidTr="006C735A">
        <w:tc>
          <w:tcPr>
            <w:tcW w:w="1575" w:type="pct"/>
          </w:tcPr>
          <w:p w14:paraId="0449B642"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курай, русский чертополох</w:t>
            </w:r>
          </w:p>
        </w:tc>
        <w:tc>
          <w:tcPr>
            <w:tcW w:w="1042" w:type="pct"/>
          </w:tcPr>
          <w:p w14:paraId="1AE1A917"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nSal k 1</w:t>
            </w:r>
          </w:p>
        </w:tc>
        <w:tc>
          <w:tcPr>
            <w:tcW w:w="1537" w:type="pct"/>
          </w:tcPr>
          <w:p w14:paraId="5E20AA26"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мажорный</w:t>
            </w:r>
          </w:p>
        </w:tc>
        <w:tc>
          <w:tcPr>
            <w:tcW w:w="846" w:type="pct"/>
          </w:tcPr>
          <w:p w14:paraId="262C68FF"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14 (25%)</w:t>
            </w:r>
          </w:p>
        </w:tc>
      </w:tr>
      <w:tr w:rsidR="009F3BD1" w:rsidRPr="000768C7" w14:paraId="348BA5BD" w14:textId="77777777" w:rsidTr="006C735A">
        <w:tc>
          <w:tcPr>
            <w:tcW w:w="1575" w:type="pct"/>
          </w:tcPr>
          <w:p w14:paraId="65704E84"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подорожник</w:t>
            </w:r>
          </w:p>
        </w:tc>
        <w:tc>
          <w:tcPr>
            <w:tcW w:w="1042" w:type="pct"/>
          </w:tcPr>
          <w:p w14:paraId="208101D6"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rPla I 1</w:t>
            </w:r>
          </w:p>
        </w:tc>
        <w:tc>
          <w:tcPr>
            <w:tcW w:w="1537" w:type="pct"/>
          </w:tcPr>
          <w:p w14:paraId="10302717"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мажорный</w:t>
            </w:r>
          </w:p>
        </w:tc>
        <w:tc>
          <w:tcPr>
            <w:tcW w:w="846" w:type="pct"/>
          </w:tcPr>
          <w:p w14:paraId="2258679D"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 (2%)</w:t>
            </w:r>
          </w:p>
        </w:tc>
      </w:tr>
      <w:tr w:rsidR="009F3BD1" w:rsidRPr="000768C7" w14:paraId="2B6D2C01" w14:textId="77777777" w:rsidTr="006C735A">
        <w:tc>
          <w:tcPr>
            <w:tcW w:w="1575" w:type="pct"/>
          </w:tcPr>
          <w:p w14:paraId="6C6203DF"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японский кедр</w:t>
            </w:r>
          </w:p>
        </w:tc>
        <w:tc>
          <w:tcPr>
            <w:tcW w:w="1042" w:type="pct"/>
          </w:tcPr>
          <w:p w14:paraId="073B7568"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nCry j 1</w:t>
            </w:r>
          </w:p>
        </w:tc>
        <w:tc>
          <w:tcPr>
            <w:tcW w:w="1537" w:type="pct"/>
          </w:tcPr>
          <w:p w14:paraId="0F13BFC5"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мажорный</w:t>
            </w:r>
          </w:p>
        </w:tc>
        <w:tc>
          <w:tcPr>
            <w:tcW w:w="846" w:type="pct"/>
          </w:tcPr>
          <w:p w14:paraId="03B0A9C2"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12 (22%)</w:t>
            </w:r>
          </w:p>
        </w:tc>
      </w:tr>
      <w:tr w:rsidR="009F3BD1" w:rsidRPr="000768C7" w14:paraId="586791A9" w14:textId="77777777" w:rsidTr="006C735A">
        <w:tc>
          <w:tcPr>
            <w:tcW w:w="1575" w:type="pct"/>
          </w:tcPr>
          <w:p w14:paraId="163DE281"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кипарис</w:t>
            </w:r>
          </w:p>
        </w:tc>
        <w:tc>
          <w:tcPr>
            <w:tcW w:w="1042" w:type="pct"/>
          </w:tcPr>
          <w:p w14:paraId="5F2734EB"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nCup a 1</w:t>
            </w:r>
          </w:p>
        </w:tc>
        <w:tc>
          <w:tcPr>
            <w:tcW w:w="1537" w:type="pct"/>
          </w:tcPr>
          <w:p w14:paraId="7E261533"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мажорный</w:t>
            </w:r>
          </w:p>
        </w:tc>
        <w:tc>
          <w:tcPr>
            <w:tcW w:w="846" w:type="pct"/>
          </w:tcPr>
          <w:p w14:paraId="16085312"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5 (9%)</w:t>
            </w:r>
          </w:p>
        </w:tc>
      </w:tr>
      <w:tr w:rsidR="009F3BD1" w:rsidRPr="000768C7" w14:paraId="2644A5E9" w14:textId="77777777" w:rsidTr="006C735A">
        <w:tc>
          <w:tcPr>
            <w:tcW w:w="1575" w:type="pct"/>
          </w:tcPr>
          <w:p w14:paraId="184BDC1C"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марь</w:t>
            </w:r>
          </w:p>
        </w:tc>
        <w:tc>
          <w:tcPr>
            <w:tcW w:w="1042" w:type="pct"/>
          </w:tcPr>
          <w:p w14:paraId="3147DE3D"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rChe a 1</w:t>
            </w:r>
          </w:p>
        </w:tc>
        <w:tc>
          <w:tcPr>
            <w:tcW w:w="1537" w:type="pct"/>
          </w:tcPr>
          <w:p w14:paraId="2D258940"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мажорный</w:t>
            </w:r>
          </w:p>
        </w:tc>
        <w:tc>
          <w:tcPr>
            <w:tcW w:w="846" w:type="pct"/>
          </w:tcPr>
          <w:p w14:paraId="140F33D8"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3 ( 5%)</w:t>
            </w:r>
          </w:p>
        </w:tc>
      </w:tr>
      <w:tr w:rsidR="009F3BD1" w:rsidRPr="000768C7" w14:paraId="7EC67BDB" w14:textId="77777777" w:rsidTr="006C735A">
        <w:tc>
          <w:tcPr>
            <w:tcW w:w="1575" w:type="pct"/>
          </w:tcPr>
          <w:p w14:paraId="329D9737"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ольха</w:t>
            </w:r>
          </w:p>
        </w:tc>
        <w:tc>
          <w:tcPr>
            <w:tcW w:w="1042" w:type="pct"/>
          </w:tcPr>
          <w:p w14:paraId="62BEDBF7"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rAln g 1</w:t>
            </w:r>
          </w:p>
        </w:tc>
        <w:tc>
          <w:tcPr>
            <w:tcW w:w="1537" w:type="pct"/>
          </w:tcPr>
          <w:p w14:paraId="4F097B68"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мажорный перекрёстный</w:t>
            </w:r>
          </w:p>
        </w:tc>
        <w:tc>
          <w:tcPr>
            <w:tcW w:w="846" w:type="pct"/>
          </w:tcPr>
          <w:p w14:paraId="39D0151B"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 (2%)</w:t>
            </w:r>
          </w:p>
        </w:tc>
      </w:tr>
      <w:tr w:rsidR="009F3BD1" w:rsidRPr="000768C7" w14:paraId="7DEF828F" w14:textId="77777777" w:rsidTr="006C735A">
        <w:tc>
          <w:tcPr>
            <w:tcW w:w="1575" w:type="pct"/>
          </w:tcPr>
          <w:p w14:paraId="1F8A729A"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пыльца орешника</w:t>
            </w:r>
          </w:p>
        </w:tc>
        <w:tc>
          <w:tcPr>
            <w:tcW w:w="1042" w:type="pct"/>
          </w:tcPr>
          <w:p w14:paraId="1D5B431B"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rCor a 1.0101</w:t>
            </w:r>
          </w:p>
        </w:tc>
        <w:tc>
          <w:tcPr>
            <w:tcW w:w="1537" w:type="pct"/>
          </w:tcPr>
          <w:p w14:paraId="512A2F62"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мажорный перекрёстный</w:t>
            </w:r>
          </w:p>
        </w:tc>
        <w:tc>
          <w:tcPr>
            <w:tcW w:w="846" w:type="pct"/>
          </w:tcPr>
          <w:p w14:paraId="5A68B4DE"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5 (9%)</w:t>
            </w:r>
          </w:p>
        </w:tc>
      </w:tr>
      <w:tr w:rsidR="009F3BD1" w:rsidRPr="000768C7" w14:paraId="119421D7" w14:textId="77777777" w:rsidTr="006C735A">
        <w:tc>
          <w:tcPr>
            <w:tcW w:w="1575" w:type="pct"/>
          </w:tcPr>
          <w:p w14:paraId="6870A6F3"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свинорой</w:t>
            </w:r>
          </w:p>
        </w:tc>
        <w:tc>
          <w:tcPr>
            <w:tcW w:w="1042" w:type="pct"/>
          </w:tcPr>
          <w:p w14:paraId="44C1B3FC"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nCyn d 1</w:t>
            </w:r>
          </w:p>
        </w:tc>
        <w:tc>
          <w:tcPr>
            <w:tcW w:w="1537" w:type="pct"/>
          </w:tcPr>
          <w:p w14:paraId="5622A01D"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мажорный</w:t>
            </w:r>
          </w:p>
        </w:tc>
        <w:tc>
          <w:tcPr>
            <w:tcW w:w="846" w:type="pct"/>
          </w:tcPr>
          <w:p w14:paraId="09656303"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29 (53%)</w:t>
            </w:r>
          </w:p>
        </w:tc>
      </w:tr>
      <w:tr w:rsidR="009F3BD1" w:rsidRPr="000768C7" w14:paraId="4E146990" w14:textId="77777777" w:rsidTr="006C735A">
        <w:tc>
          <w:tcPr>
            <w:tcW w:w="1575" w:type="pct"/>
            <w:vMerge w:val="restart"/>
          </w:tcPr>
          <w:p w14:paraId="7AE2EDF9"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платан</w:t>
            </w:r>
          </w:p>
        </w:tc>
        <w:tc>
          <w:tcPr>
            <w:tcW w:w="1042" w:type="pct"/>
          </w:tcPr>
          <w:p w14:paraId="6ED0647D"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rPla a 2</w:t>
            </w:r>
          </w:p>
        </w:tc>
        <w:tc>
          <w:tcPr>
            <w:tcW w:w="1537" w:type="pct"/>
          </w:tcPr>
          <w:p w14:paraId="4BABF324"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минорный</w:t>
            </w:r>
          </w:p>
        </w:tc>
        <w:tc>
          <w:tcPr>
            <w:tcW w:w="846" w:type="pct"/>
          </w:tcPr>
          <w:p w14:paraId="1E9B7CEE"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5 (9%)</w:t>
            </w:r>
          </w:p>
        </w:tc>
      </w:tr>
      <w:tr w:rsidR="009F3BD1" w:rsidRPr="000768C7" w14:paraId="2D56E0D5" w14:textId="77777777" w:rsidTr="006C735A">
        <w:tc>
          <w:tcPr>
            <w:tcW w:w="1575" w:type="pct"/>
            <w:vMerge/>
          </w:tcPr>
          <w:p w14:paraId="00228E83" w14:textId="77777777" w:rsidR="009F3BD1" w:rsidRPr="000768C7" w:rsidRDefault="009F3BD1" w:rsidP="006C735A">
            <w:pPr>
              <w:jc w:val="both"/>
              <w:rPr>
                <w:rFonts w:ascii="Times New Roman" w:hAnsi="Times New Roman" w:cs="Times New Roman"/>
                <w:sz w:val="24"/>
                <w:szCs w:val="24"/>
              </w:rPr>
            </w:pPr>
          </w:p>
        </w:tc>
        <w:tc>
          <w:tcPr>
            <w:tcW w:w="1042" w:type="pct"/>
          </w:tcPr>
          <w:p w14:paraId="48C1D8DC"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rPla a 3</w:t>
            </w:r>
          </w:p>
        </w:tc>
        <w:tc>
          <w:tcPr>
            <w:tcW w:w="1537" w:type="pct"/>
          </w:tcPr>
          <w:p w14:paraId="4FA93C46"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минорный перекрёстный</w:t>
            </w:r>
          </w:p>
        </w:tc>
        <w:tc>
          <w:tcPr>
            <w:tcW w:w="846" w:type="pct"/>
          </w:tcPr>
          <w:p w14:paraId="2A7A352E"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8 (15%)</w:t>
            </w:r>
          </w:p>
        </w:tc>
      </w:tr>
      <w:tr w:rsidR="009F3BD1" w:rsidRPr="000768C7" w14:paraId="33EA38A9" w14:textId="77777777" w:rsidTr="006C735A">
        <w:tc>
          <w:tcPr>
            <w:tcW w:w="1575" w:type="pct"/>
          </w:tcPr>
          <w:p w14:paraId="78FC0AEA"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пролесник</w:t>
            </w:r>
          </w:p>
        </w:tc>
        <w:tc>
          <w:tcPr>
            <w:tcW w:w="1042" w:type="pct"/>
          </w:tcPr>
          <w:p w14:paraId="783BB468"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rMer a 1</w:t>
            </w:r>
          </w:p>
        </w:tc>
        <w:tc>
          <w:tcPr>
            <w:tcW w:w="1537" w:type="pct"/>
          </w:tcPr>
          <w:p w14:paraId="2584EE4C"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минорный перекрёстный</w:t>
            </w:r>
          </w:p>
        </w:tc>
        <w:tc>
          <w:tcPr>
            <w:tcW w:w="846" w:type="pct"/>
          </w:tcPr>
          <w:p w14:paraId="77B69E77"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18 (33%)</w:t>
            </w:r>
          </w:p>
        </w:tc>
      </w:tr>
    </w:tbl>
    <w:p w14:paraId="3B8C87EE" w14:textId="77777777" w:rsidR="009F3BD1" w:rsidRPr="00EC38CC" w:rsidRDefault="009F3BD1" w:rsidP="009F3BD1">
      <w:pPr>
        <w:spacing w:after="0" w:line="240" w:lineRule="auto"/>
        <w:ind w:firstLine="567"/>
        <w:jc w:val="both"/>
        <w:rPr>
          <w:rFonts w:ascii="Times New Roman" w:hAnsi="Times New Roman" w:cs="Times New Roman"/>
          <w:sz w:val="28"/>
          <w:szCs w:val="28"/>
        </w:rPr>
      </w:pPr>
    </w:p>
    <w:p w14:paraId="19479BD1" w14:textId="77777777" w:rsidR="009F3BD1" w:rsidRPr="00EC38CC" w:rsidRDefault="009F3BD1" w:rsidP="009F3BD1">
      <w:pPr>
        <w:spacing w:after="0" w:line="240" w:lineRule="auto"/>
        <w:jc w:val="center"/>
        <w:rPr>
          <w:rFonts w:ascii="Times New Roman" w:hAnsi="Times New Roman" w:cs="Times New Roman"/>
          <w:sz w:val="28"/>
          <w:szCs w:val="28"/>
        </w:rPr>
      </w:pPr>
      <w:r w:rsidRPr="00EC38CC">
        <w:rPr>
          <w:rFonts w:ascii="Times New Roman" w:hAnsi="Times New Roman" w:cs="Times New Roman"/>
          <w:sz w:val="28"/>
          <w:szCs w:val="28"/>
        </w:rPr>
        <w:t>Статус витамина Д у больных сезонным аллергическим ринитом перед началом лечения (n=55)</w:t>
      </w:r>
    </w:p>
    <w:p w14:paraId="6B31590B" w14:textId="77777777" w:rsidR="009F3BD1" w:rsidRPr="00EC38CC" w:rsidRDefault="009F3BD1" w:rsidP="009F3BD1">
      <w:pPr>
        <w:spacing w:after="0" w:line="240" w:lineRule="auto"/>
        <w:jc w:val="both"/>
        <w:rPr>
          <w:rFonts w:ascii="Times New Roman" w:hAnsi="Times New Roman" w:cs="Times New Roman"/>
          <w:sz w:val="28"/>
          <w:szCs w:val="28"/>
        </w:rPr>
      </w:pPr>
    </w:p>
    <w:tbl>
      <w:tblPr>
        <w:tblStyle w:val="af3"/>
        <w:tblW w:w="5000" w:type="pct"/>
        <w:tblLook w:val="04A0" w:firstRow="1" w:lastRow="0" w:firstColumn="1" w:lastColumn="0" w:noHBand="0" w:noVBand="1"/>
      </w:tblPr>
      <w:tblGrid>
        <w:gridCol w:w="1361"/>
        <w:gridCol w:w="1456"/>
        <w:gridCol w:w="1101"/>
        <w:gridCol w:w="1204"/>
        <w:gridCol w:w="1053"/>
        <w:gridCol w:w="1204"/>
        <w:gridCol w:w="1053"/>
        <w:gridCol w:w="1196"/>
      </w:tblGrid>
      <w:tr w:rsidR="009F3BD1" w:rsidRPr="000768C7" w14:paraId="2974C62F" w14:textId="77777777" w:rsidTr="006C735A">
        <w:tc>
          <w:tcPr>
            <w:tcW w:w="1463" w:type="pct"/>
            <w:gridSpan w:val="2"/>
            <w:vMerge w:val="restart"/>
            <w:vAlign w:val="center"/>
          </w:tcPr>
          <w:p w14:paraId="5F31FD12"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Показатель</w:t>
            </w:r>
          </w:p>
        </w:tc>
        <w:tc>
          <w:tcPr>
            <w:tcW w:w="3537" w:type="pct"/>
            <w:gridSpan w:val="6"/>
            <w:vAlign w:val="center"/>
          </w:tcPr>
          <w:p w14:paraId="1BC681F8"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Витамин Д, абс, (%)</w:t>
            </w:r>
          </w:p>
        </w:tc>
      </w:tr>
      <w:tr w:rsidR="009F3BD1" w:rsidRPr="000768C7" w14:paraId="2E9668D1" w14:textId="77777777" w:rsidTr="006C735A">
        <w:trPr>
          <w:trHeight w:val="391"/>
        </w:trPr>
        <w:tc>
          <w:tcPr>
            <w:tcW w:w="1463" w:type="pct"/>
            <w:gridSpan w:val="2"/>
            <w:vMerge/>
            <w:vAlign w:val="center"/>
          </w:tcPr>
          <w:p w14:paraId="7FE3D0A9" w14:textId="77777777" w:rsidR="009F3BD1" w:rsidRPr="000768C7" w:rsidRDefault="009F3BD1" w:rsidP="006C735A">
            <w:pPr>
              <w:jc w:val="both"/>
              <w:rPr>
                <w:rFonts w:ascii="Times New Roman" w:hAnsi="Times New Roman" w:cs="Times New Roman"/>
                <w:sz w:val="24"/>
                <w:szCs w:val="24"/>
              </w:rPr>
            </w:pPr>
          </w:p>
        </w:tc>
        <w:tc>
          <w:tcPr>
            <w:tcW w:w="1197" w:type="pct"/>
            <w:gridSpan w:val="2"/>
            <w:vAlign w:val="center"/>
          </w:tcPr>
          <w:p w14:paraId="61C8F08F"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lang w:val="en-US"/>
              </w:rPr>
              <w:t>≤</w:t>
            </w:r>
            <w:r w:rsidRPr="000768C7">
              <w:rPr>
                <w:rFonts w:ascii="Times New Roman" w:hAnsi="Times New Roman" w:cs="Times New Roman"/>
                <w:sz w:val="24"/>
                <w:szCs w:val="24"/>
              </w:rPr>
              <w:t>20 нг/мл</w:t>
            </w:r>
          </w:p>
        </w:tc>
        <w:tc>
          <w:tcPr>
            <w:tcW w:w="1172" w:type="pct"/>
            <w:gridSpan w:val="2"/>
            <w:vAlign w:val="center"/>
          </w:tcPr>
          <w:p w14:paraId="74C17FE1"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21-29 нг/мл</w:t>
            </w:r>
          </w:p>
        </w:tc>
        <w:tc>
          <w:tcPr>
            <w:tcW w:w="1168" w:type="pct"/>
            <w:gridSpan w:val="2"/>
            <w:vAlign w:val="center"/>
          </w:tcPr>
          <w:p w14:paraId="3E53C417"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lang w:val="en-US"/>
              </w:rPr>
              <w:t>≥</w:t>
            </w:r>
            <w:r w:rsidRPr="000768C7">
              <w:rPr>
                <w:rFonts w:ascii="Times New Roman" w:hAnsi="Times New Roman" w:cs="Times New Roman"/>
                <w:sz w:val="24"/>
                <w:szCs w:val="24"/>
              </w:rPr>
              <w:t>30 нг/мл</w:t>
            </w:r>
          </w:p>
        </w:tc>
      </w:tr>
      <w:tr w:rsidR="009F3BD1" w:rsidRPr="000768C7" w14:paraId="661BC8E8" w14:textId="77777777" w:rsidTr="006C735A">
        <w:tc>
          <w:tcPr>
            <w:tcW w:w="707" w:type="pct"/>
            <w:vMerge w:val="restart"/>
            <w:vAlign w:val="center"/>
          </w:tcPr>
          <w:p w14:paraId="5B3FF82F"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Пол</w:t>
            </w:r>
          </w:p>
        </w:tc>
        <w:tc>
          <w:tcPr>
            <w:tcW w:w="756" w:type="pct"/>
            <w:vAlign w:val="center"/>
          </w:tcPr>
          <w:p w14:paraId="4021103F"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Жен</w:t>
            </w:r>
          </w:p>
        </w:tc>
        <w:tc>
          <w:tcPr>
            <w:tcW w:w="572" w:type="pct"/>
            <w:vAlign w:val="center"/>
          </w:tcPr>
          <w:p w14:paraId="4F790D50"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18</w:t>
            </w:r>
          </w:p>
        </w:tc>
        <w:tc>
          <w:tcPr>
            <w:tcW w:w="625" w:type="pct"/>
            <w:vAlign w:val="center"/>
          </w:tcPr>
          <w:p w14:paraId="72009A64"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32,7%</w:t>
            </w:r>
          </w:p>
        </w:tc>
        <w:tc>
          <w:tcPr>
            <w:tcW w:w="547" w:type="pct"/>
            <w:vAlign w:val="center"/>
          </w:tcPr>
          <w:p w14:paraId="1C2FD07D"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7</w:t>
            </w:r>
          </w:p>
        </w:tc>
        <w:tc>
          <w:tcPr>
            <w:tcW w:w="625" w:type="pct"/>
            <w:vAlign w:val="center"/>
          </w:tcPr>
          <w:p w14:paraId="715DFD16"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12,7%</w:t>
            </w:r>
          </w:p>
        </w:tc>
        <w:tc>
          <w:tcPr>
            <w:tcW w:w="547" w:type="pct"/>
            <w:vAlign w:val="center"/>
          </w:tcPr>
          <w:p w14:paraId="3DC31F3E"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4</w:t>
            </w:r>
          </w:p>
        </w:tc>
        <w:tc>
          <w:tcPr>
            <w:tcW w:w="621" w:type="pct"/>
            <w:vAlign w:val="center"/>
          </w:tcPr>
          <w:p w14:paraId="019256E2"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7,2%</w:t>
            </w:r>
          </w:p>
        </w:tc>
      </w:tr>
      <w:tr w:rsidR="009F3BD1" w:rsidRPr="000768C7" w14:paraId="06E3AA3D" w14:textId="77777777" w:rsidTr="006C735A">
        <w:tc>
          <w:tcPr>
            <w:tcW w:w="707" w:type="pct"/>
            <w:vMerge/>
            <w:vAlign w:val="center"/>
          </w:tcPr>
          <w:p w14:paraId="52F75DF3" w14:textId="77777777" w:rsidR="009F3BD1" w:rsidRPr="000768C7" w:rsidRDefault="009F3BD1" w:rsidP="006C735A">
            <w:pPr>
              <w:jc w:val="both"/>
              <w:rPr>
                <w:rFonts w:ascii="Times New Roman" w:hAnsi="Times New Roman" w:cs="Times New Roman"/>
                <w:sz w:val="24"/>
                <w:szCs w:val="24"/>
              </w:rPr>
            </w:pPr>
          </w:p>
        </w:tc>
        <w:tc>
          <w:tcPr>
            <w:tcW w:w="756" w:type="pct"/>
            <w:vAlign w:val="center"/>
          </w:tcPr>
          <w:p w14:paraId="76DC0745"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Муж</w:t>
            </w:r>
          </w:p>
        </w:tc>
        <w:tc>
          <w:tcPr>
            <w:tcW w:w="572" w:type="pct"/>
            <w:vAlign w:val="center"/>
          </w:tcPr>
          <w:p w14:paraId="720FD3A8"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15</w:t>
            </w:r>
          </w:p>
        </w:tc>
        <w:tc>
          <w:tcPr>
            <w:tcW w:w="625" w:type="pct"/>
            <w:vAlign w:val="center"/>
          </w:tcPr>
          <w:p w14:paraId="6437BBF4"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27,2%</w:t>
            </w:r>
          </w:p>
        </w:tc>
        <w:tc>
          <w:tcPr>
            <w:tcW w:w="547" w:type="pct"/>
            <w:vAlign w:val="center"/>
          </w:tcPr>
          <w:p w14:paraId="49327D72"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5</w:t>
            </w:r>
          </w:p>
        </w:tc>
        <w:tc>
          <w:tcPr>
            <w:tcW w:w="625" w:type="pct"/>
            <w:vAlign w:val="center"/>
          </w:tcPr>
          <w:p w14:paraId="31035748"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9%</w:t>
            </w:r>
          </w:p>
        </w:tc>
        <w:tc>
          <w:tcPr>
            <w:tcW w:w="547" w:type="pct"/>
            <w:vAlign w:val="center"/>
          </w:tcPr>
          <w:p w14:paraId="683828F7"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6</w:t>
            </w:r>
          </w:p>
        </w:tc>
        <w:tc>
          <w:tcPr>
            <w:tcW w:w="621" w:type="pct"/>
            <w:vAlign w:val="center"/>
          </w:tcPr>
          <w:p w14:paraId="4D887454"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10,9%</w:t>
            </w:r>
          </w:p>
        </w:tc>
      </w:tr>
      <w:tr w:rsidR="009F3BD1" w:rsidRPr="000768C7" w14:paraId="6C144E35" w14:textId="77777777" w:rsidTr="006C735A">
        <w:tc>
          <w:tcPr>
            <w:tcW w:w="707" w:type="pct"/>
            <w:vAlign w:val="center"/>
          </w:tcPr>
          <w:p w14:paraId="670692F7"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Возраст</w:t>
            </w:r>
          </w:p>
        </w:tc>
        <w:tc>
          <w:tcPr>
            <w:tcW w:w="756" w:type="pct"/>
            <w:vAlign w:val="center"/>
          </w:tcPr>
          <w:p w14:paraId="0240FF67"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18-39</w:t>
            </w:r>
          </w:p>
        </w:tc>
        <w:tc>
          <w:tcPr>
            <w:tcW w:w="572" w:type="pct"/>
            <w:vAlign w:val="center"/>
          </w:tcPr>
          <w:p w14:paraId="1292B497"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19</w:t>
            </w:r>
          </w:p>
        </w:tc>
        <w:tc>
          <w:tcPr>
            <w:tcW w:w="625" w:type="pct"/>
            <w:vAlign w:val="center"/>
          </w:tcPr>
          <w:p w14:paraId="2126B1BE"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34,5%</w:t>
            </w:r>
          </w:p>
        </w:tc>
        <w:tc>
          <w:tcPr>
            <w:tcW w:w="547" w:type="pct"/>
            <w:vAlign w:val="center"/>
          </w:tcPr>
          <w:p w14:paraId="647D88EF"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7</w:t>
            </w:r>
          </w:p>
        </w:tc>
        <w:tc>
          <w:tcPr>
            <w:tcW w:w="625" w:type="pct"/>
            <w:vAlign w:val="center"/>
          </w:tcPr>
          <w:p w14:paraId="3EFB1A88"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12,7%</w:t>
            </w:r>
          </w:p>
        </w:tc>
        <w:tc>
          <w:tcPr>
            <w:tcW w:w="547" w:type="pct"/>
            <w:vAlign w:val="center"/>
          </w:tcPr>
          <w:p w14:paraId="4235A7DA"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7</w:t>
            </w:r>
          </w:p>
        </w:tc>
        <w:tc>
          <w:tcPr>
            <w:tcW w:w="621" w:type="pct"/>
            <w:vAlign w:val="center"/>
          </w:tcPr>
          <w:p w14:paraId="1F7524DF"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12,7%</w:t>
            </w:r>
          </w:p>
        </w:tc>
      </w:tr>
      <w:tr w:rsidR="009F3BD1" w:rsidRPr="000768C7" w14:paraId="2A6292FC" w14:textId="77777777" w:rsidTr="006C735A">
        <w:tc>
          <w:tcPr>
            <w:tcW w:w="707" w:type="pct"/>
            <w:vAlign w:val="center"/>
          </w:tcPr>
          <w:p w14:paraId="6209473B" w14:textId="77777777" w:rsidR="009F3BD1" w:rsidRPr="000768C7" w:rsidRDefault="009F3BD1" w:rsidP="006C735A">
            <w:pPr>
              <w:jc w:val="both"/>
              <w:rPr>
                <w:rFonts w:ascii="Times New Roman" w:hAnsi="Times New Roman" w:cs="Times New Roman"/>
                <w:sz w:val="24"/>
                <w:szCs w:val="24"/>
              </w:rPr>
            </w:pPr>
          </w:p>
        </w:tc>
        <w:tc>
          <w:tcPr>
            <w:tcW w:w="756" w:type="pct"/>
            <w:vAlign w:val="center"/>
          </w:tcPr>
          <w:p w14:paraId="18FE8591"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40-59</w:t>
            </w:r>
          </w:p>
        </w:tc>
        <w:tc>
          <w:tcPr>
            <w:tcW w:w="572" w:type="pct"/>
            <w:vAlign w:val="center"/>
          </w:tcPr>
          <w:p w14:paraId="7756CB10"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12</w:t>
            </w:r>
          </w:p>
        </w:tc>
        <w:tc>
          <w:tcPr>
            <w:tcW w:w="625" w:type="pct"/>
            <w:vAlign w:val="center"/>
          </w:tcPr>
          <w:p w14:paraId="57B91847"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21,8%</w:t>
            </w:r>
          </w:p>
        </w:tc>
        <w:tc>
          <w:tcPr>
            <w:tcW w:w="547" w:type="pct"/>
            <w:vAlign w:val="center"/>
          </w:tcPr>
          <w:p w14:paraId="72E5322F"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3</w:t>
            </w:r>
          </w:p>
        </w:tc>
        <w:tc>
          <w:tcPr>
            <w:tcW w:w="625" w:type="pct"/>
            <w:vAlign w:val="center"/>
          </w:tcPr>
          <w:p w14:paraId="5DC31F79"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5,4%</w:t>
            </w:r>
          </w:p>
        </w:tc>
        <w:tc>
          <w:tcPr>
            <w:tcW w:w="547" w:type="pct"/>
            <w:vAlign w:val="center"/>
          </w:tcPr>
          <w:p w14:paraId="219B3C1A"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3</w:t>
            </w:r>
          </w:p>
        </w:tc>
        <w:tc>
          <w:tcPr>
            <w:tcW w:w="621" w:type="pct"/>
            <w:vAlign w:val="center"/>
          </w:tcPr>
          <w:p w14:paraId="5B5D6E70"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5,4%</w:t>
            </w:r>
          </w:p>
        </w:tc>
      </w:tr>
      <w:tr w:rsidR="009F3BD1" w:rsidRPr="000768C7" w14:paraId="05A1AECF" w14:textId="77777777" w:rsidTr="006C735A">
        <w:tc>
          <w:tcPr>
            <w:tcW w:w="1463" w:type="pct"/>
            <w:gridSpan w:val="2"/>
            <w:vAlign w:val="center"/>
          </w:tcPr>
          <w:p w14:paraId="22AD8E49"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Общее количество</w:t>
            </w:r>
          </w:p>
        </w:tc>
        <w:tc>
          <w:tcPr>
            <w:tcW w:w="572" w:type="pct"/>
            <w:vAlign w:val="center"/>
          </w:tcPr>
          <w:p w14:paraId="77385DF5"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33</w:t>
            </w:r>
          </w:p>
        </w:tc>
        <w:tc>
          <w:tcPr>
            <w:tcW w:w="625" w:type="pct"/>
            <w:vAlign w:val="center"/>
          </w:tcPr>
          <w:p w14:paraId="48797F3B"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60%</w:t>
            </w:r>
          </w:p>
        </w:tc>
        <w:tc>
          <w:tcPr>
            <w:tcW w:w="547" w:type="pct"/>
            <w:vAlign w:val="center"/>
          </w:tcPr>
          <w:p w14:paraId="7812E4C1"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12</w:t>
            </w:r>
          </w:p>
        </w:tc>
        <w:tc>
          <w:tcPr>
            <w:tcW w:w="625" w:type="pct"/>
            <w:vAlign w:val="center"/>
          </w:tcPr>
          <w:p w14:paraId="07DEB6A7"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21,8%</w:t>
            </w:r>
          </w:p>
        </w:tc>
        <w:tc>
          <w:tcPr>
            <w:tcW w:w="547" w:type="pct"/>
            <w:vAlign w:val="center"/>
          </w:tcPr>
          <w:p w14:paraId="0611E5EF"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10</w:t>
            </w:r>
          </w:p>
        </w:tc>
        <w:tc>
          <w:tcPr>
            <w:tcW w:w="621" w:type="pct"/>
            <w:vAlign w:val="center"/>
          </w:tcPr>
          <w:p w14:paraId="77AEBD50" w14:textId="77777777" w:rsidR="009F3BD1" w:rsidRPr="000768C7" w:rsidRDefault="009F3BD1" w:rsidP="006C735A">
            <w:pPr>
              <w:jc w:val="both"/>
              <w:rPr>
                <w:rFonts w:ascii="Times New Roman" w:hAnsi="Times New Roman" w:cs="Times New Roman"/>
                <w:sz w:val="24"/>
                <w:szCs w:val="24"/>
              </w:rPr>
            </w:pPr>
            <w:r w:rsidRPr="000768C7">
              <w:rPr>
                <w:rFonts w:ascii="Times New Roman" w:hAnsi="Times New Roman" w:cs="Times New Roman"/>
                <w:sz w:val="24"/>
                <w:szCs w:val="24"/>
              </w:rPr>
              <w:t>18,1%</w:t>
            </w:r>
          </w:p>
        </w:tc>
      </w:tr>
    </w:tbl>
    <w:p w14:paraId="26BC01B5" w14:textId="77777777" w:rsidR="009F3BD1" w:rsidRPr="00EC38CC" w:rsidRDefault="009F3BD1" w:rsidP="009F3BD1">
      <w:pPr>
        <w:spacing w:after="0" w:line="240" w:lineRule="auto"/>
        <w:ind w:firstLine="567"/>
        <w:jc w:val="both"/>
        <w:rPr>
          <w:rFonts w:ascii="Times New Roman" w:hAnsi="Times New Roman" w:cs="Times New Roman"/>
          <w:sz w:val="28"/>
          <w:szCs w:val="28"/>
          <w:highlight w:val="green"/>
        </w:rPr>
      </w:pPr>
    </w:p>
    <w:p w14:paraId="159A53AC" w14:textId="77777777" w:rsidR="009F3BD1" w:rsidRPr="00EC38CC" w:rsidRDefault="009F3BD1" w:rsidP="009F3BD1">
      <w:pPr>
        <w:spacing w:after="0" w:line="240" w:lineRule="auto"/>
        <w:rPr>
          <w:rFonts w:ascii="Times New Roman" w:hAnsi="Times New Roman" w:cs="Times New Roman"/>
          <w:sz w:val="28"/>
          <w:szCs w:val="28"/>
        </w:rPr>
      </w:pPr>
    </w:p>
    <w:p w14:paraId="5C88BBEF" w14:textId="77777777" w:rsidR="009F3BD1" w:rsidRPr="00EC38CC" w:rsidRDefault="009F3BD1" w:rsidP="009F3BD1">
      <w:pPr>
        <w:spacing w:after="0" w:line="240" w:lineRule="auto"/>
        <w:rPr>
          <w:rFonts w:ascii="Times New Roman" w:hAnsi="Times New Roman" w:cs="Times New Roman"/>
          <w:b/>
          <w:sz w:val="28"/>
          <w:szCs w:val="28"/>
        </w:rPr>
      </w:pPr>
      <w:r w:rsidRPr="00EC38CC">
        <w:rPr>
          <w:rFonts w:ascii="Times New Roman" w:hAnsi="Times New Roman" w:cs="Times New Roman"/>
          <w:b/>
          <w:sz w:val="28"/>
          <w:szCs w:val="28"/>
        </w:rPr>
        <w:br w:type="page"/>
      </w:r>
    </w:p>
    <w:p w14:paraId="78676A83" w14:textId="33051539" w:rsidR="00EC38CC" w:rsidRDefault="00F33C32" w:rsidP="00F33C32">
      <w:pPr>
        <w:pStyle w:val="1"/>
        <w:numPr>
          <w:ilvl w:val="0"/>
          <w:numId w:val="0"/>
        </w:numPr>
        <w:spacing w:before="0" w:line="240" w:lineRule="auto"/>
        <w:ind w:left="-6"/>
        <w:jc w:val="center"/>
        <w:rPr>
          <w:rFonts w:ascii="Times New Roman" w:hAnsi="Times New Roman" w:cs="Times New Roman"/>
          <w:b/>
          <w:color w:val="auto"/>
          <w:sz w:val="28"/>
          <w:szCs w:val="28"/>
        </w:rPr>
      </w:pPr>
      <w:bookmarkStart w:id="67" w:name="_Toc137904374"/>
      <w:r w:rsidRPr="00F33C32">
        <w:rPr>
          <w:rFonts w:ascii="Times New Roman" w:hAnsi="Times New Roman" w:cs="Times New Roman"/>
          <w:b/>
          <w:color w:val="auto"/>
          <w:sz w:val="28"/>
          <w:szCs w:val="28"/>
        </w:rPr>
        <w:t>ПРИЛОЖЕНИЕ Е</w:t>
      </w:r>
      <w:bookmarkEnd w:id="67"/>
    </w:p>
    <w:p w14:paraId="3813CCC0" w14:textId="77777777" w:rsidR="00CE3216" w:rsidRPr="00CE3216" w:rsidRDefault="00CE3216" w:rsidP="00CE3216"/>
    <w:p w14:paraId="64D29B9F" w14:textId="77777777" w:rsidR="00BB76CC" w:rsidRPr="00271C77" w:rsidRDefault="00BB76CC" w:rsidP="00271C77">
      <w:pPr>
        <w:pStyle w:val="afd"/>
        <w:jc w:val="center"/>
        <w:rPr>
          <w:rFonts w:ascii="Times New Roman" w:hAnsi="Times New Roman"/>
          <w:sz w:val="28"/>
          <w:szCs w:val="28"/>
        </w:rPr>
      </w:pPr>
      <w:r w:rsidRPr="00271C77">
        <w:rPr>
          <w:rFonts w:ascii="Times New Roman" w:hAnsi="Times New Roman"/>
          <w:sz w:val="28"/>
          <w:szCs w:val="28"/>
        </w:rPr>
        <w:t>Протоколы аллерген-специфической иммунотерапии</w:t>
      </w:r>
    </w:p>
    <w:p w14:paraId="7EA92090" w14:textId="77777777" w:rsidR="00BB76CC" w:rsidRPr="003D58F9" w:rsidRDefault="00BB76CC" w:rsidP="00BB76CC">
      <w:pPr>
        <w:spacing w:after="0" w:line="240" w:lineRule="auto"/>
        <w:jc w:val="center"/>
        <w:rPr>
          <w:rFonts w:ascii="Times New Roman" w:hAnsi="Times New Roman" w:cs="Times New Roman"/>
          <w:sz w:val="28"/>
          <w:szCs w:val="28"/>
        </w:rPr>
      </w:pPr>
    </w:p>
    <w:p w14:paraId="3953338B" w14:textId="77777777" w:rsidR="00BB76CC" w:rsidRDefault="00BB76CC" w:rsidP="00BB76CC">
      <w:pPr>
        <w:spacing w:after="0" w:line="240" w:lineRule="auto"/>
        <w:jc w:val="center"/>
        <w:rPr>
          <w:rFonts w:ascii="Times New Roman" w:hAnsi="Times New Roman" w:cs="Times New Roman"/>
          <w:sz w:val="28"/>
          <w:szCs w:val="28"/>
        </w:rPr>
      </w:pPr>
      <w:r w:rsidRPr="007D4043">
        <w:rPr>
          <w:rFonts w:ascii="Times New Roman" w:hAnsi="Times New Roman" w:cs="Times New Roman"/>
          <w:sz w:val="28"/>
          <w:szCs w:val="28"/>
        </w:rPr>
        <w:t>Классическая схема АСИТ аллергенами «Антиполлин» в течение 10 недель (2,5 месяца)</w:t>
      </w:r>
    </w:p>
    <w:p w14:paraId="47ED1F75" w14:textId="77777777" w:rsidR="00BB76CC" w:rsidRPr="007D4043" w:rsidRDefault="00BB76CC" w:rsidP="00BB76CC">
      <w:pPr>
        <w:spacing w:after="0" w:line="240" w:lineRule="auto"/>
        <w:jc w:val="center"/>
        <w:rPr>
          <w:rFonts w:ascii="Times New Roman" w:hAnsi="Times New Roman" w:cs="Times New Roman"/>
          <w:sz w:val="28"/>
          <w:szCs w:val="28"/>
        </w:rPr>
      </w:pPr>
    </w:p>
    <w:tbl>
      <w:tblPr>
        <w:tblStyle w:val="af3"/>
        <w:tblW w:w="5000" w:type="pct"/>
        <w:tblLook w:val="04A0" w:firstRow="1" w:lastRow="0" w:firstColumn="1" w:lastColumn="0" w:noHBand="0" w:noVBand="1"/>
      </w:tblPr>
      <w:tblGrid>
        <w:gridCol w:w="1309"/>
        <w:gridCol w:w="2494"/>
        <w:gridCol w:w="3641"/>
        <w:gridCol w:w="2184"/>
      </w:tblGrid>
      <w:tr w:rsidR="00BB76CC" w:rsidRPr="007D4043" w14:paraId="173796D6" w14:textId="77777777" w:rsidTr="006C735A">
        <w:tc>
          <w:tcPr>
            <w:tcW w:w="680" w:type="pct"/>
          </w:tcPr>
          <w:p w14:paraId="6EDC9BAD"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rPr>
              <w:t>Блистер</w:t>
            </w:r>
          </w:p>
        </w:tc>
        <w:tc>
          <w:tcPr>
            <w:tcW w:w="1295" w:type="pct"/>
          </w:tcPr>
          <w:p w14:paraId="204D2353"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rPr>
              <w:t>Дозировка (</w:t>
            </w:r>
            <w:r w:rsidRPr="007D4043">
              <w:rPr>
                <w:rFonts w:ascii="Times New Roman" w:hAnsi="Times New Roman" w:cs="Times New Roman"/>
                <w:sz w:val="24"/>
                <w:szCs w:val="24"/>
                <w:shd w:val="clear" w:color="auto" w:fill="FFFFFF"/>
              </w:rPr>
              <w:t>PNU, единица белкового азота)</w:t>
            </w:r>
          </w:p>
        </w:tc>
        <w:tc>
          <w:tcPr>
            <w:tcW w:w="1891" w:type="pct"/>
          </w:tcPr>
          <w:p w14:paraId="4A50FB26" w14:textId="77777777" w:rsidR="00BB76CC" w:rsidRPr="007D4043" w:rsidRDefault="00BB76CC" w:rsidP="006C735A">
            <w:pPr>
              <w:tabs>
                <w:tab w:val="left" w:pos="3588"/>
              </w:tabs>
              <w:ind w:firstLine="24"/>
              <w:rPr>
                <w:rFonts w:ascii="Times New Roman" w:hAnsi="Times New Roman" w:cs="Times New Roman"/>
                <w:sz w:val="24"/>
                <w:szCs w:val="24"/>
              </w:rPr>
            </w:pPr>
            <w:r w:rsidRPr="007D4043">
              <w:rPr>
                <w:rFonts w:ascii="Times New Roman" w:hAnsi="Times New Roman" w:cs="Times New Roman"/>
                <w:sz w:val="24"/>
                <w:szCs w:val="24"/>
              </w:rPr>
              <w:t>Кратность применения</w:t>
            </w:r>
          </w:p>
        </w:tc>
        <w:tc>
          <w:tcPr>
            <w:tcW w:w="1134" w:type="pct"/>
          </w:tcPr>
          <w:p w14:paraId="1FBFAC09"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Длительность применения</w:t>
            </w:r>
          </w:p>
        </w:tc>
      </w:tr>
      <w:tr w:rsidR="00BB76CC" w:rsidRPr="007D4043" w14:paraId="4D9AB148" w14:textId="77777777" w:rsidTr="006C735A">
        <w:tc>
          <w:tcPr>
            <w:tcW w:w="5000" w:type="pct"/>
            <w:gridSpan w:val="4"/>
          </w:tcPr>
          <w:p w14:paraId="4AA240BF" w14:textId="77777777" w:rsidR="00BB76CC" w:rsidRPr="007D4043" w:rsidRDefault="00BB76CC" w:rsidP="006C735A">
            <w:pPr>
              <w:tabs>
                <w:tab w:val="left" w:pos="3588"/>
              </w:tabs>
              <w:jc w:val="center"/>
              <w:rPr>
                <w:rFonts w:ascii="Times New Roman" w:hAnsi="Times New Roman" w:cs="Times New Roman"/>
                <w:sz w:val="24"/>
                <w:szCs w:val="24"/>
              </w:rPr>
            </w:pPr>
            <w:r w:rsidRPr="007D4043">
              <w:rPr>
                <w:rFonts w:ascii="Times New Roman" w:hAnsi="Times New Roman" w:cs="Times New Roman"/>
                <w:sz w:val="24"/>
                <w:szCs w:val="24"/>
              </w:rPr>
              <w:t>Начальный курс</w:t>
            </w:r>
          </w:p>
        </w:tc>
      </w:tr>
      <w:tr w:rsidR="00BB76CC" w:rsidRPr="007D4043" w14:paraId="7AB4539D" w14:textId="77777777" w:rsidTr="006C735A">
        <w:tc>
          <w:tcPr>
            <w:tcW w:w="680" w:type="pct"/>
          </w:tcPr>
          <w:p w14:paraId="42900573"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rPr>
              <w:t>№1</w:t>
            </w:r>
          </w:p>
        </w:tc>
        <w:tc>
          <w:tcPr>
            <w:tcW w:w="1295" w:type="pct"/>
          </w:tcPr>
          <w:p w14:paraId="2A2DF501"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shd w:val="clear" w:color="auto" w:fill="FFFFFF"/>
              </w:rPr>
              <w:t xml:space="preserve">0,0001 </w:t>
            </w:r>
          </w:p>
        </w:tc>
        <w:tc>
          <w:tcPr>
            <w:tcW w:w="1891" w:type="pct"/>
          </w:tcPr>
          <w:p w14:paraId="401CF43D" w14:textId="77777777" w:rsidR="00BB76CC" w:rsidRPr="007D4043" w:rsidRDefault="00BB76CC" w:rsidP="006C735A">
            <w:pPr>
              <w:tabs>
                <w:tab w:val="left" w:pos="3588"/>
              </w:tabs>
              <w:ind w:firstLine="24"/>
              <w:rPr>
                <w:rFonts w:ascii="Times New Roman" w:hAnsi="Times New Roman" w:cs="Times New Roman"/>
                <w:sz w:val="24"/>
                <w:szCs w:val="24"/>
              </w:rPr>
            </w:pPr>
            <w:r w:rsidRPr="007D4043">
              <w:rPr>
                <w:rFonts w:ascii="Times New Roman" w:hAnsi="Times New Roman" w:cs="Times New Roman"/>
                <w:sz w:val="24"/>
                <w:szCs w:val="24"/>
                <w:shd w:val="clear" w:color="auto" w:fill="FFFFFF"/>
              </w:rPr>
              <w:t>по 1 таблетке каждый день</w:t>
            </w:r>
          </w:p>
        </w:tc>
        <w:tc>
          <w:tcPr>
            <w:tcW w:w="1134" w:type="pct"/>
          </w:tcPr>
          <w:p w14:paraId="31D2AFF0"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6 дней</w:t>
            </w:r>
          </w:p>
        </w:tc>
      </w:tr>
      <w:tr w:rsidR="00BB76CC" w:rsidRPr="007D4043" w14:paraId="35AB3112" w14:textId="77777777" w:rsidTr="006C735A">
        <w:tc>
          <w:tcPr>
            <w:tcW w:w="680" w:type="pct"/>
          </w:tcPr>
          <w:p w14:paraId="72F8AE89"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rPr>
              <w:t>№2</w:t>
            </w:r>
          </w:p>
        </w:tc>
        <w:tc>
          <w:tcPr>
            <w:tcW w:w="1295" w:type="pct"/>
          </w:tcPr>
          <w:p w14:paraId="494CAB64"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shd w:val="clear" w:color="auto" w:fill="FFFFFF"/>
              </w:rPr>
              <w:t xml:space="preserve">0,001 </w:t>
            </w:r>
          </w:p>
        </w:tc>
        <w:tc>
          <w:tcPr>
            <w:tcW w:w="1891" w:type="pct"/>
          </w:tcPr>
          <w:p w14:paraId="1D57EB47" w14:textId="77777777" w:rsidR="00BB76CC" w:rsidRPr="007D4043" w:rsidRDefault="00BB76CC" w:rsidP="006C735A">
            <w:pPr>
              <w:tabs>
                <w:tab w:val="left" w:pos="3588"/>
              </w:tabs>
              <w:ind w:firstLine="24"/>
              <w:rPr>
                <w:rFonts w:ascii="Times New Roman" w:hAnsi="Times New Roman" w:cs="Times New Roman"/>
                <w:sz w:val="24"/>
                <w:szCs w:val="24"/>
              </w:rPr>
            </w:pPr>
            <w:r w:rsidRPr="007D4043">
              <w:rPr>
                <w:rFonts w:ascii="Times New Roman" w:hAnsi="Times New Roman" w:cs="Times New Roman"/>
                <w:sz w:val="24"/>
                <w:szCs w:val="24"/>
                <w:shd w:val="clear" w:color="auto" w:fill="FFFFFF"/>
              </w:rPr>
              <w:t>по 1 таблетке каждый день</w:t>
            </w:r>
          </w:p>
        </w:tc>
        <w:tc>
          <w:tcPr>
            <w:tcW w:w="1134" w:type="pct"/>
          </w:tcPr>
          <w:p w14:paraId="50E9D55D"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6 дней</w:t>
            </w:r>
          </w:p>
        </w:tc>
      </w:tr>
      <w:tr w:rsidR="00BB76CC" w:rsidRPr="007D4043" w14:paraId="2B3A6516" w14:textId="77777777" w:rsidTr="006C735A">
        <w:tc>
          <w:tcPr>
            <w:tcW w:w="680" w:type="pct"/>
          </w:tcPr>
          <w:p w14:paraId="038642AE"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rPr>
              <w:t>№3</w:t>
            </w:r>
          </w:p>
        </w:tc>
        <w:tc>
          <w:tcPr>
            <w:tcW w:w="1295" w:type="pct"/>
          </w:tcPr>
          <w:p w14:paraId="50B8B718"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shd w:val="clear" w:color="auto" w:fill="FFFFFF"/>
              </w:rPr>
              <w:t xml:space="preserve">0,01 </w:t>
            </w:r>
          </w:p>
        </w:tc>
        <w:tc>
          <w:tcPr>
            <w:tcW w:w="1891" w:type="pct"/>
          </w:tcPr>
          <w:p w14:paraId="59550229" w14:textId="77777777" w:rsidR="00BB76CC" w:rsidRPr="007D4043" w:rsidRDefault="00BB76CC" w:rsidP="006C735A">
            <w:pPr>
              <w:tabs>
                <w:tab w:val="left" w:pos="3588"/>
              </w:tabs>
              <w:ind w:firstLine="24"/>
              <w:rPr>
                <w:rFonts w:ascii="Times New Roman" w:hAnsi="Times New Roman" w:cs="Times New Roman"/>
                <w:sz w:val="24"/>
                <w:szCs w:val="24"/>
              </w:rPr>
            </w:pPr>
            <w:r w:rsidRPr="007D4043">
              <w:rPr>
                <w:rFonts w:ascii="Times New Roman" w:hAnsi="Times New Roman" w:cs="Times New Roman"/>
                <w:sz w:val="24"/>
                <w:szCs w:val="24"/>
                <w:shd w:val="clear" w:color="auto" w:fill="FFFFFF"/>
              </w:rPr>
              <w:t>по 1 таблетке каждый день</w:t>
            </w:r>
          </w:p>
        </w:tc>
        <w:tc>
          <w:tcPr>
            <w:tcW w:w="1134" w:type="pct"/>
          </w:tcPr>
          <w:p w14:paraId="2D40D50F"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6 дней</w:t>
            </w:r>
          </w:p>
        </w:tc>
      </w:tr>
      <w:tr w:rsidR="00BB76CC" w:rsidRPr="007D4043" w14:paraId="101A60ED" w14:textId="77777777" w:rsidTr="006C735A">
        <w:tc>
          <w:tcPr>
            <w:tcW w:w="680" w:type="pct"/>
          </w:tcPr>
          <w:p w14:paraId="7A44BF27"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rPr>
              <w:t>№4</w:t>
            </w:r>
          </w:p>
        </w:tc>
        <w:tc>
          <w:tcPr>
            <w:tcW w:w="1295" w:type="pct"/>
          </w:tcPr>
          <w:p w14:paraId="3A6623EB"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shd w:val="clear" w:color="auto" w:fill="FFFFFF"/>
              </w:rPr>
              <w:t xml:space="preserve">0,1 </w:t>
            </w:r>
          </w:p>
        </w:tc>
        <w:tc>
          <w:tcPr>
            <w:tcW w:w="1891" w:type="pct"/>
          </w:tcPr>
          <w:p w14:paraId="7B7CC5CF" w14:textId="77777777" w:rsidR="00BB76CC" w:rsidRPr="007D4043" w:rsidRDefault="00BB76CC" w:rsidP="006C735A">
            <w:pPr>
              <w:tabs>
                <w:tab w:val="left" w:pos="3588"/>
              </w:tabs>
              <w:ind w:firstLine="24"/>
              <w:rPr>
                <w:rFonts w:ascii="Times New Roman" w:hAnsi="Times New Roman" w:cs="Times New Roman"/>
                <w:sz w:val="24"/>
                <w:szCs w:val="24"/>
              </w:rPr>
            </w:pPr>
            <w:r w:rsidRPr="007D4043">
              <w:rPr>
                <w:rFonts w:ascii="Times New Roman" w:hAnsi="Times New Roman" w:cs="Times New Roman"/>
                <w:sz w:val="24"/>
                <w:szCs w:val="24"/>
                <w:shd w:val="clear" w:color="auto" w:fill="FFFFFF"/>
              </w:rPr>
              <w:t>по 1 таблетке каждый день</w:t>
            </w:r>
          </w:p>
        </w:tc>
        <w:tc>
          <w:tcPr>
            <w:tcW w:w="1134" w:type="pct"/>
          </w:tcPr>
          <w:p w14:paraId="7CBD956D"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6 дней</w:t>
            </w:r>
          </w:p>
        </w:tc>
      </w:tr>
      <w:tr w:rsidR="00BB76CC" w:rsidRPr="007D4043" w14:paraId="736D037A" w14:textId="77777777" w:rsidTr="006C735A">
        <w:tc>
          <w:tcPr>
            <w:tcW w:w="680" w:type="pct"/>
          </w:tcPr>
          <w:p w14:paraId="5F050DFB"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rPr>
              <w:t>№5</w:t>
            </w:r>
          </w:p>
        </w:tc>
        <w:tc>
          <w:tcPr>
            <w:tcW w:w="1295" w:type="pct"/>
          </w:tcPr>
          <w:p w14:paraId="5FF644A0"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rPr>
              <w:t xml:space="preserve">1 </w:t>
            </w:r>
          </w:p>
        </w:tc>
        <w:tc>
          <w:tcPr>
            <w:tcW w:w="1891" w:type="pct"/>
          </w:tcPr>
          <w:p w14:paraId="05B3A44A" w14:textId="77777777" w:rsidR="00BB76CC" w:rsidRPr="007D4043" w:rsidRDefault="00BB76CC" w:rsidP="006C735A">
            <w:pPr>
              <w:tabs>
                <w:tab w:val="left" w:pos="3588"/>
              </w:tabs>
              <w:ind w:firstLine="24"/>
              <w:rPr>
                <w:rFonts w:ascii="Times New Roman" w:hAnsi="Times New Roman" w:cs="Times New Roman"/>
                <w:sz w:val="24"/>
                <w:szCs w:val="24"/>
              </w:rPr>
            </w:pPr>
            <w:r w:rsidRPr="007D4043">
              <w:rPr>
                <w:rFonts w:ascii="Times New Roman" w:hAnsi="Times New Roman" w:cs="Times New Roman"/>
                <w:sz w:val="24"/>
                <w:szCs w:val="24"/>
                <w:shd w:val="clear" w:color="auto" w:fill="FFFFFF"/>
              </w:rPr>
              <w:t>по 1 таблетке каждый день</w:t>
            </w:r>
          </w:p>
        </w:tc>
        <w:tc>
          <w:tcPr>
            <w:tcW w:w="1134" w:type="pct"/>
          </w:tcPr>
          <w:p w14:paraId="57B26F84"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6 дней</w:t>
            </w:r>
          </w:p>
        </w:tc>
      </w:tr>
      <w:tr w:rsidR="00BB76CC" w:rsidRPr="007D4043" w14:paraId="6F78B1FA" w14:textId="77777777" w:rsidTr="006C735A">
        <w:tc>
          <w:tcPr>
            <w:tcW w:w="5000" w:type="pct"/>
            <w:gridSpan w:val="4"/>
          </w:tcPr>
          <w:p w14:paraId="382B4812"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1 визит к лечащему врачу – 30 день</w:t>
            </w:r>
          </w:p>
        </w:tc>
      </w:tr>
      <w:tr w:rsidR="00BB76CC" w:rsidRPr="007D4043" w14:paraId="29578DAF" w14:textId="77777777" w:rsidTr="006C735A">
        <w:tc>
          <w:tcPr>
            <w:tcW w:w="5000" w:type="pct"/>
            <w:gridSpan w:val="4"/>
          </w:tcPr>
          <w:p w14:paraId="0450C30D" w14:textId="77777777" w:rsidR="00BB76CC" w:rsidRPr="007D4043" w:rsidRDefault="00BB76CC" w:rsidP="006C735A">
            <w:pPr>
              <w:tabs>
                <w:tab w:val="left" w:pos="3588"/>
              </w:tabs>
              <w:jc w:val="center"/>
              <w:rPr>
                <w:rFonts w:ascii="Times New Roman" w:hAnsi="Times New Roman" w:cs="Times New Roman"/>
                <w:sz w:val="24"/>
                <w:szCs w:val="24"/>
              </w:rPr>
            </w:pPr>
            <w:r w:rsidRPr="007D4043">
              <w:rPr>
                <w:rFonts w:ascii="Times New Roman" w:hAnsi="Times New Roman" w:cs="Times New Roman"/>
                <w:sz w:val="24"/>
                <w:szCs w:val="24"/>
              </w:rPr>
              <w:t>Основной курс</w:t>
            </w:r>
          </w:p>
        </w:tc>
      </w:tr>
      <w:tr w:rsidR="00BB76CC" w:rsidRPr="007D4043" w14:paraId="26D7D0A3" w14:textId="77777777" w:rsidTr="006C735A">
        <w:tc>
          <w:tcPr>
            <w:tcW w:w="680" w:type="pct"/>
          </w:tcPr>
          <w:p w14:paraId="1EE342C0"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rPr>
              <w:t>№6</w:t>
            </w:r>
          </w:p>
        </w:tc>
        <w:tc>
          <w:tcPr>
            <w:tcW w:w="1295" w:type="pct"/>
          </w:tcPr>
          <w:p w14:paraId="0F8480DE"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rPr>
              <w:t>10</w:t>
            </w:r>
          </w:p>
        </w:tc>
        <w:tc>
          <w:tcPr>
            <w:tcW w:w="1891" w:type="pct"/>
          </w:tcPr>
          <w:p w14:paraId="69507234" w14:textId="77777777" w:rsidR="00BB76CC" w:rsidRPr="007D4043" w:rsidRDefault="00BB76CC" w:rsidP="006C735A">
            <w:pPr>
              <w:tabs>
                <w:tab w:val="left" w:pos="3588"/>
              </w:tabs>
              <w:ind w:firstLine="24"/>
              <w:rPr>
                <w:rFonts w:ascii="Times New Roman" w:hAnsi="Times New Roman" w:cs="Times New Roman"/>
                <w:sz w:val="24"/>
                <w:szCs w:val="24"/>
              </w:rPr>
            </w:pPr>
            <w:r w:rsidRPr="007D4043">
              <w:rPr>
                <w:rFonts w:ascii="Times New Roman" w:hAnsi="Times New Roman" w:cs="Times New Roman"/>
                <w:sz w:val="24"/>
                <w:szCs w:val="24"/>
                <w:shd w:val="clear" w:color="auto" w:fill="FFFFFF"/>
              </w:rPr>
              <w:t>по 1 таблетке каждый день</w:t>
            </w:r>
          </w:p>
        </w:tc>
        <w:tc>
          <w:tcPr>
            <w:tcW w:w="1134" w:type="pct"/>
          </w:tcPr>
          <w:p w14:paraId="4E3A1F83"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6 дней</w:t>
            </w:r>
          </w:p>
        </w:tc>
      </w:tr>
      <w:tr w:rsidR="00BB76CC" w:rsidRPr="007D4043" w14:paraId="58C58B1B" w14:textId="77777777" w:rsidTr="006C735A">
        <w:tc>
          <w:tcPr>
            <w:tcW w:w="680" w:type="pct"/>
          </w:tcPr>
          <w:p w14:paraId="406BD435"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rPr>
              <w:t>№7</w:t>
            </w:r>
          </w:p>
        </w:tc>
        <w:tc>
          <w:tcPr>
            <w:tcW w:w="1295" w:type="pct"/>
          </w:tcPr>
          <w:p w14:paraId="03B8CAAD"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rPr>
              <w:t>100</w:t>
            </w:r>
          </w:p>
        </w:tc>
        <w:tc>
          <w:tcPr>
            <w:tcW w:w="1891" w:type="pct"/>
          </w:tcPr>
          <w:p w14:paraId="63440505" w14:textId="77777777" w:rsidR="00BB76CC" w:rsidRPr="007D4043" w:rsidRDefault="00BB76CC" w:rsidP="006C735A">
            <w:pPr>
              <w:tabs>
                <w:tab w:val="left" w:pos="3588"/>
              </w:tabs>
              <w:ind w:firstLine="24"/>
              <w:rPr>
                <w:rFonts w:ascii="Times New Roman" w:hAnsi="Times New Roman" w:cs="Times New Roman"/>
                <w:sz w:val="24"/>
                <w:szCs w:val="24"/>
              </w:rPr>
            </w:pPr>
            <w:r w:rsidRPr="007D4043">
              <w:rPr>
                <w:rFonts w:ascii="Times New Roman" w:hAnsi="Times New Roman" w:cs="Times New Roman"/>
                <w:sz w:val="24"/>
                <w:szCs w:val="24"/>
                <w:shd w:val="clear" w:color="auto" w:fill="FFFFFF"/>
              </w:rPr>
              <w:t>по 1 таблетке каждый день</w:t>
            </w:r>
          </w:p>
        </w:tc>
        <w:tc>
          <w:tcPr>
            <w:tcW w:w="1134" w:type="pct"/>
          </w:tcPr>
          <w:p w14:paraId="4381772B"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6 дней</w:t>
            </w:r>
          </w:p>
        </w:tc>
      </w:tr>
      <w:tr w:rsidR="00BB76CC" w:rsidRPr="007D4043" w14:paraId="7DF04C71" w14:textId="77777777" w:rsidTr="006C735A">
        <w:tc>
          <w:tcPr>
            <w:tcW w:w="680" w:type="pct"/>
          </w:tcPr>
          <w:p w14:paraId="2D766686"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rPr>
              <w:t>№8</w:t>
            </w:r>
          </w:p>
        </w:tc>
        <w:tc>
          <w:tcPr>
            <w:tcW w:w="1295" w:type="pct"/>
          </w:tcPr>
          <w:p w14:paraId="3247E2BF"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rPr>
              <w:t>1000</w:t>
            </w:r>
          </w:p>
        </w:tc>
        <w:tc>
          <w:tcPr>
            <w:tcW w:w="1891" w:type="pct"/>
          </w:tcPr>
          <w:p w14:paraId="0AD2787B" w14:textId="77777777" w:rsidR="00BB76CC" w:rsidRPr="007D4043" w:rsidRDefault="00BB76CC" w:rsidP="006C735A">
            <w:pPr>
              <w:tabs>
                <w:tab w:val="left" w:pos="3588"/>
              </w:tabs>
              <w:ind w:firstLine="24"/>
              <w:rPr>
                <w:rFonts w:ascii="Times New Roman" w:hAnsi="Times New Roman" w:cs="Times New Roman"/>
                <w:sz w:val="24"/>
                <w:szCs w:val="24"/>
              </w:rPr>
            </w:pPr>
            <w:r w:rsidRPr="007D4043">
              <w:rPr>
                <w:rFonts w:ascii="Times New Roman" w:hAnsi="Times New Roman" w:cs="Times New Roman"/>
                <w:sz w:val="24"/>
                <w:szCs w:val="24"/>
                <w:shd w:val="clear" w:color="auto" w:fill="FFFFFF"/>
              </w:rPr>
              <w:t>по 1 таблетке через 1 день</w:t>
            </w:r>
          </w:p>
        </w:tc>
        <w:tc>
          <w:tcPr>
            <w:tcW w:w="1134" w:type="pct"/>
          </w:tcPr>
          <w:p w14:paraId="4764B7E9"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14 дней</w:t>
            </w:r>
          </w:p>
        </w:tc>
      </w:tr>
      <w:tr w:rsidR="00BB76CC" w:rsidRPr="007D4043" w14:paraId="656E8064" w14:textId="77777777" w:rsidTr="006C735A">
        <w:tc>
          <w:tcPr>
            <w:tcW w:w="5000" w:type="pct"/>
            <w:gridSpan w:val="4"/>
          </w:tcPr>
          <w:p w14:paraId="06B19359"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2 визит к лечащему врачу – 56 день</w:t>
            </w:r>
          </w:p>
        </w:tc>
      </w:tr>
      <w:tr w:rsidR="00BB76CC" w:rsidRPr="007D4043" w14:paraId="517AFBA9" w14:textId="77777777" w:rsidTr="006C735A">
        <w:tc>
          <w:tcPr>
            <w:tcW w:w="5000" w:type="pct"/>
            <w:gridSpan w:val="4"/>
          </w:tcPr>
          <w:p w14:paraId="5B406BF8" w14:textId="77777777" w:rsidR="00BB76CC" w:rsidRPr="007D4043" w:rsidRDefault="00BB76CC" w:rsidP="006C735A">
            <w:pPr>
              <w:tabs>
                <w:tab w:val="left" w:pos="3588"/>
              </w:tabs>
              <w:jc w:val="center"/>
              <w:rPr>
                <w:rFonts w:ascii="Times New Roman" w:hAnsi="Times New Roman" w:cs="Times New Roman"/>
                <w:sz w:val="24"/>
                <w:szCs w:val="24"/>
              </w:rPr>
            </w:pPr>
            <w:r w:rsidRPr="007D4043">
              <w:rPr>
                <w:rFonts w:ascii="Times New Roman" w:hAnsi="Times New Roman" w:cs="Times New Roman"/>
                <w:sz w:val="24"/>
                <w:szCs w:val="24"/>
              </w:rPr>
              <w:t>Поддерживающий курс</w:t>
            </w:r>
          </w:p>
        </w:tc>
      </w:tr>
      <w:tr w:rsidR="00BB76CC" w:rsidRPr="007D4043" w14:paraId="3A52396F" w14:textId="77777777" w:rsidTr="006C735A">
        <w:tc>
          <w:tcPr>
            <w:tcW w:w="680" w:type="pct"/>
          </w:tcPr>
          <w:p w14:paraId="761551D1"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rPr>
              <w:t>№9</w:t>
            </w:r>
          </w:p>
        </w:tc>
        <w:tc>
          <w:tcPr>
            <w:tcW w:w="1295" w:type="pct"/>
          </w:tcPr>
          <w:p w14:paraId="2AF0AD72"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rPr>
              <w:t>1000</w:t>
            </w:r>
          </w:p>
        </w:tc>
        <w:tc>
          <w:tcPr>
            <w:tcW w:w="1891" w:type="pct"/>
          </w:tcPr>
          <w:p w14:paraId="6E3AC541" w14:textId="77777777" w:rsidR="00BB76CC" w:rsidRPr="007D4043" w:rsidRDefault="00BB76CC" w:rsidP="006C735A">
            <w:pPr>
              <w:tabs>
                <w:tab w:val="left" w:pos="3588"/>
              </w:tabs>
              <w:ind w:firstLine="24"/>
              <w:rPr>
                <w:rFonts w:ascii="Times New Roman" w:hAnsi="Times New Roman" w:cs="Times New Roman"/>
                <w:sz w:val="24"/>
                <w:szCs w:val="24"/>
              </w:rPr>
            </w:pPr>
            <w:r w:rsidRPr="007D4043">
              <w:rPr>
                <w:rFonts w:ascii="Times New Roman" w:hAnsi="Times New Roman" w:cs="Times New Roman"/>
                <w:sz w:val="24"/>
                <w:szCs w:val="24"/>
                <w:shd w:val="clear" w:color="auto" w:fill="FFFFFF"/>
              </w:rPr>
              <w:t>по 1 таблетке через 2 дня</w:t>
            </w:r>
          </w:p>
        </w:tc>
        <w:tc>
          <w:tcPr>
            <w:tcW w:w="1134" w:type="pct"/>
          </w:tcPr>
          <w:p w14:paraId="5FAE3C75"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16 дней</w:t>
            </w:r>
          </w:p>
        </w:tc>
      </w:tr>
      <w:tr w:rsidR="00BB76CC" w:rsidRPr="007D4043" w14:paraId="58EF1FC9" w14:textId="77777777" w:rsidTr="006C735A">
        <w:tc>
          <w:tcPr>
            <w:tcW w:w="5000" w:type="pct"/>
            <w:gridSpan w:val="4"/>
          </w:tcPr>
          <w:p w14:paraId="7F72247F"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3 визит к лечащему врачу – 72 день</w:t>
            </w:r>
          </w:p>
        </w:tc>
      </w:tr>
    </w:tbl>
    <w:p w14:paraId="68A34167" w14:textId="77777777" w:rsidR="00BB76CC" w:rsidRPr="007D4043" w:rsidRDefault="00BB76CC" w:rsidP="00BB76CC">
      <w:pPr>
        <w:tabs>
          <w:tab w:val="left" w:pos="851"/>
          <w:tab w:val="left" w:pos="993"/>
        </w:tabs>
        <w:spacing w:line="240" w:lineRule="auto"/>
        <w:ind w:firstLine="567"/>
        <w:jc w:val="both"/>
        <w:rPr>
          <w:rFonts w:ascii="Times New Roman" w:hAnsi="Times New Roman" w:cs="Times New Roman"/>
          <w:sz w:val="28"/>
          <w:szCs w:val="28"/>
        </w:rPr>
      </w:pPr>
    </w:p>
    <w:p w14:paraId="5A10EF06" w14:textId="77777777" w:rsidR="00BB76CC" w:rsidRDefault="00BB76CC" w:rsidP="00BB76CC">
      <w:pPr>
        <w:spacing w:after="0" w:line="240" w:lineRule="auto"/>
        <w:jc w:val="center"/>
        <w:rPr>
          <w:rFonts w:ascii="Times New Roman" w:hAnsi="Times New Roman" w:cs="Times New Roman"/>
          <w:sz w:val="28"/>
          <w:szCs w:val="28"/>
        </w:rPr>
      </w:pPr>
      <w:r w:rsidRPr="007D4043">
        <w:rPr>
          <w:rFonts w:ascii="Times New Roman" w:hAnsi="Times New Roman" w:cs="Times New Roman"/>
          <w:sz w:val="28"/>
          <w:szCs w:val="28"/>
        </w:rPr>
        <w:t>Адаптированная схема АСИТ аллергенами «Антиполлин» в комплексе с витамином Д в течение 10 недель (2,5 месяца)</w:t>
      </w:r>
    </w:p>
    <w:p w14:paraId="56AE9484" w14:textId="77777777" w:rsidR="00BB76CC" w:rsidRPr="007D4043" w:rsidRDefault="00BB76CC" w:rsidP="00BB76CC">
      <w:pPr>
        <w:spacing w:after="0" w:line="240" w:lineRule="auto"/>
        <w:jc w:val="center"/>
        <w:rPr>
          <w:rFonts w:ascii="Times New Roman" w:hAnsi="Times New Roman" w:cs="Times New Roman"/>
          <w:sz w:val="28"/>
          <w:szCs w:val="28"/>
        </w:rPr>
      </w:pPr>
    </w:p>
    <w:tbl>
      <w:tblPr>
        <w:tblStyle w:val="af3"/>
        <w:tblW w:w="5000" w:type="pct"/>
        <w:tblLook w:val="04A0" w:firstRow="1" w:lastRow="0" w:firstColumn="1" w:lastColumn="0" w:noHBand="0" w:noVBand="1"/>
      </w:tblPr>
      <w:tblGrid>
        <w:gridCol w:w="1877"/>
        <w:gridCol w:w="1514"/>
        <w:gridCol w:w="1997"/>
        <w:gridCol w:w="2176"/>
        <w:gridCol w:w="2064"/>
      </w:tblGrid>
      <w:tr w:rsidR="00BB76CC" w:rsidRPr="007D4043" w14:paraId="76DE8F87" w14:textId="77777777" w:rsidTr="006C735A">
        <w:tc>
          <w:tcPr>
            <w:tcW w:w="975" w:type="pct"/>
          </w:tcPr>
          <w:p w14:paraId="028475E8"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rPr>
              <w:t>«Антиполлин»</w:t>
            </w:r>
          </w:p>
          <w:p w14:paraId="2EABF29D" w14:textId="77777777" w:rsidR="00BB76CC" w:rsidRPr="007D4043" w:rsidRDefault="00BB76CC" w:rsidP="006C735A">
            <w:pPr>
              <w:tabs>
                <w:tab w:val="left" w:pos="3588"/>
              </w:tabs>
              <w:ind w:firstLine="34"/>
              <w:rPr>
                <w:rFonts w:ascii="Times New Roman" w:hAnsi="Times New Roman" w:cs="Times New Roman"/>
                <w:sz w:val="24"/>
                <w:szCs w:val="24"/>
              </w:rPr>
            </w:pPr>
            <w:r w:rsidRPr="007D4043">
              <w:rPr>
                <w:rFonts w:ascii="Times New Roman" w:hAnsi="Times New Roman" w:cs="Times New Roman"/>
                <w:sz w:val="24"/>
                <w:szCs w:val="24"/>
              </w:rPr>
              <w:t>Блистер</w:t>
            </w:r>
          </w:p>
        </w:tc>
        <w:tc>
          <w:tcPr>
            <w:tcW w:w="786" w:type="pct"/>
          </w:tcPr>
          <w:p w14:paraId="158746C2"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Дозировка (</w:t>
            </w:r>
            <w:r w:rsidRPr="007D4043">
              <w:rPr>
                <w:rFonts w:ascii="Times New Roman" w:hAnsi="Times New Roman" w:cs="Times New Roman"/>
                <w:sz w:val="24"/>
                <w:szCs w:val="24"/>
                <w:shd w:val="clear" w:color="auto" w:fill="FFFFFF"/>
              </w:rPr>
              <w:t>PNU, единица белкового азота)</w:t>
            </w:r>
          </w:p>
        </w:tc>
        <w:tc>
          <w:tcPr>
            <w:tcW w:w="1037" w:type="pct"/>
          </w:tcPr>
          <w:p w14:paraId="01B2432B"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Кратность применения</w:t>
            </w:r>
          </w:p>
        </w:tc>
        <w:tc>
          <w:tcPr>
            <w:tcW w:w="1130" w:type="pct"/>
          </w:tcPr>
          <w:p w14:paraId="2EC76F10"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Дозировка витамина Д (МЕ)</w:t>
            </w:r>
          </w:p>
        </w:tc>
        <w:tc>
          <w:tcPr>
            <w:tcW w:w="1072" w:type="pct"/>
          </w:tcPr>
          <w:p w14:paraId="33FC7343" w14:textId="77777777" w:rsidR="00BB76CC" w:rsidRPr="007D4043" w:rsidRDefault="00BB76CC" w:rsidP="006C735A">
            <w:pPr>
              <w:tabs>
                <w:tab w:val="left" w:pos="3588"/>
              </w:tabs>
              <w:ind w:firstLine="55"/>
              <w:rPr>
                <w:rFonts w:ascii="Times New Roman" w:hAnsi="Times New Roman" w:cs="Times New Roman"/>
                <w:sz w:val="24"/>
                <w:szCs w:val="24"/>
              </w:rPr>
            </w:pPr>
            <w:r w:rsidRPr="007D4043">
              <w:rPr>
                <w:rFonts w:ascii="Times New Roman" w:hAnsi="Times New Roman" w:cs="Times New Roman"/>
                <w:sz w:val="24"/>
                <w:szCs w:val="24"/>
              </w:rPr>
              <w:t>Длительность применения</w:t>
            </w:r>
          </w:p>
        </w:tc>
      </w:tr>
      <w:tr w:rsidR="00BB76CC" w:rsidRPr="003D58F9" w14:paraId="38DD4869" w14:textId="77777777" w:rsidTr="006C735A">
        <w:tc>
          <w:tcPr>
            <w:tcW w:w="5000" w:type="pct"/>
            <w:gridSpan w:val="5"/>
          </w:tcPr>
          <w:p w14:paraId="5335251A" w14:textId="77777777" w:rsidR="00BB76CC" w:rsidRPr="007D4043" w:rsidRDefault="00BB76CC" w:rsidP="006C735A">
            <w:pPr>
              <w:tabs>
                <w:tab w:val="left" w:pos="3588"/>
              </w:tabs>
              <w:ind w:firstLine="34"/>
              <w:jc w:val="center"/>
              <w:rPr>
                <w:rFonts w:ascii="Times New Roman" w:hAnsi="Times New Roman" w:cs="Times New Roman"/>
                <w:sz w:val="24"/>
                <w:szCs w:val="24"/>
              </w:rPr>
            </w:pPr>
            <w:r w:rsidRPr="007D4043">
              <w:rPr>
                <w:rFonts w:ascii="Times New Roman" w:hAnsi="Times New Roman" w:cs="Times New Roman"/>
                <w:sz w:val="24"/>
                <w:szCs w:val="24"/>
              </w:rPr>
              <w:t>Начальный курс</w:t>
            </w:r>
          </w:p>
        </w:tc>
      </w:tr>
      <w:tr w:rsidR="00BB76CC" w:rsidRPr="003D58F9" w14:paraId="5F3B94E4" w14:textId="77777777" w:rsidTr="006C735A">
        <w:tc>
          <w:tcPr>
            <w:tcW w:w="975" w:type="pct"/>
          </w:tcPr>
          <w:p w14:paraId="1C2FC88D" w14:textId="77777777" w:rsidR="00BB76CC" w:rsidRPr="003D58F9" w:rsidRDefault="00BB76CC" w:rsidP="006C735A">
            <w:pPr>
              <w:tabs>
                <w:tab w:val="left" w:pos="3588"/>
              </w:tabs>
              <w:ind w:firstLine="34"/>
              <w:rPr>
                <w:rFonts w:ascii="Times New Roman" w:hAnsi="Times New Roman" w:cs="Times New Roman"/>
                <w:sz w:val="24"/>
                <w:szCs w:val="24"/>
              </w:rPr>
            </w:pPr>
            <w:r w:rsidRPr="003D58F9">
              <w:rPr>
                <w:rFonts w:ascii="Times New Roman" w:hAnsi="Times New Roman" w:cs="Times New Roman"/>
                <w:sz w:val="24"/>
                <w:szCs w:val="24"/>
              </w:rPr>
              <w:t>№1</w:t>
            </w:r>
          </w:p>
        </w:tc>
        <w:tc>
          <w:tcPr>
            <w:tcW w:w="786" w:type="pct"/>
          </w:tcPr>
          <w:p w14:paraId="702D8BFB" w14:textId="77777777" w:rsidR="00BB76CC" w:rsidRPr="003D58F9" w:rsidRDefault="00BB76CC" w:rsidP="006C735A">
            <w:pPr>
              <w:tabs>
                <w:tab w:val="left" w:pos="3588"/>
              </w:tabs>
              <w:rPr>
                <w:rFonts w:ascii="Times New Roman" w:hAnsi="Times New Roman" w:cs="Times New Roman"/>
                <w:sz w:val="24"/>
                <w:szCs w:val="24"/>
              </w:rPr>
            </w:pPr>
            <w:r w:rsidRPr="003D58F9">
              <w:rPr>
                <w:rFonts w:ascii="Times New Roman" w:hAnsi="Times New Roman" w:cs="Times New Roman"/>
                <w:sz w:val="24"/>
                <w:szCs w:val="24"/>
                <w:shd w:val="clear" w:color="auto" w:fill="FFFFFF"/>
              </w:rPr>
              <w:t xml:space="preserve">0,0001 </w:t>
            </w:r>
          </w:p>
        </w:tc>
        <w:tc>
          <w:tcPr>
            <w:tcW w:w="1037" w:type="pct"/>
          </w:tcPr>
          <w:p w14:paraId="1E601652"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shd w:val="clear" w:color="auto" w:fill="FFFFFF"/>
              </w:rPr>
              <w:t>по 1 таблетке каждый день</w:t>
            </w:r>
          </w:p>
        </w:tc>
        <w:tc>
          <w:tcPr>
            <w:tcW w:w="1130" w:type="pct"/>
          </w:tcPr>
          <w:p w14:paraId="6744FE43"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Ежедневно в соответствии с потребностью</w:t>
            </w:r>
          </w:p>
        </w:tc>
        <w:tc>
          <w:tcPr>
            <w:tcW w:w="1072" w:type="pct"/>
          </w:tcPr>
          <w:p w14:paraId="5CDB2C33" w14:textId="77777777" w:rsidR="00BB76CC" w:rsidRPr="003D58F9" w:rsidRDefault="00BB76CC" w:rsidP="006C735A">
            <w:pPr>
              <w:tabs>
                <w:tab w:val="left" w:pos="3588"/>
              </w:tabs>
              <w:ind w:firstLine="55"/>
              <w:rPr>
                <w:rFonts w:ascii="Times New Roman" w:hAnsi="Times New Roman" w:cs="Times New Roman"/>
                <w:sz w:val="24"/>
                <w:szCs w:val="24"/>
              </w:rPr>
            </w:pPr>
            <w:r w:rsidRPr="003D58F9">
              <w:rPr>
                <w:rFonts w:ascii="Times New Roman" w:hAnsi="Times New Roman" w:cs="Times New Roman"/>
                <w:sz w:val="24"/>
                <w:szCs w:val="24"/>
              </w:rPr>
              <w:t>6 дней</w:t>
            </w:r>
          </w:p>
        </w:tc>
      </w:tr>
      <w:tr w:rsidR="00BB76CC" w:rsidRPr="003D58F9" w14:paraId="7998F1F8" w14:textId="77777777" w:rsidTr="006C735A">
        <w:tc>
          <w:tcPr>
            <w:tcW w:w="975" w:type="pct"/>
          </w:tcPr>
          <w:p w14:paraId="0BCBCC0B" w14:textId="77777777" w:rsidR="00BB76CC" w:rsidRPr="003D58F9" w:rsidRDefault="00BB76CC" w:rsidP="006C735A">
            <w:pPr>
              <w:tabs>
                <w:tab w:val="left" w:pos="3588"/>
              </w:tabs>
              <w:ind w:firstLine="34"/>
              <w:rPr>
                <w:rFonts w:ascii="Times New Roman" w:hAnsi="Times New Roman" w:cs="Times New Roman"/>
                <w:sz w:val="24"/>
                <w:szCs w:val="24"/>
              </w:rPr>
            </w:pPr>
            <w:r w:rsidRPr="003D58F9">
              <w:rPr>
                <w:rFonts w:ascii="Times New Roman" w:hAnsi="Times New Roman" w:cs="Times New Roman"/>
                <w:sz w:val="24"/>
                <w:szCs w:val="24"/>
              </w:rPr>
              <w:t>№2</w:t>
            </w:r>
          </w:p>
        </w:tc>
        <w:tc>
          <w:tcPr>
            <w:tcW w:w="786" w:type="pct"/>
          </w:tcPr>
          <w:p w14:paraId="245F73FA" w14:textId="77777777" w:rsidR="00BB76CC" w:rsidRPr="003D58F9" w:rsidRDefault="00BB76CC" w:rsidP="006C735A">
            <w:pPr>
              <w:tabs>
                <w:tab w:val="left" w:pos="3588"/>
              </w:tabs>
              <w:rPr>
                <w:rFonts w:ascii="Times New Roman" w:hAnsi="Times New Roman" w:cs="Times New Roman"/>
                <w:sz w:val="24"/>
                <w:szCs w:val="24"/>
              </w:rPr>
            </w:pPr>
            <w:r w:rsidRPr="003D58F9">
              <w:rPr>
                <w:rFonts w:ascii="Times New Roman" w:hAnsi="Times New Roman" w:cs="Times New Roman"/>
                <w:sz w:val="24"/>
                <w:szCs w:val="24"/>
                <w:shd w:val="clear" w:color="auto" w:fill="FFFFFF"/>
              </w:rPr>
              <w:t xml:space="preserve">0,001 </w:t>
            </w:r>
          </w:p>
        </w:tc>
        <w:tc>
          <w:tcPr>
            <w:tcW w:w="1037" w:type="pct"/>
          </w:tcPr>
          <w:p w14:paraId="7CF0F736"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shd w:val="clear" w:color="auto" w:fill="FFFFFF"/>
              </w:rPr>
              <w:t>по 1 таблетке каждый день</w:t>
            </w:r>
          </w:p>
        </w:tc>
        <w:tc>
          <w:tcPr>
            <w:tcW w:w="1130" w:type="pct"/>
          </w:tcPr>
          <w:p w14:paraId="4348D811"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Ежедневно в соответствии с потребностью</w:t>
            </w:r>
          </w:p>
        </w:tc>
        <w:tc>
          <w:tcPr>
            <w:tcW w:w="1072" w:type="pct"/>
          </w:tcPr>
          <w:p w14:paraId="5C95CAFB" w14:textId="77777777" w:rsidR="00BB76CC" w:rsidRPr="003D58F9" w:rsidRDefault="00BB76CC" w:rsidP="006C735A">
            <w:pPr>
              <w:tabs>
                <w:tab w:val="left" w:pos="3588"/>
              </w:tabs>
              <w:ind w:firstLine="55"/>
              <w:rPr>
                <w:rFonts w:ascii="Times New Roman" w:hAnsi="Times New Roman" w:cs="Times New Roman"/>
                <w:b/>
                <w:sz w:val="24"/>
                <w:szCs w:val="24"/>
              </w:rPr>
            </w:pPr>
            <w:r w:rsidRPr="003D58F9">
              <w:rPr>
                <w:rFonts w:ascii="Times New Roman" w:hAnsi="Times New Roman" w:cs="Times New Roman"/>
                <w:sz w:val="24"/>
                <w:szCs w:val="24"/>
              </w:rPr>
              <w:t>6 дней</w:t>
            </w:r>
          </w:p>
        </w:tc>
      </w:tr>
      <w:tr w:rsidR="00BB76CC" w:rsidRPr="003D58F9" w14:paraId="681E34D6" w14:textId="77777777" w:rsidTr="006C735A">
        <w:tc>
          <w:tcPr>
            <w:tcW w:w="975" w:type="pct"/>
          </w:tcPr>
          <w:p w14:paraId="7B87C1C8" w14:textId="77777777" w:rsidR="00BB76CC" w:rsidRPr="003D58F9" w:rsidRDefault="00BB76CC" w:rsidP="006C735A">
            <w:pPr>
              <w:tabs>
                <w:tab w:val="left" w:pos="3588"/>
              </w:tabs>
              <w:ind w:firstLine="34"/>
              <w:rPr>
                <w:rFonts w:ascii="Times New Roman" w:hAnsi="Times New Roman" w:cs="Times New Roman"/>
                <w:sz w:val="24"/>
                <w:szCs w:val="24"/>
              </w:rPr>
            </w:pPr>
            <w:r w:rsidRPr="003D58F9">
              <w:rPr>
                <w:rFonts w:ascii="Times New Roman" w:hAnsi="Times New Roman" w:cs="Times New Roman"/>
                <w:sz w:val="24"/>
                <w:szCs w:val="24"/>
              </w:rPr>
              <w:t>№3</w:t>
            </w:r>
          </w:p>
        </w:tc>
        <w:tc>
          <w:tcPr>
            <w:tcW w:w="786" w:type="pct"/>
          </w:tcPr>
          <w:p w14:paraId="22221E41" w14:textId="77777777" w:rsidR="00BB76CC" w:rsidRPr="003D58F9" w:rsidRDefault="00BB76CC" w:rsidP="006C735A">
            <w:pPr>
              <w:tabs>
                <w:tab w:val="left" w:pos="3588"/>
              </w:tabs>
              <w:rPr>
                <w:rFonts w:ascii="Times New Roman" w:hAnsi="Times New Roman" w:cs="Times New Roman"/>
                <w:sz w:val="24"/>
                <w:szCs w:val="24"/>
              </w:rPr>
            </w:pPr>
            <w:r w:rsidRPr="003D58F9">
              <w:rPr>
                <w:rFonts w:ascii="Times New Roman" w:hAnsi="Times New Roman" w:cs="Times New Roman"/>
                <w:sz w:val="24"/>
                <w:szCs w:val="24"/>
                <w:shd w:val="clear" w:color="auto" w:fill="FFFFFF"/>
              </w:rPr>
              <w:t xml:space="preserve">0,01 </w:t>
            </w:r>
          </w:p>
        </w:tc>
        <w:tc>
          <w:tcPr>
            <w:tcW w:w="1037" w:type="pct"/>
          </w:tcPr>
          <w:p w14:paraId="11EF5C30"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shd w:val="clear" w:color="auto" w:fill="FFFFFF"/>
              </w:rPr>
              <w:t>по 1 таблетке каждый день</w:t>
            </w:r>
          </w:p>
        </w:tc>
        <w:tc>
          <w:tcPr>
            <w:tcW w:w="1130" w:type="pct"/>
          </w:tcPr>
          <w:p w14:paraId="26B0563C"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Ежедневно в соответствии с потребностью</w:t>
            </w:r>
          </w:p>
        </w:tc>
        <w:tc>
          <w:tcPr>
            <w:tcW w:w="1072" w:type="pct"/>
          </w:tcPr>
          <w:p w14:paraId="55E9097F" w14:textId="77777777" w:rsidR="00BB76CC" w:rsidRPr="003D58F9" w:rsidRDefault="00BB76CC" w:rsidP="006C735A">
            <w:pPr>
              <w:tabs>
                <w:tab w:val="left" w:pos="3588"/>
              </w:tabs>
              <w:ind w:firstLine="55"/>
              <w:rPr>
                <w:rFonts w:ascii="Times New Roman" w:hAnsi="Times New Roman" w:cs="Times New Roman"/>
                <w:b/>
                <w:sz w:val="24"/>
                <w:szCs w:val="24"/>
              </w:rPr>
            </w:pPr>
            <w:r w:rsidRPr="003D58F9">
              <w:rPr>
                <w:rFonts w:ascii="Times New Roman" w:hAnsi="Times New Roman" w:cs="Times New Roman"/>
                <w:sz w:val="24"/>
                <w:szCs w:val="24"/>
              </w:rPr>
              <w:t>6 дней</w:t>
            </w:r>
          </w:p>
        </w:tc>
      </w:tr>
      <w:tr w:rsidR="00BB76CC" w:rsidRPr="003D58F9" w14:paraId="2E973D20" w14:textId="77777777" w:rsidTr="006C735A">
        <w:tc>
          <w:tcPr>
            <w:tcW w:w="975" w:type="pct"/>
          </w:tcPr>
          <w:p w14:paraId="69DDDE91" w14:textId="77777777" w:rsidR="00BB76CC" w:rsidRPr="003D58F9" w:rsidRDefault="00BB76CC" w:rsidP="006C735A">
            <w:pPr>
              <w:tabs>
                <w:tab w:val="left" w:pos="3588"/>
              </w:tabs>
              <w:ind w:firstLine="34"/>
              <w:rPr>
                <w:rFonts w:ascii="Times New Roman" w:hAnsi="Times New Roman" w:cs="Times New Roman"/>
                <w:sz w:val="24"/>
                <w:szCs w:val="24"/>
              </w:rPr>
            </w:pPr>
            <w:r w:rsidRPr="003D58F9">
              <w:rPr>
                <w:rFonts w:ascii="Times New Roman" w:hAnsi="Times New Roman" w:cs="Times New Roman"/>
                <w:sz w:val="24"/>
                <w:szCs w:val="24"/>
              </w:rPr>
              <w:t>№4</w:t>
            </w:r>
          </w:p>
        </w:tc>
        <w:tc>
          <w:tcPr>
            <w:tcW w:w="786" w:type="pct"/>
          </w:tcPr>
          <w:p w14:paraId="7FB03EEF" w14:textId="77777777" w:rsidR="00BB76CC" w:rsidRPr="003D58F9" w:rsidRDefault="00BB76CC" w:rsidP="006C735A">
            <w:pPr>
              <w:tabs>
                <w:tab w:val="left" w:pos="3588"/>
              </w:tabs>
              <w:rPr>
                <w:rFonts w:ascii="Times New Roman" w:hAnsi="Times New Roman" w:cs="Times New Roman"/>
                <w:sz w:val="24"/>
                <w:szCs w:val="24"/>
              </w:rPr>
            </w:pPr>
            <w:r w:rsidRPr="003D58F9">
              <w:rPr>
                <w:rFonts w:ascii="Times New Roman" w:hAnsi="Times New Roman" w:cs="Times New Roman"/>
                <w:sz w:val="24"/>
                <w:szCs w:val="24"/>
                <w:shd w:val="clear" w:color="auto" w:fill="FFFFFF"/>
              </w:rPr>
              <w:t xml:space="preserve">0,1 </w:t>
            </w:r>
          </w:p>
        </w:tc>
        <w:tc>
          <w:tcPr>
            <w:tcW w:w="1037" w:type="pct"/>
          </w:tcPr>
          <w:p w14:paraId="276B43FF"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shd w:val="clear" w:color="auto" w:fill="FFFFFF"/>
              </w:rPr>
              <w:t>по 1 таблетке каждый день</w:t>
            </w:r>
          </w:p>
        </w:tc>
        <w:tc>
          <w:tcPr>
            <w:tcW w:w="1130" w:type="pct"/>
          </w:tcPr>
          <w:p w14:paraId="591C5A23"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Ежедневно в соответствии с потребностью</w:t>
            </w:r>
          </w:p>
        </w:tc>
        <w:tc>
          <w:tcPr>
            <w:tcW w:w="1072" w:type="pct"/>
          </w:tcPr>
          <w:p w14:paraId="2FBADC03" w14:textId="77777777" w:rsidR="00BB76CC" w:rsidRPr="003D58F9" w:rsidRDefault="00BB76CC" w:rsidP="006C735A">
            <w:pPr>
              <w:tabs>
                <w:tab w:val="left" w:pos="3588"/>
              </w:tabs>
              <w:ind w:firstLine="55"/>
              <w:rPr>
                <w:rFonts w:ascii="Times New Roman" w:hAnsi="Times New Roman" w:cs="Times New Roman"/>
                <w:b/>
                <w:sz w:val="24"/>
                <w:szCs w:val="24"/>
              </w:rPr>
            </w:pPr>
            <w:r w:rsidRPr="003D58F9">
              <w:rPr>
                <w:rFonts w:ascii="Times New Roman" w:hAnsi="Times New Roman" w:cs="Times New Roman"/>
                <w:sz w:val="24"/>
                <w:szCs w:val="24"/>
              </w:rPr>
              <w:t>6 дней</w:t>
            </w:r>
          </w:p>
        </w:tc>
      </w:tr>
      <w:tr w:rsidR="00BB76CC" w:rsidRPr="003D58F9" w14:paraId="42555057" w14:textId="77777777" w:rsidTr="006C735A">
        <w:tc>
          <w:tcPr>
            <w:tcW w:w="975" w:type="pct"/>
          </w:tcPr>
          <w:p w14:paraId="7B10CCE3" w14:textId="77777777" w:rsidR="00BB76CC" w:rsidRPr="003D58F9" w:rsidRDefault="00BB76CC" w:rsidP="006C735A">
            <w:pPr>
              <w:tabs>
                <w:tab w:val="left" w:pos="3588"/>
              </w:tabs>
              <w:ind w:firstLine="34"/>
              <w:rPr>
                <w:rFonts w:ascii="Times New Roman" w:hAnsi="Times New Roman" w:cs="Times New Roman"/>
                <w:sz w:val="24"/>
                <w:szCs w:val="24"/>
              </w:rPr>
            </w:pPr>
            <w:r w:rsidRPr="003D58F9">
              <w:rPr>
                <w:rFonts w:ascii="Times New Roman" w:hAnsi="Times New Roman" w:cs="Times New Roman"/>
                <w:sz w:val="24"/>
                <w:szCs w:val="24"/>
              </w:rPr>
              <w:t>№5</w:t>
            </w:r>
          </w:p>
        </w:tc>
        <w:tc>
          <w:tcPr>
            <w:tcW w:w="786" w:type="pct"/>
          </w:tcPr>
          <w:p w14:paraId="4E911F9E" w14:textId="77777777" w:rsidR="00BB76CC" w:rsidRPr="003D58F9" w:rsidRDefault="00BB76CC" w:rsidP="006C735A">
            <w:pPr>
              <w:tabs>
                <w:tab w:val="left" w:pos="3588"/>
              </w:tabs>
              <w:rPr>
                <w:rFonts w:ascii="Times New Roman" w:hAnsi="Times New Roman" w:cs="Times New Roman"/>
                <w:sz w:val="24"/>
                <w:szCs w:val="24"/>
              </w:rPr>
            </w:pPr>
            <w:r w:rsidRPr="003D58F9">
              <w:rPr>
                <w:rFonts w:ascii="Times New Roman" w:hAnsi="Times New Roman" w:cs="Times New Roman"/>
                <w:sz w:val="24"/>
                <w:szCs w:val="24"/>
              </w:rPr>
              <w:t xml:space="preserve">1 </w:t>
            </w:r>
          </w:p>
        </w:tc>
        <w:tc>
          <w:tcPr>
            <w:tcW w:w="1037" w:type="pct"/>
          </w:tcPr>
          <w:p w14:paraId="3076D3AE"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shd w:val="clear" w:color="auto" w:fill="FFFFFF"/>
              </w:rPr>
              <w:t>по 1 таблетке каждый день</w:t>
            </w:r>
          </w:p>
        </w:tc>
        <w:tc>
          <w:tcPr>
            <w:tcW w:w="1130" w:type="pct"/>
          </w:tcPr>
          <w:p w14:paraId="59A38789"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Ежедневно в соответствии с потребностью</w:t>
            </w:r>
          </w:p>
        </w:tc>
        <w:tc>
          <w:tcPr>
            <w:tcW w:w="1072" w:type="pct"/>
          </w:tcPr>
          <w:p w14:paraId="71937DFD" w14:textId="77777777" w:rsidR="00BB76CC" w:rsidRPr="003D58F9" w:rsidRDefault="00BB76CC" w:rsidP="006C735A">
            <w:pPr>
              <w:tabs>
                <w:tab w:val="left" w:pos="3588"/>
              </w:tabs>
              <w:ind w:firstLine="55"/>
              <w:rPr>
                <w:rFonts w:ascii="Times New Roman" w:hAnsi="Times New Roman" w:cs="Times New Roman"/>
                <w:b/>
                <w:sz w:val="24"/>
                <w:szCs w:val="24"/>
              </w:rPr>
            </w:pPr>
            <w:r w:rsidRPr="003D58F9">
              <w:rPr>
                <w:rFonts w:ascii="Times New Roman" w:hAnsi="Times New Roman" w:cs="Times New Roman"/>
                <w:sz w:val="24"/>
                <w:szCs w:val="24"/>
              </w:rPr>
              <w:t>6 дней</w:t>
            </w:r>
          </w:p>
        </w:tc>
      </w:tr>
      <w:tr w:rsidR="00BB76CC" w:rsidRPr="003D58F9" w14:paraId="0CAAA96F" w14:textId="77777777" w:rsidTr="006C735A">
        <w:tc>
          <w:tcPr>
            <w:tcW w:w="5000" w:type="pct"/>
            <w:gridSpan w:val="5"/>
          </w:tcPr>
          <w:p w14:paraId="5DF7F624" w14:textId="77777777" w:rsidR="00BB76CC" w:rsidRPr="007D4043" w:rsidRDefault="00BB76CC" w:rsidP="006C735A">
            <w:pPr>
              <w:tabs>
                <w:tab w:val="left" w:pos="3588"/>
              </w:tabs>
              <w:ind w:firstLine="55"/>
              <w:rPr>
                <w:rFonts w:ascii="Times New Roman" w:hAnsi="Times New Roman" w:cs="Times New Roman"/>
                <w:sz w:val="24"/>
                <w:szCs w:val="24"/>
              </w:rPr>
            </w:pPr>
            <w:r w:rsidRPr="007D4043">
              <w:rPr>
                <w:rFonts w:ascii="Times New Roman" w:hAnsi="Times New Roman" w:cs="Times New Roman"/>
                <w:sz w:val="24"/>
                <w:szCs w:val="24"/>
              </w:rPr>
              <w:t>1 визит к лечащему врачу – 30 день</w:t>
            </w:r>
          </w:p>
        </w:tc>
      </w:tr>
      <w:tr w:rsidR="00BB76CC" w:rsidRPr="003D58F9" w14:paraId="57E75420" w14:textId="77777777" w:rsidTr="006C735A">
        <w:tc>
          <w:tcPr>
            <w:tcW w:w="5000" w:type="pct"/>
            <w:gridSpan w:val="5"/>
          </w:tcPr>
          <w:p w14:paraId="0A32BF73" w14:textId="77777777" w:rsidR="00BB76CC" w:rsidRPr="007D4043" w:rsidRDefault="00BB76CC" w:rsidP="006C735A">
            <w:pPr>
              <w:tabs>
                <w:tab w:val="left" w:pos="3588"/>
              </w:tabs>
              <w:ind w:firstLine="34"/>
              <w:jc w:val="center"/>
              <w:rPr>
                <w:rFonts w:ascii="Times New Roman" w:hAnsi="Times New Roman" w:cs="Times New Roman"/>
                <w:sz w:val="24"/>
                <w:szCs w:val="24"/>
              </w:rPr>
            </w:pPr>
            <w:r w:rsidRPr="007D4043">
              <w:rPr>
                <w:rFonts w:ascii="Times New Roman" w:hAnsi="Times New Roman" w:cs="Times New Roman"/>
                <w:sz w:val="24"/>
                <w:szCs w:val="24"/>
              </w:rPr>
              <w:t>Основной курс</w:t>
            </w:r>
          </w:p>
        </w:tc>
      </w:tr>
      <w:tr w:rsidR="00BB76CC" w:rsidRPr="003D58F9" w14:paraId="410AA474" w14:textId="77777777" w:rsidTr="006C735A">
        <w:tc>
          <w:tcPr>
            <w:tcW w:w="975" w:type="pct"/>
          </w:tcPr>
          <w:p w14:paraId="6093360D" w14:textId="77777777" w:rsidR="00BB76CC" w:rsidRPr="003D58F9" w:rsidRDefault="00BB76CC" w:rsidP="006C735A">
            <w:pPr>
              <w:tabs>
                <w:tab w:val="left" w:pos="3588"/>
              </w:tabs>
              <w:ind w:firstLine="34"/>
              <w:rPr>
                <w:rFonts w:ascii="Times New Roman" w:hAnsi="Times New Roman" w:cs="Times New Roman"/>
                <w:sz w:val="24"/>
                <w:szCs w:val="24"/>
              </w:rPr>
            </w:pPr>
            <w:r w:rsidRPr="003D58F9">
              <w:rPr>
                <w:rFonts w:ascii="Times New Roman" w:hAnsi="Times New Roman" w:cs="Times New Roman"/>
                <w:sz w:val="24"/>
                <w:szCs w:val="24"/>
              </w:rPr>
              <w:t>№6</w:t>
            </w:r>
          </w:p>
        </w:tc>
        <w:tc>
          <w:tcPr>
            <w:tcW w:w="786" w:type="pct"/>
          </w:tcPr>
          <w:p w14:paraId="0A8D762E" w14:textId="77777777" w:rsidR="00BB76CC" w:rsidRPr="003D58F9" w:rsidRDefault="00BB76CC" w:rsidP="006C735A">
            <w:pPr>
              <w:tabs>
                <w:tab w:val="left" w:pos="3588"/>
              </w:tabs>
              <w:rPr>
                <w:rFonts w:ascii="Times New Roman" w:hAnsi="Times New Roman" w:cs="Times New Roman"/>
                <w:sz w:val="24"/>
                <w:szCs w:val="24"/>
              </w:rPr>
            </w:pPr>
            <w:r w:rsidRPr="003D58F9">
              <w:rPr>
                <w:rFonts w:ascii="Times New Roman" w:hAnsi="Times New Roman" w:cs="Times New Roman"/>
                <w:sz w:val="24"/>
                <w:szCs w:val="24"/>
              </w:rPr>
              <w:t>10</w:t>
            </w:r>
          </w:p>
        </w:tc>
        <w:tc>
          <w:tcPr>
            <w:tcW w:w="1037" w:type="pct"/>
          </w:tcPr>
          <w:p w14:paraId="6FFB73F0"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shd w:val="clear" w:color="auto" w:fill="FFFFFF"/>
              </w:rPr>
              <w:t>по 1 таблетке каждый день</w:t>
            </w:r>
          </w:p>
        </w:tc>
        <w:tc>
          <w:tcPr>
            <w:tcW w:w="1130" w:type="pct"/>
          </w:tcPr>
          <w:p w14:paraId="1C9BA4FE"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Ежедневно в соответствии с потребностью</w:t>
            </w:r>
          </w:p>
        </w:tc>
        <w:tc>
          <w:tcPr>
            <w:tcW w:w="1072" w:type="pct"/>
          </w:tcPr>
          <w:p w14:paraId="1A155FD8" w14:textId="77777777" w:rsidR="00BB76CC" w:rsidRPr="003D58F9" w:rsidRDefault="00BB76CC" w:rsidP="006C735A">
            <w:pPr>
              <w:tabs>
                <w:tab w:val="left" w:pos="3588"/>
              </w:tabs>
              <w:ind w:firstLine="55"/>
              <w:rPr>
                <w:rFonts w:ascii="Times New Roman" w:hAnsi="Times New Roman" w:cs="Times New Roman"/>
                <w:b/>
                <w:sz w:val="24"/>
                <w:szCs w:val="24"/>
              </w:rPr>
            </w:pPr>
            <w:r w:rsidRPr="003D58F9">
              <w:rPr>
                <w:rFonts w:ascii="Times New Roman" w:hAnsi="Times New Roman" w:cs="Times New Roman"/>
                <w:sz w:val="24"/>
                <w:szCs w:val="24"/>
              </w:rPr>
              <w:t>6 дней</w:t>
            </w:r>
          </w:p>
        </w:tc>
      </w:tr>
      <w:tr w:rsidR="00BB76CC" w:rsidRPr="003D58F9" w14:paraId="5E6193D9" w14:textId="77777777" w:rsidTr="006C735A">
        <w:tc>
          <w:tcPr>
            <w:tcW w:w="975" w:type="pct"/>
          </w:tcPr>
          <w:p w14:paraId="5053DED1" w14:textId="77777777" w:rsidR="00BB76CC" w:rsidRPr="003D58F9" w:rsidRDefault="00BB76CC" w:rsidP="006C735A">
            <w:pPr>
              <w:tabs>
                <w:tab w:val="left" w:pos="3588"/>
              </w:tabs>
              <w:ind w:firstLine="34"/>
              <w:rPr>
                <w:rFonts w:ascii="Times New Roman" w:hAnsi="Times New Roman" w:cs="Times New Roman"/>
                <w:sz w:val="24"/>
                <w:szCs w:val="24"/>
              </w:rPr>
            </w:pPr>
            <w:r w:rsidRPr="003D58F9">
              <w:rPr>
                <w:rFonts w:ascii="Times New Roman" w:hAnsi="Times New Roman" w:cs="Times New Roman"/>
                <w:sz w:val="24"/>
                <w:szCs w:val="24"/>
              </w:rPr>
              <w:t>№7</w:t>
            </w:r>
          </w:p>
        </w:tc>
        <w:tc>
          <w:tcPr>
            <w:tcW w:w="786" w:type="pct"/>
          </w:tcPr>
          <w:p w14:paraId="3C97C840" w14:textId="77777777" w:rsidR="00BB76CC" w:rsidRPr="003D58F9" w:rsidRDefault="00BB76CC" w:rsidP="006C735A">
            <w:pPr>
              <w:tabs>
                <w:tab w:val="left" w:pos="3588"/>
              </w:tabs>
              <w:rPr>
                <w:rFonts w:ascii="Times New Roman" w:hAnsi="Times New Roman" w:cs="Times New Roman"/>
                <w:sz w:val="24"/>
                <w:szCs w:val="24"/>
              </w:rPr>
            </w:pPr>
            <w:r w:rsidRPr="003D58F9">
              <w:rPr>
                <w:rFonts w:ascii="Times New Roman" w:hAnsi="Times New Roman" w:cs="Times New Roman"/>
                <w:sz w:val="24"/>
                <w:szCs w:val="24"/>
              </w:rPr>
              <w:t>100</w:t>
            </w:r>
          </w:p>
        </w:tc>
        <w:tc>
          <w:tcPr>
            <w:tcW w:w="1037" w:type="pct"/>
          </w:tcPr>
          <w:p w14:paraId="25EA0E4D"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shd w:val="clear" w:color="auto" w:fill="FFFFFF"/>
              </w:rPr>
              <w:t>по 1 таблетке каждый день</w:t>
            </w:r>
          </w:p>
        </w:tc>
        <w:tc>
          <w:tcPr>
            <w:tcW w:w="1130" w:type="pct"/>
          </w:tcPr>
          <w:p w14:paraId="1F336BA7"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Ежедневно в соответствии с потребностью</w:t>
            </w:r>
          </w:p>
        </w:tc>
        <w:tc>
          <w:tcPr>
            <w:tcW w:w="1072" w:type="pct"/>
          </w:tcPr>
          <w:p w14:paraId="12B5AAAE" w14:textId="77777777" w:rsidR="00BB76CC" w:rsidRPr="003D58F9" w:rsidRDefault="00BB76CC" w:rsidP="006C735A">
            <w:pPr>
              <w:tabs>
                <w:tab w:val="left" w:pos="3588"/>
              </w:tabs>
              <w:ind w:firstLine="55"/>
              <w:rPr>
                <w:rFonts w:ascii="Times New Roman" w:hAnsi="Times New Roman" w:cs="Times New Roman"/>
                <w:b/>
                <w:sz w:val="24"/>
                <w:szCs w:val="24"/>
              </w:rPr>
            </w:pPr>
            <w:r w:rsidRPr="003D58F9">
              <w:rPr>
                <w:rFonts w:ascii="Times New Roman" w:hAnsi="Times New Roman" w:cs="Times New Roman"/>
                <w:sz w:val="24"/>
                <w:szCs w:val="24"/>
              </w:rPr>
              <w:t>6 дней</w:t>
            </w:r>
          </w:p>
        </w:tc>
      </w:tr>
      <w:tr w:rsidR="00BB76CC" w:rsidRPr="003D58F9" w14:paraId="08EC3873" w14:textId="77777777" w:rsidTr="006C735A">
        <w:tc>
          <w:tcPr>
            <w:tcW w:w="975" w:type="pct"/>
          </w:tcPr>
          <w:p w14:paraId="6071E657" w14:textId="77777777" w:rsidR="00BB76CC" w:rsidRPr="003D58F9" w:rsidRDefault="00BB76CC" w:rsidP="006C735A">
            <w:pPr>
              <w:tabs>
                <w:tab w:val="left" w:pos="3588"/>
              </w:tabs>
              <w:ind w:firstLine="34"/>
              <w:rPr>
                <w:rFonts w:ascii="Times New Roman" w:hAnsi="Times New Roman" w:cs="Times New Roman"/>
                <w:sz w:val="24"/>
                <w:szCs w:val="24"/>
              </w:rPr>
            </w:pPr>
            <w:r w:rsidRPr="003D58F9">
              <w:rPr>
                <w:rFonts w:ascii="Times New Roman" w:hAnsi="Times New Roman" w:cs="Times New Roman"/>
                <w:sz w:val="24"/>
                <w:szCs w:val="24"/>
              </w:rPr>
              <w:t>№8</w:t>
            </w:r>
          </w:p>
        </w:tc>
        <w:tc>
          <w:tcPr>
            <w:tcW w:w="786" w:type="pct"/>
          </w:tcPr>
          <w:p w14:paraId="0C9E70C6" w14:textId="77777777" w:rsidR="00BB76CC" w:rsidRPr="003D58F9" w:rsidRDefault="00BB76CC" w:rsidP="006C735A">
            <w:pPr>
              <w:tabs>
                <w:tab w:val="left" w:pos="3588"/>
              </w:tabs>
              <w:rPr>
                <w:rFonts w:ascii="Times New Roman" w:hAnsi="Times New Roman" w:cs="Times New Roman"/>
                <w:sz w:val="24"/>
                <w:szCs w:val="24"/>
              </w:rPr>
            </w:pPr>
            <w:r w:rsidRPr="003D58F9">
              <w:rPr>
                <w:rFonts w:ascii="Times New Roman" w:hAnsi="Times New Roman" w:cs="Times New Roman"/>
                <w:sz w:val="24"/>
                <w:szCs w:val="24"/>
              </w:rPr>
              <w:t>1000</w:t>
            </w:r>
          </w:p>
        </w:tc>
        <w:tc>
          <w:tcPr>
            <w:tcW w:w="1037" w:type="pct"/>
          </w:tcPr>
          <w:p w14:paraId="35591540"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shd w:val="clear" w:color="auto" w:fill="FFFFFF"/>
              </w:rPr>
              <w:t>по 1 таблетке через 1 день</w:t>
            </w:r>
          </w:p>
        </w:tc>
        <w:tc>
          <w:tcPr>
            <w:tcW w:w="1130" w:type="pct"/>
          </w:tcPr>
          <w:p w14:paraId="3591105E"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Ежедневно в соответствии с потребностью</w:t>
            </w:r>
          </w:p>
        </w:tc>
        <w:tc>
          <w:tcPr>
            <w:tcW w:w="1072" w:type="pct"/>
          </w:tcPr>
          <w:p w14:paraId="192DB101" w14:textId="77777777" w:rsidR="00BB76CC" w:rsidRPr="003D58F9" w:rsidRDefault="00BB76CC" w:rsidP="006C735A">
            <w:pPr>
              <w:tabs>
                <w:tab w:val="left" w:pos="3588"/>
              </w:tabs>
              <w:ind w:firstLine="55"/>
              <w:rPr>
                <w:rFonts w:ascii="Times New Roman" w:hAnsi="Times New Roman" w:cs="Times New Roman"/>
                <w:b/>
                <w:sz w:val="24"/>
                <w:szCs w:val="24"/>
              </w:rPr>
            </w:pPr>
            <w:r w:rsidRPr="003D58F9">
              <w:rPr>
                <w:rFonts w:ascii="Times New Roman" w:hAnsi="Times New Roman" w:cs="Times New Roman"/>
                <w:sz w:val="24"/>
                <w:szCs w:val="24"/>
              </w:rPr>
              <w:t>14 дней</w:t>
            </w:r>
          </w:p>
        </w:tc>
      </w:tr>
      <w:tr w:rsidR="00BB76CC" w:rsidRPr="003D58F9" w14:paraId="17F7FAFE" w14:textId="77777777" w:rsidTr="006C735A">
        <w:tc>
          <w:tcPr>
            <w:tcW w:w="5000" w:type="pct"/>
            <w:gridSpan w:val="5"/>
          </w:tcPr>
          <w:p w14:paraId="693E5962" w14:textId="77777777" w:rsidR="00BB76CC" w:rsidRPr="007D4043" w:rsidRDefault="00BB76CC" w:rsidP="006C735A">
            <w:pPr>
              <w:tabs>
                <w:tab w:val="left" w:pos="3588"/>
              </w:tabs>
              <w:ind w:firstLine="55"/>
              <w:rPr>
                <w:rFonts w:ascii="Times New Roman" w:hAnsi="Times New Roman" w:cs="Times New Roman"/>
                <w:sz w:val="24"/>
                <w:szCs w:val="24"/>
              </w:rPr>
            </w:pPr>
            <w:r w:rsidRPr="007D4043">
              <w:rPr>
                <w:rFonts w:ascii="Times New Roman" w:hAnsi="Times New Roman" w:cs="Times New Roman"/>
                <w:sz w:val="24"/>
                <w:szCs w:val="24"/>
              </w:rPr>
              <w:t>2 визит к лечащему врачу – 56 день</w:t>
            </w:r>
          </w:p>
        </w:tc>
      </w:tr>
      <w:tr w:rsidR="00BB76CC" w:rsidRPr="003D58F9" w14:paraId="70C638F0" w14:textId="77777777" w:rsidTr="006C735A">
        <w:tc>
          <w:tcPr>
            <w:tcW w:w="5000" w:type="pct"/>
            <w:gridSpan w:val="5"/>
          </w:tcPr>
          <w:p w14:paraId="1F649574" w14:textId="77777777" w:rsidR="00BB76CC" w:rsidRPr="007D4043" w:rsidRDefault="00BB76CC" w:rsidP="006C735A">
            <w:pPr>
              <w:tabs>
                <w:tab w:val="left" w:pos="3588"/>
              </w:tabs>
              <w:ind w:firstLine="34"/>
              <w:jc w:val="center"/>
              <w:rPr>
                <w:rFonts w:ascii="Times New Roman" w:hAnsi="Times New Roman" w:cs="Times New Roman"/>
                <w:sz w:val="24"/>
                <w:szCs w:val="24"/>
              </w:rPr>
            </w:pPr>
            <w:r w:rsidRPr="007D4043">
              <w:rPr>
                <w:rFonts w:ascii="Times New Roman" w:hAnsi="Times New Roman" w:cs="Times New Roman"/>
                <w:sz w:val="24"/>
                <w:szCs w:val="24"/>
              </w:rPr>
              <w:t>Поддерживающий курс</w:t>
            </w:r>
          </w:p>
        </w:tc>
      </w:tr>
      <w:tr w:rsidR="00BB76CC" w:rsidRPr="003D58F9" w14:paraId="75152A08" w14:textId="77777777" w:rsidTr="006C735A">
        <w:tc>
          <w:tcPr>
            <w:tcW w:w="975" w:type="pct"/>
          </w:tcPr>
          <w:p w14:paraId="7F83390F" w14:textId="77777777" w:rsidR="00BB76CC" w:rsidRPr="003D58F9" w:rsidRDefault="00BB76CC" w:rsidP="006C735A">
            <w:pPr>
              <w:tabs>
                <w:tab w:val="left" w:pos="3588"/>
              </w:tabs>
              <w:ind w:firstLine="34"/>
              <w:rPr>
                <w:rFonts w:ascii="Times New Roman" w:hAnsi="Times New Roman" w:cs="Times New Roman"/>
                <w:sz w:val="24"/>
                <w:szCs w:val="24"/>
              </w:rPr>
            </w:pPr>
            <w:r w:rsidRPr="003D58F9">
              <w:rPr>
                <w:rFonts w:ascii="Times New Roman" w:hAnsi="Times New Roman" w:cs="Times New Roman"/>
                <w:sz w:val="24"/>
                <w:szCs w:val="24"/>
              </w:rPr>
              <w:t>№9</w:t>
            </w:r>
          </w:p>
        </w:tc>
        <w:tc>
          <w:tcPr>
            <w:tcW w:w="786" w:type="pct"/>
          </w:tcPr>
          <w:p w14:paraId="6830E79D" w14:textId="77777777" w:rsidR="00BB76CC" w:rsidRPr="003D58F9" w:rsidRDefault="00BB76CC" w:rsidP="006C735A">
            <w:pPr>
              <w:tabs>
                <w:tab w:val="left" w:pos="3588"/>
              </w:tabs>
              <w:rPr>
                <w:rFonts w:ascii="Times New Roman" w:hAnsi="Times New Roman" w:cs="Times New Roman"/>
                <w:sz w:val="24"/>
                <w:szCs w:val="24"/>
              </w:rPr>
            </w:pPr>
            <w:r w:rsidRPr="003D58F9">
              <w:rPr>
                <w:rFonts w:ascii="Times New Roman" w:hAnsi="Times New Roman" w:cs="Times New Roman"/>
                <w:sz w:val="24"/>
                <w:szCs w:val="24"/>
              </w:rPr>
              <w:t>1000</w:t>
            </w:r>
          </w:p>
        </w:tc>
        <w:tc>
          <w:tcPr>
            <w:tcW w:w="1037" w:type="pct"/>
          </w:tcPr>
          <w:p w14:paraId="373252EB"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shd w:val="clear" w:color="auto" w:fill="FFFFFF"/>
              </w:rPr>
              <w:t>по 1 таблетке через 2 дня</w:t>
            </w:r>
          </w:p>
        </w:tc>
        <w:tc>
          <w:tcPr>
            <w:tcW w:w="1130" w:type="pct"/>
          </w:tcPr>
          <w:p w14:paraId="20A3D5E4" w14:textId="77777777" w:rsidR="00BB76CC" w:rsidRPr="007D4043" w:rsidRDefault="00BB76CC" w:rsidP="006C735A">
            <w:pPr>
              <w:tabs>
                <w:tab w:val="left" w:pos="3588"/>
              </w:tabs>
              <w:rPr>
                <w:rFonts w:ascii="Times New Roman" w:hAnsi="Times New Roman" w:cs="Times New Roman"/>
                <w:sz w:val="24"/>
                <w:szCs w:val="24"/>
              </w:rPr>
            </w:pPr>
            <w:r w:rsidRPr="007D4043">
              <w:rPr>
                <w:rFonts w:ascii="Times New Roman" w:hAnsi="Times New Roman" w:cs="Times New Roman"/>
                <w:sz w:val="24"/>
                <w:szCs w:val="24"/>
              </w:rPr>
              <w:t>Ежедневно в соответствии с потребностью</w:t>
            </w:r>
          </w:p>
        </w:tc>
        <w:tc>
          <w:tcPr>
            <w:tcW w:w="1072" w:type="pct"/>
          </w:tcPr>
          <w:p w14:paraId="48516179" w14:textId="77777777" w:rsidR="00BB76CC" w:rsidRPr="003D58F9" w:rsidRDefault="00BB76CC" w:rsidP="006C735A">
            <w:pPr>
              <w:tabs>
                <w:tab w:val="left" w:pos="3588"/>
              </w:tabs>
              <w:ind w:firstLine="55"/>
              <w:rPr>
                <w:rFonts w:ascii="Times New Roman" w:hAnsi="Times New Roman" w:cs="Times New Roman"/>
                <w:sz w:val="24"/>
                <w:szCs w:val="24"/>
              </w:rPr>
            </w:pPr>
            <w:r w:rsidRPr="003D58F9">
              <w:rPr>
                <w:rFonts w:ascii="Times New Roman" w:hAnsi="Times New Roman" w:cs="Times New Roman"/>
                <w:sz w:val="24"/>
                <w:szCs w:val="24"/>
              </w:rPr>
              <w:t>16 дней</w:t>
            </w:r>
          </w:p>
        </w:tc>
      </w:tr>
      <w:tr w:rsidR="00BB76CC" w:rsidRPr="003D58F9" w14:paraId="6E7144A8" w14:textId="77777777" w:rsidTr="006C735A">
        <w:tc>
          <w:tcPr>
            <w:tcW w:w="5000" w:type="pct"/>
            <w:gridSpan w:val="5"/>
          </w:tcPr>
          <w:p w14:paraId="47FA7542" w14:textId="77777777" w:rsidR="00BB76CC" w:rsidRPr="003D58F9" w:rsidRDefault="00BB76CC" w:rsidP="006C735A">
            <w:pPr>
              <w:tabs>
                <w:tab w:val="left" w:pos="3588"/>
              </w:tabs>
              <w:ind w:firstLine="55"/>
              <w:rPr>
                <w:rFonts w:ascii="Times New Roman" w:hAnsi="Times New Roman" w:cs="Times New Roman"/>
                <w:sz w:val="24"/>
                <w:szCs w:val="24"/>
              </w:rPr>
            </w:pPr>
            <w:r w:rsidRPr="003D58F9">
              <w:rPr>
                <w:rFonts w:ascii="Times New Roman" w:hAnsi="Times New Roman" w:cs="Times New Roman"/>
                <w:sz w:val="24"/>
                <w:szCs w:val="24"/>
              </w:rPr>
              <w:t>3 визит к лечащему врачу – 72 день</w:t>
            </w:r>
          </w:p>
        </w:tc>
      </w:tr>
    </w:tbl>
    <w:p w14:paraId="0A63DF84" w14:textId="77777777" w:rsidR="00BB76CC" w:rsidRPr="00EC38CC" w:rsidRDefault="00BB76CC" w:rsidP="00BB76CC">
      <w:pPr>
        <w:tabs>
          <w:tab w:val="left" w:pos="851"/>
          <w:tab w:val="left" w:pos="993"/>
        </w:tabs>
        <w:spacing w:after="0" w:line="240" w:lineRule="auto"/>
        <w:ind w:firstLine="567"/>
        <w:jc w:val="both"/>
        <w:rPr>
          <w:rFonts w:ascii="Times New Roman" w:hAnsi="Times New Roman" w:cs="Times New Roman"/>
          <w:sz w:val="28"/>
          <w:szCs w:val="28"/>
        </w:rPr>
      </w:pPr>
    </w:p>
    <w:p w14:paraId="7CEC61F3" w14:textId="07AB9316" w:rsidR="0044570C" w:rsidRDefault="00BB76CC" w:rsidP="00035388">
      <w:pPr>
        <w:spacing w:after="0" w:line="240" w:lineRule="auto"/>
        <w:jc w:val="center"/>
        <w:rPr>
          <w:rFonts w:ascii="Times New Roman" w:hAnsi="Times New Roman" w:cs="Times New Roman"/>
          <w:sz w:val="28"/>
          <w:szCs w:val="28"/>
        </w:rPr>
      </w:pPr>
      <w:r w:rsidRPr="00EC38CC">
        <w:rPr>
          <w:rFonts w:ascii="Times New Roman" w:hAnsi="Times New Roman" w:cs="Times New Roman"/>
          <w:sz w:val="28"/>
          <w:szCs w:val="28"/>
        </w:rPr>
        <w:br w:type="page"/>
      </w:r>
    </w:p>
    <w:p w14:paraId="2374F7FA" w14:textId="77777777" w:rsidR="00035388" w:rsidRPr="00035388" w:rsidRDefault="00035388" w:rsidP="00035388">
      <w:pPr>
        <w:pStyle w:val="1"/>
        <w:numPr>
          <w:ilvl w:val="0"/>
          <w:numId w:val="0"/>
        </w:numPr>
        <w:jc w:val="center"/>
        <w:rPr>
          <w:rFonts w:ascii="Times New Roman" w:hAnsi="Times New Roman" w:cs="Times New Roman"/>
          <w:b/>
          <w:color w:val="auto"/>
          <w:sz w:val="28"/>
          <w:szCs w:val="28"/>
        </w:rPr>
      </w:pPr>
      <w:bookmarkStart w:id="68" w:name="_Toc137904375"/>
      <w:r w:rsidRPr="00035388">
        <w:rPr>
          <w:rFonts w:ascii="Times New Roman" w:hAnsi="Times New Roman" w:cs="Times New Roman"/>
          <w:b/>
          <w:color w:val="auto"/>
          <w:sz w:val="28"/>
          <w:szCs w:val="28"/>
        </w:rPr>
        <w:t>ПРИЛОЖЕНИЕ Ж</w:t>
      </w:r>
      <w:bookmarkEnd w:id="68"/>
    </w:p>
    <w:p w14:paraId="0733A15F" w14:textId="77777777" w:rsidR="00035388" w:rsidRDefault="00035388" w:rsidP="00035388">
      <w:pPr>
        <w:pStyle w:val="afd"/>
        <w:jc w:val="center"/>
        <w:rPr>
          <w:rFonts w:ascii="Times New Roman" w:hAnsi="Times New Roman"/>
          <w:sz w:val="28"/>
          <w:szCs w:val="28"/>
        </w:rPr>
      </w:pPr>
    </w:p>
    <w:p w14:paraId="1376A383" w14:textId="0A4EAC46" w:rsidR="0044570C" w:rsidRPr="00035388" w:rsidRDefault="0044570C" w:rsidP="00035388">
      <w:pPr>
        <w:pStyle w:val="afd"/>
        <w:jc w:val="center"/>
        <w:rPr>
          <w:rFonts w:ascii="Times New Roman" w:hAnsi="Times New Roman"/>
          <w:sz w:val="28"/>
          <w:szCs w:val="28"/>
        </w:rPr>
      </w:pPr>
      <w:r w:rsidRPr="00035388">
        <w:rPr>
          <w:rFonts w:ascii="Times New Roman" w:hAnsi="Times New Roman"/>
          <w:sz w:val="28"/>
          <w:szCs w:val="28"/>
        </w:rPr>
        <w:t>Дневник контроля побочных реакций</w:t>
      </w:r>
    </w:p>
    <w:p w14:paraId="496B925C" w14:textId="77777777" w:rsidR="0044570C" w:rsidRPr="00D00AEA" w:rsidRDefault="0044570C" w:rsidP="0044570C">
      <w:pPr>
        <w:tabs>
          <w:tab w:val="left" w:pos="2952"/>
        </w:tabs>
        <w:spacing w:after="0" w:line="240" w:lineRule="auto"/>
        <w:jc w:val="both"/>
        <w:rPr>
          <w:rFonts w:ascii="Times New Roman" w:hAnsi="Times New Roman" w:cs="Times New Roman"/>
          <w:b/>
          <w:sz w:val="28"/>
          <w:szCs w:val="28"/>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368"/>
        <w:gridCol w:w="1186"/>
        <w:gridCol w:w="1334"/>
        <w:gridCol w:w="1186"/>
        <w:gridCol w:w="1186"/>
        <w:gridCol w:w="1186"/>
        <w:gridCol w:w="1182"/>
      </w:tblGrid>
      <w:tr w:rsidR="0044570C" w:rsidRPr="007D4043" w14:paraId="18409A23"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3EDAAEFC"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Дата</w:t>
            </w:r>
          </w:p>
        </w:tc>
        <w:tc>
          <w:tcPr>
            <w:tcW w:w="616" w:type="pct"/>
            <w:tcBorders>
              <w:top w:val="single" w:sz="4" w:space="0" w:color="auto"/>
              <w:left w:val="single" w:sz="4" w:space="0" w:color="auto"/>
              <w:bottom w:val="single" w:sz="4" w:space="0" w:color="auto"/>
              <w:right w:val="single" w:sz="4" w:space="0" w:color="auto"/>
            </w:tcBorders>
          </w:tcPr>
          <w:p w14:paraId="6677D209"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1DC190F8"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5E32A93"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16E510E3"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6CC592E1"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72A0A757"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r>
      <w:tr w:rsidR="0044570C" w:rsidRPr="007D4043" w14:paraId="178F472A" w14:textId="77777777" w:rsidTr="006C735A">
        <w:tc>
          <w:tcPr>
            <w:tcW w:w="1229" w:type="pct"/>
            <w:tcBorders>
              <w:top w:val="single" w:sz="4" w:space="0" w:color="auto"/>
              <w:left w:val="single" w:sz="4" w:space="0" w:color="auto"/>
              <w:bottom w:val="single" w:sz="4" w:space="0" w:color="auto"/>
              <w:right w:val="single" w:sz="4" w:space="0" w:color="auto"/>
            </w:tcBorders>
            <w:vAlign w:val="center"/>
          </w:tcPr>
          <w:p w14:paraId="0165E8FD"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День приема</w:t>
            </w:r>
          </w:p>
        </w:tc>
        <w:tc>
          <w:tcPr>
            <w:tcW w:w="616" w:type="pct"/>
            <w:tcBorders>
              <w:top w:val="single" w:sz="4" w:space="0" w:color="auto"/>
              <w:left w:val="single" w:sz="4" w:space="0" w:color="auto"/>
              <w:bottom w:val="single" w:sz="4" w:space="0" w:color="auto"/>
              <w:right w:val="single" w:sz="4" w:space="0" w:color="auto"/>
            </w:tcBorders>
          </w:tcPr>
          <w:p w14:paraId="3DA7F532"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6F765D59"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AE81100"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3E0F59C"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083B1587"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5DB583D4"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r>
      <w:tr w:rsidR="0044570C" w:rsidRPr="007D4043" w14:paraId="4E82C674"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6EA9E65B"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Дозировка</w:t>
            </w:r>
          </w:p>
        </w:tc>
        <w:tc>
          <w:tcPr>
            <w:tcW w:w="616" w:type="pct"/>
            <w:tcBorders>
              <w:top w:val="single" w:sz="4" w:space="0" w:color="auto"/>
              <w:left w:val="single" w:sz="4" w:space="0" w:color="auto"/>
              <w:bottom w:val="single" w:sz="4" w:space="0" w:color="auto"/>
              <w:right w:val="single" w:sz="4" w:space="0" w:color="auto"/>
            </w:tcBorders>
          </w:tcPr>
          <w:p w14:paraId="06F71192"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4F69BFB7"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6ECB9BB"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629E0423"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63119E4F"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5F3369C"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r>
      <w:tr w:rsidR="0044570C" w:rsidRPr="007D4043" w14:paraId="681A2188"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0A042A6F"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Зуд в ротовой полости</w:t>
            </w:r>
          </w:p>
        </w:tc>
        <w:tc>
          <w:tcPr>
            <w:tcW w:w="616" w:type="pct"/>
            <w:tcBorders>
              <w:top w:val="single" w:sz="4" w:space="0" w:color="auto"/>
              <w:left w:val="single" w:sz="4" w:space="0" w:color="auto"/>
              <w:bottom w:val="single" w:sz="4" w:space="0" w:color="auto"/>
              <w:right w:val="single" w:sz="4" w:space="0" w:color="auto"/>
            </w:tcBorders>
          </w:tcPr>
          <w:p w14:paraId="5CDC9314"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15034D4C"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AB906B8"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67439DD4"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80AB7D1"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E3A92AF"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r>
      <w:tr w:rsidR="0044570C" w:rsidRPr="007D4043" w14:paraId="3B1812F8"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4D855611"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Жжение в ротовой полости</w:t>
            </w:r>
          </w:p>
        </w:tc>
        <w:tc>
          <w:tcPr>
            <w:tcW w:w="616" w:type="pct"/>
            <w:tcBorders>
              <w:top w:val="single" w:sz="4" w:space="0" w:color="auto"/>
              <w:left w:val="single" w:sz="4" w:space="0" w:color="auto"/>
              <w:bottom w:val="single" w:sz="4" w:space="0" w:color="auto"/>
              <w:right w:val="single" w:sz="4" w:space="0" w:color="auto"/>
            </w:tcBorders>
          </w:tcPr>
          <w:p w14:paraId="0F43A717"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316DD9D3"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5E4A3D88"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612767FD"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FCD5018"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428673DF"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r>
      <w:tr w:rsidR="0044570C" w:rsidRPr="007D4043" w14:paraId="693DF945"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259C8F95"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Отечность в ротовой полости</w:t>
            </w:r>
          </w:p>
        </w:tc>
        <w:tc>
          <w:tcPr>
            <w:tcW w:w="616" w:type="pct"/>
            <w:tcBorders>
              <w:top w:val="single" w:sz="4" w:space="0" w:color="auto"/>
              <w:left w:val="single" w:sz="4" w:space="0" w:color="auto"/>
              <w:bottom w:val="single" w:sz="4" w:space="0" w:color="auto"/>
              <w:right w:val="single" w:sz="4" w:space="0" w:color="auto"/>
            </w:tcBorders>
          </w:tcPr>
          <w:p w14:paraId="023D18A8"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7CE78A1E"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59AA9DBB"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0171F105"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0B37F761"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7D19FE4E"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r>
      <w:tr w:rsidR="0044570C" w:rsidRPr="007D4043" w14:paraId="30C7DB4C"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0990C920"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Першение в горле</w:t>
            </w:r>
          </w:p>
        </w:tc>
        <w:tc>
          <w:tcPr>
            <w:tcW w:w="616" w:type="pct"/>
            <w:tcBorders>
              <w:top w:val="single" w:sz="4" w:space="0" w:color="auto"/>
              <w:left w:val="single" w:sz="4" w:space="0" w:color="auto"/>
              <w:bottom w:val="single" w:sz="4" w:space="0" w:color="auto"/>
              <w:right w:val="single" w:sz="4" w:space="0" w:color="auto"/>
            </w:tcBorders>
          </w:tcPr>
          <w:p w14:paraId="12808A2C"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684180A4"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3F0F86F"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E778088"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098AC2D1"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B608480"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r>
      <w:tr w:rsidR="0044570C" w:rsidRPr="007D4043" w14:paraId="23F1024C"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7E34C04E"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Тошнота</w:t>
            </w:r>
          </w:p>
        </w:tc>
        <w:tc>
          <w:tcPr>
            <w:tcW w:w="616" w:type="pct"/>
            <w:tcBorders>
              <w:top w:val="single" w:sz="4" w:space="0" w:color="auto"/>
              <w:left w:val="single" w:sz="4" w:space="0" w:color="auto"/>
              <w:bottom w:val="single" w:sz="4" w:space="0" w:color="auto"/>
              <w:right w:val="single" w:sz="4" w:space="0" w:color="auto"/>
            </w:tcBorders>
          </w:tcPr>
          <w:p w14:paraId="48C27E66"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6877F7E1"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5D6D50FF"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45C933CF"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52D558A0"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5DB5D674"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r>
      <w:tr w:rsidR="0044570C" w:rsidRPr="007D4043" w14:paraId="390E66D7"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6FF1F57F"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Рвота</w:t>
            </w:r>
          </w:p>
        </w:tc>
        <w:tc>
          <w:tcPr>
            <w:tcW w:w="616" w:type="pct"/>
            <w:tcBorders>
              <w:top w:val="single" w:sz="4" w:space="0" w:color="auto"/>
              <w:left w:val="single" w:sz="4" w:space="0" w:color="auto"/>
              <w:bottom w:val="single" w:sz="4" w:space="0" w:color="auto"/>
              <w:right w:val="single" w:sz="4" w:space="0" w:color="auto"/>
            </w:tcBorders>
          </w:tcPr>
          <w:p w14:paraId="30640BD0"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0925FC03"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1141C394"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2F8B8FE"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ADDB2E7"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66251E75"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r>
      <w:tr w:rsidR="0044570C" w:rsidRPr="007D4043" w14:paraId="55A04560"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788C1500"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Изжога</w:t>
            </w:r>
          </w:p>
        </w:tc>
        <w:tc>
          <w:tcPr>
            <w:tcW w:w="616" w:type="pct"/>
            <w:tcBorders>
              <w:top w:val="single" w:sz="4" w:space="0" w:color="auto"/>
              <w:left w:val="single" w:sz="4" w:space="0" w:color="auto"/>
              <w:bottom w:val="single" w:sz="4" w:space="0" w:color="auto"/>
              <w:right w:val="single" w:sz="4" w:space="0" w:color="auto"/>
            </w:tcBorders>
          </w:tcPr>
          <w:p w14:paraId="310EAB78"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1AD4E7D9"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74CF2DB8"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4B19ED65"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CB517C7"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0A5E1034"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r>
      <w:tr w:rsidR="0044570C" w:rsidRPr="007D4043" w14:paraId="016B9400"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00924D58"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Диарея</w:t>
            </w:r>
          </w:p>
        </w:tc>
        <w:tc>
          <w:tcPr>
            <w:tcW w:w="616" w:type="pct"/>
            <w:tcBorders>
              <w:top w:val="single" w:sz="4" w:space="0" w:color="auto"/>
              <w:left w:val="single" w:sz="4" w:space="0" w:color="auto"/>
              <w:bottom w:val="single" w:sz="4" w:space="0" w:color="auto"/>
              <w:right w:val="single" w:sz="4" w:space="0" w:color="auto"/>
            </w:tcBorders>
          </w:tcPr>
          <w:p w14:paraId="07ADD7CD"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333C9B1B"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71732AA"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0FFF6968"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547B7B12"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02D3589"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r>
      <w:tr w:rsidR="0044570C" w:rsidRPr="007D4043" w14:paraId="6E0A27C7"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17198591"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Боли в животе</w:t>
            </w:r>
          </w:p>
        </w:tc>
        <w:tc>
          <w:tcPr>
            <w:tcW w:w="616" w:type="pct"/>
            <w:tcBorders>
              <w:top w:val="single" w:sz="4" w:space="0" w:color="auto"/>
              <w:left w:val="single" w:sz="4" w:space="0" w:color="auto"/>
              <w:bottom w:val="single" w:sz="4" w:space="0" w:color="auto"/>
              <w:right w:val="single" w:sz="4" w:space="0" w:color="auto"/>
            </w:tcBorders>
          </w:tcPr>
          <w:p w14:paraId="4925BCAE"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47C43C9C"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4E56034A"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54C906D2"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F17976E"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07193B72"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r>
      <w:tr w:rsidR="0044570C" w:rsidRPr="007D4043" w14:paraId="54405CA3" w14:textId="77777777" w:rsidTr="006C735A">
        <w:tc>
          <w:tcPr>
            <w:tcW w:w="1229" w:type="pct"/>
            <w:tcBorders>
              <w:top w:val="single" w:sz="4" w:space="0" w:color="auto"/>
              <w:left w:val="single" w:sz="4" w:space="0" w:color="auto"/>
              <w:bottom w:val="single" w:sz="4" w:space="0" w:color="auto"/>
              <w:right w:val="single" w:sz="4" w:space="0" w:color="auto"/>
            </w:tcBorders>
            <w:vAlign w:val="center"/>
            <w:hideMark/>
          </w:tcPr>
          <w:p w14:paraId="16A4F34F"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Другие</w:t>
            </w:r>
            <w:r w:rsidRPr="007D4043">
              <w:rPr>
                <w:rFonts w:ascii="Times New Roman" w:eastAsia="Times New Roman" w:hAnsi="Times New Roman" w:cs="Times New Roman"/>
                <w:sz w:val="24"/>
                <w:szCs w:val="24"/>
                <w:lang w:eastAsia="ru-RU"/>
              </w:rPr>
              <w:br/>
              <w:t>нежелательные</w:t>
            </w:r>
            <w:r w:rsidRPr="007D4043">
              <w:rPr>
                <w:rFonts w:ascii="Times New Roman" w:eastAsia="Times New Roman" w:hAnsi="Times New Roman" w:cs="Times New Roman"/>
                <w:sz w:val="24"/>
                <w:szCs w:val="24"/>
                <w:lang w:eastAsia="ru-RU"/>
              </w:rPr>
              <w:br/>
              <w:t>явления</w:t>
            </w:r>
          </w:p>
        </w:tc>
        <w:tc>
          <w:tcPr>
            <w:tcW w:w="616" w:type="pct"/>
            <w:tcBorders>
              <w:top w:val="single" w:sz="4" w:space="0" w:color="auto"/>
              <w:left w:val="single" w:sz="4" w:space="0" w:color="auto"/>
              <w:bottom w:val="single" w:sz="4" w:space="0" w:color="auto"/>
              <w:right w:val="single" w:sz="4" w:space="0" w:color="auto"/>
            </w:tcBorders>
          </w:tcPr>
          <w:p w14:paraId="5116D479"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73E1F754"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3EDA3565"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543F427A"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19E6138C"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A889171"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r>
      <w:tr w:rsidR="0044570C" w:rsidRPr="007D4043" w14:paraId="5406C6F2" w14:textId="77777777" w:rsidTr="006C735A">
        <w:tc>
          <w:tcPr>
            <w:tcW w:w="1229" w:type="pct"/>
            <w:tcBorders>
              <w:top w:val="single" w:sz="4" w:space="0" w:color="auto"/>
              <w:left w:val="single" w:sz="4" w:space="0" w:color="auto"/>
              <w:bottom w:val="single" w:sz="4" w:space="0" w:color="auto"/>
              <w:right w:val="single" w:sz="4" w:space="0" w:color="auto"/>
            </w:tcBorders>
            <w:vAlign w:val="center"/>
          </w:tcPr>
          <w:p w14:paraId="442EC915" w14:textId="45712786" w:rsidR="0044570C" w:rsidRPr="007D4043" w:rsidRDefault="0044570C" w:rsidP="006C735A">
            <w:pPr>
              <w:spacing w:after="0" w:line="240" w:lineRule="auto"/>
              <w:rPr>
                <w:rFonts w:ascii="Times New Roman" w:eastAsia="Times New Roman" w:hAnsi="Times New Roman" w:cs="Times New Roman"/>
                <w:sz w:val="24"/>
                <w:szCs w:val="24"/>
                <w:lang w:eastAsia="ru-RU"/>
              </w:rPr>
            </w:pPr>
            <w:r w:rsidRPr="007D4043">
              <w:rPr>
                <w:rFonts w:ascii="Times New Roman" w:eastAsia="Times New Roman" w:hAnsi="Times New Roman" w:cs="Times New Roman"/>
                <w:sz w:val="24"/>
                <w:szCs w:val="24"/>
                <w:lang w:eastAsia="ru-RU"/>
              </w:rPr>
              <w:t>Применяемы</w:t>
            </w:r>
            <w:r w:rsidR="009B7034">
              <w:rPr>
                <w:rFonts w:ascii="Times New Roman" w:eastAsia="Times New Roman" w:hAnsi="Times New Roman" w:cs="Times New Roman"/>
                <w:sz w:val="24"/>
                <w:szCs w:val="24"/>
                <w:lang w:eastAsia="ru-RU"/>
              </w:rPr>
              <w:t>е</w:t>
            </w:r>
            <w:r w:rsidRPr="007D4043">
              <w:rPr>
                <w:rFonts w:ascii="Times New Roman" w:eastAsia="Times New Roman" w:hAnsi="Times New Roman" w:cs="Times New Roman"/>
                <w:sz w:val="24"/>
                <w:szCs w:val="24"/>
                <w:lang w:eastAsia="ru-RU"/>
              </w:rPr>
              <w:t xml:space="preserve"> препараты</w:t>
            </w:r>
          </w:p>
        </w:tc>
        <w:tc>
          <w:tcPr>
            <w:tcW w:w="616" w:type="pct"/>
            <w:tcBorders>
              <w:top w:val="single" w:sz="4" w:space="0" w:color="auto"/>
              <w:left w:val="single" w:sz="4" w:space="0" w:color="auto"/>
              <w:bottom w:val="single" w:sz="4" w:space="0" w:color="auto"/>
              <w:right w:val="single" w:sz="4" w:space="0" w:color="auto"/>
            </w:tcBorders>
          </w:tcPr>
          <w:p w14:paraId="51E50BBC"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93" w:type="pct"/>
            <w:tcBorders>
              <w:top w:val="single" w:sz="4" w:space="0" w:color="auto"/>
              <w:left w:val="single" w:sz="4" w:space="0" w:color="auto"/>
              <w:bottom w:val="single" w:sz="4" w:space="0" w:color="auto"/>
              <w:right w:val="single" w:sz="4" w:space="0" w:color="auto"/>
            </w:tcBorders>
          </w:tcPr>
          <w:p w14:paraId="5B0014B8"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D27C67D"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69F6759C"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2F0AD776"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c>
          <w:tcPr>
            <w:tcW w:w="616" w:type="pct"/>
            <w:tcBorders>
              <w:top w:val="single" w:sz="4" w:space="0" w:color="auto"/>
              <w:left w:val="single" w:sz="4" w:space="0" w:color="auto"/>
              <w:bottom w:val="single" w:sz="4" w:space="0" w:color="auto"/>
              <w:right w:val="single" w:sz="4" w:space="0" w:color="auto"/>
            </w:tcBorders>
          </w:tcPr>
          <w:p w14:paraId="4DF89206" w14:textId="77777777" w:rsidR="0044570C" w:rsidRPr="007D4043" w:rsidRDefault="0044570C" w:rsidP="006C735A">
            <w:pPr>
              <w:spacing w:after="0" w:line="240" w:lineRule="auto"/>
              <w:rPr>
                <w:rFonts w:ascii="Times New Roman" w:eastAsia="Times New Roman" w:hAnsi="Times New Roman" w:cs="Times New Roman"/>
                <w:sz w:val="24"/>
                <w:szCs w:val="24"/>
                <w:lang w:eastAsia="ru-RU"/>
              </w:rPr>
            </w:pPr>
          </w:p>
        </w:tc>
      </w:tr>
    </w:tbl>
    <w:p w14:paraId="230B18CB" w14:textId="77777777" w:rsidR="0044570C" w:rsidRPr="00D00AEA" w:rsidRDefault="0044570C" w:rsidP="0044570C">
      <w:pPr>
        <w:spacing w:after="0" w:line="240" w:lineRule="auto"/>
        <w:ind w:firstLine="567"/>
        <w:jc w:val="both"/>
        <w:rPr>
          <w:rFonts w:ascii="Times New Roman" w:hAnsi="Times New Roman" w:cs="Times New Roman"/>
          <w:sz w:val="28"/>
          <w:szCs w:val="28"/>
        </w:rPr>
      </w:pPr>
    </w:p>
    <w:p w14:paraId="7BC2E647" w14:textId="77777777" w:rsidR="0044570C" w:rsidRPr="00D00AEA" w:rsidRDefault="0044570C" w:rsidP="0044570C">
      <w:pPr>
        <w:spacing w:after="0" w:line="240" w:lineRule="auto"/>
        <w:ind w:firstLine="567"/>
        <w:jc w:val="both"/>
        <w:rPr>
          <w:rFonts w:ascii="Times New Roman" w:hAnsi="Times New Roman" w:cs="Times New Roman"/>
          <w:b/>
          <w:sz w:val="28"/>
          <w:szCs w:val="28"/>
        </w:rPr>
      </w:pPr>
      <w:r w:rsidRPr="00D00AEA">
        <w:rPr>
          <w:rFonts w:ascii="Times New Roman" w:hAnsi="Times New Roman" w:cs="Times New Roman"/>
          <w:sz w:val="28"/>
          <w:szCs w:val="28"/>
        </w:rPr>
        <w:t>Условные обозначения:</w:t>
      </w:r>
    </w:p>
    <w:p w14:paraId="7F093D61" w14:textId="77777777" w:rsidR="0044570C" w:rsidRPr="00D00AEA" w:rsidRDefault="0044570C" w:rsidP="0044570C">
      <w:pPr>
        <w:spacing w:after="0" w:line="240" w:lineRule="auto"/>
        <w:ind w:firstLine="567"/>
        <w:jc w:val="both"/>
        <w:rPr>
          <w:rFonts w:ascii="Times New Roman" w:hAnsi="Times New Roman" w:cs="Times New Roman"/>
          <w:sz w:val="28"/>
          <w:szCs w:val="28"/>
        </w:rPr>
      </w:pPr>
      <w:r w:rsidRPr="00D00AEA">
        <w:rPr>
          <w:rFonts w:ascii="Times New Roman" w:hAnsi="Times New Roman" w:cs="Times New Roman"/>
          <w:sz w:val="28"/>
          <w:szCs w:val="28"/>
        </w:rPr>
        <w:t xml:space="preserve">Степень выраженности побочных реакций оценивается по следующей шкале: </w:t>
      </w:r>
    </w:p>
    <w:p w14:paraId="2084C1BA" w14:textId="77777777" w:rsidR="0044570C" w:rsidRPr="00D00AEA" w:rsidRDefault="0044570C" w:rsidP="0044570C">
      <w:pPr>
        <w:spacing w:after="0" w:line="240" w:lineRule="auto"/>
        <w:ind w:firstLine="567"/>
        <w:jc w:val="both"/>
        <w:rPr>
          <w:rFonts w:ascii="Times New Roman" w:hAnsi="Times New Roman" w:cs="Times New Roman"/>
          <w:sz w:val="28"/>
          <w:szCs w:val="28"/>
        </w:rPr>
      </w:pPr>
      <w:r w:rsidRPr="00D00AEA">
        <w:rPr>
          <w:rFonts w:ascii="Times New Roman" w:hAnsi="Times New Roman" w:cs="Times New Roman"/>
          <w:sz w:val="28"/>
          <w:szCs w:val="28"/>
        </w:rPr>
        <w:t xml:space="preserve">0 – отсутствие побочной реакции; </w:t>
      </w:r>
    </w:p>
    <w:p w14:paraId="2008D06B" w14:textId="77777777" w:rsidR="0044570C" w:rsidRPr="00D00AEA" w:rsidRDefault="0044570C" w:rsidP="0044570C">
      <w:pPr>
        <w:spacing w:after="0" w:line="240" w:lineRule="auto"/>
        <w:ind w:firstLine="567"/>
        <w:jc w:val="both"/>
        <w:rPr>
          <w:rFonts w:ascii="Times New Roman" w:hAnsi="Times New Roman" w:cs="Times New Roman"/>
          <w:sz w:val="28"/>
          <w:szCs w:val="28"/>
        </w:rPr>
      </w:pPr>
      <w:r w:rsidRPr="00D00AEA">
        <w:rPr>
          <w:rFonts w:ascii="Times New Roman" w:hAnsi="Times New Roman" w:cs="Times New Roman"/>
          <w:sz w:val="28"/>
          <w:szCs w:val="28"/>
        </w:rPr>
        <w:t xml:space="preserve">1 - побочный эффект легкой степени выраженности, самостоятельно купируемый в течение 30 минут после приема сублингвальных таблеток аллергена; </w:t>
      </w:r>
    </w:p>
    <w:p w14:paraId="0D30562A" w14:textId="77777777" w:rsidR="0044570C" w:rsidRPr="00D00AEA" w:rsidRDefault="0044570C" w:rsidP="0044570C">
      <w:pPr>
        <w:spacing w:after="0" w:line="240" w:lineRule="auto"/>
        <w:ind w:firstLine="567"/>
        <w:jc w:val="both"/>
        <w:rPr>
          <w:rFonts w:ascii="Times New Roman" w:hAnsi="Times New Roman" w:cs="Times New Roman"/>
          <w:sz w:val="28"/>
          <w:szCs w:val="28"/>
        </w:rPr>
      </w:pPr>
      <w:r w:rsidRPr="00D00AEA">
        <w:rPr>
          <w:rFonts w:ascii="Times New Roman" w:hAnsi="Times New Roman" w:cs="Times New Roman"/>
          <w:sz w:val="28"/>
          <w:szCs w:val="28"/>
        </w:rPr>
        <w:t xml:space="preserve">2 - побочный эффект средней степени выраженности, чётко ощущаемый в течение более чем 30 минут, порой требующий приема симптоматической терапии (антигистаминные препараты, деконгестанты); </w:t>
      </w:r>
    </w:p>
    <w:p w14:paraId="12665311" w14:textId="77777777" w:rsidR="0044570C" w:rsidRPr="00D00AEA" w:rsidRDefault="0044570C" w:rsidP="0044570C">
      <w:pPr>
        <w:spacing w:after="0" w:line="240" w:lineRule="auto"/>
        <w:ind w:firstLine="567"/>
        <w:jc w:val="both"/>
        <w:rPr>
          <w:rFonts w:ascii="Times New Roman" w:hAnsi="Times New Roman" w:cs="Times New Roman"/>
          <w:sz w:val="28"/>
          <w:szCs w:val="28"/>
        </w:rPr>
      </w:pPr>
      <w:r w:rsidRPr="00D00AEA">
        <w:rPr>
          <w:rFonts w:ascii="Times New Roman" w:hAnsi="Times New Roman" w:cs="Times New Roman"/>
          <w:sz w:val="28"/>
          <w:szCs w:val="28"/>
        </w:rPr>
        <w:t>3 - побочный эффект тяжелой степени выраженности, тяжело переносится, возникает ежедневно, требует регулярного приёма симптоматических препаратов (антигистаминные препараты, деконгестанты), иногда необходимо временное прекращение лечения.</w:t>
      </w:r>
    </w:p>
    <w:p w14:paraId="15BCED35" w14:textId="2EC90F98" w:rsidR="00CE3216" w:rsidRDefault="00CE3216" w:rsidP="0044570C"/>
    <w:p w14:paraId="1594B79A" w14:textId="77777777" w:rsidR="00CE3216" w:rsidRPr="00CE3216" w:rsidRDefault="00CE3216" w:rsidP="00CE3216"/>
    <w:p w14:paraId="106D4DE7" w14:textId="77777777" w:rsidR="00CE3216" w:rsidRPr="00CE3216" w:rsidRDefault="00CE3216" w:rsidP="00CE3216"/>
    <w:p w14:paraId="72680A9D" w14:textId="09567A8C" w:rsidR="00CE3216" w:rsidRDefault="00CE3216" w:rsidP="00CE3216"/>
    <w:p w14:paraId="55A80581" w14:textId="0894DB11" w:rsidR="00CE3216" w:rsidRDefault="00CE3216" w:rsidP="00CE3216">
      <w:pPr>
        <w:tabs>
          <w:tab w:val="left" w:pos="4133"/>
        </w:tabs>
      </w:pPr>
      <w:r>
        <w:tab/>
      </w:r>
    </w:p>
    <w:p w14:paraId="51A4DADD" w14:textId="77777777" w:rsidR="00CE3216" w:rsidRDefault="00CE3216">
      <w:r>
        <w:br w:type="page"/>
      </w:r>
    </w:p>
    <w:p w14:paraId="02C09B8D" w14:textId="6F9F6597" w:rsidR="00CE3216" w:rsidRPr="00457C68" w:rsidRDefault="00CE3216" w:rsidP="00457C68">
      <w:pPr>
        <w:pStyle w:val="1"/>
        <w:numPr>
          <w:ilvl w:val="0"/>
          <w:numId w:val="0"/>
        </w:numPr>
        <w:jc w:val="center"/>
        <w:rPr>
          <w:rFonts w:ascii="Times New Roman" w:hAnsi="Times New Roman" w:cs="Times New Roman"/>
          <w:b/>
          <w:color w:val="auto"/>
          <w:sz w:val="28"/>
          <w:szCs w:val="28"/>
        </w:rPr>
      </w:pPr>
      <w:bookmarkStart w:id="69" w:name="_Toc137904376"/>
      <w:r w:rsidRPr="00457C68">
        <w:rPr>
          <w:rFonts w:ascii="Times New Roman" w:hAnsi="Times New Roman" w:cs="Times New Roman"/>
          <w:b/>
          <w:color w:val="auto"/>
          <w:sz w:val="28"/>
          <w:szCs w:val="28"/>
        </w:rPr>
        <w:t xml:space="preserve">ПРИЛОЖЕНИЕ </w:t>
      </w:r>
      <w:r w:rsidR="00091BCD">
        <w:rPr>
          <w:rFonts w:ascii="Times New Roman" w:hAnsi="Times New Roman" w:cs="Times New Roman"/>
          <w:b/>
          <w:color w:val="auto"/>
          <w:sz w:val="28"/>
          <w:szCs w:val="28"/>
        </w:rPr>
        <w:t>И</w:t>
      </w:r>
      <w:bookmarkEnd w:id="69"/>
    </w:p>
    <w:p w14:paraId="227EED72" w14:textId="77777777" w:rsidR="00CE3216" w:rsidRPr="00B130D3" w:rsidRDefault="00CE3216" w:rsidP="00CE3216">
      <w:pPr>
        <w:spacing w:after="0" w:line="240" w:lineRule="auto"/>
        <w:rPr>
          <w:rFonts w:ascii="Times New Roman" w:hAnsi="Times New Roman" w:cs="Times New Roman"/>
          <w:sz w:val="28"/>
          <w:szCs w:val="28"/>
        </w:rPr>
      </w:pPr>
    </w:p>
    <w:p w14:paraId="7A6801BB" w14:textId="6A2B68A1" w:rsidR="00CE3216" w:rsidRPr="00457C68" w:rsidRDefault="00CE3216" w:rsidP="00457C68">
      <w:pPr>
        <w:pStyle w:val="afd"/>
        <w:jc w:val="center"/>
        <w:rPr>
          <w:rFonts w:ascii="Times New Roman" w:hAnsi="Times New Roman"/>
          <w:sz w:val="28"/>
          <w:szCs w:val="28"/>
        </w:rPr>
      </w:pPr>
      <w:r w:rsidRPr="00457C68">
        <w:rPr>
          <w:rFonts w:ascii="Times New Roman" w:hAnsi="Times New Roman"/>
          <w:sz w:val="28"/>
          <w:szCs w:val="28"/>
        </w:rPr>
        <w:t>Информированное согласие на участие в клиническом исследовании</w:t>
      </w:r>
    </w:p>
    <w:p w14:paraId="0317628A" w14:textId="7E618DCD" w:rsidR="00CE3216" w:rsidRPr="009E6907" w:rsidRDefault="00CE3216" w:rsidP="00CE3216">
      <w:pPr>
        <w:spacing w:after="0" w:line="240" w:lineRule="auto"/>
        <w:jc w:val="center"/>
        <w:rPr>
          <w:rFonts w:ascii="Times New Roman" w:hAnsi="Times New Roman" w:cs="Times New Roman"/>
          <w:sz w:val="28"/>
          <w:szCs w:val="28"/>
        </w:rPr>
      </w:pPr>
      <w:r w:rsidRPr="009E6907">
        <w:rPr>
          <w:rFonts w:ascii="Times New Roman" w:hAnsi="Times New Roman" w:cs="Times New Roman"/>
          <w:sz w:val="28"/>
          <w:szCs w:val="28"/>
        </w:rPr>
        <w:t>на тему: «Биомаркеры эффективности аллерген-специфической иммунотерапии</w:t>
      </w:r>
      <w:r w:rsidR="0007459B">
        <w:rPr>
          <w:rFonts w:ascii="Times New Roman" w:hAnsi="Times New Roman" w:cs="Times New Roman"/>
          <w:sz w:val="28"/>
          <w:szCs w:val="28"/>
        </w:rPr>
        <w:t xml:space="preserve"> </w:t>
      </w:r>
      <w:r w:rsidRPr="009E6907">
        <w:rPr>
          <w:rFonts w:ascii="Times New Roman" w:hAnsi="Times New Roman" w:cs="Times New Roman"/>
          <w:sz w:val="28"/>
          <w:szCs w:val="28"/>
        </w:rPr>
        <w:t>у больных</w:t>
      </w:r>
      <w:r w:rsidR="0007459B">
        <w:rPr>
          <w:rFonts w:ascii="Times New Roman" w:hAnsi="Times New Roman" w:cs="Times New Roman"/>
          <w:sz w:val="28"/>
          <w:szCs w:val="28"/>
        </w:rPr>
        <w:t xml:space="preserve"> </w:t>
      </w:r>
      <w:r w:rsidRPr="009E6907">
        <w:rPr>
          <w:rFonts w:ascii="Times New Roman" w:hAnsi="Times New Roman" w:cs="Times New Roman"/>
          <w:sz w:val="28"/>
          <w:szCs w:val="28"/>
        </w:rPr>
        <w:t>с сезонными аллергическими заболеваниями»</w:t>
      </w:r>
    </w:p>
    <w:p w14:paraId="332C087F" w14:textId="77777777" w:rsidR="00CE3216" w:rsidRPr="00EC38CC" w:rsidRDefault="00CE3216" w:rsidP="00CE3216">
      <w:pPr>
        <w:spacing w:after="0" w:line="240" w:lineRule="auto"/>
        <w:ind w:firstLine="567"/>
        <w:jc w:val="both"/>
        <w:rPr>
          <w:rFonts w:ascii="Times New Roman" w:hAnsi="Times New Roman" w:cs="Times New Roman"/>
          <w:sz w:val="28"/>
          <w:szCs w:val="28"/>
        </w:rPr>
      </w:pPr>
    </w:p>
    <w:p w14:paraId="3B4ECB1A" w14:textId="77777777" w:rsidR="00CE3216" w:rsidRPr="00EC38CC" w:rsidRDefault="00CE3216" w:rsidP="00CE3216">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Руководитель исследования: д.м.н., профессор, заведующая кафедрой клинической иммунологии, аллергологии и микробиологии Газалиева Меруерт Арстановна</w:t>
      </w:r>
    </w:p>
    <w:p w14:paraId="58D2828E" w14:textId="55A6A560" w:rsidR="00CE3216" w:rsidRPr="00EC38CC" w:rsidRDefault="00CE3216" w:rsidP="00CE3216">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 xml:space="preserve">Ответственный исследователь: докторант </w:t>
      </w:r>
      <w:r w:rsidR="002940D2">
        <w:rPr>
          <w:rFonts w:ascii="Times New Roman" w:hAnsi="Times New Roman" w:cs="Times New Roman"/>
          <w:sz w:val="28"/>
          <w:szCs w:val="28"/>
          <w:lang w:val="en-US"/>
        </w:rPr>
        <w:t>PhD</w:t>
      </w:r>
      <w:r w:rsidRPr="00EC38CC">
        <w:rPr>
          <w:rFonts w:ascii="Times New Roman" w:hAnsi="Times New Roman" w:cs="Times New Roman"/>
          <w:sz w:val="28"/>
          <w:szCs w:val="28"/>
        </w:rPr>
        <w:t xml:space="preserve"> по специальности 6D110100 «Медицина» Измайлович Марина Рашидовна</w:t>
      </w:r>
    </w:p>
    <w:p w14:paraId="1EE760D2" w14:textId="77777777" w:rsidR="00CE3216" w:rsidRPr="00EC38CC" w:rsidRDefault="00CE3216" w:rsidP="00CE3216">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Данная процедура проводится добровольно, пациент вправе отказаться от предложенных исследований.</w:t>
      </w:r>
    </w:p>
    <w:p w14:paraId="2D7A2CF6" w14:textId="77777777" w:rsidR="00CE3216" w:rsidRPr="00EC38CC" w:rsidRDefault="00CE3216" w:rsidP="00CE3216">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 xml:space="preserve">Стоимость участия для пациентов – бесплатно. </w:t>
      </w:r>
    </w:p>
    <w:p w14:paraId="431B9695" w14:textId="77777777" w:rsidR="00CE3216" w:rsidRPr="00EC38CC" w:rsidRDefault="00CE3216" w:rsidP="00CE3216">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Вся полученная информация строго конфиденциальна и разглашению не подлежит.</w:t>
      </w:r>
    </w:p>
    <w:p w14:paraId="146CBB55" w14:textId="77777777" w:rsidR="00CE3216" w:rsidRPr="00EC38CC" w:rsidRDefault="00CE3216" w:rsidP="00CE3216">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При проведении исследования степень риска является нулевой. Исследование будет проводиться с соблюдением всех требований и мер безопасности.</w:t>
      </w:r>
    </w:p>
    <w:p w14:paraId="2A5B6041" w14:textId="77777777" w:rsidR="00CE3216" w:rsidRPr="00EC38CC" w:rsidRDefault="00CE3216" w:rsidP="00CE3216">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Критериями прерывания участия отдельных участников исследования является: наличие сопутствующей соматической патологии.</w:t>
      </w:r>
    </w:p>
    <w:p w14:paraId="0E88762F" w14:textId="77777777" w:rsidR="00CE3216" w:rsidRPr="00EC38CC" w:rsidRDefault="00CE3216" w:rsidP="00CE3216">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Потенциальная польза для участника заключается в возможности предупреждения развития ряда иммунных осложнений, получения патогенетического лечения основного заболевания.</w:t>
      </w:r>
    </w:p>
    <w:p w14:paraId="242A9103" w14:textId="77777777" w:rsidR="00CE3216" w:rsidRPr="00EC38CC" w:rsidRDefault="00CE3216" w:rsidP="00CE3216">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Пациенту необходимо выполнять следующие манипуляции:</w:t>
      </w:r>
    </w:p>
    <w:p w14:paraId="1009F2D0" w14:textId="434CA10E" w:rsidR="00CE3216" w:rsidRPr="00EC38CC" w:rsidRDefault="00CE3216" w:rsidP="00CE3216">
      <w:pPr>
        <w:tabs>
          <w:tab w:val="left" w:pos="993"/>
        </w:tabs>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1.</w:t>
      </w:r>
      <w:r w:rsidRPr="00EC38CC">
        <w:rPr>
          <w:rFonts w:ascii="Times New Roman" w:hAnsi="Times New Roman" w:cs="Times New Roman"/>
          <w:sz w:val="28"/>
          <w:szCs w:val="28"/>
        </w:rPr>
        <w:tab/>
        <w:t>Будет производиться детальный опрос пациента по основному заболеванию</w:t>
      </w:r>
      <w:r w:rsidR="00292147" w:rsidRPr="00292147">
        <w:rPr>
          <w:rFonts w:ascii="Times New Roman" w:hAnsi="Times New Roman" w:cs="Times New Roman"/>
          <w:sz w:val="28"/>
          <w:szCs w:val="28"/>
        </w:rPr>
        <w:t xml:space="preserve"> </w:t>
      </w:r>
      <w:r w:rsidR="00292147">
        <w:rPr>
          <w:rFonts w:ascii="Times New Roman" w:hAnsi="Times New Roman" w:cs="Times New Roman"/>
          <w:sz w:val="28"/>
          <w:szCs w:val="28"/>
        </w:rPr>
        <w:t>и</w:t>
      </w:r>
      <w:r w:rsidRPr="00EC38CC">
        <w:rPr>
          <w:rFonts w:ascii="Times New Roman" w:hAnsi="Times New Roman" w:cs="Times New Roman"/>
          <w:sz w:val="28"/>
          <w:szCs w:val="28"/>
        </w:rPr>
        <w:t xml:space="preserve"> анкетирование</w:t>
      </w:r>
      <w:r w:rsidR="00D94AF8">
        <w:rPr>
          <w:rFonts w:ascii="Times New Roman" w:hAnsi="Times New Roman" w:cs="Times New Roman"/>
          <w:sz w:val="28"/>
          <w:szCs w:val="28"/>
        </w:rPr>
        <w:t>.</w:t>
      </w:r>
    </w:p>
    <w:p w14:paraId="68B4DD6B" w14:textId="1BAD9C6F" w:rsidR="00CE3216" w:rsidRPr="00EC38CC" w:rsidRDefault="00CE3216" w:rsidP="00CE3216">
      <w:pPr>
        <w:tabs>
          <w:tab w:val="left" w:pos="993"/>
        </w:tabs>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2.</w:t>
      </w:r>
      <w:r w:rsidRPr="00EC38CC">
        <w:rPr>
          <w:rFonts w:ascii="Times New Roman" w:hAnsi="Times New Roman" w:cs="Times New Roman"/>
          <w:sz w:val="28"/>
          <w:szCs w:val="28"/>
        </w:rPr>
        <w:tab/>
        <w:t>Доктор будет производить клинический осмотр пациента</w:t>
      </w:r>
      <w:r w:rsidR="00D94AF8">
        <w:rPr>
          <w:rFonts w:ascii="Times New Roman" w:hAnsi="Times New Roman" w:cs="Times New Roman"/>
          <w:sz w:val="28"/>
          <w:szCs w:val="28"/>
        </w:rPr>
        <w:t>.</w:t>
      </w:r>
    </w:p>
    <w:p w14:paraId="7D9F3320" w14:textId="77777777" w:rsidR="00CE3216" w:rsidRPr="00EC38CC" w:rsidRDefault="00CE3216" w:rsidP="00CE3216">
      <w:pPr>
        <w:tabs>
          <w:tab w:val="left" w:pos="993"/>
        </w:tabs>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3.</w:t>
      </w:r>
      <w:r w:rsidRPr="00EC38CC">
        <w:rPr>
          <w:rFonts w:ascii="Times New Roman" w:hAnsi="Times New Roman" w:cs="Times New Roman"/>
          <w:sz w:val="28"/>
          <w:szCs w:val="28"/>
        </w:rPr>
        <w:tab/>
        <w:t>Для детализации определения причинно-значимых аллергенов у пациентов будет производиться забор крови из вены утром натощак.</w:t>
      </w:r>
    </w:p>
    <w:p w14:paraId="5F7949FC" w14:textId="77777777" w:rsidR="00CE3216" w:rsidRPr="00EC38CC" w:rsidRDefault="00CE3216" w:rsidP="00CE3216">
      <w:pPr>
        <w:tabs>
          <w:tab w:val="left" w:pos="993"/>
        </w:tabs>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4.</w:t>
      </w:r>
      <w:r w:rsidRPr="00EC38CC">
        <w:rPr>
          <w:rFonts w:ascii="Times New Roman" w:hAnsi="Times New Roman" w:cs="Times New Roman"/>
          <w:sz w:val="28"/>
          <w:szCs w:val="28"/>
        </w:rPr>
        <w:tab/>
        <w:t>После проведения необходимого исследования, пациент получает соответствующее лечение – прием аллерген-специфического препарата компании «Бурли».</w:t>
      </w:r>
    </w:p>
    <w:p w14:paraId="4B183006" w14:textId="77777777" w:rsidR="00CE3216" w:rsidRPr="00EC38CC" w:rsidRDefault="00CE3216" w:rsidP="00CE3216">
      <w:pPr>
        <w:spacing w:after="0" w:line="240" w:lineRule="auto"/>
        <w:ind w:firstLine="567"/>
        <w:jc w:val="both"/>
        <w:rPr>
          <w:rFonts w:ascii="Times New Roman" w:hAnsi="Times New Roman" w:cs="Times New Roman"/>
          <w:sz w:val="28"/>
          <w:szCs w:val="28"/>
        </w:rPr>
      </w:pPr>
    </w:p>
    <w:p w14:paraId="79F72A19" w14:textId="77777777" w:rsidR="00CE3216" w:rsidRPr="00EC38CC" w:rsidRDefault="00CE3216" w:rsidP="00CE3216">
      <w:pPr>
        <w:spacing w:after="0" w:line="240" w:lineRule="auto"/>
        <w:ind w:firstLine="567"/>
        <w:jc w:val="both"/>
        <w:rPr>
          <w:rFonts w:ascii="Times New Roman" w:hAnsi="Times New Roman" w:cs="Times New Roman"/>
          <w:sz w:val="28"/>
          <w:szCs w:val="28"/>
        </w:rPr>
      </w:pPr>
    </w:p>
    <w:p w14:paraId="1A16EBB5" w14:textId="6BEF15A9" w:rsidR="00CE3216" w:rsidRPr="00EC38CC" w:rsidRDefault="00CE3216" w:rsidP="00CE3216">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Дополнительную информацию о ходе исследования пациент может получить по телефону:</w:t>
      </w:r>
      <w:r w:rsidR="0007459B">
        <w:rPr>
          <w:rFonts w:ascii="Times New Roman" w:hAnsi="Times New Roman" w:cs="Times New Roman"/>
          <w:sz w:val="28"/>
          <w:szCs w:val="28"/>
        </w:rPr>
        <w:t xml:space="preserve"> </w:t>
      </w:r>
      <w:r w:rsidRPr="00EC38CC">
        <w:rPr>
          <w:rFonts w:ascii="Times New Roman" w:hAnsi="Times New Roman" w:cs="Times New Roman"/>
          <w:sz w:val="28"/>
          <w:szCs w:val="28"/>
        </w:rPr>
        <w:t>87789773886</w:t>
      </w:r>
    </w:p>
    <w:p w14:paraId="7C5D4482" w14:textId="77777777" w:rsidR="00CE3216" w:rsidRPr="00EC38CC" w:rsidRDefault="00CE3216" w:rsidP="00CE3216">
      <w:pPr>
        <w:spacing w:after="0" w:line="240" w:lineRule="auto"/>
        <w:ind w:firstLine="567"/>
        <w:jc w:val="both"/>
        <w:rPr>
          <w:rFonts w:ascii="Times New Roman" w:hAnsi="Times New Roman" w:cs="Times New Roman"/>
          <w:sz w:val="28"/>
          <w:szCs w:val="28"/>
        </w:rPr>
      </w:pPr>
    </w:p>
    <w:p w14:paraId="211A338D" w14:textId="77777777" w:rsidR="00CE3216" w:rsidRPr="00EC38CC" w:rsidRDefault="00CE3216" w:rsidP="00CE3216">
      <w:pPr>
        <w:spacing w:after="0" w:line="240" w:lineRule="auto"/>
        <w:ind w:firstLine="567"/>
        <w:jc w:val="both"/>
        <w:rPr>
          <w:rFonts w:ascii="Times New Roman" w:hAnsi="Times New Roman" w:cs="Times New Roman"/>
          <w:sz w:val="28"/>
          <w:szCs w:val="28"/>
        </w:rPr>
      </w:pPr>
    </w:p>
    <w:p w14:paraId="053879AC" w14:textId="77777777" w:rsidR="00CE3216" w:rsidRPr="00EC38CC" w:rsidRDefault="00CE3216" w:rsidP="00CE3216">
      <w:pPr>
        <w:spacing w:after="0" w:line="240" w:lineRule="auto"/>
        <w:ind w:firstLine="567"/>
        <w:jc w:val="both"/>
        <w:rPr>
          <w:rFonts w:ascii="Times New Roman" w:hAnsi="Times New Roman" w:cs="Times New Roman"/>
          <w:sz w:val="28"/>
          <w:szCs w:val="28"/>
        </w:rPr>
      </w:pPr>
    </w:p>
    <w:p w14:paraId="62A07FF8" w14:textId="77777777" w:rsidR="00CE3216" w:rsidRPr="00EC38CC" w:rsidRDefault="00CE3216" w:rsidP="00CE3216">
      <w:pPr>
        <w:spacing w:after="0" w:line="240" w:lineRule="auto"/>
        <w:ind w:firstLine="567"/>
        <w:jc w:val="both"/>
        <w:rPr>
          <w:rFonts w:ascii="Times New Roman" w:hAnsi="Times New Roman" w:cs="Times New Roman"/>
          <w:sz w:val="28"/>
          <w:szCs w:val="28"/>
        </w:rPr>
      </w:pPr>
    </w:p>
    <w:p w14:paraId="425A27AF" w14:textId="77777777" w:rsidR="00CE3216" w:rsidRDefault="00CE3216" w:rsidP="00CE3216">
      <w:pPr>
        <w:spacing w:after="0" w:line="240" w:lineRule="auto"/>
        <w:ind w:firstLine="567"/>
        <w:jc w:val="center"/>
        <w:rPr>
          <w:rFonts w:ascii="Times New Roman" w:hAnsi="Times New Roman" w:cs="Times New Roman"/>
          <w:sz w:val="28"/>
          <w:szCs w:val="28"/>
        </w:rPr>
      </w:pPr>
    </w:p>
    <w:p w14:paraId="17B12F35" w14:textId="77777777" w:rsidR="00CE3216" w:rsidRDefault="00CE3216" w:rsidP="00CE3216">
      <w:pPr>
        <w:spacing w:after="0" w:line="240" w:lineRule="auto"/>
        <w:ind w:firstLine="567"/>
        <w:jc w:val="center"/>
        <w:rPr>
          <w:rFonts w:ascii="Times New Roman" w:hAnsi="Times New Roman" w:cs="Times New Roman"/>
          <w:sz w:val="28"/>
          <w:szCs w:val="28"/>
        </w:rPr>
      </w:pPr>
    </w:p>
    <w:p w14:paraId="036CB470" w14:textId="77777777" w:rsidR="00CE3216" w:rsidRDefault="00CE3216" w:rsidP="00CE3216">
      <w:pPr>
        <w:spacing w:after="0" w:line="240" w:lineRule="auto"/>
        <w:ind w:firstLine="567"/>
        <w:jc w:val="center"/>
        <w:rPr>
          <w:rFonts w:ascii="Times New Roman" w:hAnsi="Times New Roman" w:cs="Times New Roman"/>
          <w:sz w:val="28"/>
          <w:szCs w:val="28"/>
        </w:rPr>
      </w:pPr>
    </w:p>
    <w:p w14:paraId="2729B1FC" w14:textId="77777777" w:rsidR="00C97EA2" w:rsidRPr="00EC38CC" w:rsidRDefault="00C97EA2" w:rsidP="00C97EA2">
      <w:pPr>
        <w:spacing w:after="0" w:line="240" w:lineRule="auto"/>
        <w:ind w:firstLine="567"/>
        <w:jc w:val="center"/>
        <w:rPr>
          <w:rFonts w:ascii="Times New Roman" w:hAnsi="Times New Roman" w:cs="Times New Roman"/>
          <w:sz w:val="28"/>
          <w:szCs w:val="28"/>
        </w:rPr>
      </w:pPr>
      <w:r w:rsidRPr="00EC38CC">
        <w:rPr>
          <w:rFonts w:ascii="Times New Roman" w:hAnsi="Times New Roman" w:cs="Times New Roman"/>
          <w:sz w:val="28"/>
          <w:szCs w:val="28"/>
        </w:rPr>
        <w:t>Информированное письменное согласие пациента на проведение перечисленных выше исследований</w:t>
      </w:r>
    </w:p>
    <w:p w14:paraId="059DD064" w14:textId="77777777" w:rsidR="00C97EA2" w:rsidRPr="00EC38CC" w:rsidRDefault="00C97EA2" w:rsidP="00C97EA2">
      <w:pPr>
        <w:spacing w:after="0" w:line="240" w:lineRule="auto"/>
        <w:ind w:firstLine="567"/>
        <w:jc w:val="both"/>
        <w:rPr>
          <w:rFonts w:ascii="Times New Roman" w:hAnsi="Times New Roman" w:cs="Times New Roman"/>
          <w:sz w:val="28"/>
          <w:szCs w:val="28"/>
        </w:rPr>
      </w:pPr>
    </w:p>
    <w:p w14:paraId="12503684" w14:textId="77777777" w:rsidR="00C97EA2" w:rsidRDefault="00C97EA2" w:rsidP="00C97EA2">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Я,_____________</w:t>
      </w:r>
      <w:r>
        <w:rPr>
          <w:rFonts w:ascii="Times New Roman" w:hAnsi="Times New Roman" w:cs="Times New Roman"/>
          <w:sz w:val="28"/>
          <w:szCs w:val="28"/>
        </w:rPr>
        <w:t>_____________________________</w:t>
      </w:r>
      <w:r w:rsidRPr="00EC38CC">
        <w:rPr>
          <w:rFonts w:ascii="Times New Roman" w:hAnsi="Times New Roman" w:cs="Times New Roman"/>
          <w:sz w:val="28"/>
          <w:szCs w:val="28"/>
        </w:rPr>
        <w:t xml:space="preserve">, </w:t>
      </w:r>
      <w:r w:rsidRPr="00D00AEA">
        <w:rPr>
          <w:rFonts w:ascii="Times New Roman" w:hAnsi="Times New Roman" w:cs="Times New Roman"/>
          <w:sz w:val="28"/>
          <w:szCs w:val="28"/>
        </w:rPr>
        <w:t xml:space="preserve"> </w:t>
      </w:r>
      <w:r w:rsidRPr="00EC38CC">
        <w:rPr>
          <w:rFonts w:ascii="Times New Roman" w:hAnsi="Times New Roman" w:cs="Times New Roman"/>
          <w:sz w:val="28"/>
          <w:szCs w:val="28"/>
        </w:rPr>
        <w:t xml:space="preserve">осведомлен врачом-исследователем о характере планируемого клинического исследования </w:t>
      </w:r>
      <w:r w:rsidRPr="009E6907">
        <w:rPr>
          <w:rFonts w:ascii="Times New Roman" w:hAnsi="Times New Roman" w:cs="Times New Roman"/>
          <w:sz w:val="28"/>
          <w:szCs w:val="28"/>
        </w:rPr>
        <w:t>«Биомаркеры эффективности аллерген-специфической иммунотерапии</w:t>
      </w:r>
      <w:r>
        <w:rPr>
          <w:rFonts w:ascii="Times New Roman" w:hAnsi="Times New Roman" w:cs="Times New Roman"/>
          <w:sz w:val="28"/>
          <w:szCs w:val="28"/>
        </w:rPr>
        <w:t xml:space="preserve"> </w:t>
      </w:r>
      <w:r w:rsidRPr="009E6907">
        <w:rPr>
          <w:rFonts w:ascii="Times New Roman" w:hAnsi="Times New Roman" w:cs="Times New Roman"/>
          <w:sz w:val="28"/>
          <w:szCs w:val="28"/>
        </w:rPr>
        <w:t>у больных</w:t>
      </w:r>
      <w:r>
        <w:rPr>
          <w:rFonts w:ascii="Times New Roman" w:hAnsi="Times New Roman" w:cs="Times New Roman"/>
          <w:sz w:val="28"/>
          <w:szCs w:val="28"/>
        </w:rPr>
        <w:t xml:space="preserve"> </w:t>
      </w:r>
      <w:r w:rsidRPr="009E6907">
        <w:rPr>
          <w:rFonts w:ascii="Times New Roman" w:hAnsi="Times New Roman" w:cs="Times New Roman"/>
          <w:sz w:val="28"/>
          <w:szCs w:val="28"/>
        </w:rPr>
        <w:t>с сезонными аллергическими заболеваниями»</w:t>
      </w:r>
      <w:r>
        <w:rPr>
          <w:rFonts w:ascii="Times New Roman" w:hAnsi="Times New Roman" w:cs="Times New Roman"/>
          <w:sz w:val="28"/>
          <w:szCs w:val="28"/>
        </w:rPr>
        <w:t>.</w:t>
      </w:r>
    </w:p>
    <w:p w14:paraId="2A48238C" w14:textId="77777777" w:rsidR="00C97EA2" w:rsidRPr="00EC38CC" w:rsidRDefault="00C97EA2" w:rsidP="00C97EA2">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Я получил письменную и устную информацию о целях, задачах, характере предстоящего клинического исследования.</w:t>
      </w:r>
    </w:p>
    <w:p w14:paraId="2C88712D" w14:textId="77777777" w:rsidR="00C97EA2" w:rsidRPr="00EC38CC" w:rsidRDefault="00C97EA2" w:rsidP="00C97EA2">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Имел возможность обсудить с исследователем все интересующие меня вопросы и получить разъяснения по ним.</w:t>
      </w:r>
    </w:p>
    <w:p w14:paraId="096A917C" w14:textId="77777777" w:rsidR="00C97EA2" w:rsidRPr="00EC38CC" w:rsidRDefault="00C97EA2" w:rsidP="00C97EA2">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Добровольно соглашаюсь принять участие в клиническом исследовании, извещен, что имею право отказаться или в любой момент прекратить участие в данном исследовании, не объясняя причин своего решения.</w:t>
      </w:r>
    </w:p>
    <w:p w14:paraId="585BF61F" w14:textId="77777777" w:rsidR="00C97EA2" w:rsidRPr="00EC38CC" w:rsidRDefault="00C97EA2" w:rsidP="00C97EA2">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Согласен выполнять инструкции, добросовестно сотрудничать с врачом-исследователем и немедленно сообщать ему о любого рода нарушениях со стороны моего здоровья, изменениях моего самочувствия.</w:t>
      </w:r>
    </w:p>
    <w:p w14:paraId="5AFDE651" w14:textId="77777777" w:rsidR="00C97EA2" w:rsidRPr="00EC38CC" w:rsidRDefault="00C97EA2" w:rsidP="00C97EA2">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Согласен с тем, что информация, полученная в ходе клинического исследования, будет использоваться в научных целях.</w:t>
      </w:r>
    </w:p>
    <w:p w14:paraId="59799035" w14:textId="77777777" w:rsidR="00C97EA2" w:rsidRPr="00EC38CC" w:rsidRDefault="00C97EA2" w:rsidP="00C97EA2">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Получил подписанный и датированный экземпляр информированного согласия участника исследования на участие в клиническом исследовании.</w:t>
      </w:r>
    </w:p>
    <w:p w14:paraId="279E38D7" w14:textId="77777777" w:rsidR="00C97EA2" w:rsidRPr="00EC38CC" w:rsidRDefault="00C97EA2" w:rsidP="00C97EA2">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На двух (2) страницах.</w:t>
      </w:r>
    </w:p>
    <w:p w14:paraId="7BF7660B" w14:textId="77777777" w:rsidR="00C97EA2" w:rsidRPr="00EC38CC" w:rsidRDefault="00C97EA2" w:rsidP="00C97EA2">
      <w:pPr>
        <w:spacing w:after="0" w:line="240" w:lineRule="auto"/>
        <w:ind w:firstLine="567"/>
        <w:jc w:val="both"/>
        <w:rPr>
          <w:rFonts w:ascii="Times New Roman" w:hAnsi="Times New Roman" w:cs="Times New Roman"/>
          <w:sz w:val="28"/>
          <w:szCs w:val="28"/>
        </w:rPr>
      </w:pPr>
    </w:p>
    <w:p w14:paraId="5D12C14F" w14:textId="77777777" w:rsidR="00C97EA2" w:rsidRPr="008339CF" w:rsidRDefault="00C97EA2" w:rsidP="00C97EA2">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Подпись участника исследования</w:t>
      </w:r>
      <w:r>
        <w:rPr>
          <w:rFonts w:ascii="Times New Roman" w:hAnsi="Times New Roman" w:cs="Times New Roman"/>
          <w:sz w:val="28"/>
          <w:szCs w:val="28"/>
        </w:rPr>
        <w:t xml:space="preserve"> ______________ </w:t>
      </w:r>
    </w:p>
    <w:p w14:paraId="338EE3B8" w14:textId="77777777" w:rsidR="00C97EA2" w:rsidRDefault="00C97EA2" w:rsidP="00C97EA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p>
    <w:p w14:paraId="0BC2D287" w14:textId="77777777" w:rsidR="00C97EA2" w:rsidRDefault="00C97EA2" w:rsidP="00C97EA2">
      <w:pPr>
        <w:spacing w:after="0" w:line="240" w:lineRule="auto"/>
        <w:ind w:firstLine="567"/>
        <w:jc w:val="both"/>
        <w:rPr>
          <w:rFonts w:ascii="Times New Roman" w:hAnsi="Times New Roman" w:cs="Times New Roman"/>
          <w:sz w:val="28"/>
          <w:szCs w:val="28"/>
        </w:rPr>
      </w:pPr>
    </w:p>
    <w:p w14:paraId="4C133FDC" w14:textId="77777777" w:rsidR="00C97EA2" w:rsidRPr="00EC38CC" w:rsidRDefault="00C97EA2" w:rsidP="00C97EA2">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Дата_________________</w:t>
      </w:r>
    </w:p>
    <w:p w14:paraId="1985CB51" w14:textId="77777777" w:rsidR="00C97EA2" w:rsidRPr="00EC38CC" w:rsidRDefault="00C97EA2" w:rsidP="00C97EA2">
      <w:pPr>
        <w:spacing w:after="0" w:line="240" w:lineRule="auto"/>
        <w:ind w:firstLine="567"/>
        <w:jc w:val="both"/>
        <w:rPr>
          <w:rFonts w:ascii="Times New Roman" w:hAnsi="Times New Roman" w:cs="Times New Roman"/>
          <w:sz w:val="28"/>
          <w:szCs w:val="28"/>
        </w:rPr>
      </w:pPr>
    </w:p>
    <w:p w14:paraId="3CD5A796" w14:textId="77777777" w:rsidR="00C97EA2" w:rsidRDefault="00C97EA2" w:rsidP="00C97EA2">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Подтверждаю, что подробно объяснил цель, возможный риск клинического испытания участнику</w:t>
      </w:r>
      <w:r>
        <w:rPr>
          <w:rFonts w:ascii="Times New Roman" w:hAnsi="Times New Roman" w:cs="Times New Roman"/>
          <w:sz w:val="28"/>
          <w:szCs w:val="28"/>
        </w:rPr>
        <w:t xml:space="preserve"> </w:t>
      </w:r>
      <w:r w:rsidRPr="00EC38CC">
        <w:rPr>
          <w:rFonts w:ascii="Times New Roman" w:hAnsi="Times New Roman" w:cs="Times New Roman"/>
          <w:sz w:val="28"/>
          <w:szCs w:val="28"/>
        </w:rPr>
        <w:t>исследования</w:t>
      </w:r>
      <w:r>
        <w:rPr>
          <w:rFonts w:ascii="Times New Roman" w:hAnsi="Times New Roman" w:cs="Times New Roman"/>
          <w:sz w:val="28"/>
          <w:szCs w:val="28"/>
        </w:rPr>
        <w:t xml:space="preserve"> </w:t>
      </w:r>
    </w:p>
    <w:p w14:paraId="6B8AF211" w14:textId="77777777" w:rsidR="00C97EA2" w:rsidRDefault="00C97EA2" w:rsidP="00C97EA2">
      <w:pPr>
        <w:spacing w:after="0" w:line="240" w:lineRule="auto"/>
        <w:ind w:firstLine="567"/>
        <w:jc w:val="both"/>
        <w:rPr>
          <w:rFonts w:ascii="Times New Roman" w:hAnsi="Times New Roman" w:cs="Times New Roman"/>
          <w:sz w:val="28"/>
          <w:szCs w:val="28"/>
        </w:rPr>
      </w:pPr>
    </w:p>
    <w:p w14:paraId="4C756871" w14:textId="77777777" w:rsidR="00C97EA2" w:rsidRPr="00EC38CC" w:rsidRDefault="00C97EA2" w:rsidP="00C97EA2">
      <w:pPr>
        <w:spacing w:after="0" w:line="240" w:lineRule="auto"/>
        <w:ind w:firstLine="567"/>
        <w:jc w:val="both"/>
        <w:rPr>
          <w:rFonts w:ascii="Times New Roman" w:hAnsi="Times New Roman" w:cs="Times New Roman"/>
          <w:sz w:val="28"/>
          <w:szCs w:val="28"/>
        </w:rPr>
      </w:pPr>
    </w:p>
    <w:p w14:paraId="4F34910A" w14:textId="77777777" w:rsidR="00C97EA2" w:rsidRPr="008339CF" w:rsidRDefault="00C97EA2" w:rsidP="00C97EA2">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Подпись</w:t>
      </w:r>
      <w:r>
        <w:rPr>
          <w:rFonts w:ascii="Times New Roman" w:hAnsi="Times New Roman" w:cs="Times New Roman"/>
          <w:sz w:val="28"/>
          <w:szCs w:val="28"/>
        </w:rPr>
        <w:t xml:space="preserve"> </w:t>
      </w:r>
      <w:r w:rsidRPr="00EC38CC">
        <w:rPr>
          <w:rFonts w:ascii="Times New Roman" w:hAnsi="Times New Roman" w:cs="Times New Roman"/>
          <w:sz w:val="28"/>
          <w:szCs w:val="28"/>
        </w:rPr>
        <w:t>ответственного исследователя</w:t>
      </w:r>
      <w:r>
        <w:rPr>
          <w:rFonts w:ascii="Times New Roman" w:hAnsi="Times New Roman" w:cs="Times New Roman"/>
          <w:sz w:val="28"/>
          <w:szCs w:val="28"/>
        </w:rPr>
        <w:t xml:space="preserve">______________ </w:t>
      </w:r>
    </w:p>
    <w:p w14:paraId="2EAD0C3E" w14:textId="77777777" w:rsidR="00C97EA2" w:rsidRDefault="00C97EA2" w:rsidP="00C97EA2">
      <w:pPr>
        <w:spacing w:after="0" w:line="240" w:lineRule="auto"/>
        <w:ind w:firstLine="567"/>
        <w:jc w:val="both"/>
        <w:rPr>
          <w:rFonts w:ascii="Times New Roman" w:hAnsi="Times New Roman" w:cs="Times New Roman"/>
          <w:sz w:val="28"/>
          <w:szCs w:val="28"/>
        </w:rPr>
      </w:pPr>
    </w:p>
    <w:p w14:paraId="3FBB77AC" w14:textId="77777777" w:rsidR="00C97EA2" w:rsidRPr="00EC38CC" w:rsidRDefault="00C97EA2" w:rsidP="00C97EA2">
      <w:pPr>
        <w:spacing w:after="0" w:line="240" w:lineRule="auto"/>
        <w:ind w:firstLine="567"/>
        <w:jc w:val="both"/>
        <w:rPr>
          <w:rFonts w:ascii="Times New Roman" w:hAnsi="Times New Roman" w:cs="Times New Roman"/>
          <w:sz w:val="28"/>
          <w:szCs w:val="28"/>
        </w:rPr>
      </w:pPr>
      <w:r w:rsidRPr="00EC38CC">
        <w:rPr>
          <w:rFonts w:ascii="Times New Roman" w:hAnsi="Times New Roman" w:cs="Times New Roman"/>
          <w:sz w:val="28"/>
          <w:szCs w:val="28"/>
        </w:rPr>
        <w:t>Дата_________________</w:t>
      </w:r>
    </w:p>
    <w:p w14:paraId="6B401CF6" w14:textId="1DF6B93B" w:rsidR="00CE3216" w:rsidRPr="00CE3216" w:rsidRDefault="00CE3216" w:rsidP="00CE3216">
      <w:pPr>
        <w:tabs>
          <w:tab w:val="left" w:pos="4133"/>
        </w:tabs>
      </w:pPr>
    </w:p>
    <w:sectPr w:rsidR="00CE3216" w:rsidRPr="00CE3216" w:rsidSect="002D1741">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6BB7E3" w14:textId="77777777" w:rsidR="00F34529" w:rsidRDefault="00F34529" w:rsidP="008F5D5C">
      <w:pPr>
        <w:spacing w:after="0" w:line="240" w:lineRule="auto"/>
      </w:pPr>
      <w:r>
        <w:separator/>
      </w:r>
    </w:p>
  </w:endnote>
  <w:endnote w:type="continuationSeparator" w:id="0">
    <w:p w14:paraId="34C10285" w14:textId="77777777" w:rsidR="00F34529" w:rsidRDefault="00F34529" w:rsidP="008F5D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IDFont+F4">
    <w:altName w:val="Times New Roman"/>
    <w:panose1 w:val="00000000000000000000"/>
    <w:charset w:val="00"/>
    <w:family w:val="roman"/>
    <w:notTrueType/>
    <w:pitch w:val="default"/>
  </w:font>
  <w:font w:name="Segoe UI">
    <w:panose1 w:val="020B0502040204020203"/>
    <w:charset w:val="00"/>
    <w:family w:val="swiss"/>
    <w:notTrueType/>
    <w:pitch w:val="variable"/>
    <w:sig w:usb0="00000003" w:usb1="00000000" w:usb2="00000000" w:usb3="00000000" w:csb0="00000001" w:csb1="00000000"/>
  </w:font>
  <w:font w:name="TimesNewRomanPS-ItalicMT">
    <w:altName w:val="Times New Roman"/>
    <w:panose1 w:val="00000000000000000000"/>
    <w:charset w:val="00"/>
    <w:family w:val="roman"/>
    <w:notTrueType/>
    <w:pitch w:val="default"/>
  </w:font>
  <w:font w:name="Times-Italic">
    <w:altName w:val="Times New Roman"/>
    <w:panose1 w:val="00000000000000000000"/>
    <w:charset w:val="00"/>
    <w:family w:val="roman"/>
    <w:notTrueType/>
    <w:pitch w:val="default"/>
  </w:font>
  <w:font w:name="MS Mincho">
    <w:altName w:val="ＭＳ 明朝"/>
    <w:panose1 w:val="02020609040205080304"/>
    <w:charset w:val="80"/>
    <w:family w:val="roman"/>
    <w:notTrueType/>
    <w:pitch w:val="fixed"/>
    <w:sig w:usb0="00000001" w:usb1="08070000" w:usb2="00000010" w:usb3="00000000" w:csb0="00020000" w:csb1="00000000"/>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5921317"/>
      <w:docPartObj>
        <w:docPartGallery w:val="Page Numbers (Bottom of Page)"/>
        <w:docPartUnique/>
      </w:docPartObj>
    </w:sdtPr>
    <w:sdtEndPr/>
    <w:sdtContent>
      <w:p w14:paraId="4B43BF5F" w14:textId="2BED45F9" w:rsidR="003006BE" w:rsidRDefault="003006BE">
        <w:pPr>
          <w:pStyle w:val="af7"/>
          <w:jc w:val="center"/>
        </w:pPr>
        <w:r>
          <w:fldChar w:fldCharType="begin"/>
        </w:r>
        <w:r>
          <w:instrText>PAGE   \* MERGEFORMAT</w:instrText>
        </w:r>
        <w:r>
          <w:fldChar w:fldCharType="separate"/>
        </w:r>
        <w:r w:rsidR="003D199E">
          <w:rPr>
            <w:noProof/>
          </w:rPr>
          <w:t>3</w:t>
        </w:r>
        <w:r>
          <w:fldChar w:fldCharType="end"/>
        </w:r>
      </w:p>
    </w:sdtContent>
  </w:sdt>
  <w:p w14:paraId="667C198A" w14:textId="77777777" w:rsidR="003006BE" w:rsidRDefault="003006BE">
    <w:pPr>
      <w:pStyle w:val="af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7DBEB4" w14:textId="77777777" w:rsidR="00F34529" w:rsidRDefault="00F34529" w:rsidP="008F5D5C">
      <w:pPr>
        <w:spacing w:after="0" w:line="240" w:lineRule="auto"/>
      </w:pPr>
      <w:r>
        <w:separator/>
      </w:r>
    </w:p>
  </w:footnote>
  <w:footnote w:type="continuationSeparator" w:id="0">
    <w:p w14:paraId="75BEAF08" w14:textId="77777777" w:rsidR="00F34529" w:rsidRDefault="00F34529" w:rsidP="008F5D5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F62016"/>
    <w:multiLevelType w:val="hybridMultilevel"/>
    <w:tmpl w:val="FA5895EE"/>
    <w:lvl w:ilvl="0" w:tplc="156E76E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0C623A79"/>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CD33B4A"/>
    <w:multiLevelType w:val="hybridMultilevel"/>
    <w:tmpl w:val="7CFE95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D5F39C2"/>
    <w:multiLevelType w:val="hybridMultilevel"/>
    <w:tmpl w:val="29EA52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E452118"/>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EE4798D"/>
    <w:multiLevelType w:val="hybridMultilevel"/>
    <w:tmpl w:val="C6F8CA36"/>
    <w:lvl w:ilvl="0" w:tplc="4A4CA15C">
      <w:start w:val="1"/>
      <w:numFmt w:val="decimal"/>
      <w:lvlText w:val="%1)"/>
      <w:lvlJc w:val="left"/>
      <w:pPr>
        <w:ind w:left="1278" w:hanging="852"/>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 w15:restartNumberingAfterBreak="0">
    <w:nsid w:val="107A4CBE"/>
    <w:multiLevelType w:val="hybridMultilevel"/>
    <w:tmpl w:val="D196227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11397B7D"/>
    <w:multiLevelType w:val="multilevel"/>
    <w:tmpl w:val="CD64FF56"/>
    <w:lvl w:ilvl="0">
      <w:start w:val="2"/>
      <w:numFmt w:val="decimal"/>
      <w:lvlText w:val="%1"/>
      <w:lvlJc w:val="left"/>
      <w:pPr>
        <w:ind w:left="927" w:hanging="360"/>
      </w:pPr>
      <w:rPr>
        <w:rFonts w:hint="default"/>
      </w:rPr>
    </w:lvl>
    <w:lvl w:ilvl="1">
      <w:start w:val="2"/>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8" w15:restartNumberingAfterBreak="0">
    <w:nsid w:val="19C30594"/>
    <w:multiLevelType w:val="hybridMultilevel"/>
    <w:tmpl w:val="422C077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1AB1321B"/>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B5B1B59"/>
    <w:multiLevelType w:val="multilevel"/>
    <w:tmpl w:val="04190025"/>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E990537"/>
    <w:multiLevelType w:val="hybridMultilevel"/>
    <w:tmpl w:val="9342B7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8770863"/>
    <w:multiLevelType w:val="multilevel"/>
    <w:tmpl w:val="6696EBB4"/>
    <w:lvl w:ilvl="0">
      <w:start w:val="1"/>
      <w:numFmt w:val="decimal"/>
      <w:lvlText w:val="%1)"/>
      <w:lvlJc w:val="left"/>
      <w:pPr>
        <w:ind w:left="360" w:hanging="360"/>
      </w:pPr>
      <w:rPr>
        <w:rFonts w:ascii="Times New Roman" w:hAnsi="Times New Roman" w:cs="Times New Roman" w:hint="default"/>
        <w:b w:val="0"/>
        <w:color w:val="auto"/>
        <w:sz w:val="28"/>
        <w:szCs w:val="28"/>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3" w15:restartNumberingAfterBreak="0">
    <w:nsid w:val="28D37170"/>
    <w:multiLevelType w:val="hybridMultilevel"/>
    <w:tmpl w:val="4992C1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8ED3632"/>
    <w:multiLevelType w:val="multilevel"/>
    <w:tmpl w:val="0596C3A6"/>
    <w:lvl w:ilvl="0">
      <w:start w:val="3"/>
      <w:numFmt w:val="decimal"/>
      <w:lvlText w:val="%1."/>
      <w:lvlJc w:val="left"/>
      <w:pPr>
        <w:ind w:left="576" w:hanging="576"/>
      </w:pPr>
      <w:rPr>
        <w:rFonts w:hint="default"/>
      </w:rPr>
    </w:lvl>
    <w:lvl w:ilvl="1">
      <w:start w:val="3"/>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15" w15:restartNumberingAfterBreak="0">
    <w:nsid w:val="293E6C1E"/>
    <w:multiLevelType w:val="hybridMultilevel"/>
    <w:tmpl w:val="F4C0FD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A831C99"/>
    <w:multiLevelType w:val="hybridMultilevel"/>
    <w:tmpl w:val="A2785BB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15:restartNumberingAfterBreak="0">
    <w:nsid w:val="34DC0BC4"/>
    <w:multiLevelType w:val="hybridMultilevel"/>
    <w:tmpl w:val="387442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5C925BE"/>
    <w:multiLevelType w:val="hybridMultilevel"/>
    <w:tmpl w:val="26226622"/>
    <w:lvl w:ilvl="0" w:tplc="9AFC2C6C">
      <w:start w:val="1"/>
      <w:numFmt w:val="bullet"/>
      <w:lvlText w:val=""/>
      <w:lvlJc w:val="left"/>
      <w:pPr>
        <w:tabs>
          <w:tab w:val="num" w:pos="720"/>
        </w:tabs>
        <w:ind w:left="720" w:hanging="360"/>
      </w:pPr>
      <w:rPr>
        <w:rFonts w:ascii="Wingdings" w:hAnsi="Wingdings" w:hint="default"/>
      </w:rPr>
    </w:lvl>
    <w:lvl w:ilvl="1" w:tplc="811C8BEA" w:tentative="1">
      <w:start w:val="1"/>
      <w:numFmt w:val="bullet"/>
      <w:lvlText w:val=""/>
      <w:lvlJc w:val="left"/>
      <w:pPr>
        <w:tabs>
          <w:tab w:val="num" w:pos="1440"/>
        </w:tabs>
        <w:ind w:left="1440" w:hanging="360"/>
      </w:pPr>
      <w:rPr>
        <w:rFonts w:ascii="Wingdings" w:hAnsi="Wingdings" w:hint="default"/>
      </w:rPr>
    </w:lvl>
    <w:lvl w:ilvl="2" w:tplc="27FA21B0" w:tentative="1">
      <w:start w:val="1"/>
      <w:numFmt w:val="bullet"/>
      <w:lvlText w:val=""/>
      <w:lvlJc w:val="left"/>
      <w:pPr>
        <w:tabs>
          <w:tab w:val="num" w:pos="2160"/>
        </w:tabs>
        <w:ind w:left="2160" w:hanging="360"/>
      </w:pPr>
      <w:rPr>
        <w:rFonts w:ascii="Wingdings" w:hAnsi="Wingdings" w:hint="default"/>
      </w:rPr>
    </w:lvl>
    <w:lvl w:ilvl="3" w:tplc="E2709D6C" w:tentative="1">
      <w:start w:val="1"/>
      <w:numFmt w:val="bullet"/>
      <w:lvlText w:val=""/>
      <w:lvlJc w:val="left"/>
      <w:pPr>
        <w:tabs>
          <w:tab w:val="num" w:pos="2880"/>
        </w:tabs>
        <w:ind w:left="2880" w:hanging="360"/>
      </w:pPr>
      <w:rPr>
        <w:rFonts w:ascii="Wingdings" w:hAnsi="Wingdings" w:hint="default"/>
      </w:rPr>
    </w:lvl>
    <w:lvl w:ilvl="4" w:tplc="A518F25C" w:tentative="1">
      <w:start w:val="1"/>
      <w:numFmt w:val="bullet"/>
      <w:lvlText w:val=""/>
      <w:lvlJc w:val="left"/>
      <w:pPr>
        <w:tabs>
          <w:tab w:val="num" w:pos="3600"/>
        </w:tabs>
        <w:ind w:left="3600" w:hanging="360"/>
      </w:pPr>
      <w:rPr>
        <w:rFonts w:ascii="Wingdings" w:hAnsi="Wingdings" w:hint="default"/>
      </w:rPr>
    </w:lvl>
    <w:lvl w:ilvl="5" w:tplc="344CD17C" w:tentative="1">
      <w:start w:val="1"/>
      <w:numFmt w:val="bullet"/>
      <w:lvlText w:val=""/>
      <w:lvlJc w:val="left"/>
      <w:pPr>
        <w:tabs>
          <w:tab w:val="num" w:pos="4320"/>
        </w:tabs>
        <w:ind w:left="4320" w:hanging="360"/>
      </w:pPr>
      <w:rPr>
        <w:rFonts w:ascii="Wingdings" w:hAnsi="Wingdings" w:hint="default"/>
      </w:rPr>
    </w:lvl>
    <w:lvl w:ilvl="6" w:tplc="03227EA2" w:tentative="1">
      <w:start w:val="1"/>
      <w:numFmt w:val="bullet"/>
      <w:lvlText w:val=""/>
      <w:lvlJc w:val="left"/>
      <w:pPr>
        <w:tabs>
          <w:tab w:val="num" w:pos="5040"/>
        </w:tabs>
        <w:ind w:left="5040" w:hanging="360"/>
      </w:pPr>
      <w:rPr>
        <w:rFonts w:ascii="Wingdings" w:hAnsi="Wingdings" w:hint="default"/>
      </w:rPr>
    </w:lvl>
    <w:lvl w:ilvl="7" w:tplc="81BA57C4" w:tentative="1">
      <w:start w:val="1"/>
      <w:numFmt w:val="bullet"/>
      <w:lvlText w:val=""/>
      <w:lvlJc w:val="left"/>
      <w:pPr>
        <w:tabs>
          <w:tab w:val="num" w:pos="5760"/>
        </w:tabs>
        <w:ind w:left="5760" w:hanging="360"/>
      </w:pPr>
      <w:rPr>
        <w:rFonts w:ascii="Wingdings" w:hAnsi="Wingdings" w:hint="default"/>
      </w:rPr>
    </w:lvl>
    <w:lvl w:ilvl="8" w:tplc="611A92E6"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63C4B8F"/>
    <w:multiLevelType w:val="hybridMultilevel"/>
    <w:tmpl w:val="2548C4C0"/>
    <w:lvl w:ilvl="0" w:tplc="0419000F">
      <w:start w:val="1"/>
      <w:numFmt w:val="decimal"/>
      <w:lvlText w:val="%1."/>
      <w:lvlJc w:val="left"/>
      <w:pPr>
        <w:tabs>
          <w:tab w:val="num" w:pos="720"/>
        </w:tabs>
        <w:ind w:left="720" w:hanging="360"/>
      </w:pPr>
      <w:rPr>
        <w:rFonts w:hint="default"/>
      </w:rPr>
    </w:lvl>
    <w:lvl w:ilvl="1" w:tplc="456A88CA" w:tentative="1">
      <w:start w:val="1"/>
      <w:numFmt w:val="decimal"/>
      <w:lvlText w:val="%2."/>
      <w:lvlJc w:val="left"/>
      <w:pPr>
        <w:tabs>
          <w:tab w:val="num" w:pos="1440"/>
        </w:tabs>
        <w:ind w:left="1440" w:hanging="360"/>
      </w:pPr>
    </w:lvl>
    <w:lvl w:ilvl="2" w:tplc="10804B8E" w:tentative="1">
      <w:start w:val="1"/>
      <w:numFmt w:val="decimal"/>
      <w:lvlText w:val="%3."/>
      <w:lvlJc w:val="left"/>
      <w:pPr>
        <w:tabs>
          <w:tab w:val="num" w:pos="2160"/>
        </w:tabs>
        <w:ind w:left="2160" w:hanging="360"/>
      </w:pPr>
    </w:lvl>
    <w:lvl w:ilvl="3" w:tplc="0C3464A6" w:tentative="1">
      <w:start w:val="1"/>
      <w:numFmt w:val="decimal"/>
      <w:lvlText w:val="%4."/>
      <w:lvlJc w:val="left"/>
      <w:pPr>
        <w:tabs>
          <w:tab w:val="num" w:pos="2880"/>
        </w:tabs>
        <w:ind w:left="2880" w:hanging="360"/>
      </w:pPr>
    </w:lvl>
    <w:lvl w:ilvl="4" w:tplc="C17E8F44" w:tentative="1">
      <w:start w:val="1"/>
      <w:numFmt w:val="decimal"/>
      <w:lvlText w:val="%5."/>
      <w:lvlJc w:val="left"/>
      <w:pPr>
        <w:tabs>
          <w:tab w:val="num" w:pos="3600"/>
        </w:tabs>
        <w:ind w:left="3600" w:hanging="360"/>
      </w:pPr>
    </w:lvl>
    <w:lvl w:ilvl="5" w:tplc="CF88134A" w:tentative="1">
      <w:start w:val="1"/>
      <w:numFmt w:val="decimal"/>
      <w:lvlText w:val="%6."/>
      <w:lvlJc w:val="left"/>
      <w:pPr>
        <w:tabs>
          <w:tab w:val="num" w:pos="4320"/>
        </w:tabs>
        <w:ind w:left="4320" w:hanging="360"/>
      </w:pPr>
    </w:lvl>
    <w:lvl w:ilvl="6" w:tplc="4D148894" w:tentative="1">
      <w:start w:val="1"/>
      <w:numFmt w:val="decimal"/>
      <w:lvlText w:val="%7."/>
      <w:lvlJc w:val="left"/>
      <w:pPr>
        <w:tabs>
          <w:tab w:val="num" w:pos="5040"/>
        </w:tabs>
        <w:ind w:left="5040" w:hanging="360"/>
      </w:pPr>
    </w:lvl>
    <w:lvl w:ilvl="7" w:tplc="0A20C1FA" w:tentative="1">
      <w:start w:val="1"/>
      <w:numFmt w:val="decimal"/>
      <w:lvlText w:val="%8."/>
      <w:lvlJc w:val="left"/>
      <w:pPr>
        <w:tabs>
          <w:tab w:val="num" w:pos="5760"/>
        </w:tabs>
        <w:ind w:left="5760" w:hanging="360"/>
      </w:pPr>
    </w:lvl>
    <w:lvl w:ilvl="8" w:tplc="318AC2BA" w:tentative="1">
      <w:start w:val="1"/>
      <w:numFmt w:val="decimal"/>
      <w:lvlText w:val="%9."/>
      <w:lvlJc w:val="left"/>
      <w:pPr>
        <w:tabs>
          <w:tab w:val="num" w:pos="6480"/>
        </w:tabs>
        <w:ind w:left="6480" w:hanging="360"/>
      </w:pPr>
    </w:lvl>
  </w:abstractNum>
  <w:abstractNum w:abstractNumId="20" w15:restartNumberingAfterBreak="0">
    <w:nsid w:val="36F04E49"/>
    <w:multiLevelType w:val="multilevel"/>
    <w:tmpl w:val="356A8E40"/>
    <w:lvl w:ilvl="0">
      <w:start w:val="3"/>
      <w:numFmt w:val="decimal"/>
      <w:lvlText w:val="%1"/>
      <w:lvlJc w:val="left"/>
      <w:pPr>
        <w:ind w:left="504" w:hanging="504"/>
      </w:pPr>
      <w:rPr>
        <w:rFonts w:hint="default"/>
      </w:rPr>
    </w:lvl>
    <w:lvl w:ilvl="1">
      <w:start w:val="3"/>
      <w:numFmt w:val="decimal"/>
      <w:lvlText w:val="%1.%2"/>
      <w:lvlJc w:val="left"/>
      <w:pPr>
        <w:ind w:left="504" w:hanging="50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3772484F"/>
    <w:multiLevelType w:val="hybridMultilevel"/>
    <w:tmpl w:val="566007D8"/>
    <w:lvl w:ilvl="0" w:tplc="0419000F">
      <w:start w:val="1"/>
      <w:numFmt w:val="decimal"/>
      <w:lvlText w:val="%1."/>
      <w:lvlJc w:val="left"/>
      <w:pPr>
        <w:ind w:left="786"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15:restartNumberingAfterBreak="0">
    <w:nsid w:val="37FF740B"/>
    <w:multiLevelType w:val="multilevel"/>
    <w:tmpl w:val="4EF8F716"/>
    <w:lvl w:ilvl="0">
      <w:start w:val="3"/>
      <w:numFmt w:val="decimal"/>
      <w:lvlText w:val="%1."/>
      <w:lvlJc w:val="left"/>
      <w:pPr>
        <w:ind w:left="576" w:hanging="576"/>
      </w:pPr>
      <w:rPr>
        <w:rFonts w:hint="default"/>
      </w:rPr>
    </w:lvl>
    <w:lvl w:ilvl="1">
      <w:start w:val="3"/>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86944D5"/>
    <w:multiLevelType w:val="hybridMultilevel"/>
    <w:tmpl w:val="C568E4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96C2637"/>
    <w:multiLevelType w:val="hybridMultilevel"/>
    <w:tmpl w:val="55E0CF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B917504"/>
    <w:multiLevelType w:val="hybridMultilevel"/>
    <w:tmpl w:val="D12899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E742F50"/>
    <w:multiLevelType w:val="multilevel"/>
    <w:tmpl w:val="ACDAC75A"/>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7" w15:restartNumberingAfterBreak="0">
    <w:nsid w:val="3EDC3C13"/>
    <w:multiLevelType w:val="hybridMultilevel"/>
    <w:tmpl w:val="F40C350E"/>
    <w:lvl w:ilvl="0" w:tplc="0419000F">
      <w:start w:val="1"/>
      <w:numFmt w:val="decimal"/>
      <w:lvlText w:val="%1."/>
      <w:lvlJc w:val="left"/>
      <w:pPr>
        <w:ind w:left="1287" w:hanging="360"/>
      </w:pPr>
    </w:lvl>
    <w:lvl w:ilvl="1" w:tplc="C700CEDA">
      <w:numFmt w:val="bullet"/>
      <w:lvlText w:val="•"/>
      <w:lvlJc w:val="left"/>
      <w:pPr>
        <w:ind w:left="2007" w:hanging="360"/>
      </w:pPr>
      <w:rPr>
        <w:rFonts w:ascii="Times New Roman" w:eastAsiaTheme="minorHAnsi" w:hAnsi="Times New Roman" w:cs="Times New Roman"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15:restartNumberingAfterBreak="0">
    <w:nsid w:val="40204794"/>
    <w:multiLevelType w:val="hybridMultilevel"/>
    <w:tmpl w:val="302436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695164C"/>
    <w:multiLevelType w:val="hybridMultilevel"/>
    <w:tmpl w:val="566007D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15:restartNumberingAfterBreak="0">
    <w:nsid w:val="495A4028"/>
    <w:multiLevelType w:val="multilevel"/>
    <w:tmpl w:val="0596C3A6"/>
    <w:lvl w:ilvl="0">
      <w:start w:val="3"/>
      <w:numFmt w:val="decimal"/>
      <w:lvlText w:val="%1."/>
      <w:lvlJc w:val="left"/>
      <w:pPr>
        <w:ind w:left="576" w:hanging="576"/>
      </w:pPr>
      <w:rPr>
        <w:rFonts w:hint="default"/>
      </w:rPr>
    </w:lvl>
    <w:lvl w:ilvl="1">
      <w:start w:val="3"/>
      <w:numFmt w:val="decimal"/>
      <w:lvlText w:val="%1.%2."/>
      <w:lvlJc w:val="left"/>
      <w:pPr>
        <w:ind w:left="1074" w:hanging="720"/>
      </w:pPr>
      <w:rPr>
        <w:rFonts w:hint="default"/>
      </w:rPr>
    </w:lvl>
    <w:lvl w:ilvl="2">
      <w:start w:val="1"/>
      <w:numFmt w:val="decimal"/>
      <w:lvlText w:val="%1.%2.%3."/>
      <w:lvlJc w:val="left"/>
      <w:pPr>
        <w:ind w:left="2564"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31" w15:restartNumberingAfterBreak="0">
    <w:nsid w:val="59BF4FF2"/>
    <w:multiLevelType w:val="hybridMultilevel"/>
    <w:tmpl w:val="AAAAC30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2" w15:restartNumberingAfterBreak="0">
    <w:nsid w:val="5DC23568"/>
    <w:multiLevelType w:val="hybridMultilevel"/>
    <w:tmpl w:val="3300CED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15:restartNumberingAfterBreak="0">
    <w:nsid w:val="61430143"/>
    <w:multiLevelType w:val="multilevel"/>
    <w:tmpl w:val="0DD4ED22"/>
    <w:lvl w:ilvl="0">
      <w:start w:val="2"/>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9871B2C"/>
    <w:multiLevelType w:val="hybridMultilevel"/>
    <w:tmpl w:val="1678789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6C9B4C8A"/>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6" w15:restartNumberingAfterBreak="0">
    <w:nsid w:val="6F6F386D"/>
    <w:multiLevelType w:val="multilevel"/>
    <w:tmpl w:val="6F6F386D"/>
    <w:lvl w:ilvl="0">
      <w:start w:val="1"/>
      <w:numFmt w:val="decimal"/>
      <w:lvlText w:val="%1."/>
      <w:lvlJc w:val="left"/>
      <w:pPr>
        <w:ind w:left="786" w:hanging="360"/>
      </w:pPr>
      <w:rPr>
        <w:b/>
        <w:color w:val="auto"/>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7" w15:restartNumberingAfterBreak="0">
    <w:nsid w:val="77762FE8"/>
    <w:multiLevelType w:val="multilevel"/>
    <w:tmpl w:val="28770863"/>
    <w:lvl w:ilvl="0">
      <w:start w:val="1"/>
      <w:numFmt w:val="decimal"/>
      <w:lvlText w:val="%1)"/>
      <w:lvlJc w:val="left"/>
      <w:pPr>
        <w:ind w:left="786" w:hanging="360"/>
      </w:pPr>
      <w:rPr>
        <w:rFonts w:ascii="Times New Roman" w:hAnsi="Times New Roman" w:cs="Times New Roman" w:hint="default"/>
        <w:b w:val="0"/>
        <w:color w:val="auto"/>
        <w:sz w:val="28"/>
        <w:szCs w:val="28"/>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38" w15:restartNumberingAfterBreak="0">
    <w:nsid w:val="7AA01B78"/>
    <w:multiLevelType w:val="multilevel"/>
    <w:tmpl w:val="22BAA8F6"/>
    <w:lvl w:ilvl="0">
      <w:start w:val="3"/>
      <w:numFmt w:val="decimal"/>
      <w:lvlText w:val="%1."/>
      <w:lvlJc w:val="left"/>
      <w:pPr>
        <w:ind w:left="576" w:hanging="576"/>
      </w:pPr>
      <w:rPr>
        <w:rFonts w:hint="default"/>
      </w:rPr>
    </w:lvl>
    <w:lvl w:ilvl="1">
      <w:start w:val="2"/>
      <w:numFmt w:val="decimal"/>
      <w:lvlText w:val="%1.%2."/>
      <w:lvlJc w:val="left"/>
      <w:pPr>
        <w:ind w:left="1642" w:hanging="720"/>
      </w:pPr>
      <w:rPr>
        <w:rFonts w:hint="default"/>
      </w:rPr>
    </w:lvl>
    <w:lvl w:ilvl="2">
      <w:start w:val="4"/>
      <w:numFmt w:val="decimal"/>
      <w:lvlText w:val="%1.%2.%3."/>
      <w:lvlJc w:val="left"/>
      <w:pPr>
        <w:ind w:left="2564" w:hanging="720"/>
      </w:pPr>
      <w:rPr>
        <w:rFonts w:hint="default"/>
      </w:rPr>
    </w:lvl>
    <w:lvl w:ilvl="3">
      <w:start w:val="1"/>
      <w:numFmt w:val="decimal"/>
      <w:lvlText w:val="%1.%2.%3.%4."/>
      <w:lvlJc w:val="left"/>
      <w:pPr>
        <w:ind w:left="3846" w:hanging="1080"/>
      </w:pPr>
      <w:rPr>
        <w:rFonts w:hint="default"/>
      </w:rPr>
    </w:lvl>
    <w:lvl w:ilvl="4">
      <w:start w:val="1"/>
      <w:numFmt w:val="decimal"/>
      <w:lvlText w:val="%1.%2.%3.%4.%5."/>
      <w:lvlJc w:val="left"/>
      <w:pPr>
        <w:ind w:left="4768" w:hanging="1080"/>
      </w:pPr>
      <w:rPr>
        <w:rFonts w:hint="default"/>
      </w:rPr>
    </w:lvl>
    <w:lvl w:ilvl="5">
      <w:start w:val="1"/>
      <w:numFmt w:val="decimal"/>
      <w:lvlText w:val="%1.%2.%3.%4.%5.%6."/>
      <w:lvlJc w:val="left"/>
      <w:pPr>
        <w:ind w:left="6050" w:hanging="1440"/>
      </w:pPr>
      <w:rPr>
        <w:rFonts w:hint="default"/>
      </w:rPr>
    </w:lvl>
    <w:lvl w:ilvl="6">
      <w:start w:val="1"/>
      <w:numFmt w:val="decimal"/>
      <w:lvlText w:val="%1.%2.%3.%4.%5.%6.%7."/>
      <w:lvlJc w:val="left"/>
      <w:pPr>
        <w:ind w:left="6972" w:hanging="1440"/>
      </w:pPr>
      <w:rPr>
        <w:rFonts w:hint="default"/>
      </w:rPr>
    </w:lvl>
    <w:lvl w:ilvl="7">
      <w:start w:val="1"/>
      <w:numFmt w:val="decimal"/>
      <w:lvlText w:val="%1.%2.%3.%4.%5.%6.%7.%8."/>
      <w:lvlJc w:val="left"/>
      <w:pPr>
        <w:ind w:left="8254" w:hanging="1800"/>
      </w:pPr>
      <w:rPr>
        <w:rFonts w:hint="default"/>
      </w:rPr>
    </w:lvl>
    <w:lvl w:ilvl="8">
      <w:start w:val="1"/>
      <w:numFmt w:val="decimal"/>
      <w:lvlText w:val="%1.%2.%3.%4.%5.%6.%7.%8.%9."/>
      <w:lvlJc w:val="left"/>
      <w:pPr>
        <w:ind w:left="9176" w:hanging="1800"/>
      </w:pPr>
      <w:rPr>
        <w:rFonts w:hint="default"/>
      </w:rPr>
    </w:lvl>
  </w:abstractNum>
  <w:abstractNum w:abstractNumId="39" w15:restartNumberingAfterBreak="0">
    <w:nsid w:val="7D13134D"/>
    <w:multiLevelType w:val="hybridMultilevel"/>
    <w:tmpl w:val="55E0CF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625A0E"/>
    <w:multiLevelType w:val="hybridMultilevel"/>
    <w:tmpl w:val="2548C4C0"/>
    <w:lvl w:ilvl="0" w:tplc="0419000F">
      <w:start w:val="1"/>
      <w:numFmt w:val="decimal"/>
      <w:lvlText w:val="%1."/>
      <w:lvlJc w:val="left"/>
      <w:pPr>
        <w:tabs>
          <w:tab w:val="num" w:pos="720"/>
        </w:tabs>
        <w:ind w:left="720" w:hanging="360"/>
      </w:pPr>
      <w:rPr>
        <w:rFonts w:hint="default"/>
      </w:rPr>
    </w:lvl>
    <w:lvl w:ilvl="1" w:tplc="456A88CA" w:tentative="1">
      <w:start w:val="1"/>
      <w:numFmt w:val="decimal"/>
      <w:lvlText w:val="%2."/>
      <w:lvlJc w:val="left"/>
      <w:pPr>
        <w:tabs>
          <w:tab w:val="num" w:pos="1440"/>
        </w:tabs>
        <w:ind w:left="1440" w:hanging="360"/>
      </w:pPr>
    </w:lvl>
    <w:lvl w:ilvl="2" w:tplc="10804B8E" w:tentative="1">
      <w:start w:val="1"/>
      <w:numFmt w:val="decimal"/>
      <w:lvlText w:val="%3."/>
      <w:lvlJc w:val="left"/>
      <w:pPr>
        <w:tabs>
          <w:tab w:val="num" w:pos="2160"/>
        </w:tabs>
        <w:ind w:left="2160" w:hanging="360"/>
      </w:pPr>
    </w:lvl>
    <w:lvl w:ilvl="3" w:tplc="0C3464A6" w:tentative="1">
      <w:start w:val="1"/>
      <w:numFmt w:val="decimal"/>
      <w:lvlText w:val="%4."/>
      <w:lvlJc w:val="left"/>
      <w:pPr>
        <w:tabs>
          <w:tab w:val="num" w:pos="2880"/>
        </w:tabs>
        <w:ind w:left="2880" w:hanging="360"/>
      </w:pPr>
    </w:lvl>
    <w:lvl w:ilvl="4" w:tplc="C17E8F44" w:tentative="1">
      <w:start w:val="1"/>
      <w:numFmt w:val="decimal"/>
      <w:lvlText w:val="%5."/>
      <w:lvlJc w:val="left"/>
      <w:pPr>
        <w:tabs>
          <w:tab w:val="num" w:pos="3600"/>
        </w:tabs>
        <w:ind w:left="3600" w:hanging="360"/>
      </w:pPr>
    </w:lvl>
    <w:lvl w:ilvl="5" w:tplc="CF88134A" w:tentative="1">
      <w:start w:val="1"/>
      <w:numFmt w:val="decimal"/>
      <w:lvlText w:val="%6."/>
      <w:lvlJc w:val="left"/>
      <w:pPr>
        <w:tabs>
          <w:tab w:val="num" w:pos="4320"/>
        </w:tabs>
        <w:ind w:left="4320" w:hanging="360"/>
      </w:pPr>
    </w:lvl>
    <w:lvl w:ilvl="6" w:tplc="4D148894" w:tentative="1">
      <w:start w:val="1"/>
      <w:numFmt w:val="decimal"/>
      <w:lvlText w:val="%7."/>
      <w:lvlJc w:val="left"/>
      <w:pPr>
        <w:tabs>
          <w:tab w:val="num" w:pos="5040"/>
        </w:tabs>
        <w:ind w:left="5040" w:hanging="360"/>
      </w:pPr>
    </w:lvl>
    <w:lvl w:ilvl="7" w:tplc="0A20C1FA" w:tentative="1">
      <w:start w:val="1"/>
      <w:numFmt w:val="decimal"/>
      <w:lvlText w:val="%8."/>
      <w:lvlJc w:val="left"/>
      <w:pPr>
        <w:tabs>
          <w:tab w:val="num" w:pos="5760"/>
        </w:tabs>
        <w:ind w:left="5760" w:hanging="360"/>
      </w:pPr>
    </w:lvl>
    <w:lvl w:ilvl="8" w:tplc="318AC2BA" w:tentative="1">
      <w:start w:val="1"/>
      <w:numFmt w:val="decimal"/>
      <w:lvlText w:val="%9."/>
      <w:lvlJc w:val="left"/>
      <w:pPr>
        <w:tabs>
          <w:tab w:val="num" w:pos="6480"/>
        </w:tabs>
        <w:ind w:left="6480" w:hanging="360"/>
      </w:pPr>
    </w:lvl>
  </w:abstractNum>
  <w:abstractNum w:abstractNumId="41" w15:restartNumberingAfterBreak="0">
    <w:nsid w:val="7F3C7604"/>
    <w:multiLevelType w:val="hybridMultilevel"/>
    <w:tmpl w:val="9418D190"/>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num w:numId="1">
    <w:abstractNumId w:val="35"/>
  </w:num>
  <w:num w:numId="2">
    <w:abstractNumId w:val="10"/>
  </w:num>
  <w:num w:numId="3">
    <w:abstractNumId w:val="21"/>
  </w:num>
  <w:num w:numId="4">
    <w:abstractNumId w:val="40"/>
  </w:num>
  <w:num w:numId="5">
    <w:abstractNumId w:val="38"/>
  </w:num>
  <w:num w:numId="6">
    <w:abstractNumId w:val="6"/>
  </w:num>
  <w:num w:numId="7">
    <w:abstractNumId w:val="34"/>
  </w:num>
  <w:num w:numId="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num>
  <w:num w:numId="10">
    <w:abstractNumId w:val="26"/>
  </w:num>
  <w:num w:numId="11">
    <w:abstractNumId w:val="12"/>
  </w:num>
  <w:num w:numId="12">
    <w:abstractNumId w:val="37"/>
  </w:num>
  <w:num w:numId="13">
    <w:abstractNumId w:val="5"/>
  </w:num>
  <w:num w:numId="14">
    <w:abstractNumId w:val="11"/>
  </w:num>
  <w:num w:numId="15">
    <w:abstractNumId w:val="27"/>
  </w:num>
  <w:num w:numId="16">
    <w:abstractNumId w:val="23"/>
  </w:num>
  <w:num w:numId="17">
    <w:abstractNumId w:val="17"/>
  </w:num>
  <w:num w:numId="18">
    <w:abstractNumId w:val="0"/>
  </w:num>
  <w:num w:numId="19">
    <w:abstractNumId w:val="24"/>
  </w:num>
  <w:num w:numId="20">
    <w:abstractNumId w:val="7"/>
  </w:num>
  <w:num w:numId="21">
    <w:abstractNumId w:val="39"/>
  </w:num>
  <w:num w:numId="22">
    <w:abstractNumId w:val="36"/>
  </w:num>
  <w:num w:numId="23">
    <w:abstractNumId w:val="13"/>
  </w:num>
  <w:num w:numId="24">
    <w:abstractNumId w:val="8"/>
  </w:num>
  <w:num w:numId="25">
    <w:abstractNumId w:val="32"/>
  </w:num>
  <w:num w:numId="26">
    <w:abstractNumId w:val="41"/>
  </w:num>
  <w:num w:numId="27">
    <w:abstractNumId w:val="4"/>
  </w:num>
  <w:num w:numId="28">
    <w:abstractNumId w:val="9"/>
  </w:num>
  <w:num w:numId="29">
    <w:abstractNumId w:val="33"/>
  </w:num>
  <w:num w:numId="30">
    <w:abstractNumId w:val="1"/>
  </w:num>
  <w:num w:numId="31">
    <w:abstractNumId w:val="20"/>
  </w:num>
  <w:num w:numId="32">
    <w:abstractNumId w:val="22"/>
  </w:num>
  <w:num w:numId="33">
    <w:abstractNumId w:val="30"/>
  </w:num>
  <w:num w:numId="34">
    <w:abstractNumId w:val="14"/>
  </w:num>
  <w:num w:numId="35">
    <w:abstractNumId w:val="28"/>
  </w:num>
  <w:num w:numId="36">
    <w:abstractNumId w:val="2"/>
  </w:num>
  <w:num w:numId="37">
    <w:abstractNumId w:val="25"/>
  </w:num>
  <w:num w:numId="38">
    <w:abstractNumId w:val="15"/>
  </w:num>
  <w:num w:numId="39">
    <w:abstractNumId w:val="3"/>
  </w:num>
  <w:num w:numId="40">
    <w:abstractNumId w:val="31"/>
  </w:num>
  <w:num w:numId="41">
    <w:abstractNumId w:val="19"/>
  </w:num>
  <w:num w:numId="42">
    <w:abstractNumId w:val="29"/>
  </w:num>
  <w:num w:numId="43">
    <w:abstractNumId w:val="1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2630"/>
    <w:rsid w:val="00000802"/>
    <w:rsid w:val="00002DC6"/>
    <w:rsid w:val="0000322B"/>
    <w:rsid w:val="00005A78"/>
    <w:rsid w:val="00005BAC"/>
    <w:rsid w:val="00005DDC"/>
    <w:rsid w:val="00005F81"/>
    <w:rsid w:val="000102FC"/>
    <w:rsid w:val="00010E78"/>
    <w:rsid w:val="00011453"/>
    <w:rsid w:val="00011946"/>
    <w:rsid w:val="00013582"/>
    <w:rsid w:val="00014D86"/>
    <w:rsid w:val="0001542B"/>
    <w:rsid w:val="00015FE3"/>
    <w:rsid w:val="000164FC"/>
    <w:rsid w:val="00017D1C"/>
    <w:rsid w:val="0002098E"/>
    <w:rsid w:val="00020F3D"/>
    <w:rsid w:val="00020FE4"/>
    <w:rsid w:val="00021FE6"/>
    <w:rsid w:val="00023CBF"/>
    <w:rsid w:val="00024188"/>
    <w:rsid w:val="0002445A"/>
    <w:rsid w:val="00025E05"/>
    <w:rsid w:val="00026482"/>
    <w:rsid w:val="0002648B"/>
    <w:rsid w:val="00030379"/>
    <w:rsid w:val="000320CB"/>
    <w:rsid w:val="000321A1"/>
    <w:rsid w:val="00032C83"/>
    <w:rsid w:val="00032D01"/>
    <w:rsid w:val="00033627"/>
    <w:rsid w:val="00035336"/>
    <w:rsid w:val="00035388"/>
    <w:rsid w:val="00035B63"/>
    <w:rsid w:val="00035DE1"/>
    <w:rsid w:val="00035F11"/>
    <w:rsid w:val="000365F1"/>
    <w:rsid w:val="0003687D"/>
    <w:rsid w:val="000368CD"/>
    <w:rsid w:val="00040D35"/>
    <w:rsid w:val="00041099"/>
    <w:rsid w:val="00041961"/>
    <w:rsid w:val="00043FCB"/>
    <w:rsid w:val="0004491D"/>
    <w:rsid w:val="00046AA0"/>
    <w:rsid w:val="00050C47"/>
    <w:rsid w:val="00051240"/>
    <w:rsid w:val="00052234"/>
    <w:rsid w:val="00054AC9"/>
    <w:rsid w:val="00054F39"/>
    <w:rsid w:val="00056858"/>
    <w:rsid w:val="00057306"/>
    <w:rsid w:val="00057F1E"/>
    <w:rsid w:val="0006028B"/>
    <w:rsid w:val="000608FF"/>
    <w:rsid w:val="00060A3F"/>
    <w:rsid w:val="00060BDF"/>
    <w:rsid w:val="0006210E"/>
    <w:rsid w:val="00064743"/>
    <w:rsid w:val="00064854"/>
    <w:rsid w:val="00064980"/>
    <w:rsid w:val="00065213"/>
    <w:rsid w:val="000666EA"/>
    <w:rsid w:val="00066D76"/>
    <w:rsid w:val="00067625"/>
    <w:rsid w:val="000678C4"/>
    <w:rsid w:val="0007016F"/>
    <w:rsid w:val="000712C0"/>
    <w:rsid w:val="00071AE3"/>
    <w:rsid w:val="000729D1"/>
    <w:rsid w:val="00073245"/>
    <w:rsid w:val="000735B3"/>
    <w:rsid w:val="00073F0D"/>
    <w:rsid w:val="0007459B"/>
    <w:rsid w:val="00074733"/>
    <w:rsid w:val="000748A3"/>
    <w:rsid w:val="00075B7E"/>
    <w:rsid w:val="000768C4"/>
    <w:rsid w:val="000768C7"/>
    <w:rsid w:val="00077293"/>
    <w:rsid w:val="00077329"/>
    <w:rsid w:val="000803E0"/>
    <w:rsid w:val="0008197D"/>
    <w:rsid w:val="00082204"/>
    <w:rsid w:val="00084537"/>
    <w:rsid w:val="00084CD2"/>
    <w:rsid w:val="000853C1"/>
    <w:rsid w:val="00085401"/>
    <w:rsid w:val="00086167"/>
    <w:rsid w:val="000866E6"/>
    <w:rsid w:val="000867F6"/>
    <w:rsid w:val="0009013F"/>
    <w:rsid w:val="00091BCD"/>
    <w:rsid w:val="00092C73"/>
    <w:rsid w:val="00093077"/>
    <w:rsid w:val="00093FD4"/>
    <w:rsid w:val="0009403D"/>
    <w:rsid w:val="00094E93"/>
    <w:rsid w:val="00095145"/>
    <w:rsid w:val="000960B9"/>
    <w:rsid w:val="000969B3"/>
    <w:rsid w:val="00096EA1"/>
    <w:rsid w:val="000A31DC"/>
    <w:rsid w:val="000A3AE4"/>
    <w:rsid w:val="000A40F1"/>
    <w:rsid w:val="000A499A"/>
    <w:rsid w:val="000A51D1"/>
    <w:rsid w:val="000A5672"/>
    <w:rsid w:val="000A5E68"/>
    <w:rsid w:val="000A6857"/>
    <w:rsid w:val="000A6A04"/>
    <w:rsid w:val="000A6EE0"/>
    <w:rsid w:val="000A7D25"/>
    <w:rsid w:val="000B0F90"/>
    <w:rsid w:val="000B1EB6"/>
    <w:rsid w:val="000B2711"/>
    <w:rsid w:val="000B33CF"/>
    <w:rsid w:val="000B3C5C"/>
    <w:rsid w:val="000B499A"/>
    <w:rsid w:val="000B4FD6"/>
    <w:rsid w:val="000B57A6"/>
    <w:rsid w:val="000B5CDB"/>
    <w:rsid w:val="000B5ECB"/>
    <w:rsid w:val="000C12E3"/>
    <w:rsid w:val="000C185D"/>
    <w:rsid w:val="000C1AF9"/>
    <w:rsid w:val="000C2898"/>
    <w:rsid w:val="000C446A"/>
    <w:rsid w:val="000C4A9E"/>
    <w:rsid w:val="000C6890"/>
    <w:rsid w:val="000C793D"/>
    <w:rsid w:val="000D07F6"/>
    <w:rsid w:val="000D0ED2"/>
    <w:rsid w:val="000D132E"/>
    <w:rsid w:val="000D1A2B"/>
    <w:rsid w:val="000D3310"/>
    <w:rsid w:val="000D3A32"/>
    <w:rsid w:val="000D6201"/>
    <w:rsid w:val="000D7018"/>
    <w:rsid w:val="000E12A0"/>
    <w:rsid w:val="000E142A"/>
    <w:rsid w:val="000E3AF4"/>
    <w:rsid w:val="000E4193"/>
    <w:rsid w:val="000E455D"/>
    <w:rsid w:val="000E48A4"/>
    <w:rsid w:val="000E4E6F"/>
    <w:rsid w:val="000E5230"/>
    <w:rsid w:val="000F0D89"/>
    <w:rsid w:val="000F163A"/>
    <w:rsid w:val="000F1CA2"/>
    <w:rsid w:val="000F22E0"/>
    <w:rsid w:val="000F3A58"/>
    <w:rsid w:val="000F4412"/>
    <w:rsid w:val="000F47F1"/>
    <w:rsid w:val="000F5912"/>
    <w:rsid w:val="000F5FD1"/>
    <w:rsid w:val="000F60EE"/>
    <w:rsid w:val="000F673A"/>
    <w:rsid w:val="0010017B"/>
    <w:rsid w:val="00100A2F"/>
    <w:rsid w:val="001012F8"/>
    <w:rsid w:val="00101EC1"/>
    <w:rsid w:val="00102553"/>
    <w:rsid w:val="00102E42"/>
    <w:rsid w:val="00103DB6"/>
    <w:rsid w:val="0010492E"/>
    <w:rsid w:val="001050B8"/>
    <w:rsid w:val="001066D0"/>
    <w:rsid w:val="0010673B"/>
    <w:rsid w:val="001069D6"/>
    <w:rsid w:val="00107DE4"/>
    <w:rsid w:val="00111F81"/>
    <w:rsid w:val="00112AAA"/>
    <w:rsid w:val="00115B12"/>
    <w:rsid w:val="00115CFC"/>
    <w:rsid w:val="001161FE"/>
    <w:rsid w:val="001178BE"/>
    <w:rsid w:val="00120419"/>
    <w:rsid w:val="0012214F"/>
    <w:rsid w:val="001251E1"/>
    <w:rsid w:val="001251ED"/>
    <w:rsid w:val="001257D5"/>
    <w:rsid w:val="00126DA5"/>
    <w:rsid w:val="00126E44"/>
    <w:rsid w:val="001271B4"/>
    <w:rsid w:val="00127F65"/>
    <w:rsid w:val="00127FA3"/>
    <w:rsid w:val="0013015E"/>
    <w:rsid w:val="001315DD"/>
    <w:rsid w:val="00133157"/>
    <w:rsid w:val="001343E9"/>
    <w:rsid w:val="001349B2"/>
    <w:rsid w:val="0013539F"/>
    <w:rsid w:val="0013545E"/>
    <w:rsid w:val="00135C4E"/>
    <w:rsid w:val="0013634B"/>
    <w:rsid w:val="0013669F"/>
    <w:rsid w:val="00137CF8"/>
    <w:rsid w:val="0014066E"/>
    <w:rsid w:val="001409E7"/>
    <w:rsid w:val="00140A89"/>
    <w:rsid w:val="00142411"/>
    <w:rsid w:val="00143094"/>
    <w:rsid w:val="001432FE"/>
    <w:rsid w:val="00144910"/>
    <w:rsid w:val="00144946"/>
    <w:rsid w:val="001462E9"/>
    <w:rsid w:val="0014713C"/>
    <w:rsid w:val="001521F8"/>
    <w:rsid w:val="00152433"/>
    <w:rsid w:val="001526F9"/>
    <w:rsid w:val="00153045"/>
    <w:rsid w:val="0015329E"/>
    <w:rsid w:val="00153F40"/>
    <w:rsid w:val="001549D5"/>
    <w:rsid w:val="00154A23"/>
    <w:rsid w:val="001556CC"/>
    <w:rsid w:val="00156593"/>
    <w:rsid w:val="00156652"/>
    <w:rsid w:val="00157AA5"/>
    <w:rsid w:val="00160FBB"/>
    <w:rsid w:val="00161EC8"/>
    <w:rsid w:val="00162F8C"/>
    <w:rsid w:val="001662E3"/>
    <w:rsid w:val="00166A89"/>
    <w:rsid w:val="00167496"/>
    <w:rsid w:val="0017046D"/>
    <w:rsid w:val="00171918"/>
    <w:rsid w:val="00172C86"/>
    <w:rsid w:val="00172F6A"/>
    <w:rsid w:val="00173060"/>
    <w:rsid w:val="00175DCB"/>
    <w:rsid w:val="001803CD"/>
    <w:rsid w:val="00180BF6"/>
    <w:rsid w:val="00181B97"/>
    <w:rsid w:val="00182EBA"/>
    <w:rsid w:val="001844DA"/>
    <w:rsid w:val="0018468C"/>
    <w:rsid w:val="0018505B"/>
    <w:rsid w:val="00185B2B"/>
    <w:rsid w:val="00186E88"/>
    <w:rsid w:val="00187117"/>
    <w:rsid w:val="001904FF"/>
    <w:rsid w:val="00190542"/>
    <w:rsid w:val="00191F7A"/>
    <w:rsid w:val="001926F3"/>
    <w:rsid w:val="00192FF9"/>
    <w:rsid w:val="00193A2A"/>
    <w:rsid w:val="00194F4A"/>
    <w:rsid w:val="0019553C"/>
    <w:rsid w:val="00196DAB"/>
    <w:rsid w:val="001973B7"/>
    <w:rsid w:val="001A001B"/>
    <w:rsid w:val="001A031B"/>
    <w:rsid w:val="001A0624"/>
    <w:rsid w:val="001A1AE4"/>
    <w:rsid w:val="001A270E"/>
    <w:rsid w:val="001A28F4"/>
    <w:rsid w:val="001A31A9"/>
    <w:rsid w:val="001A3EB8"/>
    <w:rsid w:val="001A3F7F"/>
    <w:rsid w:val="001A4043"/>
    <w:rsid w:val="001A7D27"/>
    <w:rsid w:val="001A7EA8"/>
    <w:rsid w:val="001B038B"/>
    <w:rsid w:val="001B0583"/>
    <w:rsid w:val="001B06E9"/>
    <w:rsid w:val="001B1912"/>
    <w:rsid w:val="001B27F8"/>
    <w:rsid w:val="001B4A3A"/>
    <w:rsid w:val="001B4EB0"/>
    <w:rsid w:val="001B57F9"/>
    <w:rsid w:val="001B6030"/>
    <w:rsid w:val="001B6F8D"/>
    <w:rsid w:val="001B72D4"/>
    <w:rsid w:val="001C00BA"/>
    <w:rsid w:val="001C0852"/>
    <w:rsid w:val="001C0B89"/>
    <w:rsid w:val="001C1983"/>
    <w:rsid w:val="001C19E9"/>
    <w:rsid w:val="001C1CBE"/>
    <w:rsid w:val="001C3480"/>
    <w:rsid w:val="001C39E1"/>
    <w:rsid w:val="001C3B45"/>
    <w:rsid w:val="001C5330"/>
    <w:rsid w:val="001C5E69"/>
    <w:rsid w:val="001C6935"/>
    <w:rsid w:val="001C6A73"/>
    <w:rsid w:val="001D014D"/>
    <w:rsid w:val="001D01D4"/>
    <w:rsid w:val="001D0FAF"/>
    <w:rsid w:val="001D107C"/>
    <w:rsid w:val="001D200A"/>
    <w:rsid w:val="001D22BC"/>
    <w:rsid w:val="001D248C"/>
    <w:rsid w:val="001D444E"/>
    <w:rsid w:val="001D49A1"/>
    <w:rsid w:val="001D4E24"/>
    <w:rsid w:val="001D5096"/>
    <w:rsid w:val="001E0873"/>
    <w:rsid w:val="001E1C0E"/>
    <w:rsid w:val="001E219A"/>
    <w:rsid w:val="001E4539"/>
    <w:rsid w:val="001E4C95"/>
    <w:rsid w:val="001E54F3"/>
    <w:rsid w:val="001E5639"/>
    <w:rsid w:val="001E5D92"/>
    <w:rsid w:val="001E5EB0"/>
    <w:rsid w:val="001E62F3"/>
    <w:rsid w:val="001E756C"/>
    <w:rsid w:val="001F1DC3"/>
    <w:rsid w:val="001F4EA9"/>
    <w:rsid w:val="001F522C"/>
    <w:rsid w:val="001F64E3"/>
    <w:rsid w:val="001F703A"/>
    <w:rsid w:val="001F7524"/>
    <w:rsid w:val="0020134D"/>
    <w:rsid w:val="002016EF"/>
    <w:rsid w:val="0020194B"/>
    <w:rsid w:val="002019F5"/>
    <w:rsid w:val="002024ED"/>
    <w:rsid w:val="00202FCE"/>
    <w:rsid w:val="00203875"/>
    <w:rsid w:val="00203B67"/>
    <w:rsid w:val="002064C9"/>
    <w:rsid w:val="0020675D"/>
    <w:rsid w:val="00211E03"/>
    <w:rsid w:val="00212258"/>
    <w:rsid w:val="002128C6"/>
    <w:rsid w:val="00213363"/>
    <w:rsid w:val="002139BC"/>
    <w:rsid w:val="00213ED9"/>
    <w:rsid w:val="00214184"/>
    <w:rsid w:val="002159C3"/>
    <w:rsid w:val="00215F7B"/>
    <w:rsid w:val="00216CCB"/>
    <w:rsid w:val="00217162"/>
    <w:rsid w:val="002201E7"/>
    <w:rsid w:val="00220E63"/>
    <w:rsid w:val="00222413"/>
    <w:rsid w:val="00222AB5"/>
    <w:rsid w:val="002249EC"/>
    <w:rsid w:val="002252F8"/>
    <w:rsid w:val="0022630F"/>
    <w:rsid w:val="00226421"/>
    <w:rsid w:val="00226F66"/>
    <w:rsid w:val="0023088C"/>
    <w:rsid w:val="00231C24"/>
    <w:rsid w:val="00232085"/>
    <w:rsid w:val="00232274"/>
    <w:rsid w:val="00234238"/>
    <w:rsid w:val="00235186"/>
    <w:rsid w:val="002355D7"/>
    <w:rsid w:val="002362C0"/>
    <w:rsid w:val="002364FD"/>
    <w:rsid w:val="0023682A"/>
    <w:rsid w:val="0023790E"/>
    <w:rsid w:val="00237B12"/>
    <w:rsid w:val="00240950"/>
    <w:rsid w:val="0024099D"/>
    <w:rsid w:val="00240B37"/>
    <w:rsid w:val="00240C16"/>
    <w:rsid w:val="002414CB"/>
    <w:rsid w:val="0024212A"/>
    <w:rsid w:val="002428AB"/>
    <w:rsid w:val="002433E0"/>
    <w:rsid w:val="002440BB"/>
    <w:rsid w:val="00245DF9"/>
    <w:rsid w:val="00245E7B"/>
    <w:rsid w:val="00247AAC"/>
    <w:rsid w:val="0025002F"/>
    <w:rsid w:val="00251A7A"/>
    <w:rsid w:val="00252362"/>
    <w:rsid w:val="0025296B"/>
    <w:rsid w:val="00252ED0"/>
    <w:rsid w:val="002531DC"/>
    <w:rsid w:val="0025386A"/>
    <w:rsid w:val="00253C11"/>
    <w:rsid w:val="002547D7"/>
    <w:rsid w:val="00255701"/>
    <w:rsid w:val="00255978"/>
    <w:rsid w:val="00256121"/>
    <w:rsid w:val="002563C4"/>
    <w:rsid w:val="002604DB"/>
    <w:rsid w:val="00261B6D"/>
    <w:rsid w:val="00262245"/>
    <w:rsid w:val="002643AD"/>
    <w:rsid w:val="00264A07"/>
    <w:rsid w:val="00265641"/>
    <w:rsid w:val="00265C0D"/>
    <w:rsid w:val="002661AF"/>
    <w:rsid w:val="002662C7"/>
    <w:rsid w:val="002664D9"/>
    <w:rsid w:val="0026666C"/>
    <w:rsid w:val="00266904"/>
    <w:rsid w:val="00271C77"/>
    <w:rsid w:val="002729BF"/>
    <w:rsid w:val="00273A49"/>
    <w:rsid w:val="00274547"/>
    <w:rsid w:val="00274966"/>
    <w:rsid w:val="00276724"/>
    <w:rsid w:val="00280437"/>
    <w:rsid w:val="00280D29"/>
    <w:rsid w:val="0028400F"/>
    <w:rsid w:val="002845AD"/>
    <w:rsid w:val="00285297"/>
    <w:rsid w:val="00285359"/>
    <w:rsid w:val="002878C2"/>
    <w:rsid w:val="00287EBD"/>
    <w:rsid w:val="002904EF"/>
    <w:rsid w:val="00292147"/>
    <w:rsid w:val="00293599"/>
    <w:rsid w:val="002937BA"/>
    <w:rsid w:val="00293821"/>
    <w:rsid w:val="002940D2"/>
    <w:rsid w:val="002947C6"/>
    <w:rsid w:val="00294963"/>
    <w:rsid w:val="00294996"/>
    <w:rsid w:val="0029738C"/>
    <w:rsid w:val="002A0332"/>
    <w:rsid w:val="002A13C5"/>
    <w:rsid w:val="002A1A75"/>
    <w:rsid w:val="002A2FCB"/>
    <w:rsid w:val="002A3097"/>
    <w:rsid w:val="002A38A8"/>
    <w:rsid w:val="002A42ED"/>
    <w:rsid w:val="002A5F7A"/>
    <w:rsid w:val="002A63FC"/>
    <w:rsid w:val="002A79C6"/>
    <w:rsid w:val="002B0955"/>
    <w:rsid w:val="002B16A6"/>
    <w:rsid w:val="002B2217"/>
    <w:rsid w:val="002B22BA"/>
    <w:rsid w:val="002B307D"/>
    <w:rsid w:val="002B31CC"/>
    <w:rsid w:val="002B36CF"/>
    <w:rsid w:val="002B4389"/>
    <w:rsid w:val="002B6651"/>
    <w:rsid w:val="002B6A6D"/>
    <w:rsid w:val="002B72EB"/>
    <w:rsid w:val="002B7868"/>
    <w:rsid w:val="002C295F"/>
    <w:rsid w:val="002C2AAD"/>
    <w:rsid w:val="002C320E"/>
    <w:rsid w:val="002C5DEF"/>
    <w:rsid w:val="002C5EC3"/>
    <w:rsid w:val="002C5F13"/>
    <w:rsid w:val="002C791C"/>
    <w:rsid w:val="002C79C2"/>
    <w:rsid w:val="002D112C"/>
    <w:rsid w:val="002D1741"/>
    <w:rsid w:val="002D1F11"/>
    <w:rsid w:val="002D2065"/>
    <w:rsid w:val="002D3197"/>
    <w:rsid w:val="002D3933"/>
    <w:rsid w:val="002D4795"/>
    <w:rsid w:val="002D4C65"/>
    <w:rsid w:val="002D5C2D"/>
    <w:rsid w:val="002D6E75"/>
    <w:rsid w:val="002E05C3"/>
    <w:rsid w:val="002E13EC"/>
    <w:rsid w:val="002E14BF"/>
    <w:rsid w:val="002E17D3"/>
    <w:rsid w:val="002E2411"/>
    <w:rsid w:val="002E2BB8"/>
    <w:rsid w:val="002E3303"/>
    <w:rsid w:val="002E43EB"/>
    <w:rsid w:val="002E5215"/>
    <w:rsid w:val="002E57D6"/>
    <w:rsid w:val="002E6645"/>
    <w:rsid w:val="002E67C0"/>
    <w:rsid w:val="002F0078"/>
    <w:rsid w:val="002F0E9E"/>
    <w:rsid w:val="002F0F0E"/>
    <w:rsid w:val="002F2CA8"/>
    <w:rsid w:val="002F421D"/>
    <w:rsid w:val="002F4869"/>
    <w:rsid w:val="002F6422"/>
    <w:rsid w:val="002F6660"/>
    <w:rsid w:val="003006BE"/>
    <w:rsid w:val="00300899"/>
    <w:rsid w:val="0030164B"/>
    <w:rsid w:val="00301B57"/>
    <w:rsid w:val="0030378A"/>
    <w:rsid w:val="00305440"/>
    <w:rsid w:val="00305721"/>
    <w:rsid w:val="003059FA"/>
    <w:rsid w:val="00307B8A"/>
    <w:rsid w:val="00307F6A"/>
    <w:rsid w:val="003108E2"/>
    <w:rsid w:val="00311DF0"/>
    <w:rsid w:val="00312169"/>
    <w:rsid w:val="003121DD"/>
    <w:rsid w:val="003130AA"/>
    <w:rsid w:val="00313ADE"/>
    <w:rsid w:val="00316BAD"/>
    <w:rsid w:val="00316DE6"/>
    <w:rsid w:val="003228C7"/>
    <w:rsid w:val="00325158"/>
    <w:rsid w:val="003273BF"/>
    <w:rsid w:val="00330174"/>
    <w:rsid w:val="00331A1B"/>
    <w:rsid w:val="00332566"/>
    <w:rsid w:val="0033270B"/>
    <w:rsid w:val="00332E33"/>
    <w:rsid w:val="00334050"/>
    <w:rsid w:val="00335197"/>
    <w:rsid w:val="00335CC7"/>
    <w:rsid w:val="00336111"/>
    <w:rsid w:val="00341965"/>
    <w:rsid w:val="00343221"/>
    <w:rsid w:val="00343AB0"/>
    <w:rsid w:val="00343F77"/>
    <w:rsid w:val="00345357"/>
    <w:rsid w:val="00345621"/>
    <w:rsid w:val="003465E3"/>
    <w:rsid w:val="003467D1"/>
    <w:rsid w:val="00347052"/>
    <w:rsid w:val="00347D2F"/>
    <w:rsid w:val="00351BEE"/>
    <w:rsid w:val="00352116"/>
    <w:rsid w:val="00354D36"/>
    <w:rsid w:val="003601CC"/>
    <w:rsid w:val="00360870"/>
    <w:rsid w:val="003617F1"/>
    <w:rsid w:val="00361DCD"/>
    <w:rsid w:val="00362108"/>
    <w:rsid w:val="00362B23"/>
    <w:rsid w:val="003635D1"/>
    <w:rsid w:val="00365A0F"/>
    <w:rsid w:val="00365A92"/>
    <w:rsid w:val="00365ED3"/>
    <w:rsid w:val="00365F40"/>
    <w:rsid w:val="00366013"/>
    <w:rsid w:val="003668D4"/>
    <w:rsid w:val="00367414"/>
    <w:rsid w:val="00367AA7"/>
    <w:rsid w:val="003707F5"/>
    <w:rsid w:val="00372285"/>
    <w:rsid w:val="00372E67"/>
    <w:rsid w:val="00373536"/>
    <w:rsid w:val="003745AE"/>
    <w:rsid w:val="003749F3"/>
    <w:rsid w:val="00375094"/>
    <w:rsid w:val="00376935"/>
    <w:rsid w:val="00376D11"/>
    <w:rsid w:val="00377E28"/>
    <w:rsid w:val="00380766"/>
    <w:rsid w:val="00381537"/>
    <w:rsid w:val="00382084"/>
    <w:rsid w:val="00383DA4"/>
    <w:rsid w:val="0038538D"/>
    <w:rsid w:val="00385398"/>
    <w:rsid w:val="00385615"/>
    <w:rsid w:val="003858D6"/>
    <w:rsid w:val="00387A6C"/>
    <w:rsid w:val="00387AF7"/>
    <w:rsid w:val="00390DE0"/>
    <w:rsid w:val="00392C8E"/>
    <w:rsid w:val="00393440"/>
    <w:rsid w:val="00394660"/>
    <w:rsid w:val="003949E9"/>
    <w:rsid w:val="003950FA"/>
    <w:rsid w:val="00395656"/>
    <w:rsid w:val="00395B1B"/>
    <w:rsid w:val="00397766"/>
    <w:rsid w:val="003A01DC"/>
    <w:rsid w:val="003A0F8C"/>
    <w:rsid w:val="003A1D6D"/>
    <w:rsid w:val="003A3433"/>
    <w:rsid w:val="003A405C"/>
    <w:rsid w:val="003A4711"/>
    <w:rsid w:val="003A7235"/>
    <w:rsid w:val="003A773A"/>
    <w:rsid w:val="003A79BD"/>
    <w:rsid w:val="003B20A7"/>
    <w:rsid w:val="003B244B"/>
    <w:rsid w:val="003B310E"/>
    <w:rsid w:val="003B3DD9"/>
    <w:rsid w:val="003B5E52"/>
    <w:rsid w:val="003B7672"/>
    <w:rsid w:val="003C0B38"/>
    <w:rsid w:val="003C1391"/>
    <w:rsid w:val="003C1787"/>
    <w:rsid w:val="003C3F29"/>
    <w:rsid w:val="003C416E"/>
    <w:rsid w:val="003C5B6D"/>
    <w:rsid w:val="003C78A0"/>
    <w:rsid w:val="003C78DF"/>
    <w:rsid w:val="003D0691"/>
    <w:rsid w:val="003D0A35"/>
    <w:rsid w:val="003D0E34"/>
    <w:rsid w:val="003D15CE"/>
    <w:rsid w:val="003D198D"/>
    <w:rsid w:val="003D199E"/>
    <w:rsid w:val="003D1FDD"/>
    <w:rsid w:val="003D2FB8"/>
    <w:rsid w:val="003D3231"/>
    <w:rsid w:val="003D58F9"/>
    <w:rsid w:val="003D78AC"/>
    <w:rsid w:val="003E28AF"/>
    <w:rsid w:val="003E2FD4"/>
    <w:rsid w:val="003E40D5"/>
    <w:rsid w:val="003E50C3"/>
    <w:rsid w:val="003E5C79"/>
    <w:rsid w:val="003E5DA5"/>
    <w:rsid w:val="003E6D6F"/>
    <w:rsid w:val="003E755B"/>
    <w:rsid w:val="003E7AF4"/>
    <w:rsid w:val="003F052A"/>
    <w:rsid w:val="003F1488"/>
    <w:rsid w:val="003F2BCD"/>
    <w:rsid w:val="003F3D34"/>
    <w:rsid w:val="003F65A0"/>
    <w:rsid w:val="004003C9"/>
    <w:rsid w:val="0040105C"/>
    <w:rsid w:val="00401AF7"/>
    <w:rsid w:val="004028FD"/>
    <w:rsid w:val="00402914"/>
    <w:rsid w:val="004037B6"/>
    <w:rsid w:val="004041AF"/>
    <w:rsid w:val="00404EDB"/>
    <w:rsid w:val="0040693D"/>
    <w:rsid w:val="00407904"/>
    <w:rsid w:val="00410162"/>
    <w:rsid w:val="0041089C"/>
    <w:rsid w:val="0041222C"/>
    <w:rsid w:val="004125CB"/>
    <w:rsid w:val="00412CD6"/>
    <w:rsid w:val="00412E72"/>
    <w:rsid w:val="0041331A"/>
    <w:rsid w:val="00414088"/>
    <w:rsid w:val="004142AF"/>
    <w:rsid w:val="004155D5"/>
    <w:rsid w:val="00415C56"/>
    <w:rsid w:val="004179AE"/>
    <w:rsid w:val="004227E3"/>
    <w:rsid w:val="00422A60"/>
    <w:rsid w:val="00424CFE"/>
    <w:rsid w:val="004252D9"/>
    <w:rsid w:val="00426D18"/>
    <w:rsid w:val="004305FB"/>
    <w:rsid w:val="004307B4"/>
    <w:rsid w:val="004308CB"/>
    <w:rsid w:val="004312D5"/>
    <w:rsid w:val="00433272"/>
    <w:rsid w:val="004333FB"/>
    <w:rsid w:val="004339E8"/>
    <w:rsid w:val="0043423F"/>
    <w:rsid w:val="004354AE"/>
    <w:rsid w:val="00435B20"/>
    <w:rsid w:val="00437528"/>
    <w:rsid w:val="00437C35"/>
    <w:rsid w:val="00440CD5"/>
    <w:rsid w:val="00441716"/>
    <w:rsid w:val="00441762"/>
    <w:rsid w:val="00442B8A"/>
    <w:rsid w:val="004434AB"/>
    <w:rsid w:val="00443F44"/>
    <w:rsid w:val="00443FF0"/>
    <w:rsid w:val="004446CB"/>
    <w:rsid w:val="0044480D"/>
    <w:rsid w:val="00444DE1"/>
    <w:rsid w:val="0044570C"/>
    <w:rsid w:val="00445B65"/>
    <w:rsid w:val="0044611B"/>
    <w:rsid w:val="0044711A"/>
    <w:rsid w:val="004475CD"/>
    <w:rsid w:val="00447756"/>
    <w:rsid w:val="00447764"/>
    <w:rsid w:val="004508B0"/>
    <w:rsid w:val="00450C06"/>
    <w:rsid w:val="00450CD4"/>
    <w:rsid w:val="0045209D"/>
    <w:rsid w:val="00452ACC"/>
    <w:rsid w:val="0045516E"/>
    <w:rsid w:val="00455235"/>
    <w:rsid w:val="0045720D"/>
    <w:rsid w:val="00457C68"/>
    <w:rsid w:val="00457EF3"/>
    <w:rsid w:val="00457FFC"/>
    <w:rsid w:val="00460172"/>
    <w:rsid w:val="00460324"/>
    <w:rsid w:val="00464EAC"/>
    <w:rsid w:val="004666F2"/>
    <w:rsid w:val="00466A55"/>
    <w:rsid w:val="00466C2D"/>
    <w:rsid w:val="00466EAC"/>
    <w:rsid w:val="00467207"/>
    <w:rsid w:val="00470C5C"/>
    <w:rsid w:val="00470CAB"/>
    <w:rsid w:val="00470CDB"/>
    <w:rsid w:val="00472278"/>
    <w:rsid w:val="004736B9"/>
    <w:rsid w:val="00474297"/>
    <w:rsid w:val="004745EF"/>
    <w:rsid w:val="004747FA"/>
    <w:rsid w:val="00475B7C"/>
    <w:rsid w:val="00475E28"/>
    <w:rsid w:val="00480106"/>
    <w:rsid w:val="004806A6"/>
    <w:rsid w:val="00480F13"/>
    <w:rsid w:val="00481623"/>
    <w:rsid w:val="00483272"/>
    <w:rsid w:val="0048556A"/>
    <w:rsid w:val="004860B1"/>
    <w:rsid w:val="00486406"/>
    <w:rsid w:val="00490494"/>
    <w:rsid w:val="00490717"/>
    <w:rsid w:val="004907B6"/>
    <w:rsid w:val="004929E3"/>
    <w:rsid w:val="0049448F"/>
    <w:rsid w:val="004950E6"/>
    <w:rsid w:val="00495840"/>
    <w:rsid w:val="004964A4"/>
    <w:rsid w:val="00496E30"/>
    <w:rsid w:val="00497516"/>
    <w:rsid w:val="004A1B36"/>
    <w:rsid w:val="004A1BA0"/>
    <w:rsid w:val="004A2521"/>
    <w:rsid w:val="004A3810"/>
    <w:rsid w:val="004A3B87"/>
    <w:rsid w:val="004A3DDB"/>
    <w:rsid w:val="004A4A0B"/>
    <w:rsid w:val="004A5DFC"/>
    <w:rsid w:val="004A6CFC"/>
    <w:rsid w:val="004A6E5C"/>
    <w:rsid w:val="004A6F22"/>
    <w:rsid w:val="004A71F4"/>
    <w:rsid w:val="004A75B0"/>
    <w:rsid w:val="004A7A15"/>
    <w:rsid w:val="004B10A7"/>
    <w:rsid w:val="004B160B"/>
    <w:rsid w:val="004B3006"/>
    <w:rsid w:val="004B427B"/>
    <w:rsid w:val="004B4B79"/>
    <w:rsid w:val="004B5274"/>
    <w:rsid w:val="004B5C48"/>
    <w:rsid w:val="004B7483"/>
    <w:rsid w:val="004B7AA9"/>
    <w:rsid w:val="004C1765"/>
    <w:rsid w:val="004C35AF"/>
    <w:rsid w:val="004C3CCE"/>
    <w:rsid w:val="004C3D09"/>
    <w:rsid w:val="004C4C5B"/>
    <w:rsid w:val="004C5E45"/>
    <w:rsid w:val="004C68D1"/>
    <w:rsid w:val="004C7319"/>
    <w:rsid w:val="004D03F2"/>
    <w:rsid w:val="004D04DC"/>
    <w:rsid w:val="004D0A20"/>
    <w:rsid w:val="004D2909"/>
    <w:rsid w:val="004D319D"/>
    <w:rsid w:val="004D36A4"/>
    <w:rsid w:val="004D4FA0"/>
    <w:rsid w:val="004D625A"/>
    <w:rsid w:val="004D680A"/>
    <w:rsid w:val="004E1F41"/>
    <w:rsid w:val="004E2114"/>
    <w:rsid w:val="004E2162"/>
    <w:rsid w:val="004E28A7"/>
    <w:rsid w:val="004E3819"/>
    <w:rsid w:val="004E44B5"/>
    <w:rsid w:val="004E4C9D"/>
    <w:rsid w:val="004E509C"/>
    <w:rsid w:val="004E5877"/>
    <w:rsid w:val="004E68E4"/>
    <w:rsid w:val="004F107A"/>
    <w:rsid w:val="004F1279"/>
    <w:rsid w:val="004F1EC6"/>
    <w:rsid w:val="004F3B83"/>
    <w:rsid w:val="004F497D"/>
    <w:rsid w:val="004F69AA"/>
    <w:rsid w:val="004F6BC6"/>
    <w:rsid w:val="004F7A9D"/>
    <w:rsid w:val="00500411"/>
    <w:rsid w:val="00500C08"/>
    <w:rsid w:val="00500EF8"/>
    <w:rsid w:val="00502904"/>
    <w:rsid w:val="00502BF3"/>
    <w:rsid w:val="0050357B"/>
    <w:rsid w:val="00504C75"/>
    <w:rsid w:val="0050575D"/>
    <w:rsid w:val="00506288"/>
    <w:rsid w:val="005075DF"/>
    <w:rsid w:val="00512BF0"/>
    <w:rsid w:val="00512E3F"/>
    <w:rsid w:val="005131FD"/>
    <w:rsid w:val="005137B8"/>
    <w:rsid w:val="00514EB6"/>
    <w:rsid w:val="005150E3"/>
    <w:rsid w:val="00516BBC"/>
    <w:rsid w:val="00516EBD"/>
    <w:rsid w:val="00520405"/>
    <w:rsid w:val="005205B7"/>
    <w:rsid w:val="0052183D"/>
    <w:rsid w:val="0052194A"/>
    <w:rsid w:val="00522B46"/>
    <w:rsid w:val="00523616"/>
    <w:rsid w:val="005237BC"/>
    <w:rsid w:val="00523992"/>
    <w:rsid w:val="00523D5F"/>
    <w:rsid w:val="00524662"/>
    <w:rsid w:val="005264D2"/>
    <w:rsid w:val="00526939"/>
    <w:rsid w:val="005273FA"/>
    <w:rsid w:val="00532C0F"/>
    <w:rsid w:val="00535DE3"/>
    <w:rsid w:val="00535EFD"/>
    <w:rsid w:val="00542186"/>
    <w:rsid w:val="005457D9"/>
    <w:rsid w:val="00545CD6"/>
    <w:rsid w:val="0054753C"/>
    <w:rsid w:val="00547D9B"/>
    <w:rsid w:val="00547EE6"/>
    <w:rsid w:val="005531AA"/>
    <w:rsid w:val="00553D29"/>
    <w:rsid w:val="005547AE"/>
    <w:rsid w:val="00555330"/>
    <w:rsid w:val="0056129C"/>
    <w:rsid w:val="005615B3"/>
    <w:rsid w:val="00561E13"/>
    <w:rsid w:val="00562D7E"/>
    <w:rsid w:val="0056385C"/>
    <w:rsid w:val="00564E47"/>
    <w:rsid w:val="0057104C"/>
    <w:rsid w:val="00571414"/>
    <w:rsid w:val="00571747"/>
    <w:rsid w:val="005730F3"/>
    <w:rsid w:val="0057451D"/>
    <w:rsid w:val="0057654B"/>
    <w:rsid w:val="00577115"/>
    <w:rsid w:val="00581024"/>
    <w:rsid w:val="005815D8"/>
    <w:rsid w:val="00581FE6"/>
    <w:rsid w:val="00582092"/>
    <w:rsid w:val="00583DC1"/>
    <w:rsid w:val="0058460F"/>
    <w:rsid w:val="00584F10"/>
    <w:rsid w:val="0058552B"/>
    <w:rsid w:val="005855C7"/>
    <w:rsid w:val="005866E7"/>
    <w:rsid w:val="00587305"/>
    <w:rsid w:val="00590ADF"/>
    <w:rsid w:val="00591B7F"/>
    <w:rsid w:val="005925B5"/>
    <w:rsid w:val="00593029"/>
    <w:rsid w:val="00593F3A"/>
    <w:rsid w:val="00594867"/>
    <w:rsid w:val="005954D4"/>
    <w:rsid w:val="00595628"/>
    <w:rsid w:val="00595C43"/>
    <w:rsid w:val="00595FF9"/>
    <w:rsid w:val="005960C8"/>
    <w:rsid w:val="005962A5"/>
    <w:rsid w:val="00596F1D"/>
    <w:rsid w:val="00597EA8"/>
    <w:rsid w:val="005A1EAE"/>
    <w:rsid w:val="005A2C1B"/>
    <w:rsid w:val="005A2F27"/>
    <w:rsid w:val="005A3F5F"/>
    <w:rsid w:val="005A66C7"/>
    <w:rsid w:val="005A6CBF"/>
    <w:rsid w:val="005A6DDD"/>
    <w:rsid w:val="005A776B"/>
    <w:rsid w:val="005B1B93"/>
    <w:rsid w:val="005B3276"/>
    <w:rsid w:val="005B3369"/>
    <w:rsid w:val="005B34E0"/>
    <w:rsid w:val="005B3FCE"/>
    <w:rsid w:val="005B4698"/>
    <w:rsid w:val="005B6195"/>
    <w:rsid w:val="005B62A2"/>
    <w:rsid w:val="005C0281"/>
    <w:rsid w:val="005C0AEF"/>
    <w:rsid w:val="005C154C"/>
    <w:rsid w:val="005C1D46"/>
    <w:rsid w:val="005C21CF"/>
    <w:rsid w:val="005C21FF"/>
    <w:rsid w:val="005C38EF"/>
    <w:rsid w:val="005C4FA9"/>
    <w:rsid w:val="005C50CF"/>
    <w:rsid w:val="005C5819"/>
    <w:rsid w:val="005C5934"/>
    <w:rsid w:val="005C637A"/>
    <w:rsid w:val="005C7C11"/>
    <w:rsid w:val="005C7FA5"/>
    <w:rsid w:val="005D0245"/>
    <w:rsid w:val="005D1462"/>
    <w:rsid w:val="005D18B4"/>
    <w:rsid w:val="005D2EA2"/>
    <w:rsid w:val="005D49F9"/>
    <w:rsid w:val="005D5858"/>
    <w:rsid w:val="005D5F1B"/>
    <w:rsid w:val="005D648F"/>
    <w:rsid w:val="005D6C35"/>
    <w:rsid w:val="005D6F7E"/>
    <w:rsid w:val="005E0E03"/>
    <w:rsid w:val="005E1C7E"/>
    <w:rsid w:val="005E1D29"/>
    <w:rsid w:val="005E3118"/>
    <w:rsid w:val="005E337D"/>
    <w:rsid w:val="005E3403"/>
    <w:rsid w:val="005E3599"/>
    <w:rsid w:val="005E41F8"/>
    <w:rsid w:val="005E46DF"/>
    <w:rsid w:val="005E4BB7"/>
    <w:rsid w:val="005E5ABF"/>
    <w:rsid w:val="005E5B23"/>
    <w:rsid w:val="005E5B4E"/>
    <w:rsid w:val="005E6706"/>
    <w:rsid w:val="005E7925"/>
    <w:rsid w:val="005F0CC0"/>
    <w:rsid w:val="005F22DD"/>
    <w:rsid w:val="005F3FFF"/>
    <w:rsid w:val="005F57F4"/>
    <w:rsid w:val="005F63DE"/>
    <w:rsid w:val="005F6E2A"/>
    <w:rsid w:val="005F7152"/>
    <w:rsid w:val="005F7342"/>
    <w:rsid w:val="005F749D"/>
    <w:rsid w:val="005F7AA9"/>
    <w:rsid w:val="005F7B1E"/>
    <w:rsid w:val="005F7C23"/>
    <w:rsid w:val="005F7F6C"/>
    <w:rsid w:val="0060099A"/>
    <w:rsid w:val="00600AE1"/>
    <w:rsid w:val="006019A9"/>
    <w:rsid w:val="00601E70"/>
    <w:rsid w:val="006023A5"/>
    <w:rsid w:val="00602BC9"/>
    <w:rsid w:val="00604961"/>
    <w:rsid w:val="00604A86"/>
    <w:rsid w:val="00605648"/>
    <w:rsid w:val="006067AD"/>
    <w:rsid w:val="00607512"/>
    <w:rsid w:val="00607A96"/>
    <w:rsid w:val="0061235E"/>
    <w:rsid w:val="00613165"/>
    <w:rsid w:val="006131B2"/>
    <w:rsid w:val="006133BE"/>
    <w:rsid w:val="006135D9"/>
    <w:rsid w:val="00613D1F"/>
    <w:rsid w:val="006146D2"/>
    <w:rsid w:val="00614A11"/>
    <w:rsid w:val="00615AC6"/>
    <w:rsid w:val="00620B6C"/>
    <w:rsid w:val="006211F7"/>
    <w:rsid w:val="00625C2F"/>
    <w:rsid w:val="00626A29"/>
    <w:rsid w:val="00627DEF"/>
    <w:rsid w:val="00630D09"/>
    <w:rsid w:val="00631D9D"/>
    <w:rsid w:val="00632A88"/>
    <w:rsid w:val="00633942"/>
    <w:rsid w:val="00633CED"/>
    <w:rsid w:val="00633DBE"/>
    <w:rsid w:val="00634C28"/>
    <w:rsid w:val="00641334"/>
    <w:rsid w:val="00643F33"/>
    <w:rsid w:val="006453C8"/>
    <w:rsid w:val="00645585"/>
    <w:rsid w:val="00645744"/>
    <w:rsid w:val="00645E8C"/>
    <w:rsid w:val="006476FF"/>
    <w:rsid w:val="006502E5"/>
    <w:rsid w:val="006502EC"/>
    <w:rsid w:val="00650F8E"/>
    <w:rsid w:val="006512B2"/>
    <w:rsid w:val="00652A40"/>
    <w:rsid w:val="0065477D"/>
    <w:rsid w:val="006550DE"/>
    <w:rsid w:val="00656494"/>
    <w:rsid w:val="00657D0D"/>
    <w:rsid w:val="00660341"/>
    <w:rsid w:val="00660919"/>
    <w:rsid w:val="00660AE6"/>
    <w:rsid w:val="006610BF"/>
    <w:rsid w:val="00661399"/>
    <w:rsid w:val="00661AEF"/>
    <w:rsid w:val="00661B11"/>
    <w:rsid w:val="00661BFC"/>
    <w:rsid w:val="00661CBF"/>
    <w:rsid w:val="00663AA3"/>
    <w:rsid w:val="0066540D"/>
    <w:rsid w:val="00665AE5"/>
    <w:rsid w:val="00666435"/>
    <w:rsid w:val="00667297"/>
    <w:rsid w:val="00671667"/>
    <w:rsid w:val="00671EF3"/>
    <w:rsid w:val="00673297"/>
    <w:rsid w:val="006758CC"/>
    <w:rsid w:val="00675980"/>
    <w:rsid w:val="00675B14"/>
    <w:rsid w:val="00676A92"/>
    <w:rsid w:val="00676EC5"/>
    <w:rsid w:val="00677531"/>
    <w:rsid w:val="006778DA"/>
    <w:rsid w:val="0068099C"/>
    <w:rsid w:val="00682E12"/>
    <w:rsid w:val="0068346F"/>
    <w:rsid w:val="0068490F"/>
    <w:rsid w:val="00684AFA"/>
    <w:rsid w:val="00686CC8"/>
    <w:rsid w:val="00690484"/>
    <w:rsid w:val="006915ED"/>
    <w:rsid w:val="00693271"/>
    <w:rsid w:val="00693CB0"/>
    <w:rsid w:val="00693CB9"/>
    <w:rsid w:val="00694B6E"/>
    <w:rsid w:val="00696E33"/>
    <w:rsid w:val="006A01A3"/>
    <w:rsid w:val="006A2370"/>
    <w:rsid w:val="006A44E5"/>
    <w:rsid w:val="006A4F7A"/>
    <w:rsid w:val="006A7191"/>
    <w:rsid w:val="006B0114"/>
    <w:rsid w:val="006B053C"/>
    <w:rsid w:val="006B07AD"/>
    <w:rsid w:val="006B1048"/>
    <w:rsid w:val="006B1728"/>
    <w:rsid w:val="006B17FD"/>
    <w:rsid w:val="006B29E4"/>
    <w:rsid w:val="006B2D4C"/>
    <w:rsid w:val="006B3103"/>
    <w:rsid w:val="006B54E5"/>
    <w:rsid w:val="006B592C"/>
    <w:rsid w:val="006B7123"/>
    <w:rsid w:val="006B770E"/>
    <w:rsid w:val="006C07AF"/>
    <w:rsid w:val="006C27E3"/>
    <w:rsid w:val="006C2C57"/>
    <w:rsid w:val="006C36F5"/>
    <w:rsid w:val="006C3A69"/>
    <w:rsid w:val="006C4C21"/>
    <w:rsid w:val="006C5EDC"/>
    <w:rsid w:val="006C6C84"/>
    <w:rsid w:val="006C735A"/>
    <w:rsid w:val="006C77FF"/>
    <w:rsid w:val="006C7878"/>
    <w:rsid w:val="006D004B"/>
    <w:rsid w:val="006D0562"/>
    <w:rsid w:val="006D0A1B"/>
    <w:rsid w:val="006D0A28"/>
    <w:rsid w:val="006D0E8D"/>
    <w:rsid w:val="006D1824"/>
    <w:rsid w:val="006D2476"/>
    <w:rsid w:val="006D35E0"/>
    <w:rsid w:val="006D43C2"/>
    <w:rsid w:val="006D457B"/>
    <w:rsid w:val="006D48F4"/>
    <w:rsid w:val="006D533B"/>
    <w:rsid w:val="006D578B"/>
    <w:rsid w:val="006D58B3"/>
    <w:rsid w:val="006D5A36"/>
    <w:rsid w:val="006D6085"/>
    <w:rsid w:val="006D72C8"/>
    <w:rsid w:val="006D72D6"/>
    <w:rsid w:val="006D7C8A"/>
    <w:rsid w:val="006E0B98"/>
    <w:rsid w:val="006E15CB"/>
    <w:rsid w:val="006E1CF9"/>
    <w:rsid w:val="006E352B"/>
    <w:rsid w:val="006E43B1"/>
    <w:rsid w:val="006E446C"/>
    <w:rsid w:val="006E5EA7"/>
    <w:rsid w:val="006E62CF"/>
    <w:rsid w:val="006F1267"/>
    <w:rsid w:val="006F1945"/>
    <w:rsid w:val="006F1D0B"/>
    <w:rsid w:val="006F2FF4"/>
    <w:rsid w:val="006F32D6"/>
    <w:rsid w:val="006F4268"/>
    <w:rsid w:val="006F46F4"/>
    <w:rsid w:val="006F4F0E"/>
    <w:rsid w:val="006F7A2B"/>
    <w:rsid w:val="007001A3"/>
    <w:rsid w:val="00700C13"/>
    <w:rsid w:val="00700EA0"/>
    <w:rsid w:val="00701127"/>
    <w:rsid w:val="007018EE"/>
    <w:rsid w:val="007022F8"/>
    <w:rsid w:val="00705155"/>
    <w:rsid w:val="0070675B"/>
    <w:rsid w:val="00711589"/>
    <w:rsid w:val="00713130"/>
    <w:rsid w:val="007155C7"/>
    <w:rsid w:val="007156C4"/>
    <w:rsid w:val="00715E4F"/>
    <w:rsid w:val="00716CB8"/>
    <w:rsid w:val="007177AD"/>
    <w:rsid w:val="00720B15"/>
    <w:rsid w:val="00722E8D"/>
    <w:rsid w:val="0072419A"/>
    <w:rsid w:val="0072694A"/>
    <w:rsid w:val="00731B29"/>
    <w:rsid w:val="00732D44"/>
    <w:rsid w:val="00733835"/>
    <w:rsid w:val="00734548"/>
    <w:rsid w:val="007354D3"/>
    <w:rsid w:val="00735B1A"/>
    <w:rsid w:val="00735C10"/>
    <w:rsid w:val="0073657F"/>
    <w:rsid w:val="00736D34"/>
    <w:rsid w:val="00736E3B"/>
    <w:rsid w:val="00737032"/>
    <w:rsid w:val="007379B8"/>
    <w:rsid w:val="007410DC"/>
    <w:rsid w:val="00742805"/>
    <w:rsid w:val="00744A73"/>
    <w:rsid w:val="0074572C"/>
    <w:rsid w:val="00745CD4"/>
    <w:rsid w:val="0074630C"/>
    <w:rsid w:val="007465B2"/>
    <w:rsid w:val="00747139"/>
    <w:rsid w:val="0074797E"/>
    <w:rsid w:val="0075017A"/>
    <w:rsid w:val="00750C5E"/>
    <w:rsid w:val="00750F54"/>
    <w:rsid w:val="00750FFC"/>
    <w:rsid w:val="007511E5"/>
    <w:rsid w:val="00753CD5"/>
    <w:rsid w:val="00753E02"/>
    <w:rsid w:val="0075420A"/>
    <w:rsid w:val="007542EE"/>
    <w:rsid w:val="00754332"/>
    <w:rsid w:val="0075514F"/>
    <w:rsid w:val="00755400"/>
    <w:rsid w:val="007556D3"/>
    <w:rsid w:val="00756A4D"/>
    <w:rsid w:val="00757AD6"/>
    <w:rsid w:val="00757CB0"/>
    <w:rsid w:val="0076093A"/>
    <w:rsid w:val="00760FCE"/>
    <w:rsid w:val="007630D2"/>
    <w:rsid w:val="00765C06"/>
    <w:rsid w:val="007662D7"/>
    <w:rsid w:val="00767504"/>
    <w:rsid w:val="00767F96"/>
    <w:rsid w:val="00770174"/>
    <w:rsid w:val="00772FE4"/>
    <w:rsid w:val="00773B80"/>
    <w:rsid w:val="00774527"/>
    <w:rsid w:val="007745E3"/>
    <w:rsid w:val="007752C2"/>
    <w:rsid w:val="00775DE3"/>
    <w:rsid w:val="007777E8"/>
    <w:rsid w:val="00780CED"/>
    <w:rsid w:val="007810DF"/>
    <w:rsid w:val="00781C75"/>
    <w:rsid w:val="00781E1A"/>
    <w:rsid w:val="0078222C"/>
    <w:rsid w:val="00782EBE"/>
    <w:rsid w:val="00784317"/>
    <w:rsid w:val="00784521"/>
    <w:rsid w:val="00784C53"/>
    <w:rsid w:val="00784FBB"/>
    <w:rsid w:val="00786DD0"/>
    <w:rsid w:val="0079285E"/>
    <w:rsid w:val="007934AB"/>
    <w:rsid w:val="00793A61"/>
    <w:rsid w:val="00795C33"/>
    <w:rsid w:val="007963FA"/>
    <w:rsid w:val="00797111"/>
    <w:rsid w:val="00797405"/>
    <w:rsid w:val="007A1304"/>
    <w:rsid w:val="007A2B0C"/>
    <w:rsid w:val="007A2C1E"/>
    <w:rsid w:val="007A3A2D"/>
    <w:rsid w:val="007A5854"/>
    <w:rsid w:val="007B04B7"/>
    <w:rsid w:val="007B16A0"/>
    <w:rsid w:val="007B19D1"/>
    <w:rsid w:val="007B3949"/>
    <w:rsid w:val="007B3CAF"/>
    <w:rsid w:val="007B461A"/>
    <w:rsid w:val="007B669A"/>
    <w:rsid w:val="007B6D20"/>
    <w:rsid w:val="007B7121"/>
    <w:rsid w:val="007C07D4"/>
    <w:rsid w:val="007C0C77"/>
    <w:rsid w:val="007C14DD"/>
    <w:rsid w:val="007C2A5A"/>
    <w:rsid w:val="007C5C46"/>
    <w:rsid w:val="007C6798"/>
    <w:rsid w:val="007C7955"/>
    <w:rsid w:val="007D0AEF"/>
    <w:rsid w:val="007D1AD3"/>
    <w:rsid w:val="007D1FA9"/>
    <w:rsid w:val="007D2954"/>
    <w:rsid w:val="007D2F18"/>
    <w:rsid w:val="007D2F81"/>
    <w:rsid w:val="007D35BD"/>
    <w:rsid w:val="007D4043"/>
    <w:rsid w:val="007D46C6"/>
    <w:rsid w:val="007D4B3A"/>
    <w:rsid w:val="007D4CEB"/>
    <w:rsid w:val="007D5489"/>
    <w:rsid w:val="007D6E3A"/>
    <w:rsid w:val="007D7B4A"/>
    <w:rsid w:val="007E0292"/>
    <w:rsid w:val="007E13B3"/>
    <w:rsid w:val="007E1F9B"/>
    <w:rsid w:val="007E2E6A"/>
    <w:rsid w:val="007E30E1"/>
    <w:rsid w:val="007E36D1"/>
    <w:rsid w:val="007E5D99"/>
    <w:rsid w:val="007E6025"/>
    <w:rsid w:val="007E682A"/>
    <w:rsid w:val="007E69B9"/>
    <w:rsid w:val="007F19F9"/>
    <w:rsid w:val="007F1E75"/>
    <w:rsid w:val="007F1F95"/>
    <w:rsid w:val="007F2062"/>
    <w:rsid w:val="007F3AE5"/>
    <w:rsid w:val="007F52DA"/>
    <w:rsid w:val="007F6E16"/>
    <w:rsid w:val="007F7872"/>
    <w:rsid w:val="0080066C"/>
    <w:rsid w:val="00801480"/>
    <w:rsid w:val="00802B43"/>
    <w:rsid w:val="00802BCC"/>
    <w:rsid w:val="0080338C"/>
    <w:rsid w:val="00803A56"/>
    <w:rsid w:val="00804F3C"/>
    <w:rsid w:val="00805A8E"/>
    <w:rsid w:val="00805CB6"/>
    <w:rsid w:val="00806532"/>
    <w:rsid w:val="008071A5"/>
    <w:rsid w:val="00812101"/>
    <w:rsid w:val="00812733"/>
    <w:rsid w:val="008130AF"/>
    <w:rsid w:val="00814242"/>
    <w:rsid w:val="008165C3"/>
    <w:rsid w:val="008167D2"/>
    <w:rsid w:val="00817C0C"/>
    <w:rsid w:val="00817E04"/>
    <w:rsid w:val="00817E9A"/>
    <w:rsid w:val="0082088E"/>
    <w:rsid w:val="008215CA"/>
    <w:rsid w:val="00821F66"/>
    <w:rsid w:val="0082355E"/>
    <w:rsid w:val="00825251"/>
    <w:rsid w:val="00825FC5"/>
    <w:rsid w:val="0082658E"/>
    <w:rsid w:val="00830588"/>
    <w:rsid w:val="008330F7"/>
    <w:rsid w:val="008335E2"/>
    <w:rsid w:val="008339CF"/>
    <w:rsid w:val="00833EED"/>
    <w:rsid w:val="00834607"/>
    <w:rsid w:val="0083570A"/>
    <w:rsid w:val="00835AFE"/>
    <w:rsid w:val="00836831"/>
    <w:rsid w:val="00837AD2"/>
    <w:rsid w:val="00840E2A"/>
    <w:rsid w:val="008423B8"/>
    <w:rsid w:val="00842BBE"/>
    <w:rsid w:val="00845219"/>
    <w:rsid w:val="0084592A"/>
    <w:rsid w:val="00845C0C"/>
    <w:rsid w:val="00846BF5"/>
    <w:rsid w:val="00846FD1"/>
    <w:rsid w:val="008532B0"/>
    <w:rsid w:val="008533EA"/>
    <w:rsid w:val="008534D9"/>
    <w:rsid w:val="008539D7"/>
    <w:rsid w:val="008552BA"/>
    <w:rsid w:val="00855A90"/>
    <w:rsid w:val="00856013"/>
    <w:rsid w:val="00857CDF"/>
    <w:rsid w:val="0086059B"/>
    <w:rsid w:val="00861CCD"/>
    <w:rsid w:val="0086300F"/>
    <w:rsid w:val="00863B22"/>
    <w:rsid w:val="00864882"/>
    <w:rsid w:val="00866E73"/>
    <w:rsid w:val="00870837"/>
    <w:rsid w:val="00870B5B"/>
    <w:rsid w:val="008716F4"/>
    <w:rsid w:val="00872C96"/>
    <w:rsid w:val="0087339F"/>
    <w:rsid w:val="008738BC"/>
    <w:rsid w:val="00873909"/>
    <w:rsid w:val="00874E80"/>
    <w:rsid w:val="00875616"/>
    <w:rsid w:val="00876A1A"/>
    <w:rsid w:val="00877069"/>
    <w:rsid w:val="008770B2"/>
    <w:rsid w:val="00877D24"/>
    <w:rsid w:val="00880A7C"/>
    <w:rsid w:val="008811A8"/>
    <w:rsid w:val="00883670"/>
    <w:rsid w:val="00883A74"/>
    <w:rsid w:val="0088439D"/>
    <w:rsid w:val="00885B47"/>
    <w:rsid w:val="00887728"/>
    <w:rsid w:val="008903F8"/>
    <w:rsid w:val="00894B0B"/>
    <w:rsid w:val="00894FEF"/>
    <w:rsid w:val="0089624F"/>
    <w:rsid w:val="0089649D"/>
    <w:rsid w:val="00896643"/>
    <w:rsid w:val="00896906"/>
    <w:rsid w:val="00896CA1"/>
    <w:rsid w:val="008A0222"/>
    <w:rsid w:val="008A0B0C"/>
    <w:rsid w:val="008A269A"/>
    <w:rsid w:val="008A2A34"/>
    <w:rsid w:val="008A3984"/>
    <w:rsid w:val="008A465C"/>
    <w:rsid w:val="008B0249"/>
    <w:rsid w:val="008B0406"/>
    <w:rsid w:val="008B32C9"/>
    <w:rsid w:val="008B3E2D"/>
    <w:rsid w:val="008B3FDA"/>
    <w:rsid w:val="008B5602"/>
    <w:rsid w:val="008B5C85"/>
    <w:rsid w:val="008B6422"/>
    <w:rsid w:val="008B65B5"/>
    <w:rsid w:val="008B73C7"/>
    <w:rsid w:val="008C0A0F"/>
    <w:rsid w:val="008C0A72"/>
    <w:rsid w:val="008C2177"/>
    <w:rsid w:val="008C3E87"/>
    <w:rsid w:val="008C40F9"/>
    <w:rsid w:val="008C549A"/>
    <w:rsid w:val="008C7547"/>
    <w:rsid w:val="008C7731"/>
    <w:rsid w:val="008D15EF"/>
    <w:rsid w:val="008D2F4B"/>
    <w:rsid w:val="008D303C"/>
    <w:rsid w:val="008D349B"/>
    <w:rsid w:val="008D404C"/>
    <w:rsid w:val="008D40CD"/>
    <w:rsid w:val="008D53B0"/>
    <w:rsid w:val="008D6003"/>
    <w:rsid w:val="008D6039"/>
    <w:rsid w:val="008E0993"/>
    <w:rsid w:val="008E1554"/>
    <w:rsid w:val="008E21D2"/>
    <w:rsid w:val="008E37C7"/>
    <w:rsid w:val="008E6C60"/>
    <w:rsid w:val="008F0CC2"/>
    <w:rsid w:val="008F1E9B"/>
    <w:rsid w:val="008F221C"/>
    <w:rsid w:val="008F2449"/>
    <w:rsid w:val="008F3927"/>
    <w:rsid w:val="008F3DAC"/>
    <w:rsid w:val="008F417D"/>
    <w:rsid w:val="008F4275"/>
    <w:rsid w:val="008F5131"/>
    <w:rsid w:val="008F5B12"/>
    <w:rsid w:val="008F5D5C"/>
    <w:rsid w:val="008F5D61"/>
    <w:rsid w:val="008F6F6F"/>
    <w:rsid w:val="008F79EE"/>
    <w:rsid w:val="008F7EC7"/>
    <w:rsid w:val="009015E9"/>
    <w:rsid w:val="00901C38"/>
    <w:rsid w:val="00902E91"/>
    <w:rsid w:val="009037F7"/>
    <w:rsid w:val="009058F8"/>
    <w:rsid w:val="00905F73"/>
    <w:rsid w:val="00906154"/>
    <w:rsid w:val="009069FC"/>
    <w:rsid w:val="0091044A"/>
    <w:rsid w:val="00910DD0"/>
    <w:rsid w:val="0091122F"/>
    <w:rsid w:val="00911405"/>
    <w:rsid w:val="0091212D"/>
    <w:rsid w:val="009122B0"/>
    <w:rsid w:val="00912705"/>
    <w:rsid w:val="00912B64"/>
    <w:rsid w:val="00912DE4"/>
    <w:rsid w:val="00912EC6"/>
    <w:rsid w:val="00913C5A"/>
    <w:rsid w:val="0091409E"/>
    <w:rsid w:val="009149F2"/>
    <w:rsid w:val="009150BB"/>
    <w:rsid w:val="009155D6"/>
    <w:rsid w:val="009155D7"/>
    <w:rsid w:val="00916D50"/>
    <w:rsid w:val="0091708F"/>
    <w:rsid w:val="009177AB"/>
    <w:rsid w:val="00917FF6"/>
    <w:rsid w:val="0092055B"/>
    <w:rsid w:val="009217B7"/>
    <w:rsid w:val="00921F59"/>
    <w:rsid w:val="0092256B"/>
    <w:rsid w:val="00923F25"/>
    <w:rsid w:val="00926264"/>
    <w:rsid w:val="009268D5"/>
    <w:rsid w:val="0092696A"/>
    <w:rsid w:val="00927CE9"/>
    <w:rsid w:val="009301EA"/>
    <w:rsid w:val="00932800"/>
    <w:rsid w:val="00932883"/>
    <w:rsid w:val="009341B1"/>
    <w:rsid w:val="00934630"/>
    <w:rsid w:val="00936A76"/>
    <w:rsid w:val="00937206"/>
    <w:rsid w:val="00937604"/>
    <w:rsid w:val="0094010B"/>
    <w:rsid w:val="00941CDF"/>
    <w:rsid w:val="00943566"/>
    <w:rsid w:val="00944BB9"/>
    <w:rsid w:val="00945F8C"/>
    <w:rsid w:val="00946D29"/>
    <w:rsid w:val="00947B69"/>
    <w:rsid w:val="00950108"/>
    <w:rsid w:val="009516AC"/>
    <w:rsid w:val="00952D0E"/>
    <w:rsid w:val="00954218"/>
    <w:rsid w:val="00956E74"/>
    <w:rsid w:val="00956FCC"/>
    <w:rsid w:val="009603D1"/>
    <w:rsid w:val="00962035"/>
    <w:rsid w:val="0096238F"/>
    <w:rsid w:val="009629B8"/>
    <w:rsid w:val="00964210"/>
    <w:rsid w:val="00965245"/>
    <w:rsid w:val="00967642"/>
    <w:rsid w:val="0096766C"/>
    <w:rsid w:val="009701B5"/>
    <w:rsid w:val="00970E39"/>
    <w:rsid w:val="0097271D"/>
    <w:rsid w:val="00972C67"/>
    <w:rsid w:val="00973215"/>
    <w:rsid w:val="00973AE6"/>
    <w:rsid w:val="00973C9E"/>
    <w:rsid w:val="00974229"/>
    <w:rsid w:val="0097456F"/>
    <w:rsid w:val="00975AA4"/>
    <w:rsid w:val="00975E67"/>
    <w:rsid w:val="0097664C"/>
    <w:rsid w:val="0097676E"/>
    <w:rsid w:val="00976EEC"/>
    <w:rsid w:val="00981F01"/>
    <w:rsid w:val="009834A5"/>
    <w:rsid w:val="00984619"/>
    <w:rsid w:val="00984731"/>
    <w:rsid w:val="00984F64"/>
    <w:rsid w:val="00993F47"/>
    <w:rsid w:val="00994978"/>
    <w:rsid w:val="00994ED9"/>
    <w:rsid w:val="009956D0"/>
    <w:rsid w:val="0099613A"/>
    <w:rsid w:val="009A1DAE"/>
    <w:rsid w:val="009A2875"/>
    <w:rsid w:val="009A4BCA"/>
    <w:rsid w:val="009A58AC"/>
    <w:rsid w:val="009A6018"/>
    <w:rsid w:val="009A7932"/>
    <w:rsid w:val="009B06B5"/>
    <w:rsid w:val="009B0B65"/>
    <w:rsid w:val="009B2767"/>
    <w:rsid w:val="009B2E17"/>
    <w:rsid w:val="009B4D2C"/>
    <w:rsid w:val="009B5DE3"/>
    <w:rsid w:val="009B6C1B"/>
    <w:rsid w:val="009B7034"/>
    <w:rsid w:val="009C05C8"/>
    <w:rsid w:val="009C0A3E"/>
    <w:rsid w:val="009C0DEC"/>
    <w:rsid w:val="009C0E45"/>
    <w:rsid w:val="009C1480"/>
    <w:rsid w:val="009C15E4"/>
    <w:rsid w:val="009C1B23"/>
    <w:rsid w:val="009C1BD8"/>
    <w:rsid w:val="009C2209"/>
    <w:rsid w:val="009C221F"/>
    <w:rsid w:val="009C2960"/>
    <w:rsid w:val="009C356B"/>
    <w:rsid w:val="009C4144"/>
    <w:rsid w:val="009C4432"/>
    <w:rsid w:val="009C4CD7"/>
    <w:rsid w:val="009C50BD"/>
    <w:rsid w:val="009C5775"/>
    <w:rsid w:val="009C6006"/>
    <w:rsid w:val="009C6421"/>
    <w:rsid w:val="009C64F7"/>
    <w:rsid w:val="009C6725"/>
    <w:rsid w:val="009C6CB0"/>
    <w:rsid w:val="009C6E3A"/>
    <w:rsid w:val="009C7D0A"/>
    <w:rsid w:val="009D1253"/>
    <w:rsid w:val="009D5614"/>
    <w:rsid w:val="009D650F"/>
    <w:rsid w:val="009D7721"/>
    <w:rsid w:val="009E0B8E"/>
    <w:rsid w:val="009E1160"/>
    <w:rsid w:val="009E497D"/>
    <w:rsid w:val="009E4F8A"/>
    <w:rsid w:val="009E5259"/>
    <w:rsid w:val="009E567F"/>
    <w:rsid w:val="009E5847"/>
    <w:rsid w:val="009E6907"/>
    <w:rsid w:val="009E69BC"/>
    <w:rsid w:val="009E788D"/>
    <w:rsid w:val="009E7A9F"/>
    <w:rsid w:val="009F0A65"/>
    <w:rsid w:val="009F23D3"/>
    <w:rsid w:val="009F294A"/>
    <w:rsid w:val="009F3B2A"/>
    <w:rsid w:val="009F3BD1"/>
    <w:rsid w:val="009F40B1"/>
    <w:rsid w:val="009F5520"/>
    <w:rsid w:val="009F5830"/>
    <w:rsid w:val="009F6387"/>
    <w:rsid w:val="009F65CA"/>
    <w:rsid w:val="009F6AC8"/>
    <w:rsid w:val="009F6E97"/>
    <w:rsid w:val="009F7376"/>
    <w:rsid w:val="00A00D21"/>
    <w:rsid w:val="00A0201F"/>
    <w:rsid w:val="00A02E0E"/>
    <w:rsid w:val="00A02F9D"/>
    <w:rsid w:val="00A06EBD"/>
    <w:rsid w:val="00A10963"/>
    <w:rsid w:val="00A10BBE"/>
    <w:rsid w:val="00A14972"/>
    <w:rsid w:val="00A155BA"/>
    <w:rsid w:val="00A15D2B"/>
    <w:rsid w:val="00A168E9"/>
    <w:rsid w:val="00A16A0B"/>
    <w:rsid w:val="00A237D0"/>
    <w:rsid w:val="00A23F56"/>
    <w:rsid w:val="00A246F2"/>
    <w:rsid w:val="00A25898"/>
    <w:rsid w:val="00A25FE2"/>
    <w:rsid w:val="00A26A65"/>
    <w:rsid w:val="00A2782F"/>
    <w:rsid w:val="00A300A8"/>
    <w:rsid w:val="00A31E7B"/>
    <w:rsid w:val="00A3239B"/>
    <w:rsid w:val="00A32CC0"/>
    <w:rsid w:val="00A3324A"/>
    <w:rsid w:val="00A33F29"/>
    <w:rsid w:val="00A3401B"/>
    <w:rsid w:val="00A4021B"/>
    <w:rsid w:val="00A40A97"/>
    <w:rsid w:val="00A41A50"/>
    <w:rsid w:val="00A451CD"/>
    <w:rsid w:val="00A46D1D"/>
    <w:rsid w:val="00A47045"/>
    <w:rsid w:val="00A50362"/>
    <w:rsid w:val="00A513C2"/>
    <w:rsid w:val="00A51BCD"/>
    <w:rsid w:val="00A52202"/>
    <w:rsid w:val="00A523F6"/>
    <w:rsid w:val="00A52567"/>
    <w:rsid w:val="00A52FA9"/>
    <w:rsid w:val="00A53ED2"/>
    <w:rsid w:val="00A54628"/>
    <w:rsid w:val="00A54BC3"/>
    <w:rsid w:val="00A54C08"/>
    <w:rsid w:val="00A6134F"/>
    <w:rsid w:val="00A61B88"/>
    <w:rsid w:val="00A63D2A"/>
    <w:rsid w:val="00A63E4D"/>
    <w:rsid w:val="00A65EDA"/>
    <w:rsid w:val="00A65F79"/>
    <w:rsid w:val="00A66FD3"/>
    <w:rsid w:val="00A72231"/>
    <w:rsid w:val="00A73082"/>
    <w:rsid w:val="00A73B10"/>
    <w:rsid w:val="00A755E9"/>
    <w:rsid w:val="00A821BD"/>
    <w:rsid w:val="00A8235A"/>
    <w:rsid w:val="00A84C2A"/>
    <w:rsid w:val="00A84F4A"/>
    <w:rsid w:val="00A85A8C"/>
    <w:rsid w:val="00A85F39"/>
    <w:rsid w:val="00A865AD"/>
    <w:rsid w:val="00A86847"/>
    <w:rsid w:val="00A86D8B"/>
    <w:rsid w:val="00A90A19"/>
    <w:rsid w:val="00A90C5A"/>
    <w:rsid w:val="00A90F19"/>
    <w:rsid w:val="00A911C9"/>
    <w:rsid w:val="00A922D3"/>
    <w:rsid w:val="00A92BAF"/>
    <w:rsid w:val="00A9329C"/>
    <w:rsid w:val="00A949C4"/>
    <w:rsid w:val="00A96045"/>
    <w:rsid w:val="00A96DB9"/>
    <w:rsid w:val="00A97446"/>
    <w:rsid w:val="00A97611"/>
    <w:rsid w:val="00A97FAD"/>
    <w:rsid w:val="00AA1416"/>
    <w:rsid w:val="00AA1E75"/>
    <w:rsid w:val="00AA21EA"/>
    <w:rsid w:val="00AA28F2"/>
    <w:rsid w:val="00AA34A7"/>
    <w:rsid w:val="00AA3844"/>
    <w:rsid w:val="00AA4BA8"/>
    <w:rsid w:val="00AA5113"/>
    <w:rsid w:val="00AA54FE"/>
    <w:rsid w:val="00AA59AB"/>
    <w:rsid w:val="00AB1373"/>
    <w:rsid w:val="00AB2163"/>
    <w:rsid w:val="00AB26F7"/>
    <w:rsid w:val="00AB32C4"/>
    <w:rsid w:val="00AB353E"/>
    <w:rsid w:val="00AB4344"/>
    <w:rsid w:val="00AC057B"/>
    <w:rsid w:val="00AC424E"/>
    <w:rsid w:val="00AC4340"/>
    <w:rsid w:val="00AC51CB"/>
    <w:rsid w:val="00AC5801"/>
    <w:rsid w:val="00AC75C2"/>
    <w:rsid w:val="00AC7D14"/>
    <w:rsid w:val="00AC7D4D"/>
    <w:rsid w:val="00AD03B6"/>
    <w:rsid w:val="00AD0794"/>
    <w:rsid w:val="00AD1782"/>
    <w:rsid w:val="00AD1A65"/>
    <w:rsid w:val="00AD301B"/>
    <w:rsid w:val="00AD3F84"/>
    <w:rsid w:val="00AD5A82"/>
    <w:rsid w:val="00AD696F"/>
    <w:rsid w:val="00AE13C1"/>
    <w:rsid w:val="00AE149E"/>
    <w:rsid w:val="00AE213D"/>
    <w:rsid w:val="00AE547C"/>
    <w:rsid w:val="00AE5D19"/>
    <w:rsid w:val="00AE6C18"/>
    <w:rsid w:val="00AE70CE"/>
    <w:rsid w:val="00AF05B0"/>
    <w:rsid w:val="00AF09D9"/>
    <w:rsid w:val="00AF1BB8"/>
    <w:rsid w:val="00AF1EED"/>
    <w:rsid w:val="00AF1F94"/>
    <w:rsid w:val="00AF2D9A"/>
    <w:rsid w:val="00AF4F92"/>
    <w:rsid w:val="00AF50CB"/>
    <w:rsid w:val="00AF58A4"/>
    <w:rsid w:val="00B011FB"/>
    <w:rsid w:val="00B01357"/>
    <w:rsid w:val="00B02C59"/>
    <w:rsid w:val="00B02E77"/>
    <w:rsid w:val="00B03621"/>
    <w:rsid w:val="00B0464B"/>
    <w:rsid w:val="00B04EA6"/>
    <w:rsid w:val="00B07E83"/>
    <w:rsid w:val="00B123F8"/>
    <w:rsid w:val="00B130D3"/>
    <w:rsid w:val="00B13410"/>
    <w:rsid w:val="00B15957"/>
    <w:rsid w:val="00B15D66"/>
    <w:rsid w:val="00B16AC6"/>
    <w:rsid w:val="00B173D7"/>
    <w:rsid w:val="00B17606"/>
    <w:rsid w:val="00B177E8"/>
    <w:rsid w:val="00B17C3D"/>
    <w:rsid w:val="00B216E1"/>
    <w:rsid w:val="00B22EA2"/>
    <w:rsid w:val="00B24537"/>
    <w:rsid w:val="00B24E84"/>
    <w:rsid w:val="00B25B4C"/>
    <w:rsid w:val="00B263B6"/>
    <w:rsid w:val="00B30D40"/>
    <w:rsid w:val="00B31BE0"/>
    <w:rsid w:val="00B33661"/>
    <w:rsid w:val="00B33DD3"/>
    <w:rsid w:val="00B34EC8"/>
    <w:rsid w:val="00B40F4A"/>
    <w:rsid w:val="00B44F74"/>
    <w:rsid w:val="00B47E6D"/>
    <w:rsid w:val="00B50E92"/>
    <w:rsid w:val="00B5422F"/>
    <w:rsid w:val="00B54628"/>
    <w:rsid w:val="00B5598E"/>
    <w:rsid w:val="00B56E2B"/>
    <w:rsid w:val="00B61751"/>
    <w:rsid w:val="00B61D9F"/>
    <w:rsid w:val="00B622C5"/>
    <w:rsid w:val="00B63508"/>
    <w:rsid w:val="00B63AC5"/>
    <w:rsid w:val="00B66FCC"/>
    <w:rsid w:val="00B67631"/>
    <w:rsid w:val="00B7096E"/>
    <w:rsid w:val="00B713C8"/>
    <w:rsid w:val="00B7252B"/>
    <w:rsid w:val="00B74898"/>
    <w:rsid w:val="00B754A1"/>
    <w:rsid w:val="00B76CD2"/>
    <w:rsid w:val="00B76D97"/>
    <w:rsid w:val="00B77740"/>
    <w:rsid w:val="00B77C0F"/>
    <w:rsid w:val="00B77F82"/>
    <w:rsid w:val="00B80B27"/>
    <w:rsid w:val="00B81007"/>
    <w:rsid w:val="00B871F3"/>
    <w:rsid w:val="00B877B2"/>
    <w:rsid w:val="00B92597"/>
    <w:rsid w:val="00B926E2"/>
    <w:rsid w:val="00B9272B"/>
    <w:rsid w:val="00B930B6"/>
    <w:rsid w:val="00B93477"/>
    <w:rsid w:val="00B94118"/>
    <w:rsid w:val="00B96D73"/>
    <w:rsid w:val="00B97D55"/>
    <w:rsid w:val="00BA1823"/>
    <w:rsid w:val="00BA1AE7"/>
    <w:rsid w:val="00BA2FE5"/>
    <w:rsid w:val="00BA5341"/>
    <w:rsid w:val="00BA5C00"/>
    <w:rsid w:val="00BA7011"/>
    <w:rsid w:val="00BA70AB"/>
    <w:rsid w:val="00BB1291"/>
    <w:rsid w:val="00BB3EE6"/>
    <w:rsid w:val="00BB43E6"/>
    <w:rsid w:val="00BB4F90"/>
    <w:rsid w:val="00BB5C0B"/>
    <w:rsid w:val="00BB5FAB"/>
    <w:rsid w:val="00BB76CC"/>
    <w:rsid w:val="00BB7847"/>
    <w:rsid w:val="00BC0F51"/>
    <w:rsid w:val="00BC3D59"/>
    <w:rsid w:val="00BC445C"/>
    <w:rsid w:val="00BC4A2E"/>
    <w:rsid w:val="00BC5659"/>
    <w:rsid w:val="00BC62EC"/>
    <w:rsid w:val="00BC6694"/>
    <w:rsid w:val="00BC6D47"/>
    <w:rsid w:val="00BC78B4"/>
    <w:rsid w:val="00BC7B17"/>
    <w:rsid w:val="00BC7D8A"/>
    <w:rsid w:val="00BD1995"/>
    <w:rsid w:val="00BD1D67"/>
    <w:rsid w:val="00BD256B"/>
    <w:rsid w:val="00BD2B37"/>
    <w:rsid w:val="00BD2D62"/>
    <w:rsid w:val="00BD3FA2"/>
    <w:rsid w:val="00BD406E"/>
    <w:rsid w:val="00BD4AA6"/>
    <w:rsid w:val="00BD5026"/>
    <w:rsid w:val="00BD53F3"/>
    <w:rsid w:val="00BD5AB3"/>
    <w:rsid w:val="00BD5BFB"/>
    <w:rsid w:val="00BD7F7B"/>
    <w:rsid w:val="00BE07FE"/>
    <w:rsid w:val="00BE0DC3"/>
    <w:rsid w:val="00BE523B"/>
    <w:rsid w:val="00BE60C2"/>
    <w:rsid w:val="00BE66EA"/>
    <w:rsid w:val="00BE730C"/>
    <w:rsid w:val="00BF0178"/>
    <w:rsid w:val="00BF08FA"/>
    <w:rsid w:val="00BF2892"/>
    <w:rsid w:val="00BF2DCA"/>
    <w:rsid w:val="00BF2E21"/>
    <w:rsid w:val="00BF32B8"/>
    <w:rsid w:val="00BF42D1"/>
    <w:rsid w:val="00BF46FD"/>
    <w:rsid w:val="00BF5A7B"/>
    <w:rsid w:val="00BF7C41"/>
    <w:rsid w:val="00BF7FAD"/>
    <w:rsid w:val="00C00568"/>
    <w:rsid w:val="00C007A0"/>
    <w:rsid w:val="00C020D1"/>
    <w:rsid w:val="00C0260C"/>
    <w:rsid w:val="00C02938"/>
    <w:rsid w:val="00C0386B"/>
    <w:rsid w:val="00C03FB1"/>
    <w:rsid w:val="00C04B45"/>
    <w:rsid w:val="00C050DF"/>
    <w:rsid w:val="00C06E3A"/>
    <w:rsid w:val="00C07F64"/>
    <w:rsid w:val="00C1031B"/>
    <w:rsid w:val="00C1091E"/>
    <w:rsid w:val="00C12329"/>
    <w:rsid w:val="00C13D07"/>
    <w:rsid w:val="00C13EBD"/>
    <w:rsid w:val="00C14F28"/>
    <w:rsid w:val="00C152F1"/>
    <w:rsid w:val="00C16193"/>
    <w:rsid w:val="00C16239"/>
    <w:rsid w:val="00C17EE7"/>
    <w:rsid w:val="00C203D4"/>
    <w:rsid w:val="00C20451"/>
    <w:rsid w:val="00C20EA2"/>
    <w:rsid w:val="00C20FBE"/>
    <w:rsid w:val="00C2163D"/>
    <w:rsid w:val="00C2350A"/>
    <w:rsid w:val="00C25D19"/>
    <w:rsid w:val="00C25E90"/>
    <w:rsid w:val="00C308B8"/>
    <w:rsid w:val="00C31BE6"/>
    <w:rsid w:val="00C31C9E"/>
    <w:rsid w:val="00C32776"/>
    <w:rsid w:val="00C349E9"/>
    <w:rsid w:val="00C34E42"/>
    <w:rsid w:val="00C36161"/>
    <w:rsid w:val="00C44C5B"/>
    <w:rsid w:val="00C44CEA"/>
    <w:rsid w:val="00C453C3"/>
    <w:rsid w:val="00C455A6"/>
    <w:rsid w:val="00C459DB"/>
    <w:rsid w:val="00C45E8D"/>
    <w:rsid w:val="00C46672"/>
    <w:rsid w:val="00C469B2"/>
    <w:rsid w:val="00C47153"/>
    <w:rsid w:val="00C47547"/>
    <w:rsid w:val="00C4757D"/>
    <w:rsid w:val="00C50FB9"/>
    <w:rsid w:val="00C51CFC"/>
    <w:rsid w:val="00C5518A"/>
    <w:rsid w:val="00C5753A"/>
    <w:rsid w:val="00C5799A"/>
    <w:rsid w:val="00C60F18"/>
    <w:rsid w:val="00C60FE1"/>
    <w:rsid w:val="00C615ED"/>
    <w:rsid w:val="00C61652"/>
    <w:rsid w:val="00C6260C"/>
    <w:rsid w:val="00C63FC4"/>
    <w:rsid w:val="00C6567E"/>
    <w:rsid w:val="00C65FB6"/>
    <w:rsid w:val="00C67633"/>
    <w:rsid w:val="00C677C0"/>
    <w:rsid w:val="00C677C3"/>
    <w:rsid w:val="00C7161C"/>
    <w:rsid w:val="00C719DA"/>
    <w:rsid w:val="00C71B97"/>
    <w:rsid w:val="00C71D4D"/>
    <w:rsid w:val="00C71EB8"/>
    <w:rsid w:val="00C72046"/>
    <w:rsid w:val="00C73833"/>
    <w:rsid w:val="00C7400A"/>
    <w:rsid w:val="00C74636"/>
    <w:rsid w:val="00C74E02"/>
    <w:rsid w:val="00C750DF"/>
    <w:rsid w:val="00C841C2"/>
    <w:rsid w:val="00C84608"/>
    <w:rsid w:val="00C84BEB"/>
    <w:rsid w:val="00C85197"/>
    <w:rsid w:val="00C851CB"/>
    <w:rsid w:val="00C872FD"/>
    <w:rsid w:val="00C8745E"/>
    <w:rsid w:val="00C87C03"/>
    <w:rsid w:val="00C90347"/>
    <w:rsid w:val="00C90A90"/>
    <w:rsid w:val="00C90B26"/>
    <w:rsid w:val="00C9159E"/>
    <w:rsid w:val="00C9182F"/>
    <w:rsid w:val="00C92F81"/>
    <w:rsid w:val="00C93CB7"/>
    <w:rsid w:val="00C9421A"/>
    <w:rsid w:val="00C944A0"/>
    <w:rsid w:val="00C94734"/>
    <w:rsid w:val="00C94EFE"/>
    <w:rsid w:val="00C95A28"/>
    <w:rsid w:val="00C95A7E"/>
    <w:rsid w:val="00C97610"/>
    <w:rsid w:val="00C97740"/>
    <w:rsid w:val="00C97EA2"/>
    <w:rsid w:val="00C97EE1"/>
    <w:rsid w:val="00CA01E3"/>
    <w:rsid w:val="00CA1593"/>
    <w:rsid w:val="00CA16CA"/>
    <w:rsid w:val="00CA1983"/>
    <w:rsid w:val="00CA1B49"/>
    <w:rsid w:val="00CA1D1E"/>
    <w:rsid w:val="00CA23CD"/>
    <w:rsid w:val="00CA41F9"/>
    <w:rsid w:val="00CA442C"/>
    <w:rsid w:val="00CA4ED9"/>
    <w:rsid w:val="00CA6014"/>
    <w:rsid w:val="00CA6D84"/>
    <w:rsid w:val="00CA77BD"/>
    <w:rsid w:val="00CA7895"/>
    <w:rsid w:val="00CA7AC5"/>
    <w:rsid w:val="00CA7E4E"/>
    <w:rsid w:val="00CB1997"/>
    <w:rsid w:val="00CB1D53"/>
    <w:rsid w:val="00CB30D5"/>
    <w:rsid w:val="00CB40A2"/>
    <w:rsid w:val="00CB496C"/>
    <w:rsid w:val="00CB4C51"/>
    <w:rsid w:val="00CB58DE"/>
    <w:rsid w:val="00CB5D30"/>
    <w:rsid w:val="00CB70BD"/>
    <w:rsid w:val="00CC11CE"/>
    <w:rsid w:val="00CC1DFC"/>
    <w:rsid w:val="00CC2107"/>
    <w:rsid w:val="00CC24B4"/>
    <w:rsid w:val="00CC28D6"/>
    <w:rsid w:val="00CC2B1A"/>
    <w:rsid w:val="00CC30DE"/>
    <w:rsid w:val="00CC3629"/>
    <w:rsid w:val="00CC40E2"/>
    <w:rsid w:val="00CC4A9B"/>
    <w:rsid w:val="00CC4CA0"/>
    <w:rsid w:val="00CC5000"/>
    <w:rsid w:val="00CC5087"/>
    <w:rsid w:val="00CC5269"/>
    <w:rsid w:val="00CC5CEB"/>
    <w:rsid w:val="00CC6172"/>
    <w:rsid w:val="00CC68AE"/>
    <w:rsid w:val="00CD01B7"/>
    <w:rsid w:val="00CD278D"/>
    <w:rsid w:val="00CD2868"/>
    <w:rsid w:val="00CD52FD"/>
    <w:rsid w:val="00CD61CE"/>
    <w:rsid w:val="00CD6774"/>
    <w:rsid w:val="00CD7FE1"/>
    <w:rsid w:val="00CE0D14"/>
    <w:rsid w:val="00CE1090"/>
    <w:rsid w:val="00CE152C"/>
    <w:rsid w:val="00CE1B33"/>
    <w:rsid w:val="00CE1C22"/>
    <w:rsid w:val="00CE1FDB"/>
    <w:rsid w:val="00CE2630"/>
    <w:rsid w:val="00CE3216"/>
    <w:rsid w:val="00CE3B30"/>
    <w:rsid w:val="00CE42F5"/>
    <w:rsid w:val="00CE43AC"/>
    <w:rsid w:val="00CE444D"/>
    <w:rsid w:val="00CE4615"/>
    <w:rsid w:val="00CE479F"/>
    <w:rsid w:val="00CE4C17"/>
    <w:rsid w:val="00CE4C57"/>
    <w:rsid w:val="00CE5B33"/>
    <w:rsid w:val="00CE6205"/>
    <w:rsid w:val="00CE6F23"/>
    <w:rsid w:val="00CF0372"/>
    <w:rsid w:val="00CF1A04"/>
    <w:rsid w:val="00CF3A4C"/>
    <w:rsid w:val="00CF4EB5"/>
    <w:rsid w:val="00CF68D7"/>
    <w:rsid w:val="00CF7823"/>
    <w:rsid w:val="00D008E5"/>
    <w:rsid w:val="00D00AEA"/>
    <w:rsid w:val="00D0108A"/>
    <w:rsid w:val="00D01D67"/>
    <w:rsid w:val="00D02028"/>
    <w:rsid w:val="00D0212F"/>
    <w:rsid w:val="00D0251D"/>
    <w:rsid w:val="00D0332C"/>
    <w:rsid w:val="00D04455"/>
    <w:rsid w:val="00D04DB2"/>
    <w:rsid w:val="00D05618"/>
    <w:rsid w:val="00D062FB"/>
    <w:rsid w:val="00D06493"/>
    <w:rsid w:val="00D068F0"/>
    <w:rsid w:val="00D069C0"/>
    <w:rsid w:val="00D12975"/>
    <w:rsid w:val="00D12D3F"/>
    <w:rsid w:val="00D14D51"/>
    <w:rsid w:val="00D14E94"/>
    <w:rsid w:val="00D15BE1"/>
    <w:rsid w:val="00D15FC8"/>
    <w:rsid w:val="00D16243"/>
    <w:rsid w:val="00D168AD"/>
    <w:rsid w:val="00D1697D"/>
    <w:rsid w:val="00D16D04"/>
    <w:rsid w:val="00D20187"/>
    <w:rsid w:val="00D210F2"/>
    <w:rsid w:val="00D2163C"/>
    <w:rsid w:val="00D2219E"/>
    <w:rsid w:val="00D23095"/>
    <w:rsid w:val="00D2312A"/>
    <w:rsid w:val="00D23130"/>
    <w:rsid w:val="00D23467"/>
    <w:rsid w:val="00D253F1"/>
    <w:rsid w:val="00D25591"/>
    <w:rsid w:val="00D257BF"/>
    <w:rsid w:val="00D3012E"/>
    <w:rsid w:val="00D302D6"/>
    <w:rsid w:val="00D30BA6"/>
    <w:rsid w:val="00D31E86"/>
    <w:rsid w:val="00D324E0"/>
    <w:rsid w:val="00D328CA"/>
    <w:rsid w:val="00D32D58"/>
    <w:rsid w:val="00D331B3"/>
    <w:rsid w:val="00D34E0D"/>
    <w:rsid w:val="00D36CD8"/>
    <w:rsid w:val="00D37E8C"/>
    <w:rsid w:val="00D401F6"/>
    <w:rsid w:val="00D4250A"/>
    <w:rsid w:val="00D44780"/>
    <w:rsid w:val="00D44C0F"/>
    <w:rsid w:val="00D46374"/>
    <w:rsid w:val="00D469FA"/>
    <w:rsid w:val="00D46A84"/>
    <w:rsid w:val="00D47081"/>
    <w:rsid w:val="00D52142"/>
    <w:rsid w:val="00D53D02"/>
    <w:rsid w:val="00D5532D"/>
    <w:rsid w:val="00D561C9"/>
    <w:rsid w:val="00D56EB0"/>
    <w:rsid w:val="00D57C79"/>
    <w:rsid w:val="00D60382"/>
    <w:rsid w:val="00D62FC5"/>
    <w:rsid w:val="00D65092"/>
    <w:rsid w:val="00D65142"/>
    <w:rsid w:val="00D670A5"/>
    <w:rsid w:val="00D67F1B"/>
    <w:rsid w:val="00D7076B"/>
    <w:rsid w:val="00D71A3D"/>
    <w:rsid w:val="00D729B0"/>
    <w:rsid w:val="00D73C13"/>
    <w:rsid w:val="00D74129"/>
    <w:rsid w:val="00D74B84"/>
    <w:rsid w:val="00D7504D"/>
    <w:rsid w:val="00D75791"/>
    <w:rsid w:val="00D75851"/>
    <w:rsid w:val="00D76AEB"/>
    <w:rsid w:val="00D77249"/>
    <w:rsid w:val="00D77C87"/>
    <w:rsid w:val="00D859F8"/>
    <w:rsid w:val="00D86089"/>
    <w:rsid w:val="00D8729B"/>
    <w:rsid w:val="00D873AA"/>
    <w:rsid w:val="00D90BB0"/>
    <w:rsid w:val="00D91461"/>
    <w:rsid w:val="00D9154B"/>
    <w:rsid w:val="00D92A67"/>
    <w:rsid w:val="00D93277"/>
    <w:rsid w:val="00D93727"/>
    <w:rsid w:val="00D93DCB"/>
    <w:rsid w:val="00D94479"/>
    <w:rsid w:val="00D94AF8"/>
    <w:rsid w:val="00D94F3E"/>
    <w:rsid w:val="00D9626F"/>
    <w:rsid w:val="00D969A2"/>
    <w:rsid w:val="00DA0A10"/>
    <w:rsid w:val="00DA1663"/>
    <w:rsid w:val="00DA24F7"/>
    <w:rsid w:val="00DA2A4D"/>
    <w:rsid w:val="00DA31C5"/>
    <w:rsid w:val="00DA3506"/>
    <w:rsid w:val="00DA3DEA"/>
    <w:rsid w:val="00DA4821"/>
    <w:rsid w:val="00DA4F61"/>
    <w:rsid w:val="00DA50AF"/>
    <w:rsid w:val="00DA6141"/>
    <w:rsid w:val="00DA68FD"/>
    <w:rsid w:val="00DB0318"/>
    <w:rsid w:val="00DB32C4"/>
    <w:rsid w:val="00DB368E"/>
    <w:rsid w:val="00DB5FF5"/>
    <w:rsid w:val="00DB6069"/>
    <w:rsid w:val="00DB79BB"/>
    <w:rsid w:val="00DB7A5D"/>
    <w:rsid w:val="00DC05C7"/>
    <w:rsid w:val="00DC0877"/>
    <w:rsid w:val="00DC0B79"/>
    <w:rsid w:val="00DC1DFB"/>
    <w:rsid w:val="00DC1EF8"/>
    <w:rsid w:val="00DC2C62"/>
    <w:rsid w:val="00DC4C51"/>
    <w:rsid w:val="00DD23A9"/>
    <w:rsid w:val="00DD2B85"/>
    <w:rsid w:val="00DD3BF5"/>
    <w:rsid w:val="00DD3E7D"/>
    <w:rsid w:val="00DD5129"/>
    <w:rsid w:val="00DD5610"/>
    <w:rsid w:val="00DD73F2"/>
    <w:rsid w:val="00DE18A3"/>
    <w:rsid w:val="00DE3940"/>
    <w:rsid w:val="00DE43F1"/>
    <w:rsid w:val="00DE5274"/>
    <w:rsid w:val="00DE554C"/>
    <w:rsid w:val="00DE672A"/>
    <w:rsid w:val="00DE67E6"/>
    <w:rsid w:val="00DE693E"/>
    <w:rsid w:val="00DF1FAF"/>
    <w:rsid w:val="00DF3F15"/>
    <w:rsid w:val="00DF45DA"/>
    <w:rsid w:val="00DF5685"/>
    <w:rsid w:val="00DF592A"/>
    <w:rsid w:val="00DF5A7F"/>
    <w:rsid w:val="00DF5E05"/>
    <w:rsid w:val="00DF6507"/>
    <w:rsid w:val="00DF6A1E"/>
    <w:rsid w:val="00DF7D3A"/>
    <w:rsid w:val="00E00502"/>
    <w:rsid w:val="00E006DB"/>
    <w:rsid w:val="00E01074"/>
    <w:rsid w:val="00E01BCF"/>
    <w:rsid w:val="00E0340C"/>
    <w:rsid w:val="00E03447"/>
    <w:rsid w:val="00E0431A"/>
    <w:rsid w:val="00E04A27"/>
    <w:rsid w:val="00E05B8F"/>
    <w:rsid w:val="00E05EB2"/>
    <w:rsid w:val="00E11184"/>
    <w:rsid w:val="00E11689"/>
    <w:rsid w:val="00E12277"/>
    <w:rsid w:val="00E13AFC"/>
    <w:rsid w:val="00E14C52"/>
    <w:rsid w:val="00E16312"/>
    <w:rsid w:val="00E1753A"/>
    <w:rsid w:val="00E17822"/>
    <w:rsid w:val="00E17838"/>
    <w:rsid w:val="00E179DC"/>
    <w:rsid w:val="00E17AB5"/>
    <w:rsid w:val="00E17EB5"/>
    <w:rsid w:val="00E20949"/>
    <w:rsid w:val="00E20E53"/>
    <w:rsid w:val="00E21076"/>
    <w:rsid w:val="00E22C15"/>
    <w:rsid w:val="00E23427"/>
    <w:rsid w:val="00E24264"/>
    <w:rsid w:val="00E248DB"/>
    <w:rsid w:val="00E278B9"/>
    <w:rsid w:val="00E27B71"/>
    <w:rsid w:val="00E30B62"/>
    <w:rsid w:val="00E32135"/>
    <w:rsid w:val="00E3346F"/>
    <w:rsid w:val="00E33ACA"/>
    <w:rsid w:val="00E345B4"/>
    <w:rsid w:val="00E34DF9"/>
    <w:rsid w:val="00E34E46"/>
    <w:rsid w:val="00E361BF"/>
    <w:rsid w:val="00E36A62"/>
    <w:rsid w:val="00E36DA1"/>
    <w:rsid w:val="00E3727F"/>
    <w:rsid w:val="00E37AF0"/>
    <w:rsid w:val="00E4215C"/>
    <w:rsid w:val="00E42398"/>
    <w:rsid w:val="00E42676"/>
    <w:rsid w:val="00E42861"/>
    <w:rsid w:val="00E43276"/>
    <w:rsid w:val="00E43B9C"/>
    <w:rsid w:val="00E43D1F"/>
    <w:rsid w:val="00E449D6"/>
    <w:rsid w:val="00E44D10"/>
    <w:rsid w:val="00E45057"/>
    <w:rsid w:val="00E455AA"/>
    <w:rsid w:val="00E456EA"/>
    <w:rsid w:val="00E4585E"/>
    <w:rsid w:val="00E458CA"/>
    <w:rsid w:val="00E45A3D"/>
    <w:rsid w:val="00E4764E"/>
    <w:rsid w:val="00E4784A"/>
    <w:rsid w:val="00E5040C"/>
    <w:rsid w:val="00E5090C"/>
    <w:rsid w:val="00E52DCA"/>
    <w:rsid w:val="00E533F1"/>
    <w:rsid w:val="00E53683"/>
    <w:rsid w:val="00E53D71"/>
    <w:rsid w:val="00E53F97"/>
    <w:rsid w:val="00E559F6"/>
    <w:rsid w:val="00E627DE"/>
    <w:rsid w:val="00E62A40"/>
    <w:rsid w:val="00E63147"/>
    <w:rsid w:val="00E63A68"/>
    <w:rsid w:val="00E64105"/>
    <w:rsid w:val="00E65B9B"/>
    <w:rsid w:val="00E67483"/>
    <w:rsid w:val="00E674BB"/>
    <w:rsid w:val="00E67947"/>
    <w:rsid w:val="00E70943"/>
    <w:rsid w:val="00E70B0A"/>
    <w:rsid w:val="00E74595"/>
    <w:rsid w:val="00E74F7F"/>
    <w:rsid w:val="00E752CF"/>
    <w:rsid w:val="00E75819"/>
    <w:rsid w:val="00E76945"/>
    <w:rsid w:val="00E82208"/>
    <w:rsid w:val="00E823B3"/>
    <w:rsid w:val="00E83FAE"/>
    <w:rsid w:val="00E85118"/>
    <w:rsid w:val="00E855D0"/>
    <w:rsid w:val="00E85A83"/>
    <w:rsid w:val="00E8686E"/>
    <w:rsid w:val="00E87130"/>
    <w:rsid w:val="00E9072F"/>
    <w:rsid w:val="00E91196"/>
    <w:rsid w:val="00E919A8"/>
    <w:rsid w:val="00E92904"/>
    <w:rsid w:val="00E9301C"/>
    <w:rsid w:val="00E938A5"/>
    <w:rsid w:val="00E945CE"/>
    <w:rsid w:val="00E9506F"/>
    <w:rsid w:val="00E96741"/>
    <w:rsid w:val="00E96927"/>
    <w:rsid w:val="00E97C65"/>
    <w:rsid w:val="00EA0CD6"/>
    <w:rsid w:val="00EA1AE4"/>
    <w:rsid w:val="00EA1F7E"/>
    <w:rsid w:val="00EA257C"/>
    <w:rsid w:val="00EA40F0"/>
    <w:rsid w:val="00EA41F2"/>
    <w:rsid w:val="00EA51EC"/>
    <w:rsid w:val="00EA634B"/>
    <w:rsid w:val="00EA660C"/>
    <w:rsid w:val="00EA67F0"/>
    <w:rsid w:val="00EA79CD"/>
    <w:rsid w:val="00EA7E14"/>
    <w:rsid w:val="00EB0043"/>
    <w:rsid w:val="00EB0868"/>
    <w:rsid w:val="00EB12B4"/>
    <w:rsid w:val="00EB18DA"/>
    <w:rsid w:val="00EB2190"/>
    <w:rsid w:val="00EB2861"/>
    <w:rsid w:val="00EB2E88"/>
    <w:rsid w:val="00EB3016"/>
    <w:rsid w:val="00EB477E"/>
    <w:rsid w:val="00EB493E"/>
    <w:rsid w:val="00EB5179"/>
    <w:rsid w:val="00EB5BBA"/>
    <w:rsid w:val="00EB7596"/>
    <w:rsid w:val="00EB7966"/>
    <w:rsid w:val="00EB7E5E"/>
    <w:rsid w:val="00EC0274"/>
    <w:rsid w:val="00EC1A60"/>
    <w:rsid w:val="00EC1FDB"/>
    <w:rsid w:val="00EC2181"/>
    <w:rsid w:val="00EC253D"/>
    <w:rsid w:val="00EC2549"/>
    <w:rsid w:val="00EC38BF"/>
    <w:rsid w:val="00EC38CC"/>
    <w:rsid w:val="00EC4F1A"/>
    <w:rsid w:val="00EC568D"/>
    <w:rsid w:val="00ED1241"/>
    <w:rsid w:val="00ED12DC"/>
    <w:rsid w:val="00ED1C78"/>
    <w:rsid w:val="00ED2CD7"/>
    <w:rsid w:val="00ED552C"/>
    <w:rsid w:val="00ED6759"/>
    <w:rsid w:val="00ED755F"/>
    <w:rsid w:val="00EE02CA"/>
    <w:rsid w:val="00EE05A2"/>
    <w:rsid w:val="00EE3D8B"/>
    <w:rsid w:val="00EE5052"/>
    <w:rsid w:val="00EE61EF"/>
    <w:rsid w:val="00EE6730"/>
    <w:rsid w:val="00EE7119"/>
    <w:rsid w:val="00EE7170"/>
    <w:rsid w:val="00EE7215"/>
    <w:rsid w:val="00EE7AFE"/>
    <w:rsid w:val="00EF089A"/>
    <w:rsid w:val="00EF0AF1"/>
    <w:rsid w:val="00EF0E62"/>
    <w:rsid w:val="00EF2175"/>
    <w:rsid w:val="00EF24A0"/>
    <w:rsid w:val="00EF33A7"/>
    <w:rsid w:val="00EF37CC"/>
    <w:rsid w:val="00EF396F"/>
    <w:rsid w:val="00EF4419"/>
    <w:rsid w:val="00EF6971"/>
    <w:rsid w:val="00EF6EE5"/>
    <w:rsid w:val="00EF7BEB"/>
    <w:rsid w:val="00F002D7"/>
    <w:rsid w:val="00F00594"/>
    <w:rsid w:val="00F00D30"/>
    <w:rsid w:val="00F00F3A"/>
    <w:rsid w:val="00F02AFE"/>
    <w:rsid w:val="00F02C83"/>
    <w:rsid w:val="00F03AE5"/>
    <w:rsid w:val="00F04B42"/>
    <w:rsid w:val="00F04E0D"/>
    <w:rsid w:val="00F05152"/>
    <w:rsid w:val="00F05419"/>
    <w:rsid w:val="00F057B7"/>
    <w:rsid w:val="00F05D51"/>
    <w:rsid w:val="00F104B8"/>
    <w:rsid w:val="00F10E35"/>
    <w:rsid w:val="00F11049"/>
    <w:rsid w:val="00F1182F"/>
    <w:rsid w:val="00F13736"/>
    <w:rsid w:val="00F13F55"/>
    <w:rsid w:val="00F16D8C"/>
    <w:rsid w:val="00F16DDA"/>
    <w:rsid w:val="00F1748A"/>
    <w:rsid w:val="00F20308"/>
    <w:rsid w:val="00F208D1"/>
    <w:rsid w:val="00F2118D"/>
    <w:rsid w:val="00F235C0"/>
    <w:rsid w:val="00F2363A"/>
    <w:rsid w:val="00F23A53"/>
    <w:rsid w:val="00F248DE"/>
    <w:rsid w:val="00F2493D"/>
    <w:rsid w:val="00F25A56"/>
    <w:rsid w:val="00F261DD"/>
    <w:rsid w:val="00F2733D"/>
    <w:rsid w:val="00F3030E"/>
    <w:rsid w:val="00F30B73"/>
    <w:rsid w:val="00F3189D"/>
    <w:rsid w:val="00F325FF"/>
    <w:rsid w:val="00F3308D"/>
    <w:rsid w:val="00F330E0"/>
    <w:rsid w:val="00F337E6"/>
    <w:rsid w:val="00F33C0E"/>
    <w:rsid w:val="00F33C32"/>
    <w:rsid w:val="00F34204"/>
    <w:rsid w:val="00F34529"/>
    <w:rsid w:val="00F378A1"/>
    <w:rsid w:val="00F43024"/>
    <w:rsid w:val="00F434DB"/>
    <w:rsid w:val="00F43F70"/>
    <w:rsid w:val="00F44579"/>
    <w:rsid w:val="00F4577D"/>
    <w:rsid w:val="00F46123"/>
    <w:rsid w:val="00F46538"/>
    <w:rsid w:val="00F478EA"/>
    <w:rsid w:val="00F478F6"/>
    <w:rsid w:val="00F5030F"/>
    <w:rsid w:val="00F505A8"/>
    <w:rsid w:val="00F528A5"/>
    <w:rsid w:val="00F52B19"/>
    <w:rsid w:val="00F52EBD"/>
    <w:rsid w:val="00F530DF"/>
    <w:rsid w:val="00F531AE"/>
    <w:rsid w:val="00F5330F"/>
    <w:rsid w:val="00F541AA"/>
    <w:rsid w:val="00F552A8"/>
    <w:rsid w:val="00F569FF"/>
    <w:rsid w:val="00F57474"/>
    <w:rsid w:val="00F57479"/>
    <w:rsid w:val="00F57A3C"/>
    <w:rsid w:val="00F610CA"/>
    <w:rsid w:val="00F63ED0"/>
    <w:rsid w:val="00F64B4F"/>
    <w:rsid w:val="00F64E86"/>
    <w:rsid w:val="00F66F8C"/>
    <w:rsid w:val="00F6722C"/>
    <w:rsid w:val="00F675FC"/>
    <w:rsid w:val="00F67650"/>
    <w:rsid w:val="00F677FC"/>
    <w:rsid w:val="00F67B1E"/>
    <w:rsid w:val="00F70486"/>
    <w:rsid w:val="00F714EF"/>
    <w:rsid w:val="00F71ADE"/>
    <w:rsid w:val="00F731F4"/>
    <w:rsid w:val="00F73B2B"/>
    <w:rsid w:val="00F74359"/>
    <w:rsid w:val="00F743D8"/>
    <w:rsid w:val="00F74756"/>
    <w:rsid w:val="00F75C25"/>
    <w:rsid w:val="00F76C3B"/>
    <w:rsid w:val="00F80D4F"/>
    <w:rsid w:val="00F82D04"/>
    <w:rsid w:val="00F86BD3"/>
    <w:rsid w:val="00F877C6"/>
    <w:rsid w:val="00F87F0A"/>
    <w:rsid w:val="00F90485"/>
    <w:rsid w:val="00F9086D"/>
    <w:rsid w:val="00F9191A"/>
    <w:rsid w:val="00F93153"/>
    <w:rsid w:val="00F967AA"/>
    <w:rsid w:val="00F97925"/>
    <w:rsid w:val="00F97CFD"/>
    <w:rsid w:val="00FA215A"/>
    <w:rsid w:val="00FA25FF"/>
    <w:rsid w:val="00FA4FC6"/>
    <w:rsid w:val="00FA6D93"/>
    <w:rsid w:val="00FA7E8A"/>
    <w:rsid w:val="00FB1B83"/>
    <w:rsid w:val="00FB2307"/>
    <w:rsid w:val="00FB3093"/>
    <w:rsid w:val="00FB45EA"/>
    <w:rsid w:val="00FC1DE7"/>
    <w:rsid w:val="00FC20DB"/>
    <w:rsid w:val="00FC26F0"/>
    <w:rsid w:val="00FC5275"/>
    <w:rsid w:val="00FC53B6"/>
    <w:rsid w:val="00FC6D78"/>
    <w:rsid w:val="00FC6F72"/>
    <w:rsid w:val="00FD01EB"/>
    <w:rsid w:val="00FD0804"/>
    <w:rsid w:val="00FD1437"/>
    <w:rsid w:val="00FD15DA"/>
    <w:rsid w:val="00FD23C1"/>
    <w:rsid w:val="00FD2631"/>
    <w:rsid w:val="00FD32C3"/>
    <w:rsid w:val="00FD38EC"/>
    <w:rsid w:val="00FD3B44"/>
    <w:rsid w:val="00FD3E8A"/>
    <w:rsid w:val="00FD6DB1"/>
    <w:rsid w:val="00FD703C"/>
    <w:rsid w:val="00FD74D2"/>
    <w:rsid w:val="00FD7C35"/>
    <w:rsid w:val="00FE07BF"/>
    <w:rsid w:val="00FE0A02"/>
    <w:rsid w:val="00FE0B3A"/>
    <w:rsid w:val="00FE0DC7"/>
    <w:rsid w:val="00FE110E"/>
    <w:rsid w:val="00FE3E10"/>
    <w:rsid w:val="00FE4D1F"/>
    <w:rsid w:val="00FE5B34"/>
    <w:rsid w:val="00FE60D2"/>
    <w:rsid w:val="00FE7627"/>
    <w:rsid w:val="00FF0381"/>
    <w:rsid w:val="00FF0BA6"/>
    <w:rsid w:val="00FF1179"/>
    <w:rsid w:val="00FF555E"/>
    <w:rsid w:val="00FF65AF"/>
    <w:rsid w:val="00FF6CE1"/>
    <w:rsid w:val="00FF78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4A5FFB"/>
  <w15:chartTrackingRefBased/>
  <w15:docId w15:val="{7342E0EA-8999-483B-AA19-FFC7485E2A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E3B30"/>
  </w:style>
  <w:style w:type="paragraph" w:styleId="1">
    <w:name w:val="heading 1"/>
    <w:basedOn w:val="a"/>
    <w:next w:val="a"/>
    <w:link w:val="10"/>
    <w:uiPriority w:val="9"/>
    <w:qFormat/>
    <w:rsid w:val="007379B8"/>
    <w:pPr>
      <w:keepNext/>
      <w:keepLines/>
      <w:numPr>
        <w:numId w:val="1"/>
      </w:numPr>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7379B8"/>
    <w:pPr>
      <w:keepNext/>
      <w:keepLines/>
      <w:numPr>
        <w:ilvl w:val="1"/>
        <w:numId w:val="1"/>
      </w:numPr>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7379B8"/>
    <w:pPr>
      <w:keepNext/>
      <w:keepLines/>
      <w:numPr>
        <w:ilvl w:val="2"/>
        <w:numId w:val="1"/>
      </w:numPr>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7379B8"/>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7379B8"/>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semiHidden/>
    <w:unhideWhenUsed/>
    <w:qFormat/>
    <w:rsid w:val="007379B8"/>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semiHidden/>
    <w:unhideWhenUsed/>
    <w:qFormat/>
    <w:rsid w:val="007379B8"/>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7379B8"/>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7379B8"/>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64854"/>
    <w:pPr>
      <w:ind w:left="720"/>
      <w:contextualSpacing/>
    </w:pPr>
  </w:style>
  <w:style w:type="character" w:customStyle="1" w:styleId="fontstyle01">
    <w:name w:val="fontstyle01"/>
    <w:basedOn w:val="a0"/>
    <w:rsid w:val="00064854"/>
    <w:rPr>
      <w:rFonts w:ascii="Times New Roman" w:hAnsi="Times New Roman" w:cs="Times New Roman" w:hint="default"/>
      <w:b w:val="0"/>
      <w:bCs w:val="0"/>
      <w:i w:val="0"/>
      <w:iCs w:val="0"/>
      <w:color w:val="000000"/>
      <w:sz w:val="28"/>
      <w:szCs w:val="28"/>
    </w:rPr>
  </w:style>
  <w:style w:type="character" w:customStyle="1" w:styleId="fontstyle21">
    <w:name w:val="fontstyle21"/>
    <w:basedOn w:val="a0"/>
    <w:rsid w:val="00240950"/>
    <w:rPr>
      <w:rFonts w:ascii="CIDFont+F4" w:hAnsi="CIDFont+F4" w:hint="default"/>
      <w:b w:val="0"/>
      <w:bCs w:val="0"/>
      <w:i w:val="0"/>
      <w:iCs w:val="0"/>
      <w:color w:val="000000"/>
      <w:sz w:val="20"/>
      <w:szCs w:val="20"/>
    </w:rPr>
  </w:style>
  <w:style w:type="character" w:styleId="a4">
    <w:name w:val="Book Title"/>
    <w:basedOn w:val="a0"/>
    <w:uiPriority w:val="33"/>
    <w:qFormat/>
    <w:rsid w:val="00A14972"/>
    <w:rPr>
      <w:b/>
      <w:bCs/>
      <w:i/>
      <w:iCs/>
      <w:spacing w:val="5"/>
    </w:rPr>
  </w:style>
  <w:style w:type="character" w:customStyle="1" w:styleId="10">
    <w:name w:val="Заголовок 1 Знак"/>
    <w:basedOn w:val="a0"/>
    <w:link w:val="1"/>
    <w:uiPriority w:val="9"/>
    <w:rsid w:val="007379B8"/>
    <w:rPr>
      <w:rFonts w:asciiTheme="majorHAnsi" w:eastAsiaTheme="majorEastAsia" w:hAnsiTheme="majorHAnsi" w:cstheme="majorBidi"/>
      <w:color w:val="2E74B5" w:themeColor="accent1" w:themeShade="BF"/>
      <w:sz w:val="32"/>
      <w:szCs w:val="32"/>
    </w:rPr>
  </w:style>
  <w:style w:type="paragraph" w:styleId="a5">
    <w:name w:val="TOC Heading"/>
    <w:basedOn w:val="1"/>
    <w:next w:val="a"/>
    <w:uiPriority w:val="39"/>
    <w:unhideWhenUsed/>
    <w:qFormat/>
    <w:rsid w:val="007379B8"/>
    <w:pPr>
      <w:outlineLvl w:val="9"/>
    </w:pPr>
    <w:rPr>
      <w:lang w:eastAsia="ru-RU"/>
    </w:rPr>
  </w:style>
  <w:style w:type="paragraph" w:styleId="11">
    <w:name w:val="toc 1"/>
    <w:basedOn w:val="a"/>
    <w:next w:val="a"/>
    <w:autoRedefine/>
    <w:uiPriority w:val="39"/>
    <w:unhideWhenUsed/>
    <w:rsid w:val="00E27B71"/>
    <w:pPr>
      <w:tabs>
        <w:tab w:val="left" w:pos="567"/>
        <w:tab w:val="right" w:leader="dot" w:pos="9628"/>
      </w:tabs>
      <w:spacing w:after="0" w:line="240" w:lineRule="auto"/>
      <w:jc w:val="both"/>
    </w:pPr>
    <w:rPr>
      <w:rFonts w:ascii="Times New Roman" w:eastAsiaTheme="majorEastAsia" w:hAnsi="Times New Roman" w:cs="Times New Roman"/>
      <w:noProof/>
      <w:sz w:val="28"/>
      <w:szCs w:val="28"/>
    </w:rPr>
  </w:style>
  <w:style w:type="character" w:styleId="a6">
    <w:name w:val="Hyperlink"/>
    <w:basedOn w:val="a0"/>
    <w:uiPriority w:val="99"/>
    <w:unhideWhenUsed/>
    <w:rsid w:val="007379B8"/>
    <w:rPr>
      <w:color w:val="0563C1" w:themeColor="hyperlink"/>
      <w:u w:val="single"/>
    </w:rPr>
  </w:style>
  <w:style w:type="paragraph" w:styleId="a7">
    <w:name w:val="Subtitle"/>
    <w:basedOn w:val="a"/>
    <w:next w:val="a"/>
    <w:link w:val="a8"/>
    <w:uiPriority w:val="11"/>
    <w:qFormat/>
    <w:rsid w:val="007379B8"/>
    <w:pPr>
      <w:numPr>
        <w:ilvl w:val="1"/>
      </w:numPr>
    </w:pPr>
    <w:rPr>
      <w:rFonts w:eastAsiaTheme="minorEastAsia"/>
      <w:color w:val="5A5A5A" w:themeColor="text1" w:themeTint="A5"/>
      <w:spacing w:val="15"/>
    </w:rPr>
  </w:style>
  <w:style w:type="character" w:customStyle="1" w:styleId="a8">
    <w:name w:val="Подзаголовок Знак"/>
    <w:basedOn w:val="a0"/>
    <w:link w:val="a7"/>
    <w:uiPriority w:val="11"/>
    <w:rsid w:val="007379B8"/>
    <w:rPr>
      <w:rFonts w:eastAsiaTheme="minorEastAsia"/>
      <w:color w:val="5A5A5A" w:themeColor="text1" w:themeTint="A5"/>
      <w:spacing w:val="15"/>
    </w:rPr>
  </w:style>
  <w:style w:type="character" w:customStyle="1" w:styleId="20">
    <w:name w:val="Заголовок 2 Знак"/>
    <w:basedOn w:val="a0"/>
    <w:link w:val="2"/>
    <w:uiPriority w:val="9"/>
    <w:rsid w:val="007379B8"/>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7379B8"/>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rsid w:val="007379B8"/>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uiPriority w:val="9"/>
    <w:semiHidden/>
    <w:rsid w:val="007379B8"/>
    <w:rPr>
      <w:rFonts w:asciiTheme="majorHAnsi" w:eastAsiaTheme="majorEastAsia" w:hAnsiTheme="majorHAnsi" w:cstheme="majorBidi"/>
      <w:color w:val="2E74B5" w:themeColor="accent1" w:themeShade="BF"/>
    </w:rPr>
  </w:style>
  <w:style w:type="character" w:customStyle="1" w:styleId="60">
    <w:name w:val="Заголовок 6 Знак"/>
    <w:basedOn w:val="a0"/>
    <w:link w:val="6"/>
    <w:uiPriority w:val="9"/>
    <w:semiHidden/>
    <w:rsid w:val="007379B8"/>
    <w:rPr>
      <w:rFonts w:asciiTheme="majorHAnsi" w:eastAsiaTheme="majorEastAsia" w:hAnsiTheme="majorHAnsi" w:cstheme="majorBidi"/>
      <w:color w:val="1F4D78" w:themeColor="accent1" w:themeShade="7F"/>
    </w:rPr>
  </w:style>
  <w:style w:type="character" w:customStyle="1" w:styleId="70">
    <w:name w:val="Заголовок 7 Знак"/>
    <w:basedOn w:val="a0"/>
    <w:link w:val="7"/>
    <w:uiPriority w:val="9"/>
    <w:semiHidden/>
    <w:rsid w:val="007379B8"/>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7379B8"/>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7379B8"/>
    <w:rPr>
      <w:rFonts w:asciiTheme="majorHAnsi" w:eastAsiaTheme="majorEastAsia" w:hAnsiTheme="majorHAnsi" w:cstheme="majorBidi"/>
      <w:i/>
      <w:iCs/>
      <w:color w:val="272727" w:themeColor="text1" w:themeTint="D8"/>
      <w:sz w:val="21"/>
      <w:szCs w:val="21"/>
    </w:rPr>
  </w:style>
  <w:style w:type="paragraph" w:styleId="a9">
    <w:name w:val="footnote text"/>
    <w:basedOn w:val="a"/>
    <w:link w:val="aa"/>
    <w:uiPriority w:val="99"/>
    <w:semiHidden/>
    <w:unhideWhenUsed/>
    <w:rsid w:val="008F5D5C"/>
    <w:pPr>
      <w:spacing w:after="0" w:line="240" w:lineRule="auto"/>
    </w:pPr>
    <w:rPr>
      <w:sz w:val="20"/>
      <w:szCs w:val="20"/>
    </w:rPr>
  </w:style>
  <w:style w:type="character" w:customStyle="1" w:styleId="aa">
    <w:name w:val="Текст сноски Знак"/>
    <w:basedOn w:val="a0"/>
    <w:link w:val="a9"/>
    <w:uiPriority w:val="99"/>
    <w:semiHidden/>
    <w:rsid w:val="008F5D5C"/>
    <w:rPr>
      <w:sz w:val="20"/>
      <w:szCs w:val="20"/>
    </w:rPr>
  </w:style>
  <w:style w:type="character" w:styleId="ab">
    <w:name w:val="footnote reference"/>
    <w:basedOn w:val="a0"/>
    <w:uiPriority w:val="99"/>
    <w:semiHidden/>
    <w:unhideWhenUsed/>
    <w:rsid w:val="008F5D5C"/>
    <w:rPr>
      <w:vertAlign w:val="superscript"/>
    </w:rPr>
  </w:style>
  <w:style w:type="paragraph" w:styleId="21">
    <w:name w:val="toc 2"/>
    <w:basedOn w:val="a"/>
    <w:next w:val="a"/>
    <w:autoRedefine/>
    <w:uiPriority w:val="39"/>
    <w:unhideWhenUsed/>
    <w:rsid w:val="00861CCD"/>
    <w:pPr>
      <w:tabs>
        <w:tab w:val="left" w:pos="426"/>
        <w:tab w:val="right" w:leader="dot" w:pos="9628"/>
      </w:tabs>
      <w:spacing w:after="100"/>
    </w:pPr>
  </w:style>
  <w:style w:type="character" w:styleId="ac">
    <w:name w:val="annotation reference"/>
    <w:basedOn w:val="a0"/>
    <w:uiPriority w:val="99"/>
    <w:semiHidden/>
    <w:unhideWhenUsed/>
    <w:rsid w:val="00CF1A04"/>
    <w:rPr>
      <w:sz w:val="16"/>
      <w:szCs w:val="16"/>
    </w:rPr>
  </w:style>
  <w:style w:type="paragraph" w:styleId="ad">
    <w:name w:val="annotation text"/>
    <w:basedOn w:val="a"/>
    <w:link w:val="ae"/>
    <w:uiPriority w:val="99"/>
    <w:unhideWhenUsed/>
    <w:rsid w:val="00CF1A04"/>
    <w:pPr>
      <w:spacing w:line="240" w:lineRule="auto"/>
    </w:pPr>
    <w:rPr>
      <w:sz w:val="20"/>
      <w:szCs w:val="20"/>
    </w:rPr>
  </w:style>
  <w:style w:type="character" w:customStyle="1" w:styleId="ae">
    <w:name w:val="Текст примечания Знак"/>
    <w:basedOn w:val="a0"/>
    <w:link w:val="ad"/>
    <w:uiPriority w:val="99"/>
    <w:rsid w:val="00CF1A04"/>
    <w:rPr>
      <w:sz w:val="20"/>
      <w:szCs w:val="20"/>
    </w:rPr>
  </w:style>
  <w:style w:type="paragraph" w:styleId="af">
    <w:name w:val="annotation subject"/>
    <w:basedOn w:val="ad"/>
    <w:next w:val="ad"/>
    <w:link w:val="af0"/>
    <w:uiPriority w:val="99"/>
    <w:semiHidden/>
    <w:unhideWhenUsed/>
    <w:rsid w:val="00CF1A04"/>
    <w:rPr>
      <w:b/>
      <w:bCs/>
    </w:rPr>
  </w:style>
  <w:style w:type="character" w:customStyle="1" w:styleId="af0">
    <w:name w:val="Тема примечания Знак"/>
    <w:basedOn w:val="ae"/>
    <w:link w:val="af"/>
    <w:uiPriority w:val="99"/>
    <w:semiHidden/>
    <w:rsid w:val="00CF1A04"/>
    <w:rPr>
      <w:b/>
      <w:bCs/>
      <w:sz w:val="20"/>
      <w:szCs w:val="20"/>
    </w:rPr>
  </w:style>
  <w:style w:type="paragraph" w:styleId="af1">
    <w:name w:val="Balloon Text"/>
    <w:basedOn w:val="a"/>
    <w:link w:val="af2"/>
    <w:uiPriority w:val="99"/>
    <w:unhideWhenUsed/>
    <w:rsid w:val="00CF1A04"/>
    <w:pPr>
      <w:spacing w:after="0" w:line="240" w:lineRule="auto"/>
    </w:pPr>
    <w:rPr>
      <w:rFonts w:ascii="Segoe UI" w:hAnsi="Segoe UI" w:cs="Segoe UI"/>
      <w:sz w:val="18"/>
      <w:szCs w:val="18"/>
    </w:rPr>
  </w:style>
  <w:style w:type="character" w:customStyle="1" w:styleId="af2">
    <w:name w:val="Текст выноски Знак"/>
    <w:basedOn w:val="a0"/>
    <w:link w:val="af1"/>
    <w:uiPriority w:val="99"/>
    <w:semiHidden/>
    <w:rsid w:val="00CF1A04"/>
    <w:rPr>
      <w:rFonts w:ascii="Segoe UI" w:hAnsi="Segoe UI" w:cs="Segoe UI"/>
      <w:sz w:val="18"/>
      <w:szCs w:val="18"/>
    </w:rPr>
  </w:style>
  <w:style w:type="character" w:customStyle="1" w:styleId="fontstyle31">
    <w:name w:val="fontstyle31"/>
    <w:basedOn w:val="a0"/>
    <w:rsid w:val="00D02028"/>
    <w:rPr>
      <w:rFonts w:ascii="TimesNewRomanPS-ItalicMT" w:hAnsi="TimesNewRomanPS-ItalicMT" w:hint="default"/>
      <w:b w:val="0"/>
      <w:bCs w:val="0"/>
      <w:i/>
      <w:iCs/>
      <w:color w:val="242021"/>
      <w:sz w:val="20"/>
      <w:szCs w:val="20"/>
    </w:rPr>
  </w:style>
  <w:style w:type="table" w:styleId="af3">
    <w:name w:val="Table Grid"/>
    <w:basedOn w:val="a1"/>
    <w:uiPriority w:val="39"/>
    <w:rsid w:val="007928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Normal (Web)"/>
    <w:basedOn w:val="a"/>
    <w:uiPriority w:val="99"/>
    <w:unhideWhenUsed/>
    <w:rsid w:val="008E6C6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5">
    <w:name w:val="header"/>
    <w:basedOn w:val="a"/>
    <w:link w:val="af6"/>
    <w:uiPriority w:val="99"/>
    <w:unhideWhenUsed/>
    <w:rsid w:val="00FD38EC"/>
    <w:pPr>
      <w:tabs>
        <w:tab w:val="center" w:pos="4677"/>
        <w:tab w:val="right" w:pos="9355"/>
      </w:tabs>
      <w:spacing w:after="0" w:line="240" w:lineRule="auto"/>
    </w:pPr>
  </w:style>
  <w:style w:type="character" w:customStyle="1" w:styleId="af6">
    <w:name w:val="Верхний колонтитул Знак"/>
    <w:basedOn w:val="a0"/>
    <w:link w:val="af5"/>
    <w:uiPriority w:val="99"/>
    <w:rsid w:val="00FD38EC"/>
  </w:style>
  <w:style w:type="paragraph" w:styleId="af7">
    <w:name w:val="footer"/>
    <w:basedOn w:val="a"/>
    <w:link w:val="af8"/>
    <w:uiPriority w:val="99"/>
    <w:unhideWhenUsed/>
    <w:rsid w:val="00FD38EC"/>
    <w:pPr>
      <w:tabs>
        <w:tab w:val="center" w:pos="4677"/>
        <w:tab w:val="right" w:pos="9355"/>
      </w:tabs>
      <w:spacing w:after="0" w:line="240" w:lineRule="auto"/>
    </w:pPr>
  </w:style>
  <w:style w:type="character" w:customStyle="1" w:styleId="af8">
    <w:name w:val="Нижний колонтитул Знак"/>
    <w:basedOn w:val="a0"/>
    <w:link w:val="af7"/>
    <w:uiPriority w:val="99"/>
    <w:rsid w:val="00FD38EC"/>
  </w:style>
  <w:style w:type="paragraph" w:styleId="31">
    <w:name w:val="toc 3"/>
    <w:basedOn w:val="a"/>
    <w:next w:val="a"/>
    <w:autoRedefine/>
    <w:uiPriority w:val="39"/>
    <w:unhideWhenUsed/>
    <w:rsid w:val="00861CCD"/>
    <w:pPr>
      <w:tabs>
        <w:tab w:val="left" w:pos="567"/>
        <w:tab w:val="right" w:leader="dot" w:pos="9628"/>
      </w:tabs>
      <w:spacing w:after="100"/>
    </w:pPr>
  </w:style>
  <w:style w:type="numbering" w:customStyle="1" w:styleId="12">
    <w:name w:val="Нет списка1"/>
    <w:next w:val="a2"/>
    <w:uiPriority w:val="99"/>
    <w:semiHidden/>
    <w:unhideWhenUsed/>
    <w:rsid w:val="00F57474"/>
  </w:style>
  <w:style w:type="table" w:customStyle="1" w:styleId="13">
    <w:name w:val="Сетка таблицы1"/>
    <w:basedOn w:val="a1"/>
    <w:next w:val="af3"/>
    <w:uiPriority w:val="39"/>
    <w:rsid w:val="00F574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41">
    <w:name w:val="fontstyle41"/>
    <w:basedOn w:val="a0"/>
    <w:rsid w:val="00F57474"/>
    <w:rPr>
      <w:rFonts w:ascii="Times-Italic" w:hAnsi="Times-Italic" w:hint="default"/>
      <w:b w:val="0"/>
      <w:bCs w:val="0"/>
      <w:i/>
      <w:iCs/>
      <w:color w:val="000000"/>
      <w:sz w:val="22"/>
      <w:szCs w:val="22"/>
    </w:rPr>
  </w:style>
  <w:style w:type="table" w:customStyle="1" w:styleId="22">
    <w:name w:val="Сетка таблицы2"/>
    <w:basedOn w:val="a1"/>
    <w:next w:val="af3"/>
    <w:uiPriority w:val="39"/>
    <w:rsid w:val="00F574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next w:val="af3"/>
    <w:uiPriority w:val="39"/>
    <w:rsid w:val="00F574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Intense Quote"/>
    <w:basedOn w:val="a"/>
    <w:next w:val="a"/>
    <w:link w:val="afa"/>
    <w:uiPriority w:val="30"/>
    <w:qFormat/>
    <w:rsid w:val="00F57474"/>
    <w:pPr>
      <w:pBdr>
        <w:top w:val="single" w:sz="4" w:space="10" w:color="5B9BD5" w:themeColor="accent1"/>
        <w:bottom w:val="single" w:sz="4" w:space="10" w:color="5B9BD5" w:themeColor="accent1"/>
      </w:pBdr>
      <w:spacing w:before="360" w:after="360" w:line="276" w:lineRule="auto"/>
      <w:ind w:left="864" w:right="864"/>
      <w:jc w:val="center"/>
    </w:pPr>
    <w:rPr>
      <w:rFonts w:ascii="Calibri" w:eastAsia="Calibri" w:hAnsi="Calibri" w:cs="Times New Roman"/>
      <w:i/>
      <w:iCs/>
      <w:color w:val="5B9BD5" w:themeColor="accent1"/>
    </w:rPr>
  </w:style>
  <w:style w:type="character" w:customStyle="1" w:styleId="afa">
    <w:name w:val="Выделенная цитата Знак"/>
    <w:basedOn w:val="a0"/>
    <w:link w:val="af9"/>
    <w:uiPriority w:val="30"/>
    <w:rsid w:val="00F57474"/>
    <w:rPr>
      <w:rFonts w:ascii="Calibri" w:eastAsia="Calibri" w:hAnsi="Calibri" w:cs="Times New Roman"/>
      <w:i/>
      <w:iCs/>
      <w:color w:val="5B9BD5" w:themeColor="accent1"/>
    </w:rPr>
  </w:style>
  <w:style w:type="paragraph" w:styleId="afb">
    <w:name w:val="Title"/>
    <w:basedOn w:val="a"/>
    <w:next w:val="a"/>
    <w:link w:val="afc"/>
    <w:uiPriority w:val="10"/>
    <w:qFormat/>
    <w:rsid w:val="00F5747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c">
    <w:name w:val="Название Знак"/>
    <w:basedOn w:val="a0"/>
    <w:link w:val="afb"/>
    <w:uiPriority w:val="10"/>
    <w:rsid w:val="00F57474"/>
    <w:rPr>
      <w:rFonts w:asciiTheme="majorHAnsi" w:eastAsiaTheme="majorEastAsia" w:hAnsiTheme="majorHAnsi" w:cstheme="majorBidi"/>
      <w:spacing w:val="-10"/>
      <w:kern w:val="28"/>
      <w:sz w:val="56"/>
      <w:szCs w:val="56"/>
    </w:rPr>
  </w:style>
  <w:style w:type="paragraph" w:styleId="afd">
    <w:name w:val="No Spacing"/>
    <w:uiPriority w:val="1"/>
    <w:qFormat/>
    <w:rsid w:val="00F57474"/>
    <w:pPr>
      <w:spacing w:after="0" w:line="240" w:lineRule="auto"/>
    </w:pPr>
    <w:rPr>
      <w:rFonts w:ascii="Calibri" w:eastAsia="Calibri" w:hAnsi="Calibri" w:cs="Times New Roman"/>
    </w:rPr>
  </w:style>
  <w:style w:type="numbering" w:customStyle="1" w:styleId="23">
    <w:name w:val="Нет списка2"/>
    <w:next w:val="a2"/>
    <w:uiPriority w:val="99"/>
    <w:semiHidden/>
    <w:unhideWhenUsed/>
    <w:rsid w:val="00437528"/>
  </w:style>
  <w:style w:type="table" w:customStyle="1" w:styleId="41">
    <w:name w:val="Сетка таблицы4"/>
    <w:basedOn w:val="a1"/>
    <w:next w:val="af3"/>
    <w:uiPriority w:val="39"/>
    <w:rsid w:val="0043752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f3"/>
    <w:uiPriority w:val="39"/>
    <w:rsid w:val="004375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f3"/>
    <w:uiPriority w:val="39"/>
    <w:rsid w:val="00437528"/>
    <w:pPr>
      <w:spacing w:after="0" w:line="240" w:lineRule="auto"/>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f3"/>
    <w:uiPriority w:val="39"/>
    <w:rsid w:val="00437528"/>
    <w:pPr>
      <w:spacing w:after="0" w:line="240" w:lineRule="auto"/>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f3"/>
    <w:uiPriority w:val="39"/>
    <w:rsid w:val="00437528"/>
    <w:pPr>
      <w:spacing w:after="0" w:line="240" w:lineRule="auto"/>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f3"/>
    <w:uiPriority w:val="39"/>
    <w:rsid w:val="004375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f3"/>
    <w:uiPriority w:val="39"/>
    <w:rsid w:val="004375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f3"/>
    <w:uiPriority w:val="39"/>
    <w:rsid w:val="004375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4">
    <w:name w:val="Plain Table 2"/>
    <w:basedOn w:val="a1"/>
    <w:uiPriority w:val="42"/>
    <w:rsid w:val="0043752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14">
    <w:name w:val="Plain Table 1"/>
    <w:basedOn w:val="a1"/>
    <w:uiPriority w:val="41"/>
    <w:rsid w:val="0043752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fe">
    <w:name w:val="Grid Table Light"/>
    <w:basedOn w:val="a1"/>
    <w:uiPriority w:val="40"/>
    <w:rsid w:val="0043752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81">
    <w:name w:val="Сетка таблицы8"/>
    <w:basedOn w:val="a1"/>
    <w:next w:val="af3"/>
    <w:uiPriority w:val="59"/>
    <w:rsid w:val="008F79EE"/>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f3"/>
    <w:uiPriority w:val="59"/>
    <w:rsid w:val="008F79EE"/>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f3"/>
    <w:uiPriority w:val="59"/>
    <w:rsid w:val="00DE5274"/>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f3"/>
    <w:uiPriority w:val="59"/>
    <w:rsid w:val="00C20451"/>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f3"/>
    <w:uiPriority w:val="59"/>
    <w:rsid w:val="00057F1E"/>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f3"/>
    <w:uiPriority w:val="39"/>
    <w:rsid w:val="00015FE3"/>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1087579">
      <w:bodyDiv w:val="1"/>
      <w:marLeft w:val="0"/>
      <w:marRight w:val="0"/>
      <w:marTop w:val="0"/>
      <w:marBottom w:val="0"/>
      <w:divBdr>
        <w:top w:val="none" w:sz="0" w:space="0" w:color="auto"/>
        <w:left w:val="none" w:sz="0" w:space="0" w:color="auto"/>
        <w:bottom w:val="none" w:sz="0" w:space="0" w:color="auto"/>
        <w:right w:val="none" w:sz="0" w:space="0" w:color="auto"/>
      </w:divBdr>
    </w:div>
    <w:div w:id="309483058">
      <w:bodyDiv w:val="1"/>
      <w:marLeft w:val="0"/>
      <w:marRight w:val="0"/>
      <w:marTop w:val="0"/>
      <w:marBottom w:val="0"/>
      <w:divBdr>
        <w:top w:val="none" w:sz="0" w:space="0" w:color="auto"/>
        <w:left w:val="none" w:sz="0" w:space="0" w:color="auto"/>
        <w:bottom w:val="none" w:sz="0" w:space="0" w:color="auto"/>
        <w:right w:val="none" w:sz="0" w:space="0" w:color="auto"/>
      </w:divBdr>
    </w:div>
    <w:div w:id="504366751">
      <w:bodyDiv w:val="1"/>
      <w:marLeft w:val="0"/>
      <w:marRight w:val="0"/>
      <w:marTop w:val="0"/>
      <w:marBottom w:val="0"/>
      <w:divBdr>
        <w:top w:val="none" w:sz="0" w:space="0" w:color="auto"/>
        <w:left w:val="none" w:sz="0" w:space="0" w:color="auto"/>
        <w:bottom w:val="none" w:sz="0" w:space="0" w:color="auto"/>
        <w:right w:val="none" w:sz="0" w:space="0" w:color="auto"/>
      </w:divBdr>
    </w:div>
    <w:div w:id="504855948">
      <w:bodyDiv w:val="1"/>
      <w:marLeft w:val="0"/>
      <w:marRight w:val="0"/>
      <w:marTop w:val="0"/>
      <w:marBottom w:val="0"/>
      <w:divBdr>
        <w:top w:val="none" w:sz="0" w:space="0" w:color="auto"/>
        <w:left w:val="none" w:sz="0" w:space="0" w:color="auto"/>
        <w:bottom w:val="none" w:sz="0" w:space="0" w:color="auto"/>
        <w:right w:val="none" w:sz="0" w:space="0" w:color="auto"/>
      </w:divBdr>
      <w:divsChild>
        <w:div w:id="1322006409">
          <w:marLeft w:val="274"/>
          <w:marRight w:val="0"/>
          <w:marTop w:val="150"/>
          <w:marBottom w:val="0"/>
          <w:divBdr>
            <w:top w:val="none" w:sz="0" w:space="0" w:color="auto"/>
            <w:left w:val="none" w:sz="0" w:space="0" w:color="auto"/>
            <w:bottom w:val="none" w:sz="0" w:space="0" w:color="auto"/>
            <w:right w:val="none" w:sz="0" w:space="0" w:color="auto"/>
          </w:divBdr>
        </w:div>
        <w:div w:id="1529684992">
          <w:marLeft w:val="274"/>
          <w:marRight w:val="0"/>
          <w:marTop w:val="150"/>
          <w:marBottom w:val="0"/>
          <w:divBdr>
            <w:top w:val="none" w:sz="0" w:space="0" w:color="auto"/>
            <w:left w:val="none" w:sz="0" w:space="0" w:color="auto"/>
            <w:bottom w:val="none" w:sz="0" w:space="0" w:color="auto"/>
            <w:right w:val="none" w:sz="0" w:space="0" w:color="auto"/>
          </w:divBdr>
        </w:div>
      </w:divsChild>
    </w:div>
    <w:div w:id="522944081">
      <w:bodyDiv w:val="1"/>
      <w:marLeft w:val="0"/>
      <w:marRight w:val="0"/>
      <w:marTop w:val="0"/>
      <w:marBottom w:val="0"/>
      <w:divBdr>
        <w:top w:val="none" w:sz="0" w:space="0" w:color="auto"/>
        <w:left w:val="none" w:sz="0" w:space="0" w:color="auto"/>
        <w:bottom w:val="none" w:sz="0" w:space="0" w:color="auto"/>
        <w:right w:val="none" w:sz="0" w:space="0" w:color="auto"/>
      </w:divBdr>
    </w:div>
    <w:div w:id="569076302">
      <w:bodyDiv w:val="1"/>
      <w:marLeft w:val="0"/>
      <w:marRight w:val="0"/>
      <w:marTop w:val="0"/>
      <w:marBottom w:val="0"/>
      <w:divBdr>
        <w:top w:val="none" w:sz="0" w:space="0" w:color="auto"/>
        <w:left w:val="none" w:sz="0" w:space="0" w:color="auto"/>
        <w:bottom w:val="none" w:sz="0" w:space="0" w:color="auto"/>
        <w:right w:val="none" w:sz="0" w:space="0" w:color="auto"/>
      </w:divBdr>
      <w:divsChild>
        <w:div w:id="2033844783">
          <w:marLeft w:val="547"/>
          <w:marRight w:val="0"/>
          <w:marTop w:val="150"/>
          <w:marBottom w:val="0"/>
          <w:divBdr>
            <w:top w:val="none" w:sz="0" w:space="0" w:color="auto"/>
            <w:left w:val="none" w:sz="0" w:space="0" w:color="auto"/>
            <w:bottom w:val="none" w:sz="0" w:space="0" w:color="auto"/>
            <w:right w:val="none" w:sz="0" w:space="0" w:color="auto"/>
          </w:divBdr>
        </w:div>
        <w:div w:id="336346705">
          <w:marLeft w:val="547"/>
          <w:marRight w:val="0"/>
          <w:marTop w:val="150"/>
          <w:marBottom w:val="0"/>
          <w:divBdr>
            <w:top w:val="none" w:sz="0" w:space="0" w:color="auto"/>
            <w:left w:val="none" w:sz="0" w:space="0" w:color="auto"/>
            <w:bottom w:val="none" w:sz="0" w:space="0" w:color="auto"/>
            <w:right w:val="none" w:sz="0" w:space="0" w:color="auto"/>
          </w:divBdr>
        </w:div>
        <w:div w:id="1089808651">
          <w:marLeft w:val="547"/>
          <w:marRight w:val="0"/>
          <w:marTop w:val="150"/>
          <w:marBottom w:val="0"/>
          <w:divBdr>
            <w:top w:val="none" w:sz="0" w:space="0" w:color="auto"/>
            <w:left w:val="none" w:sz="0" w:space="0" w:color="auto"/>
            <w:bottom w:val="none" w:sz="0" w:space="0" w:color="auto"/>
            <w:right w:val="none" w:sz="0" w:space="0" w:color="auto"/>
          </w:divBdr>
        </w:div>
        <w:div w:id="977614002">
          <w:marLeft w:val="547"/>
          <w:marRight w:val="0"/>
          <w:marTop w:val="150"/>
          <w:marBottom w:val="0"/>
          <w:divBdr>
            <w:top w:val="none" w:sz="0" w:space="0" w:color="auto"/>
            <w:left w:val="none" w:sz="0" w:space="0" w:color="auto"/>
            <w:bottom w:val="none" w:sz="0" w:space="0" w:color="auto"/>
            <w:right w:val="none" w:sz="0" w:space="0" w:color="auto"/>
          </w:divBdr>
        </w:div>
      </w:divsChild>
    </w:div>
    <w:div w:id="609699952">
      <w:bodyDiv w:val="1"/>
      <w:marLeft w:val="0"/>
      <w:marRight w:val="0"/>
      <w:marTop w:val="0"/>
      <w:marBottom w:val="0"/>
      <w:divBdr>
        <w:top w:val="none" w:sz="0" w:space="0" w:color="auto"/>
        <w:left w:val="none" w:sz="0" w:space="0" w:color="auto"/>
        <w:bottom w:val="none" w:sz="0" w:space="0" w:color="auto"/>
        <w:right w:val="none" w:sz="0" w:space="0" w:color="auto"/>
      </w:divBdr>
    </w:div>
    <w:div w:id="658340092">
      <w:bodyDiv w:val="1"/>
      <w:marLeft w:val="0"/>
      <w:marRight w:val="0"/>
      <w:marTop w:val="0"/>
      <w:marBottom w:val="0"/>
      <w:divBdr>
        <w:top w:val="none" w:sz="0" w:space="0" w:color="auto"/>
        <w:left w:val="none" w:sz="0" w:space="0" w:color="auto"/>
        <w:bottom w:val="none" w:sz="0" w:space="0" w:color="auto"/>
        <w:right w:val="none" w:sz="0" w:space="0" w:color="auto"/>
      </w:divBdr>
    </w:div>
    <w:div w:id="686178261">
      <w:bodyDiv w:val="1"/>
      <w:marLeft w:val="0"/>
      <w:marRight w:val="0"/>
      <w:marTop w:val="0"/>
      <w:marBottom w:val="0"/>
      <w:divBdr>
        <w:top w:val="none" w:sz="0" w:space="0" w:color="auto"/>
        <w:left w:val="none" w:sz="0" w:space="0" w:color="auto"/>
        <w:bottom w:val="none" w:sz="0" w:space="0" w:color="auto"/>
        <w:right w:val="none" w:sz="0" w:space="0" w:color="auto"/>
      </w:divBdr>
    </w:div>
    <w:div w:id="687751200">
      <w:bodyDiv w:val="1"/>
      <w:marLeft w:val="0"/>
      <w:marRight w:val="0"/>
      <w:marTop w:val="0"/>
      <w:marBottom w:val="0"/>
      <w:divBdr>
        <w:top w:val="none" w:sz="0" w:space="0" w:color="auto"/>
        <w:left w:val="none" w:sz="0" w:space="0" w:color="auto"/>
        <w:bottom w:val="none" w:sz="0" w:space="0" w:color="auto"/>
        <w:right w:val="none" w:sz="0" w:space="0" w:color="auto"/>
      </w:divBdr>
    </w:div>
    <w:div w:id="749279222">
      <w:bodyDiv w:val="1"/>
      <w:marLeft w:val="0"/>
      <w:marRight w:val="0"/>
      <w:marTop w:val="0"/>
      <w:marBottom w:val="0"/>
      <w:divBdr>
        <w:top w:val="none" w:sz="0" w:space="0" w:color="auto"/>
        <w:left w:val="none" w:sz="0" w:space="0" w:color="auto"/>
        <w:bottom w:val="none" w:sz="0" w:space="0" w:color="auto"/>
        <w:right w:val="none" w:sz="0" w:space="0" w:color="auto"/>
      </w:divBdr>
    </w:div>
    <w:div w:id="833490074">
      <w:bodyDiv w:val="1"/>
      <w:marLeft w:val="0"/>
      <w:marRight w:val="0"/>
      <w:marTop w:val="0"/>
      <w:marBottom w:val="0"/>
      <w:divBdr>
        <w:top w:val="none" w:sz="0" w:space="0" w:color="auto"/>
        <w:left w:val="none" w:sz="0" w:space="0" w:color="auto"/>
        <w:bottom w:val="none" w:sz="0" w:space="0" w:color="auto"/>
        <w:right w:val="none" w:sz="0" w:space="0" w:color="auto"/>
      </w:divBdr>
    </w:div>
    <w:div w:id="892011118">
      <w:bodyDiv w:val="1"/>
      <w:marLeft w:val="0"/>
      <w:marRight w:val="0"/>
      <w:marTop w:val="0"/>
      <w:marBottom w:val="0"/>
      <w:divBdr>
        <w:top w:val="none" w:sz="0" w:space="0" w:color="auto"/>
        <w:left w:val="none" w:sz="0" w:space="0" w:color="auto"/>
        <w:bottom w:val="none" w:sz="0" w:space="0" w:color="auto"/>
        <w:right w:val="none" w:sz="0" w:space="0" w:color="auto"/>
      </w:divBdr>
    </w:div>
    <w:div w:id="960696078">
      <w:bodyDiv w:val="1"/>
      <w:marLeft w:val="0"/>
      <w:marRight w:val="0"/>
      <w:marTop w:val="0"/>
      <w:marBottom w:val="0"/>
      <w:divBdr>
        <w:top w:val="none" w:sz="0" w:space="0" w:color="auto"/>
        <w:left w:val="none" w:sz="0" w:space="0" w:color="auto"/>
        <w:bottom w:val="none" w:sz="0" w:space="0" w:color="auto"/>
        <w:right w:val="none" w:sz="0" w:space="0" w:color="auto"/>
      </w:divBdr>
    </w:div>
    <w:div w:id="962734263">
      <w:bodyDiv w:val="1"/>
      <w:marLeft w:val="0"/>
      <w:marRight w:val="0"/>
      <w:marTop w:val="0"/>
      <w:marBottom w:val="0"/>
      <w:divBdr>
        <w:top w:val="none" w:sz="0" w:space="0" w:color="auto"/>
        <w:left w:val="none" w:sz="0" w:space="0" w:color="auto"/>
        <w:bottom w:val="none" w:sz="0" w:space="0" w:color="auto"/>
        <w:right w:val="none" w:sz="0" w:space="0" w:color="auto"/>
      </w:divBdr>
    </w:div>
    <w:div w:id="969628605">
      <w:bodyDiv w:val="1"/>
      <w:marLeft w:val="0"/>
      <w:marRight w:val="0"/>
      <w:marTop w:val="0"/>
      <w:marBottom w:val="0"/>
      <w:divBdr>
        <w:top w:val="none" w:sz="0" w:space="0" w:color="auto"/>
        <w:left w:val="none" w:sz="0" w:space="0" w:color="auto"/>
        <w:bottom w:val="none" w:sz="0" w:space="0" w:color="auto"/>
        <w:right w:val="none" w:sz="0" w:space="0" w:color="auto"/>
      </w:divBdr>
    </w:div>
    <w:div w:id="999120644">
      <w:bodyDiv w:val="1"/>
      <w:marLeft w:val="0"/>
      <w:marRight w:val="0"/>
      <w:marTop w:val="0"/>
      <w:marBottom w:val="0"/>
      <w:divBdr>
        <w:top w:val="none" w:sz="0" w:space="0" w:color="auto"/>
        <w:left w:val="none" w:sz="0" w:space="0" w:color="auto"/>
        <w:bottom w:val="none" w:sz="0" w:space="0" w:color="auto"/>
        <w:right w:val="none" w:sz="0" w:space="0" w:color="auto"/>
      </w:divBdr>
    </w:div>
    <w:div w:id="1058476592">
      <w:bodyDiv w:val="1"/>
      <w:marLeft w:val="0"/>
      <w:marRight w:val="0"/>
      <w:marTop w:val="0"/>
      <w:marBottom w:val="0"/>
      <w:divBdr>
        <w:top w:val="none" w:sz="0" w:space="0" w:color="auto"/>
        <w:left w:val="none" w:sz="0" w:space="0" w:color="auto"/>
        <w:bottom w:val="none" w:sz="0" w:space="0" w:color="auto"/>
        <w:right w:val="none" w:sz="0" w:space="0" w:color="auto"/>
      </w:divBdr>
    </w:div>
    <w:div w:id="1060980461">
      <w:bodyDiv w:val="1"/>
      <w:marLeft w:val="0"/>
      <w:marRight w:val="0"/>
      <w:marTop w:val="0"/>
      <w:marBottom w:val="0"/>
      <w:divBdr>
        <w:top w:val="none" w:sz="0" w:space="0" w:color="auto"/>
        <w:left w:val="none" w:sz="0" w:space="0" w:color="auto"/>
        <w:bottom w:val="none" w:sz="0" w:space="0" w:color="auto"/>
        <w:right w:val="none" w:sz="0" w:space="0" w:color="auto"/>
      </w:divBdr>
    </w:div>
    <w:div w:id="1089690883">
      <w:bodyDiv w:val="1"/>
      <w:marLeft w:val="0"/>
      <w:marRight w:val="0"/>
      <w:marTop w:val="0"/>
      <w:marBottom w:val="0"/>
      <w:divBdr>
        <w:top w:val="none" w:sz="0" w:space="0" w:color="auto"/>
        <w:left w:val="none" w:sz="0" w:space="0" w:color="auto"/>
        <w:bottom w:val="none" w:sz="0" w:space="0" w:color="auto"/>
        <w:right w:val="none" w:sz="0" w:space="0" w:color="auto"/>
      </w:divBdr>
    </w:div>
    <w:div w:id="1144274022">
      <w:bodyDiv w:val="1"/>
      <w:marLeft w:val="0"/>
      <w:marRight w:val="0"/>
      <w:marTop w:val="0"/>
      <w:marBottom w:val="0"/>
      <w:divBdr>
        <w:top w:val="none" w:sz="0" w:space="0" w:color="auto"/>
        <w:left w:val="none" w:sz="0" w:space="0" w:color="auto"/>
        <w:bottom w:val="none" w:sz="0" w:space="0" w:color="auto"/>
        <w:right w:val="none" w:sz="0" w:space="0" w:color="auto"/>
      </w:divBdr>
    </w:div>
    <w:div w:id="1281036992">
      <w:bodyDiv w:val="1"/>
      <w:marLeft w:val="0"/>
      <w:marRight w:val="0"/>
      <w:marTop w:val="0"/>
      <w:marBottom w:val="0"/>
      <w:divBdr>
        <w:top w:val="none" w:sz="0" w:space="0" w:color="auto"/>
        <w:left w:val="none" w:sz="0" w:space="0" w:color="auto"/>
        <w:bottom w:val="none" w:sz="0" w:space="0" w:color="auto"/>
        <w:right w:val="none" w:sz="0" w:space="0" w:color="auto"/>
      </w:divBdr>
    </w:div>
    <w:div w:id="1407341301">
      <w:bodyDiv w:val="1"/>
      <w:marLeft w:val="0"/>
      <w:marRight w:val="0"/>
      <w:marTop w:val="0"/>
      <w:marBottom w:val="0"/>
      <w:divBdr>
        <w:top w:val="none" w:sz="0" w:space="0" w:color="auto"/>
        <w:left w:val="none" w:sz="0" w:space="0" w:color="auto"/>
        <w:bottom w:val="none" w:sz="0" w:space="0" w:color="auto"/>
        <w:right w:val="none" w:sz="0" w:space="0" w:color="auto"/>
      </w:divBdr>
    </w:div>
    <w:div w:id="1485317614">
      <w:bodyDiv w:val="1"/>
      <w:marLeft w:val="0"/>
      <w:marRight w:val="0"/>
      <w:marTop w:val="0"/>
      <w:marBottom w:val="0"/>
      <w:divBdr>
        <w:top w:val="none" w:sz="0" w:space="0" w:color="auto"/>
        <w:left w:val="none" w:sz="0" w:space="0" w:color="auto"/>
        <w:bottom w:val="none" w:sz="0" w:space="0" w:color="auto"/>
        <w:right w:val="none" w:sz="0" w:space="0" w:color="auto"/>
      </w:divBdr>
    </w:div>
    <w:div w:id="1497186035">
      <w:bodyDiv w:val="1"/>
      <w:marLeft w:val="0"/>
      <w:marRight w:val="0"/>
      <w:marTop w:val="0"/>
      <w:marBottom w:val="0"/>
      <w:divBdr>
        <w:top w:val="none" w:sz="0" w:space="0" w:color="auto"/>
        <w:left w:val="none" w:sz="0" w:space="0" w:color="auto"/>
        <w:bottom w:val="none" w:sz="0" w:space="0" w:color="auto"/>
        <w:right w:val="none" w:sz="0" w:space="0" w:color="auto"/>
      </w:divBdr>
    </w:div>
    <w:div w:id="1877698160">
      <w:bodyDiv w:val="1"/>
      <w:marLeft w:val="0"/>
      <w:marRight w:val="0"/>
      <w:marTop w:val="0"/>
      <w:marBottom w:val="0"/>
      <w:divBdr>
        <w:top w:val="none" w:sz="0" w:space="0" w:color="auto"/>
        <w:left w:val="none" w:sz="0" w:space="0" w:color="auto"/>
        <w:bottom w:val="none" w:sz="0" w:space="0" w:color="auto"/>
        <w:right w:val="none" w:sz="0" w:space="0" w:color="auto"/>
      </w:divBdr>
    </w:div>
    <w:div w:id="1988968634">
      <w:bodyDiv w:val="1"/>
      <w:marLeft w:val="0"/>
      <w:marRight w:val="0"/>
      <w:marTop w:val="0"/>
      <w:marBottom w:val="0"/>
      <w:divBdr>
        <w:top w:val="none" w:sz="0" w:space="0" w:color="auto"/>
        <w:left w:val="none" w:sz="0" w:space="0" w:color="auto"/>
        <w:bottom w:val="none" w:sz="0" w:space="0" w:color="auto"/>
        <w:right w:val="none" w:sz="0" w:space="0" w:color="auto"/>
      </w:divBdr>
    </w:div>
    <w:div w:id="2093772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pubmed.ncbi.nlm.nih.gov/?term=Haidar+L&amp;cauthor_id=33815598" TargetMode="External"/><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29.jpe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pubmed.ncbi.nlm.nih.gov/?term=Schmid+JM&amp;cauthor_id=26141262" TargetMode="External"/><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hyperlink" Target="https://pubmed.ncbi.nlm.nih.gov/?term=Mov%C3%A9rare+R&amp;cauthor_id=20733325"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png"/><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pubmed.ncbi.nlm.nih.gov/?term=Hu+H&amp;cauthor_id=30481720"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oleObject" Target="embeddings/oleObject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A7C2C9-12DE-46B4-9FB8-22A74B5E8F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172543</Words>
  <Characters>983496</Characters>
  <Application>Microsoft Office Word</Application>
  <DocSecurity>0</DocSecurity>
  <Lines>8195</Lines>
  <Paragraphs>2307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1153732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Марина Марина</dc:creator>
  <cp:keywords/>
  <dc:description/>
  <cp:lastModifiedBy>user</cp:lastModifiedBy>
  <cp:revision>3</cp:revision>
  <cp:lastPrinted>2023-11-17T06:59:00Z</cp:lastPrinted>
  <dcterms:created xsi:type="dcterms:W3CDTF">2023-11-27T09:43:00Z</dcterms:created>
  <dcterms:modified xsi:type="dcterms:W3CDTF">2023-11-27T09:43:00Z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http://www.zotero.org/styles/cells</vt:lpwstr>
  </property>
  <property fmtid="{D5CDD505-2E9C-101B-9397-08002B2CF9AE}" pid="5" name="Mendeley Recent Style Name 1_1">
    <vt:lpwstr>Cells</vt:lpwstr>
  </property>
  <property fmtid="{D5CDD505-2E9C-101B-9397-08002B2CF9AE}" pid="6" name="Mendeley Recent Style Id 2_1">
    <vt:lpwstr>http://www.zotero.org/styles/international-journal-of-nursing-practice</vt:lpwstr>
  </property>
  <property fmtid="{D5CDD505-2E9C-101B-9397-08002B2CF9AE}" pid="7" name="Mendeley Recent Style Name 2_1">
    <vt:lpwstr>International Journal of Nursing Practice</vt:lpwstr>
  </property>
  <property fmtid="{D5CDD505-2E9C-101B-9397-08002B2CF9AE}" pid="8" name="Mendeley Recent Style Id 3_1">
    <vt:lpwstr>http://www.zotero.org/styles/international-journal-of-nursing-studies</vt:lpwstr>
  </property>
  <property fmtid="{D5CDD505-2E9C-101B-9397-08002B2CF9AE}" pid="9" name="Mendeley Recent Style Name 3_1">
    <vt:lpwstr>International Journal of Nursing Studies</vt:lpwstr>
  </property>
  <property fmtid="{D5CDD505-2E9C-101B-9397-08002B2CF9AE}" pid="10" name="Mendeley Recent Style Id 4_1">
    <vt:lpwstr>http://www.zotero.org/styles/journal-of-nephrology</vt:lpwstr>
  </property>
  <property fmtid="{D5CDD505-2E9C-101B-9397-08002B2CF9AE}" pid="11" name="Mendeley Recent Style Name 4_1">
    <vt:lpwstr>Journal of Nephrology</vt:lpwstr>
  </property>
  <property fmtid="{D5CDD505-2E9C-101B-9397-08002B2CF9AE}" pid="12" name="Mendeley Recent Style Id 5_1">
    <vt:lpwstr>http://www.zotero.org/styles/nutrition</vt:lpwstr>
  </property>
  <property fmtid="{D5CDD505-2E9C-101B-9397-08002B2CF9AE}" pid="13" name="Mendeley Recent Style Name 5_1">
    <vt:lpwstr>Nutrition</vt:lpwstr>
  </property>
  <property fmtid="{D5CDD505-2E9C-101B-9397-08002B2CF9AE}" pid="14" name="Mendeley Recent Style Id 6_1">
    <vt:lpwstr>http://www.zotero.org/styles/gost-r-7-0-5-2008</vt:lpwstr>
  </property>
  <property fmtid="{D5CDD505-2E9C-101B-9397-08002B2CF9AE}" pid="15" name="Mendeley Recent Style Name 6_1">
    <vt:lpwstr>Russian GOST R 7.0.5-2008 (Russian)</vt:lpwstr>
  </property>
  <property fmtid="{D5CDD505-2E9C-101B-9397-08002B2CF9AE}" pid="16" name="Mendeley Recent Style Id 7_1">
    <vt:lpwstr>http://www.zotero.org/styles/gost-r-7-0-5-2008-numeric</vt:lpwstr>
  </property>
  <property fmtid="{D5CDD505-2E9C-101B-9397-08002B2CF9AE}" pid="17" name="Mendeley Recent Style Name 7_1">
    <vt:lpwstr>Russian GOST R 7.0.5-2008 (numeric)</vt:lpwstr>
  </property>
  <property fmtid="{D5CDD505-2E9C-101B-9397-08002B2CF9AE}" pid="18" name="Mendeley Recent Style Id 8_1">
    <vt:lpwstr>http://www.zotero.org/styles/university-of-gothenburg-apa-7th-edition-swedish-legislations</vt:lpwstr>
  </property>
  <property fmtid="{D5CDD505-2E9C-101B-9397-08002B2CF9AE}" pid="19" name="Mendeley Recent Style Name 8_1">
    <vt:lpwstr>University of Gothenburg - APA 7th edition (Swedish legislations)</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Citation Style_1">
    <vt:lpwstr>http://www.zotero.org/styles/gost-r-7-0-5-2008-numeric</vt:lpwstr>
  </property>
  <property fmtid="{D5CDD505-2E9C-101B-9397-08002B2CF9AE}" pid="24" name="Mendeley Unique User Id_1">
    <vt:lpwstr>8739ab9e-fd2e-354e-950e-a812ceea26f2</vt:lpwstr>
  </property>
</Properties>
</file>